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4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beforeLines="0" w:afterLines="0" w:line="560" w:lineRule="exact"/>
        <w:ind w:left="0" w:leftChars="0"/>
        <w:rPr>
          <w:rFonts w:hint="eastAsia" w:ascii="方正小标宋_GBK" w:hAnsi="方正小标宋_GBK" w:eastAsia="方正小标宋_GBK" w:cs="方正小标宋_GBK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中国民歌“花儿”大会暨中卫市第十八届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 w:themeColor="text1"/>
          <w:kern w:val="0"/>
          <w:sz w:val="44"/>
          <w:szCs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南北长滩黄河梨花节安全保障应急预案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为建立</w:t>
      </w: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中国民歌“花儿”大会暨中卫市第十八届南北长滩黄河梨花节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活动应急响应工作机制，提高应急救援快速反应和协调能力，迅速、及时、有效地处置突发事件和活动中发生的事故，最大限度地减少人员伤亡和财产损失，保障群众生命安全，维护稳定，依据国务院《大型群众性活动安全管理条例》及有关规定，制定本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一、活动基本情况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b w:val="0"/>
          <w:bCs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中国民歌“花儿”大会暨中卫市第十八届南北长滩黄河梨花节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计划于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2024年4月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—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4月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日（星期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迎水桥镇南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北长滩村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举办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4月6日晚在中卫市文化广场举办中国民歌花儿大会文艺惠民演出，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本次活动在室外举行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预计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每小时线下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参与人数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人左右。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二、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适用范围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预案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针对活动过程中，由于治安事件、交通事故、自然灾害等造成的人员伤亡、重大财产损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失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违反我国法律或严重影响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活动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正常顺利开展的突发事件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安全工作原则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（一）以人为本。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把保障游客群众的生命安全作为首要任务，在事故发生前，及时采取有效的防范和控制措施，预防人员伤亡和危害发生；在事故发生后，采取一切有效措施，积极抢救受伤人员，加强抢险救援人员的安全防护，最大程度地避免人员伤亡，减轻事故危害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（二）分级负责。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坚持“分级响应、条块结合、属地管理为主”的原则，活动承办单位为处置本次大型活动事故的主体。根据事故严重性、可控性、影响范围等因素，做好安全评估工作，上报活动主办方及时启动本预案。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（三）快速反应。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建立健全快速响应机制，及时获取充分而准确的信息，果断决策，快速处置，最大程度地减少危害和影响。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（四）注重科学。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充分发挥专家作用，实行科学民主决策，采用先进的预测、预警、预防和应急处置技术及设备，提高大型活动事故处置的科技水平和指挥能力。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（五）联动处置。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在沙坡头区委和政府的统一领导下，加强部门之间、基层各单位之间的沟通协调，互相支持，密切配合，及时准确传递事故信息，确保事故快速有效处置。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四、安全隐患分析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各类群体性治安事件造成的人员伤亡事故，如起哄闹事、打架斗殴、群众与安保人员发生冲突等。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因人群拥挤、通道严重堵塞等原因，发生人员挤压、踩踏、坠落、溺水等伤亡事故。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临时搭建广告设施发生倒塌，造成人员伤亡事故。　　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因渡船人员、车辆较多，导致游客和车辆在上下渡船时发生拥堵、坠河以及船体受损等事故。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 w:ascii="仿宋_GB2312" w:hAnsi="仿宋_GB2312" w:eastAsia="仿宋_GB2312" w:cs="仿宋_GB2312"/>
          <w:color w:val="000000" w:themeColor="text1"/>
          <w:spacing w:val="-6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场地、民宿发生火灾、人员触电等，造成人员伤亡事故。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（六）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如遇暴雨、雷电、冰雹、大风、沙尘暴等极端天气，造成人员伤亡事故。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（七）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观众突发疾病，急救不及时导致死亡事件。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（八）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其他非人为故意损害、破坏而引发的人员伤亡事故。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指挥体系</w:t>
      </w:r>
      <w:r>
        <w:rPr>
          <w:rFonts w:hint="default" w:ascii="Times New Roman" w:hAnsi="Times New Roman" w:eastAsia="黑体" w:cs="Times New Roman"/>
          <w:b w:val="0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为确保活动圆满成功，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成立安全应急工作领导小组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徐郑应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1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副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组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长：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郑  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张志斌、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  静、黄宗玺、杨海东、代福俊、陆文学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吴  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、张德有、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马  丽、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刘彦录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Style w:val="23"/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市公安局交通警察局，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区委统战部，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区旅游和文化体育广电局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卫生健康局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应急管理局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区市场监管分局、区公安分局，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消防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大队，区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气象局，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文昌镇、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迎水桥镇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领导小组下设组织协调组、秩序维护组、后勤保障组三个工作组，具体分工如下：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组织协调组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区旅游和文化体育广电局，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文昌镇、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迎水桥镇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负责上传下达、联络协调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对发生的紧急事件在第一时间报告，并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协调相关单位及时做出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应急处理。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秩序维护组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市公安局交通警察局，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区旅游和文化体育广电局、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卫生健康局，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区公安分局，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文昌镇、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迎水桥镇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工作职责：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区旅游和文化体育广电局、迎水桥镇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主要负责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南长滩村梨园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全方位的秩序维持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安全保卫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疏散观众及预防异常情况下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舞台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和观众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突发事件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的发生及组织施救、处置工作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文昌镇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负责做好4月6日文化广场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中国民歌花儿大会文艺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惠民演出活动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现场的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秩序维护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工作，协调处置突发事件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cs="Times New Roman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2.区卫生健康局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负责活动期间演职人员、游客、工作人员发生意外并造成人员伤亡时，第一时间组织医护人员应急救治，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如需转移至专业医院，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安排救护车辆送至专业医院救治。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负责做好活动期间交通秩序管控和疏导。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4.区公安分局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负责做好活动现场维稳、突发事件应急处置，协调市公安局旅游警察分局和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市公安局交通警察局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做好活动期间安全与交通疏导、突发事件应急处置、治安维稳工作。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（三）后勤保障组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firstLine="643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w w:val="100"/>
          <w:kern w:val="2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区应急管理局，区市场监管分局，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区消防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大队，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区气象局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工作职责：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1.区应急管理局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负责联合区消防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大队、区住房城乡建设和交通局、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区旅游和文化体育广电局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于活动前期对活动现场及农家乐开展消防安全检查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2.区市场监管分局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负责规范活动开展期间南北长滩农家乐住宿餐饮秩序，全程对食品安全进行监督。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区消防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救援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大队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负责做好活动前期消防安全检查，活动现场消防安全保障工作，以及现场消防安全突发事件处置工作。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4.区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气象局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负责及时预报天气情况，如有极端天气预报，应第一时间反馈活动总负责人。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、应急措施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各部门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如发现安全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隐患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、治安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风险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及人员伤害等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，首先采取应急处理措施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同时结合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具体情况，及时向110指挥中心、119火警或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120急救中心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汇报情况，请求快速支援。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2.加强安全巡查，发现可疑现象、人员，要及时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询问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排查，力求快速消除安全隐患。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3.在活动开始前配备医疗包，补充创可贴、酒精等相关药品，如遇突发问题，迅速对伤者进行初步诊断和及时救治，如伤情较重，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转运伤者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就近医院进行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救治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4.如发生踩踏事故，立即组织疏散观众，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防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止事态的进一步扩大，对受伤人员进行现场抢救并报警。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如有极端天气预报，应第一时间反馈活动总负责人，各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区域环节负责人在湿滑区域放置友情提示牌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pacing w:val="-1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必要情况下暂停活动。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（一）统一指挥，整体联动。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各相关单位要服从安全保障组安排调度，强化协调配合，形成工作合力，确保安全保卫各环节工作无缝对接，运行顺畅。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（二）重在预防，有效控制。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各相关单位要对照工作任务，强化提前预判，落实源头防范，将岗位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职责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落实到每一个人，将措施细化到每一个环节，强化执行力、管控力，做到防患于未然。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发现问题，依法处置。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各相关单位要强化事中管理，安排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分管负责同志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现场指挥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调度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，发现苗头性问题，快速反应，依法处置，防止事态扩大。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本次活动涉及的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安全事项，按相关部门要求执行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抄送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：宗立冬书记、丁志军区长，各副区长。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市旅游和文体广电局、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市公安局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val="en-US" w:eastAsia="zh-CN"/>
        </w:rPr>
        <w:t>交通警察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局，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宁夏广播电视台，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委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组织部、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宣传部、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统战部、网信办，区总工会、团区委、区妇联，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市场监管分局，区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公安分局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，区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消防救援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大队</w:t>
      </w: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、气象局，国网沙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40" w:firstLineChars="3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i w:val="0"/>
          <w:caps w:val="0"/>
          <w:color w:val="222222"/>
          <w:spacing w:val="0"/>
          <w:sz w:val="28"/>
          <w:szCs w:val="28"/>
          <w:shd w:val="clear" w:fill="FFFFFF"/>
          <w:lang w:eastAsia="zh-CN"/>
        </w:rPr>
        <w:t>坡头区供电公司，宁夏摄影家协会。</w:t>
      </w: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中卫市沙坡头区人民政府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办公室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　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日印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ABA850-232F-45C7-9B60-2DFED1B94C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C8263B-6EE0-44A2-B11D-AADE658DCE20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9DEF287-4162-420B-ADE8-ED2F49DD001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B6492679-45DC-4B4C-9B47-B124EF21292F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lYjg2NWIzMGNiYWU5ZDg5MWNkMzA3OWY2MDVhMWQifQ=="/>
  </w:docVars>
  <w:rsids>
    <w:rsidRoot w:val="6B323D15"/>
    <w:rsid w:val="00C70973"/>
    <w:rsid w:val="00FB3323"/>
    <w:rsid w:val="014521E2"/>
    <w:rsid w:val="01A95FFF"/>
    <w:rsid w:val="01C51D43"/>
    <w:rsid w:val="02363EF5"/>
    <w:rsid w:val="025A04C0"/>
    <w:rsid w:val="027F345C"/>
    <w:rsid w:val="02847EEE"/>
    <w:rsid w:val="028840E9"/>
    <w:rsid w:val="02AE3CF3"/>
    <w:rsid w:val="034019D9"/>
    <w:rsid w:val="03600D18"/>
    <w:rsid w:val="03AD61AC"/>
    <w:rsid w:val="0468762D"/>
    <w:rsid w:val="04904E9B"/>
    <w:rsid w:val="05147DFD"/>
    <w:rsid w:val="054D2E98"/>
    <w:rsid w:val="055A5A20"/>
    <w:rsid w:val="059C42CF"/>
    <w:rsid w:val="059D603C"/>
    <w:rsid w:val="06500855"/>
    <w:rsid w:val="06C2079D"/>
    <w:rsid w:val="07C22F76"/>
    <w:rsid w:val="07DECC6E"/>
    <w:rsid w:val="07EA210A"/>
    <w:rsid w:val="08381A8D"/>
    <w:rsid w:val="08947ADE"/>
    <w:rsid w:val="08B22724"/>
    <w:rsid w:val="08F0261D"/>
    <w:rsid w:val="09283C61"/>
    <w:rsid w:val="0939029F"/>
    <w:rsid w:val="09520F72"/>
    <w:rsid w:val="097D5B13"/>
    <w:rsid w:val="099A6EFE"/>
    <w:rsid w:val="09FC6723"/>
    <w:rsid w:val="0A7A4368"/>
    <w:rsid w:val="0A854A67"/>
    <w:rsid w:val="0AC91289"/>
    <w:rsid w:val="0AE00BE5"/>
    <w:rsid w:val="0AF21A67"/>
    <w:rsid w:val="0B7F1CFF"/>
    <w:rsid w:val="0BB59C01"/>
    <w:rsid w:val="0BBC2F75"/>
    <w:rsid w:val="0BDF5210"/>
    <w:rsid w:val="0C494DBF"/>
    <w:rsid w:val="0C927091"/>
    <w:rsid w:val="0CF55198"/>
    <w:rsid w:val="0CF64DD1"/>
    <w:rsid w:val="0D9B6A29"/>
    <w:rsid w:val="0DAC78C0"/>
    <w:rsid w:val="0DD21A99"/>
    <w:rsid w:val="0E9F35EC"/>
    <w:rsid w:val="0F6F6E60"/>
    <w:rsid w:val="0F950A63"/>
    <w:rsid w:val="10035202"/>
    <w:rsid w:val="1055163A"/>
    <w:rsid w:val="10B31F9D"/>
    <w:rsid w:val="10F04490"/>
    <w:rsid w:val="10F60D28"/>
    <w:rsid w:val="12167701"/>
    <w:rsid w:val="139C6759"/>
    <w:rsid w:val="14963712"/>
    <w:rsid w:val="14CA40C5"/>
    <w:rsid w:val="14EB1A29"/>
    <w:rsid w:val="156166A0"/>
    <w:rsid w:val="158E3664"/>
    <w:rsid w:val="15D13AED"/>
    <w:rsid w:val="15E938A4"/>
    <w:rsid w:val="16325C51"/>
    <w:rsid w:val="170233DE"/>
    <w:rsid w:val="17267147"/>
    <w:rsid w:val="17571FAF"/>
    <w:rsid w:val="17B924AA"/>
    <w:rsid w:val="18EB03AC"/>
    <w:rsid w:val="19472499"/>
    <w:rsid w:val="195C1708"/>
    <w:rsid w:val="196FFEEF"/>
    <w:rsid w:val="1AE95B6F"/>
    <w:rsid w:val="1B9A1D66"/>
    <w:rsid w:val="1BDB6B0D"/>
    <w:rsid w:val="1BEC2365"/>
    <w:rsid w:val="1C9D04D5"/>
    <w:rsid w:val="1CD206F9"/>
    <w:rsid w:val="1CD550E9"/>
    <w:rsid w:val="1CED5DBA"/>
    <w:rsid w:val="1D6638F1"/>
    <w:rsid w:val="1D7576DD"/>
    <w:rsid w:val="1D924174"/>
    <w:rsid w:val="1EAB5D97"/>
    <w:rsid w:val="1EE56FC1"/>
    <w:rsid w:val="1F3C14CA"/>
    <w:rsid w:val="1F3F02D3"/>
    <w:rsid w:val="1F4110D4"/>
    <w:rsid w:val="1F4B71D4"/>
    <w:rsid w:val="1F6F021C"/>
    <w:rsid w:val="1FD13029"/>
    <w:rsid w:val="1FE340AA"/>
    <w:rsid w:val="2012028D"/>
    <w:rsid w:val="203C1DCF"/>
    <w:rsid w:val="2056595D"/>
    <w:rsid w:val="20936D72"/>
    <w:rsid w:val="20A703E3"/>
    <w:rsid w:val="21572B30"/>
    <w:rsid w:val="220C074A"/>
    <w:rsid w:val="2346654E"/>
    <w:rsid w:val="23554057"/>
    <w:rsid w:val="23F84A91"/>
    <w:rsid w:val="240E2A2E"/>
    <w:rsid w:val="2422425A"/>
    <w:rsid w:val="24383F19"/>
    <w:rsid w:val="24801E2F"/>
    <w:rsid w:val="24C05266"/>
    <w:rsid w:val="24C57D4B"/>
    <w:rsid w:val="24E64620"/>
    <w:rsid w:val="24F93A53"/>
    <w:rsid w:val="25077390"/>
    <w:rsid w:val="251D17A7"/>
    <w:rsid w:val="254D26CD"/>
    <w:rsid w:val="25EB2ACD"/>
    <w:rsid w:val="26223D6B"/>
    <w:rsid w:val="26564260"/>
    <w:rsid w:val="267E4900"/>
    <w:rsid w:val="26870A28"/>
    <w:rsid w:val="26B042F0"/>
    <w:rsid w:val="273C3C3B"/>
    <w:rsid w:val="275A4505"/>
    <w:rsid w:val="27C223B4"/>
    <w:rsid w:val="27D05996"/>
    <w:rsid w:val="280919E1"/>
    <w:rsid w:val="280A2D02"/>
    <w:rsid w:val="28A24A26"/>
    <w:rsid w:val="28B11492"/>
    <w:rsid w:val="28E83E41"/>
    <w:rsid w:val="28F27248"/>
    <w:rsid w:val="295E4646"/>
    <w:rsid w:val="29DC4334"/>
    <w:rsid w:val="29F107EE"/>
    <w:rsid w:val="2AF0612A"/>
    <w:rsid w:val="2B6D0997"/>
    <w:rsid w:val="2BA207D1"/>
    <w:rsid w:val="2BE705AA"/>
    <w:rsid w:val="2BE9306B"/>
    <w:rsid w:val="2C5841D3"/>
    <w:rsid w:val="2C760B7B"/>
    <w:rsid w:val="2CA32539"/>
    <w:rsid w:val="2CB11FE1"/>
    <w:rsid w:val="2CE52FFB"/>
    <w:rsid w:val="2D2F5782"/>
    <w:rsid w:val="2D3D2874"/>
    <w:rsid w:val="2D956230"/>
    <w:rsid w:val="2DBECE77"/>
    <w:rsid w:val="2DFF44EE"/>
    <w:rsid w:val="2E4C731D"/>
    <w:rsid w:val="2EC61121"/>
    <w:rsid w:val="2F7916AB"/>
    <w:rsid w:val="2F7F11E6"/>
    <w:rsid w:val="2F9AD4B6"/>
    <w:rsid w:val="2F9C18FA"/>
    <w:rsid w:val="2FDE000A"/>
    <w:rsid w:val="2FDF48D2"/>
    <w:rsid w:val="30B44740"/>
    <w:rsid w:val="30C01E98"/>
    <w:rsid w:val="30C506DF"/>
    <w:rsid w:val="314B623A"/>
    <w:rsid w:val="3155202B"/>
    <w:rsid w:val="319C62FD"/>
    <w:rsid w:val="320707F5"/>
    <w:rsid w:val="325431D3"/>
    <w:rsid w:val="32DF31EB"/>
    <w:rsid w:val="33476A3D"/>
    <w:rsid w:val="33D56B14"/>
    <w:rsid w:val="3409540A"/>
    <w:rsid w:val="342B434D"/>
    <w:rsid w:val="3448629E"/>
    <w:rsid w:val="344E4055"/>
    <w:rsid w:val="349B7DB1"/>
    <w:rsid w:val="34E52736"/>
    <w:rsid w:val="35610011"/>
    <w:rsid w:val="35706FE2"/>
    <w:rsid w:val="35A27C1F"/>
    <w:rsid w:val="35B1715E"/>
    <w:rsid w:val="35BB4768"/>
    <w:rsid w:val="36779125"/>
    <w:rsid w:val="36AE7C00"/>
    <w:rsid w:val="37DD553D"/>
    <w:rsid w:val="37EB5A97"/>
    <w:rsid w:val="38DB4357"/>
    <w:rsid w:val="391229A5"/>
    <w:rsid w:val="391B231D"/>
    <w:rsid w:val="393E5CA4"/>
    <w:rsid w:val="3979E352"/>
    <w:rsid w:val="39FB77E6"/>
    <w:rsid w:val="3A234B2E"/>
    <w:rsid w:val="3A9728C2"/>
    <w:rsid w:val="3ACD1791"/>
    <w:rsid w:val="3B1540C4"/>
    <w:rsid w:val="3BC40F47"/>
    <w:rsid w:val="3BCA2535"/>
    <w:rsid w:val="3BF7A2BD"/>
    <w:rsid w:val="3C4B4CF5"/>
    <w:rsid w:val="3C7C25E2"/>
    <w:rsid w:val="3C9E3795"/>
    <w:rsid w:val="3CC56490"/>
    <w:rsid w:val="3D151F7B"/>
    <w:rsid w:val="3D174FA7"/>
    <w:rsid w:val="3D9646D4"/>
    <w:rsid w:val="3D981D0A"/>
    <w:rsid w:val="3D9F0A41"/>
    <w:rsid w:val="3DAB3C5A"/>
    <w:rsid w:val="3DEB2E67"/>
    <w:rsid w:val="3DFD9729"/>
    <w:rsid w:val="3E03401C"/>
    <w:rsid w:val="3E832CF0"/>
    <w:rsid w:val="3E93750F"/>
    <w:rsid w:val="3E9A6876"/>
    <w:rsid w:val="3E9CF43E"/>
    <w:rsid w:val="3EE015FA"/>
    <w:rsid w:val="3EFB0EDA"/>
    <w:rsid w:val="3F662A56"/>
    <w:rsid w:val="3FA47798"/>
    <w:rsid w:val="3FA85DB0"/>
    <w:rsid w:val="3FFFAC1B"/>
    <w:rsid w:val="40082AC8"/>
    <w:rsid w:val="40720335"/>
    <w:rsid w:val="4076296B"/>
    <w:rsid w:val="40785A8F"/>
    <w:rsid w:val="40C46944"/>
    <w:rsid w:val="40C87A7B"/>
    <w:rsid w:val="40CF7FD8"/>
    <w:rsid w:val="40F305EA"/>
    <w:rsid w:val="415638DD"/>
    <w:rsid w:val="41747271"/>
    <w:rsid w:val="427E4F13"/>
    <w:rsid w:val="42EA24D3"/>
    <w:rsid w:val="43341A8C"/>
    <w:rsid w:val="43653F07"/>
    <w:rsid w:val="43C622D5"/>
    <w:rsid w:val="44463BE1"/>
    <w:rsid w:val="448F6411"/>
    <w:rsid w:val="449F1198"/>
    <w:rsid w:val="454F5AE4"/>
    <w:rsid w:val="4552621E"/>
    <w:rsid w:val="45864463"/>
    <w:rsid w:val="46367216"/>
    <w:rsid w:val="46675686"/>
    <w:rsid w:val="46F7EA39"/>
    <w:rsid w:val="46FE52B7"/>
    <w:rsid w:val="47191C7D"/>
    <w:rsid w:val="47263B8D"/>
    <w:rsid w:val="47623541"/>
    <w:rsid w:val="47E2184C"/>
    <w:rsid w:val="47E86F86"/>
    <w:rsid w:val="47F5474B"/>
    <w:rsid w:val="48013E4A"/>
    <w:rsid w:val="482B1B29"/>
    <w:rsid w:val="48F6452F"/>
    <w:rsid w:val="4958379E"/>
    <w:rsid w:val="497F0233"/>
    <w:rsid w:val="4A181967"/>
    <w:rsid w:val="4A5D2C2E"/>
    <w:rsid w:val="4A79545F"/>
    <w:rsid w:val="4A7E2233"/>
    <w:rsid w:val="4B7B0896"/>
    <w:rsid w:val="4B9A5DF4"/>
    <w:rsid w:val="4BFF4C9C"/>
    <w:rsid w:val="4BFFFC48"/>
    <w:rsid w:val="4C451868"/>
    <w:rsid w:val="4C926DAC"/>
    <w:rsid w:val="4C974A06"/>
    <w:rsid w:val="4CA9441E"/>
    <w:rsid w:val="4CBE565A"/>
    <w:rsid w:val="4CE26754"/>
    <w:rsid w:val="4CF73B3D"/>
    <w:rsid w:val="4CFD1A0D"/>
    <w:rsid w:val="4D7C5CB8"/>
    <w:rsid w:val="4DBED90D"/>
    <w:rsid w:val="4E565A33"/>
    <w:rsid w:val="4E82139D"/>
    <w:rsid w:val="4E892715"/>
    <w:rsid w:val="4E982DE8"/>
    <w:rsid w:val="4F37191E"/>
    <w:rsid w:val="4F4F7DDD"/>
    <w:rsid w:val="4F672AF7"/>
    <w:rsid w:val="4F6F5EE7"/>
    <w:rsid w:val="4F7306B7"/>
    <w:rsid w:val="4FB2755E"/>
    <w:rsid w:val="4FBD68EF"/>
    <w:rsid w:val="4FE822CF"/>
    <w:rsid w:val="4FF75A8E"/>
    <w:rsid w:val="50075796"/>
    <w:rsid w:val="501038CB"/>
    <w:rsid w:val="50611571"/>
    <w:rsid w:val="50634EDF"/>
    <w:rsid w:val="50817BC0"/>
    <w:rsid w:val="509B33C0"/>
    <w:rsid w:val="50C05075"/>
    <w:rsid w:val="51027FEB"/>
    <w:rsid w:val="513719A2"/>
    <w:rsid w:val="51495B03"/>
    <w:rsid w:val="518D0C45"/>
    <w:rsid w:val="51BF772A"/>
    <w:rsid w:val="52442347"/>
    <w:rsid w:val="52454F3D"/>
    <w:rsid w:val="526B27DD"/>
    <w:rsid w:val="52763231"/>
    <w:rsid w:val="52CF3331"/>
    <w:rsid w:val="53AA4F24"/>
    <w:rsid w:val="54016F22"/>
    <w:rsid w:val="545A2687"/>
    <w:rsid w:val="54C05CBD"/>
    <w:rsid w:val="55BA6E56"/>
    <w:rsid w:val="56021A69"/>
    <w:rsid w:val="5685292F"/>
    <w:rsid w:val="56AD6F66"/>
    <w:rsid w:val="56B656D9"/>
    <w:rsid w:val="5725418A"/>
    <w:rsid w:val="57714652"/>
    <w:rsid w:val="57926E53"/>
    <w:rsid w:val="57D676B4"/>
    <w:rsid w:val="57FE990D"/>
    <w:rsid w:val="580A5802"/>
    <w:rsid w:val="58387780"/>
    <w:rsid w:val="583C29E5"/>
    <w:rsid w:val="583F26AF"/>
    <w:rsid w:val="587A4C94"/>
    <w:rsid w:val="588407AF"/>
    <w:rsid w:val="589D7D45"/>
    <w:rsid w:val="59337A15"/>
    <w:rsid w:val="594B6AFD"/>
    <w:rsid w:val="597D18F3"/>
    <w:rsid w:val="59876B5B"/>
    <w:rsid w:val="59FC7032"/>
    <w:rsid w:val="5A1D25EA"/>
    <w:rsid w:val="5A3C7FB1"/>
    <w:rsid w:val="5A6A65A6"/>
    <w:rsid w:val="5AFB28A3"/>
    <w:rsid w:val="5B09ED34"/>
    <w:rsid w:val="5BD216DB"/>
    <w:rsid w:val="5BE12E76"/>
    <w:rsid w:val="5C03171E"/>
    <w:rsid w:val="5C1059E2"/>
    <w:rsid w:val="5C21234D"/>
    <w:rsid w:val="5C9148B3"/>
    <w:rsid w:val="5D1F7A21"/>
    <w:rsid w:val="5D947984"/>
    <w:rsid w:val="5DD02516"/>
    <w:rsid w:val="5DDF4E20"/>
    <w:rsid w:val="5E777D3C"/>
    <w:rsid w:val="5E7E5E30"/>
    <w:rsid w:val="5E8E0B78"/>
    <w:rsid w:val="5ED77CF4"/>
    <w:rsid w:val="5EE81356"/>
    <w:rsid w:val="5F994C9B"/>
    <w:rsid w:val="5FB91DBE"/>
    <w:rsid w:val="5FF06115"/>
    <w:rsid w:val="5FF10E78"/>
    <w:rsid w:val="5FF32042"/>
    <w:rsid w:val="5FFEA424"/>
    <w:rsid w:val="61755292"/>
    <w:rsid w:val="61AB301E"/>
    <w:rsid w:val="61CF176E"/>
    <w:rsid w:val="61FB9F6E"/>
    <w:rsid w:val="62157A0E"/>
    <w:rsid w:val="6243297B"/>
    <w:rsid w:val="62663A1D"/>
    <w:rsid w:val="62865D12"/>
    <w:rsid w:val="636D2221"/>
    <w:rsid w:val="637D745D"/>
    <w:rsid w:val="63F741DA"/>
    <w:rsid w:val="643F055A"/>
    <w:rsid w:val="64BB17A9"/>
    <w:rsid w:val="6532420F"/>
    <w:rsid w:val="65727BA6"/>
    <w:rsid w:val="65F11888"/>
    <w:rsid w:val="66203F01"/>
    <w:rsid w:val="662A1A05"/>
    <w:rsid w:val="662D04C0"/>
    <w:rsid w:val="663128DD"/>
    <w:rsid w:val="667D7139"/>
    <w:rsid w:val="668D76C8"/>
    <w:rsid w:val="66FF87B0"/>
    <w:rsid w:val="676F4351"/>
    <w:rsid w:val="67861211"/>
    <w:rsid w:val="67ED1A09"/>
    <w:rsid w:val="67F46265"/>
    <w:rsid w:val="680268C8"/>
    <w:rsid w:val="684D3CFB"/>
    <w:rsid w:val="687E47FE"/>
    <w:rsid w:val="68B308F8"/>
    <w:rsid w:val="695A2D49"/>
    <w:rsid w:val="69D73B46"/>
    <w:rsid w:val="69EB228C"/>
    <w:rsid w:val="69ED6144"/>
    <w:rsid w:val="69FB365C"/>
    <w:rsid w:val="6A2069E9"/>
    <w:rsid w:val="6A94764F"/>
    <w:rsid w:val="6AEB34A6"/>
    <w:rsid w:val="6AEB7B79"/>
    <w:rsid w:val="6AED2BFF"/>
    <w:rsid w:val="6AFB45AA"/>
    <w:rsid w:val="6B323D15"/>
    <w:rsid w:val="6B502FBC"/>
    <w:rsid w:val="6BFFA8A3"/>
    <w:rsid w:val="6C1B764A"/>
    <w:rsid w:val="6C411165"/>
    <w:rsid w:val="6CCC03EE"/>
    <w:rsid w:val="6CDE7C60"/>
    <w:rsid w:val="6CEE6C98"/>
    <w:rsid w:val="6D5B7342"/>
    <w:rsid w:val="6D7D54D7"/>
    <w:rsid w:val="6EAE5E91"/>
    <w:rsid w:val="6EBA578A"/>
    <w:rsid w:val="6EC838BC"/>
    <w:rsid w:val="6EED5F9B"/>
    <w:rsid w:val="6F1B5073"/>
    <w:rsid w:val="6F230C60"/>
    <w:rsid w:val="6F2F5F26"/>
    <w:rsid w:val="6F616C0C"/>
    <w:rsid w:val="6FAA08A0"/>
    <w:rsid w:val="6FBFB9BE"/>
    <w:rsid w:val="6FF9DD20"/>
    <w:rsid w:val="6FFA394E"/>
    <w:rsid w:val="6FFDBB7D"/>
    <w:rsid w:val="703B0CC6"/>
    <w:rsid w:val="70790D88"/>
    <w:rsid w:val="70F270BD"/>
    <w:rsid w:val="70FEBEFA"/>
    <w:rsid w:val="71007187"/>
    <w:rsid w:val="71044CE8"/>
    <w:rsid w:val="715011BD"/>
    <w:rsid w:val="71D3442E"/>
    <w:rsid w:val="72E8270E"/>
    <w:rsid w:val="734819F2"/>
    <w:rsid w:val="735D516B"/>
    <w:rsid w:val="73D25E95"/>
    <w:rsid w:val="73D72923"/>
    <w:rsid w:val="742346D1"/>
    <w:rsid w:val="74563AFA"/>
    <w:rsid w:val="74A0386C"/>
    <w:rsid w:val="74B92BE3"/>
    <w:rsid w:val="74BB3BE9"/>
    <w:rsid w:val="74F758C4"/>
    <w:rsid w:val="751306FA"/>
    <w:rsid w:val="754158AE"/>
    <w:rsid w:val="75E14978"/>
    <w:rsid w:val="765B28AE"/>
    <w:rsid w:val="76B646A8"/>
    <w:rsid w:val="76C7D27C"/>
    <w:rsid w:val="76EF4E46"/>
    <w:rsid w:val="778D1E40"/>
    <w:rsid w:val="77DBAC26"/>
    <w:rsid w:val="77F493E1"/>
    <w:rsid w:val="77F9DD5D"/>
    <w:rsid w:val="78033D7D"/>
    <w:rsid w:val="78505DAD"/>
    <w:rsid w:val="791F4ABD"/>
    <w:rsid w:val="79356568"/>
    <w:rsid w:val="79434C55"/>
    <w:rsid w:val="796F5BCB"/>
    <w:rsid w:val="79EF4B63"/>
    <w:rsid w:val="79FB25E9"/>
    <w:rsid w:val="7A206C63"/>
    <w:rsid w:val="7A2378EA"/>
    <w:rsid w:val="7A6D71F3"/>
    <w:rsid w:val="7A907630"/>
    <w:rsid w:val="7AC23E20"/>
    <w:rsid w:val="7AF11DD5"/>
    <w:rsid w:val="7B2B6AE3"/>
    <w:rsid w:val="7B3D416D"/>
    <w:rsid w:val="7B5659AB"/>
    <w:rsid w:val="7B9DA861"/>
    <w:rsid w:val="7BBD0081"/>
    <w:rsid w:val="7BDDC452"/>
    <w:rsid w:val="7BF900CA"/>
    <w:rsid w:val="7BFF2CD0"/>
    <w:rsid w:val="7C0D7599"/>
    <w:rsid w:val="7C1F2E1F"/>
    <w:rsid w:val="7C2A77E8"/>
    <w:rsid w:val="7C2E7F5A"/>
    <w:rsid w:val="7C623A99"/>
    <w:rsid w:val="7D231D04"/>
    <w:rsid w:val="7D7C0ACA"/>
    <w:rsid w:val="7E5E1B1E"/>
    <w:rsid w:val="7ED54028"/>
    <w:rsid w:val="7EE30935"/>
    <w:rsid w:val="7EF6BBD0"/>
    <w:rsid w:val="7EFE9057"/>
    <w:rsid w:val="7F3474EE"/>
    <w:rsid w:val="7F5A5E5F"/>
    <w:rsid w:val="7F722FBD"/>
    <w:rsid w:val="7FA87499"/>
    <w:rsid w:val="7FD92CBA"/>
    <w:rsid w:val="7FDEBB80"/>
    <w:rsid w:val="7FE72872"/>
    <w:rsid w:val="7FF2B2D4"/>
    <w:rsid w:val="7FF7723F"/>
    <w:rsid w:val="7FFC9ECF"/>
    <w:rsid w:val="7FFFD7E6"/>
    <w:rsid w:val="8FFD44B8"/>
    <w:rsid w:val="9DEB955B"/>
    <w:rsid w:val="AFF68AF4"/>
    <w:rsid w:val="B1FE175B"/>
    <w:rsid w:val="B5F73EF2"/>
    <w:rsid w:val="B6EB2DBE"/>
    <w:rsid w:val="B7F5D3F9"/>
    <w:rsid w:val="B7F6AA49"/>
    <w:rsid w:val="BBDF1826"/>
    <w:rsid w:val="BCFB1FE4"/>
    <w:rsid w:val="BE8F5C60"/>
    <w:rsid w:val="BEC7248D"/>
    <w:rsid w:val="BEEF708B"/>
    <w:rsid w:val="BEF5EE5F"/>
    <w:rsid w:val="BF2E21DE"/>
    <w:rsid w:val="BFEE0A62"/>
    <w:rsid w:val="BFFE8DE5"/>
    <w:rsid w:val="BFFFF0E5"/>
    <w:rsid w:val="C737648B"/>
    <w:rsid w:val="C7EC9ECC"/>
    <w:rsid w:val="CD353729"/>
    <w:rsid w:val="CEFFAFC1"/>
    <w:rsid w:val="CFFEFC14"/>
    <w:rsid w:val="D3FFD4DB"/>
    <w:rsid w:val="D4FCA338"/>
    <w:rsid w:val="D941E9CA"/>
    <w:rsid w:val="D968867A"/>
    <w:rsid w:val="DB9FADF9"/>
    <w:rsid w:val="DBF71379"/>
    <w:rsid w:val="DEAD2295"/>
    <w:rsid w:val="DEDDDC4F"/>
    <w:rsid w:val="DEEBA321"/>
    <w:rsid w:val="DFAFAA90"/>
    <w:rsid w:val="DFDE59A2"/>
    <w:rsid w:val="DFFE9904"/>
    <w:rsid w:val="E5F7137A"/>
    <w:rsid w:val="E5FD5E1D"/>
    <w:rsid w:val="E77BA63B"/>
    <w:rsid w:val="E7DB0E93"/>
    <w:rsid w:val="E7FF0698"/>
    <w:rsid w:val="E8BE1408"/>
    <w:rsid w:val="E9DF9F1B"/>
    <w:rsid w:val="EB7734DA"/>
    <w:rsid w:val="ED57D8F5"/>
    <w:rsid w:val="EDDFA91D"/>
    <w:rsid w:val="EE6E853F"/>
    <w:rsid w:val="EEDF3818"/>
    <w:rsid w:val="EFCD3FD1"/>
    <w:rsid w:val="EFFB7951"/>
    <w:rsid w:val="F0AFC3A6"/>
    <w:rsid w:val="F50793D9"/>
    <w:rsid w:val="F7B72874"/>
    <w:rsid w:val="F7F68121"/>
    <w:rsid w:val="F7FD8C8A"/>
    <w:rsid w:val="F9BF69FE"/>
    <w:rsid w:val="FAEDE7D3"/>
    <w:rsid w:val="FB5DD942"/>
    <w:rsid w:val="FB7E1CBD"/>
    <w:rsid w:val="FB9EA885"/>
    <w:rsid w:val="FBBBE47D"/>
    <w:rsid w:val="FC7766B4"/>
    <w:rsid w:val="FD8F21F4"/>
    <w:rsid w:val="FDF73DAB"/>
    <w:rsid w:val="FDFBD597"/>
    <w:rsid w:val="FF725F8C"/>
    <w:rsid w:val="FF7F57FA"/>
    <w:rsid w:val="FF8F712E"/>
    <w:rsid w:val="FF9FB8E4"/>
    <w:rsid w:val="FFBAEDE6"/>
    <w:rsid w:val="FFBED3A4"/>
    <w:rsid w:val="FFBF13DB"/>
    <w:rsid w:val="FFBFBC37"/>
    <w:rsid w:val="FFCF2C26"/>
    <w:rsid w:val="FFD768BD"/>
    <w:rsid w:val="FFDA93E4"/>
    <w:rsid w:val="FFEBF514"/>
    <w:rsid w:val="FFF7C780"/>
    <w:rsid w:val="FFFCA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Lines/>
      <w:spacing w:line="560" w:lineRule="exact"/>
      <w:ind w:firstLine="640" w:firstLineChars="200"/>
      <w:jc w:val="left"/>
      <w:outlineLvl w:val="0"/>
    </w:pPr>
    <w:rPr>
      <w:rFonts w:eastAsia="黑体" w:cs="Times New Roman"/>
      <w:b/>
      <w:kern w:val="44"/>
      <w:szCs w:val="2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楷体"/>
      <w:b/>
      <w:kern w:val="0"/>
      <w:sz w:val="32"/>
      <w:szCs w:val="20"/>
    </w:rPr>
  </w:style>
  <w:style w:type="character" w:default="1" w:styleId="1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7"/>
    <w:next w:val="1"/>
    <w:qFormat/>
    <w:uiPriority w:val="0"/>
    <w:pPr>
      <w:wordWrap w:val="0"/>
      <w:ind w:left="1101"/>
      <w:jc w:val="both"/>
    </w:pPr>
    <w:rPr>
      <w:rFonts w:ascii="宋体" w:hAnsi="宋体" w:eastAsia="Times New Roman" w:cs="Times New Roman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7">
    <w:name w:val="index 5"/>
    <w:basedOn w:val="1"/>
    <w:next w:val="1"/>
    <w:qFormat/>
    <w:uiPriority w:val="0"/>
    <w:pPr>
      <w:ind w:left="1680"/>
    </w:pPr>
  </w:style>
  <w:style w:type="paragraph" w:styleId="8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9">
    <w:name w:val="Body Text Indent"/>
    <w:basedOn w:val="1"/>
    <w:next w:val="7"/>
    <w:qFormat/>
    <w:uiPriority w:val="0"/>
    <w:pPr>
      <w:ind w:left="420" w:leftChars="200"/>
    </w:pPr>
  </w:style>
  <w:style w:type="paragraph" w:styleId="10">
    <w:name w:val="Body Text First Indent 2"/>
    <w:basedOn w:val="9"/>
    <w:next w:val="11"/>
    <w:qFormat/>
    <w:uiPriority w:val="0"/>
    <w:pPr>
      <w:ind w:firstLine="420" w:firstLineChars="200"/>
    </w:pPr>
  </w:style>
  <w:style w:type="paragraph" w:customStyle="1" w:styleId="11">
    <w:name w:val=" Char Char Char Char"/>
    <w:basedOn w:val="1"/>
    <w:qFormat/>
    <w:uiPriority w:val="0"/>
    <w:rPr>
      <w:rFonts w:ascii="Calibri" w:hAnsi="Calibri" w:eastAsia="仿宋_GB2312"/>
      <w:sz w:val="32"/>
      <w:szCs w:val="20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1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6">
    <w:name w:val="Strong"/>
    <w:basedOn w:val="15"/>
    <w:qFormat/>
    <w:uiPriority w:val="0"/>
    <w:rPr>
      <w:b/>
    </w:rPr>
  </w:style>
  <w:style w:type="paragraph" w:customStyle="1" w:styleId="1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character" w:customStyle="1" w:styleId="19">
    <w:name w:val="font41"/>
    <w:basedOn w:val="15"/>
    <w:qFormat/>
    <w:uiPriority w:val="0"/>
    <w:rPr>
      <w:rFonts w:hint="eastAsia" w:ascii="黑体" w:hAnsi="宋体" w:eastAsia="黑体" w:cs="黑体"/>
      <w:b/>
      <w:color w:val="000000"/>
      <w:sz w:val="36"/>
      <w:szCs w:val="36"/>
      <w:u w:val="none"/>
    </w:rPr>
  </w:style>
  <w:style w:type="character" w:customStyle="1" w:styleId="20">
    <w:name w:val="font11"/>
    <w:basedOn w:val="15"/>
    <w:qFormat/>
    <w:uiPriority w:val="0"/>
    <w:rPr>
      <w:rFonts w:hint="eastAsia" w:ascii="黑体" w:hAnsi="宋体" w:eastAsia="黑体" w:cs="黑体"/>
      <w:b/>
      <w:color w:val="000000"/>
      <w:sz w:val="32"/>
      <w:szCs w:val="32"/>
      <w:u w:val="none"/>
    </w:rPr>
  </w:style>
  <w:style w:type="paragraph" w:customStyle="1" w:styleId="21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paragraph" w:customStyle="1" w:styleId="22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23">
    <w:name w:val="NormalCharacter"/>
    <w:qFormat/>
    <w:uiPriority w:val="0"/>
  </w:style>
  <w:style w:type="paragraph" w:customStyle="1" w:styleId="24">
    <w:name w:val="正文 B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7358</Words>
  <Characters>7520</Characters>
  <Lines>0</Lines>
  <Paragraphs>0</Paragraphs>
  <TotalTime>3</TotalTime>
  <ScaleCrop>false</ScaleCrop>
  <LinksUpToDate>false</LinksUpToDate>
  <CharactersWithSpaces>7787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2020-11-14T16:48:00Z</dcterms:created>
  <dc:creator>Administrator</dc:creator>
  <cp:lastModifiedBy>Administrator</cp:lastModifiedBy>
  <cp:lastPrinted>2024-03-27T01:11:00Z</cp:lastPrinted>
  <dcterms:modified xsi:type="dcterms:W3CDTF">2024-03-27T06:59:40Z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98BD372774A1D03E2DD7006682F603A9_43</vt:lpwstr>
  </property>
</Properties>
</file>