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沙坡头区关于加强养老服务综合监管任务责任清单</w:t>
      </w:r>
    </w:p>
    <w:p>
      <w:pPr>
        <w:pStyle w:val="2"/>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cs="Times New Roman"/>
          <w:lang w:val="en-US" w:eastAsia="zh-CN"/>
        </w:rPr>
      </w:pPr>
    </w:p>
    <w:tbl>
      <w:tblPr>
        <w:tblStyle w:val="4"/>
        <w:tblW w:w="13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7201"/>
        <w:gridCol w:w="4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221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类别</w:t>
            </w:r>
          </w:p>
        </w:tc>
        <w:tc>
          <w:tcPr>
            <w:tcW w:w="720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主要任务</w:t>
            </w:r>
          </w:p>
        </w:tc>
        <w:tc>
          <w:tcPr>
            <w:tcW w:w="438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221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（一）加强机构备案监管</w:t>
            </w: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 xml:space="preserve">    </w:t>
            </w:r>
            <w:r>
              <w:rPr>
                <w:rFonts w:hint="default" w:ascii="Times New Roman" w:hAnsi="Times New Roman" w:eastAsia="仿宋_GB2312" w:cs="Times New Roman"/>
                <w:sz w:val="24"/>
                <w:szCs w:val="24"/>
                <w:lang w:val="en-US" w:eastAsia="zh-CN"/>
              </w:rPr>
              <w:t>养老服务机构依法登记后，在收住老年人后10个工作日内向辖区内民社局提出备案申请，民政部门要加强新增养老机构备案信息的现场</w:t>
            </w:r>
            <w:r>
              <w:rPr>
                <w:rFonts w:hint="default" w:ascii="Times New Roman" w:hAnsi="Times New Roman" w:eastAsia="仿宋_GB2312" w:cs="Times New Roman"/>
                <w:sz w:val="24"/>
                <w:szCs w:val="24"/>
                <w:vertAlign w:val="baseline"/>
                <w:lang w:val="en-US" w:eastAsia="zh-CN"/>
              </w:rPr>
              <w:t>核查。对已经备案的养老机构，备案民政部门应当自备案之日起</w:t>
            </w:r>
            <w:r>
              <w:rPr>
                <w:rFonts w:hint="default" w:ascii="Times New Roman" w:hAnsi="Times New Roman" w:eastAsia="仿宋_GB2312" w:cs="Times New Roman"/>
                <w:sz w:val="24"/>
                <w:szCs w:val="24"/>
                <w:lang w:val="en-US" w:eastAsia="zh-CN"/>
              </w:rPr>
              <w:t>20</w:t>
            </w:r>
            <w:r>
              <w:rPr>
                <w:rFonts w:hint="default" w:ascii="Times New Roman" w:hAnsi="Times New Roman" w:eastAsia="仿宋_GB2312" w:cs="Times New Roman"/>
                <w:sz w:val="24"/>
                <w:szCs w:val="24"/>
                <w:vertAlign w:val="baseline"/>
                <w:lang w:val="en-US" w:eastAsia="zh-CN"/>
              </w:rPr>
              <w:t>个工作日内进行现场检查，并核对备案信息;对未备案的养老机构，民政部门应当自发现其收住老年人之日起</w:t>
            </w:r>
            <w:r>
              <w:rPr>
                <w:rFonts w:hint="default" w:ascii="Times New Roman" w:hAnsi="Times New Roman" w:eastAsia="仿宋_GB2312" w:cs="Times New Roman"/>
                <w:sz w:val="24"/>
                <w:szCs w:val="24"/>
                <w:lang w:val="en-US" w:eastAsia="zh-CN"/>
              </w:rPr>
              <w:t>20</w:t>
            </w:r>
            <w:r>
              <w:rPr>
                <w:rFonts w:hint="default" w:ascii="Times New Roman" w:hAnsi="Times New Roman" w:eastAsia="仿宋_GB2312" w:cs="Times New Roman"/>
                <w:sz w:val="24"/>
                <w:szCs w:val="24"/>
                <w:vertAlign w:val="baseline"/>
                <w:lang w:val="en-US" w:eastAsia="zh-CN"/>
              </w:rPr>
              <w:t>个工作日内进行现场检查,并督促及时备案。</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区委编办、区民社局、市场监管分局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221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（二）加强质量安全监管</w:t>
            </w: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 xml:space="preserve">    按照“谁审批谁监管、谁主管谁监管”的原则，民政部门要引导养老机构、居家社区养老服务设施落实安全责任，摸清养老服务机构安全状况，主动防范消除建筑、消防、食品、医疗卫生、特种设备等方面的安全风险隐患，建立隐患、整改、责任“三个清单”。</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区民社局、住建和交通局、卫健局、市场监管分局，消防救援大队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219"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 xml:space="preserve">    加强对养老服务机构建筑工程（含新建、改建、扩建）和消防工程建设质量安全的监管。</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区住建和交通局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2219"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 xml:space="preserve">    加强对养老服务机构消防工作的监督检查，指导督促养老服务机构履行消防工作职责，建立常态化消防宣传教育培训机制，提升养老机构人员消防安全意识。</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219"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rPr>
              <mc:AlternateContent>
                <mc:Choice Requires="wps">
                  <w:drawing>
                    <wp:anchor distT="0" distB="0" distL="114300" distR="114300" simplePos="0" relativeHeight="251659264" behindDoc="0" locked="0" layoutInCell="1" allowOverlap="1">
                      <wp:simplePos x="0" y="0"/>
                      <wp:positionH relativeFrom="column">
                        <wp:posOffset>-1496695</wp:posOffset>
                      </wp:positionH>
                      <wp:positionV relativeFrom="paragraph">
                        <wp:posOffset>208915</wp:posOffset>
                      </wp:positionV>
                      <wp:extent cx="1437640" cy="1028700"/>
                      <wp:effectExtent l="0" t="0" r="0" b="0"/>
                      <wp:wrapNone/>
                      <wp:docPr id="4" name="文本框 4"/>
                      <wp:cNvGraphicFramePr/>
                      <a:graphic xmlns:a="http://schemas.openxmlformats.org/drawingml/2006/main">
                        <a:graphicData uri="http://schemas.microsoft.com/office/word/2010/wordprocessingShape">
                          <wps:wsp>
                            <wps:cNvSpPr txBox="1"/>
                            <wps:spPr>
                              <a:xfrm>
                                <a:off x="1322070" y="2491740"/>
                                <a:ext cx="1437640" cy="1028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（二）加强质量安全监管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85pt;margin-top:16.45pt;height:81pt;width:113.2pt;z-index:251659264;mso-width-relative:page;mso-height-relative:page;" filled="f" stroked="f" coordsize="21600,21600" o:gfxdata="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lA3243AAAAAoBAAAPAAAAAAAA&#10;AAEAIAAAACIAAABkcnMvZG93bnJldi54bWxQSwECFAAUAAAACACHTuJAAcluqkcCAABzBAAADgAA&#10;AAAAAAABACAAAAArAQAAZHJzL2Uyb0RvYy54bWxQSwUGAAAAAAYABgBZAQAA5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（二）加强质量安全监管</w:t>
                            </w:r>
                          </w:p>
                        </w:txbxContent>
                      </v:textbox>
                    </v:shape>
                  </w:pict>
                </mc:Fallback>
              </mc:AlternateContent>
            </w:r>
            <w:r>
              <w:rPr>
                <w:rFonts w:hint="default" w:ascii="Times New Roman" w:hAnsi="Times New Roman" w:eastAsia="仿宋_GB2312" w:cs="Times New Roman"/>
                <w:sz w:val="24"/>
                <w:szCs w:val="24"/>
                <w:vertAlign w:val="baseline"/>
                <w:lang w:val="en-US" w:eastAsia="zh-CN"/>
              </w:rPr>
              <w:t>加强对养老服务机构食品安全日常监管管理，加强电梯、压力容器、压力管道等特种设备安全监督检查，保障设备运行安全。</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2219"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加强对养老机构内设医疗机构依法执业、医疗服务质量和采购使用药品、耗材、医疗器械等监督管理。</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219"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依法对涉及环境敏感区的养老服务机构环境影响评价审批情况进行监督检查。</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221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（三）加强从业人员监管</w:t>
            </w: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加强对养老服务机构从事医疗护理、康复治疗、消防管理等服务人员任职资格的监管，由相应的任职资格认定机关依法组织实施。</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区卫健局，消防救援大队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219"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依法依规从严惩处养老服务机构欺老、虐老等侵害老年人合法权益的行为，对相关责任人实施行业禁入措施。</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区公安分局、司法局、民社局、卫健局、市场监管分局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219" w:type="dxa"/>
            <w:vMerge w:val="restar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加强涉及资金监管</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规范管理政府投资运营的养老服务机构收费行为。</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2219"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加强对养老服务机构建设补贴和运营补贴资金、福利彩票公益金、政府购买服务资金申领使用情况的监管，对养老服务机构申请使用补助资金信息的真实性、准确性进行核查。依法打击虚报冒领等骗取补贴资金行为。</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区财政局、审计局、公安分局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22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加大对涉及使用财政资金的养老服务重点建设项目的审计检查力度，重点审查项目是否合法合规、财政资金是否及时到位、效益是否得到有效发挥。</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区审计局、财政局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2219"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加强对养老机构医保基金使用情况的监管，依法查处违法违规使用医保基金行为。</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219"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 xml:space="preserve">加强对金融机构开展养老服务领域金融产品、服务方式创新监管，加大非法集资风险排查和监测预警，做好政策宣传和风险提示,依法打击养老服务机构以养老服务为名的非法集资活动。 </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区公安分局、民社局、财政局、市场监管分局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2219" w:type="dxa"/>
            <w:vMerge w:val="restart"/>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vertAlign w:val="baseline"/>
                <w:lang w:val="en-US" w:eastAsia="zh-CN"/>
              </w:rPr>
              <w:t>（五）加强运营秩序监管</w:t>
            </w: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引导养老服务机构不断优化内部管理、规范服务行为，合理规避风险；建立健全入院评估、服务协议、风险告知制度和纠纷协商调解机制；完善内部管理档案，妥善保管异常事件报告，严禁养老服务机构利用机构设施和场地开展与养老服务无关的活动。</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219"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依法查处向老年人欺诈销售各类产品和服务的违法行为。</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区市场监管分局、公安分局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2219"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指导养老机构按照国家有关规定和当事方协议约定提供服务，建立纠纷协商调解机制，规范服务纠纷处理程序，引导老年人及其代理人依法维权。</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区民社局、司法局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219"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指导退出的养老服务机构妥善做好老年人的服务协议解除、安置工作，加强对民办非营利养老服务设施用地单位未经批准改变规划确定的土地用途，以及非营利性养老服务机构擅自转让、出租、抵押划拨土地使用权行为的监管。</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区民社局、司法局、自然资源局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219"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对未依法取得营业执照以市场主体名义从事养老服务经营活动的，由市场监管局依法查处。</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区市场监管分局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219"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对未经登记擅自以社会服务机构名义开展养老服务活动的，由民政部门依法查处。</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区民社局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219"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对未经登记管理机关核准登记，擅自以事业单位法人名义开展养老服务活动的，由事业单位登记管理机关依法查处。</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区委编办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22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（六）加强应急处置监管</w:t>
            </w: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督促养老服务机构要建立完善突发事件应对工作机制，制定自然灾害、事故灾害、公共事件等突发事件应急预案，落实人员分工；养老机构场所内配备报警装置和必要的应急救援设施设备，每半年至少开展</w:t>
            </w:r>
            <w:r>
              <w:rPr>
                <w:rFonts w:hint="default" w:ascii="Times New Roman" w:hAnsi="Times New Roman" w:eastAsia="楷体_GB2312" w:cs="Times New Roman"/>
                <w:sz w:val="24"/>
                <w:szCs w:val="24"/>
                <w:vertAlign w:val="baseline"/>
                <w:lang w:val="en-US" w:eastAsia="zh-CN"/>
              </w:rPr>
              <w:t>2</w:t>
            </w:r>
            <w:r>
              <w:rPr>
                <w:rFonts w:hint="default" w:ascii="Times New Roman" w:hAnsi="Times New Roman" w:eastAsia="仿宋_GB2312" w:cs="Times New Roman"/>
                <w:sz w:val="24"/>
                <w:szCs w:val="24"/>
                <w:vertAlign w:val="baseline"/>
                <w:lang w:val="en-US" w:eastAsia="zh-CN"/>
              </w:rPr>
              <w:t>次应急知识宣传，每年至少开展</w:t>
            </w:r>
            <w:r>
              <w:rPr>
                <w:rFonts w:hint="default" w:ascii="Times New Roman" w:hAnsi="Times New Roman" w:eastAsia="楷体_GB2312" w:cs="Times New Roman"/>
                <w:sz w:val="24"/>
                <w:szCs w:val="24"/>
                <w:vertAlign w:val="baseline"/>
                <w:lang w:val="en-US" w:eastAsia="zh-CN"/>
              </w:rPr>
              <w:t>2</w:t>
            </w:r>
            <w:r>
              <w:rPr>
                <w:rFonts w:hint="default" w:ascii="Times New Roman" w:hAnsi="Times New Roman" w:eastAsia="仿宋_GB2312" w:cs="Times New Roman"/>
                <w:sz w:val="24"/>
                <w:szCs w:val="24"/>
                <w:vertAlign w:val="baseline"/>
                <w:lang w:val="en-US" w:eastAsia="zh-CN"/>
              </w:rPr>
              <w:t>次应急演练，提高应急处置能力。</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区民社局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219"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指导养老服务机构做好安全生产类、自然灾害类等突发事件应急救援工作。</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19"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指导养老服务机构做好火灾事故应急救援工作。</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219"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指导养老服务机构全面落实传染病防控措施，做好突发公共卫生事件处置工作。</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22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（七）加强协同</w:t>
            </w:r>
          </w:p>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监管</w:t>
            </w: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建立养老服务质量安全监管部门联动执法机制，落实行政执法全过程记录、重大执法决定法制审核、行政执法结果公示等制度，着力实现线索互联、标准互通、结果互认，避免多头多层重复执法。</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区民社局、应急管理局，消防救援大队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2219"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突发事件发生后，养老机构应当立即启动应急预案，采取防止危害扩大的必要处置措施，同时根据突发事件应对管理职责分工向有关部门和民政部门报告。应急管理部门负责指导养老服务机构做好安全生产类、自然灾害类等突发事件应急救援工作；消防救援部门负责指导养老服务机构做好火灾事故应急救援工作；卫生健康部门负责指导养老服务机构全面落实传染病防控措施，做好突发公共卫生事件处置工作。</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区民社局、应急管理局、卫健局，消防救援大队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2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（八）加强信用</w:t>
            </w:r>
          </w:p>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监管</w:t>
            </w: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全面建立养老服务市场主体信用记录，以统一社会信用代码为标识，整合形成完整的市场主体信用记录，并通过“信用中国”网站、中国社会组织公共服务平台、国家企业信用信息公示系统、沙坡头区政府及相关部门门户网站等渠道，依法依规向社会公开。</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区民社局、市场监管分局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2219"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实施守信</w:t>
            </w:r>
            <w:bookmarkStart w:id="0" w:name="_GoBack"/>
            <w:bookmarkEnd w:id="0"/>
            <w:r>
              <w:rPr>
                <w:rFonts w:hint="default" w:ascii="Times New Roman" w:hAnsi="Times New Roman" w:eastAsia="仿宋_GB2312" w:cs="Times New Roman"/>
                <w:sz w:val="24"/>
                <w:szCs w:val="24"/>
                <w:vertAlign w:val="baseline"/>
                <w:lang w:val="en-US" w:eastAsia="zh-CN"/>
              </w:rPr>
              <w:t>联合激励和失信联合惩戒，引导养老服务机构诚信守法经营。备案申请人应提交按照建筑、消防、食品、医疗卫生、环境保护、特种设备等法律法规及国家有关标准开展服务活动的书面承诺，要根据养老服务机构信用等级，采取差异化监管措施。</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区公安分局、民社局、卫健局、市场监管分局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22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（九）加强信息</w:t>
            </w:r>
          </w:p>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共享</w:t>
            </w: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依托宁夏一体化政务服务平台和“互联网+监管”系统，推进有关基本数据集共享，实现跨地区互通互认、信息一站式查询和综合监管“一张网”，推进养老服务领域政务数据资源和社会数据资源统一开放共享。</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 xml:space="preserve">区公安分局、民社局、卫健局、市场监管分局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2219"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民政部门要依托“金民工程”，及时采集养老服务机构和从业人员数据信息，形成基本数据集；卫生健康部门要依托基本公共卫生服务老年人健康管理项目,及时采集老年人健康管理信息，形成健康档案基本数据集；公安部门要依托自治区人口基础信息库，提供老年人基本信息核查比对服务。</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 xml:space="preserve"> 区公安分局、民社局、 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221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（十）加强行业</w:t>
            </w:r>
          </w:p>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监督</w:t>
            </w:r>
          </w:p>
        </w:tc>
        <w:tc>
          <w:tcPr>
            <w:tcW w:w="720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指导养老服务领域推行行业信用承诺制度，健全行业自律规约，推动行业自律体系建设，制定行业职业道德准则，规范从业人员职业行为，积极协调解决养老服务纠纷。畅通养老服务投诉举报渠道，设置投诉信箱，开通监督电话，优化受理流程。</w:t>
            </w:r>
          </w:p>
        </w:tc>
        <w:tc>
          <w:tcPr>
            <w:tcW w:w="43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区民社局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7F8A7D"/>
    <w:multiLevelType w:val="singleLevel"/>
    <w:tmpl w:val="2D7F8A7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OTNhNjIyMDU3NmMzMmQxMzNhZjQwY2VjZTk3MDMifQ=="/>
  </w:docVars>
  <w:rsids>
    <w:rsidRoot w:val="4A522EBB"/>
    <w:rsid w:val="4A522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2023-04-03T02:00:00Z</dcterms:created>
  <dc:creator>刘辉</dc:creator>
  <cp:lastModifiedBy>刘辉</cp:lastModifiedBy>
  <dcterms:modified xsi:type="dcterms:W3CDTF">2023-04-03T02:01:16Z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3C362095C5A24A60AE74F0768F4E962A</vt:lpwstr>
  </property>
</Properties>
</file>