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vertAlign w:val="baseline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vertAlign w:val="baseline"/>
          <w:lang w:eastAsia="zh-CN"/>
        </w:rPr>
        <w:t>沙坡头区强化知识产权保护任务清单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tbl>
      <w:tblPr>
        <w:tblStyle w:val="5"/>
        <w:tblW w:w="13801" w:type="dxa"/>
        <w:jc w:val="center"/>
        <w:tblInd w:w="8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185"/>
        <w:gridCol w:w="1125"/>
        <w:gridCol w:w="7110"/>
        <w:gridCol w:w="2580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tblHeader/>
          <w:jc w:val="center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  <w:t>重点工作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  <w:t>具体任务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  <w:t>工作内容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  <w:t>责任单位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强化惩戒打击力度，执行知识产权严保护制度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1.加大知识产权侵权假冒行为的惩戒力度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贯彻落实《宁夏回族自治区专利保护条例》及保护知识产权的规范性文件。强化民事司法保护，有效执行惩罚性赔偿制度。落实知识产权行为保全制度，完善知识产权行为保全措施，加大刑事打击力度，持续开展知识产权侵权假冒犯罪行为专项打击行动，进一步强化知识产权犯罪侦查工作制度落实，强化知识产权保护和案件侦办工作技术手段。加大行政执法力度，针对重点地区、重点行业、重点产品，加强日常执法。开展“剑网”“铁拳”等知识产权执法专项行动，加大对制假源头、重复侵权、恶意侵权、群体侵权的查处力度，严查严惩侵犯专利、商标、版权、地理标志等违法行为。严厉打击仿冒混淆、侵犯商业秘密等侵犯知识产权不正当竞争行为，严厉打击商标恶意注册和非正常专利申请等行为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区委宣传部，区司法局、自然资源局、农业农村局、旅游和文体广电局，区人民法院、人民检察院，区公安分局、市场监督管理分局，各乡镇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2.健全行政执法和司法保护机制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深入推进知识产权民事、刑事、行政案件“三合一”审判机制改革，促进法律适用一致，统一审判标准。推进开展行政执法和刑事司法立案标准协调衔接，严格执行移送涉嫌犯罪案件规定，推动实现证据使用标准的统一，规范办案程序和要求。落实证据保全制度和民事调查令制度，着力解决权利人举证难问题，依法运用举证责任倒置等证据规则，合理分配举证责任，对故意逾期举证、毁损证据、隐匿证据、抗拒证据保全、妨碍证人作证等违法行为，严格依法追究责任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区委宣传部，区司法局、自然资源局、农业农村局、旅游和文体广电局，区人民法院、人民检察院，区公安分局、市场监督管理分局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3.强化案件执行措施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对专利领域严重失信行为实行诚信档案“黑名单”管理，在“信用中国（宁夏）”网站、国家企业信用信息公示系统等网站向社会公布，实施联合惩戒。加强案例分析研判及案件信息沟通共享，探索建立知识产权保护指导机制和重大案件公开审理机制，落实庭审直播制度。加强对案件异地执行的督促检查，推动形成统一公平的法治环境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区委宣传部，区人民法院、人民检察院，区发改局、自然资源局、农业农村局、旅游和文体广电局，区市场监督管理分局，各乡镇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-809625</wp:posOffset>
                      </wp:positionH>
                      <wp:positionV relativeFrom="paragraph">
                        <wp:posOffset>90805</wp:posOffset>
                      </wp:positionV>
                      <wp:extent cx="826770" cy="119951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119951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left"/>
                                    <w:textAlignment w:val="auto"/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color w:val="auto"/>
                                      <w:sz w:val="21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  <w:t>强化惩戒打击力度，执行知识产权严保护制度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3.75pt;margin-top:7.15pt;height:94.45pt;width:65.1pt;z-index:251658240;mso-width-relative:page;mso-height-relative:page;" filled="f" stroked="f" coordsize="21600,21600" o:gfxdata="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TAbrK3AAAAAkBAAAPAAAAAAAAAAEAIAAA&#10;ACIAAABkcnMvZG93bnJldi54bWxQSwECFAAUAAAACACHTuJAcruT85YBAAAKAwAADgAAAAAAAAAB&#10;ACAAAAArAQAAZHJzL2Uyb0RvYy54bWxQSwUGAAAAAAYABgBZAQAAMwUAAAAA&#10;">
                      <v:path/>
                      <v:fill on="f" focussize="0,0"/>
                      <v:stroke on="f" weight="1.2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color w:val="auto"/>
                                <w:sz w:val="21"/>
                                <w:szCs w:val="22"/>
                                <w:vertAlign w:val="baseline"/>
                                <w:lang w:val="en-US" w:eastAsia="zh-CN"/>
                              </w:rPr>
                              <w:t>强化惩戒打击力度，执行知识产权严保护制度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-1144905</wp:posOffset>
                      </wp:positionH>
                      <wp:positionV relativeFrom="paragraph">
                        <wp:posOffset>162560</wp:posOffset>
                      </wp:positionV>
                      <wp:extent cx="153035" cy="63817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right="0" w:rightChars="0"/>
                                    <w:jc w:val="center"/>
                                    <w:textAlignment w:val="auto"/>
                                    <w:rPr>
                                      <w:rFonts w:hint="eastAsia" w:ascii="Times New Roman" w:hAnsi="Times New Roman" w:eastAsia="宋体" w:cs="Times New Roman"/>
                                      <w:color w:val="auto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auto"/>
                                      <w:sz w:val="21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90.15pt;margin-top:12.8pt;height:50.25pt;width:12.05pt;z-index:251659264;mso-width-relative:page;mso-height-relative:page;" filled="f" stroked="f" coordsize="21600,21600" o:gfxdata="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dBxNP3QAAAAwBAAAPAAAAAAAAAAEAIAAA&#10;ACIAAABkcnMvZG93bnJldi54bWxQSwECFAAUAAAACACHTuJAiEhNQ5UBAAAJAwAADgAAAAAAAAAB&#10;ACAAAAAsAQAAZHJzL2Uyb0RvYy54bWxQSwUGAAAAAAYABgBZAQAAMwUAAAAA&#10;">
                      <v:path/>
                      <v:fill on="f" focussize="0,0"/>
                      <v:stroke on="f" weight="1.2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right="0" w:rightChars="0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宋体" w:cs="Times New Roman"/>
                                <w:color w:val="auto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auto"/>
                                <w:sz w:val="21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4.完善新业态新领域保护制度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加强专利、商标、著作权、植物新品种等知识产权的保护，研究民间文学艺术作品和非物质文化遗产保护措施，挖掘特色产业，强化品牌保护，完善以地理标志、商标、优质产品标准、信誉评级相结合的道地药材保护机制，持续加强中医药领域知识产权保护。加大对宁夏枸杞、沙坡头苹果等地理标志产品的重点保护和协同保护。提升公证信息化建设水平，探索建立我区公证电子存证系统平台，提供合同协议、证据保全、提存等公证服务，积极推动电子证据保全、保管等新型公证业务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区委宣传部，区司法局、自然资源局、农业农村局、旅游和文体广电局，区市场监督管理分局，各乡镇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加强社会监督共治，建立知识产权大保护格局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5.加大执法监督力度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加强人大监督，发挥政协民主监督和检察机关法律监督职能作用，推动落实行政执法公示制度、执法全过程记录制度、重大执法决定法制审核制度，完善执法信息和执法相关数据公开发布制度，接受社会和舆论对知识产权保护的监督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区委宣传部，区人大办公室、政协办公室，区人民检察院，区自然资源局、农业农村局、旅游和文体广电局，区公安分局、市场监督管理分局，各乡镇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2"/>
                <w:vertAlign w:val="baseline"/>
                <w:lang w:val="en-US" w:eastAsia="zh-CN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6.拓展社会共治渠道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培育和发展知识产权公证机构，完善知识产权调解和工作流程，鼓励商会、行业协会、行业联盟等行业组织发挥作用，加强代理机构监管，促进行业规范发展。鼓励企业健全自主知识产权创造、保护、运用全链条保护机制，加强知识产权诚信体系建设，实施市场主体信用分类监管。建立知识产权志愿者制度，调动院校、行业协会等社会力量参与知识产权保护治理，推动建立版权服务工作站，提升版权登记、使用、保护社会服务能力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区委宣传部，区教育局、工信和商务局、司法局、财政局、自然资源局、农业农村局，区市场监督管理分局，各乡镇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</w:pP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7.优化纠纷解决机制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逐步建立司法、行政执法、调解等多元化纠纷解决机制，探索在重点领域、重点行业商会和协会设立知识产权纠纷调解组织，成立知识产权调解委员会并开展工作，加快推进我区知识产权专家库建设，提升知识产权专业化服务能力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区委宣传部，区司法局、自然资源局、农业农村局，区市场监督管理分局，各乡镇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-820420</wp:posOffset>
                      </wp:positionH>
                      <wp:positionV relativeFrom="paragraph">
                        <wp:posOffset>59690</wp:posOffset>
                      </wp:positionV>
                      <wp:extent cx="828040" cy="96075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040" cy="96075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left"/>
                                    <w:textAlignment w:val="auto"/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color w:val="auto"/>
                                      <w:sz w:val="21"/>
                                      <w:szCs w:val="22"/>
                                      <w:vertAlign w:val="baseline"/>
                                      <w:lang w:eastAsia="zh-CN"/>
                                    </w:rPr>
                                    <w:t>加强社会监督共治，建立知识产权大保护格局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4.6pt;margin-top:4.7pt;height:75.65pt;width:65.2pt;z-index:251660288;mso-width-relative:page;mso-height-relative:page;" filled="f" stroked="f" coordsize="21600,21600" o:gfxdata="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gEHvK9oAAAAIAQAADwAAAAAAAAABACAA&#10;AAAiAAAAZHJzL2Rvd25yZXYueG1sUEsBAhQAFAAAAAgAh07iQEZtsG+ZAQAACQMAAA4AAAAAAAAA&#10;AQAgAAAAKQEAAGRycy9lMm9Eb2MueG1sUEsFBgAAAAAGAAYAWQEAADQFAAAAAA==&#10;">
                      <v:path/>
                      <v:fill on="f" focussize="0,0"/>
                      <v:stroke on="f" weight="1.2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color w:val="auto"/>
                                <w:sz w:val="21"/>
                                <w:szCs w:val="22"/>
                                <w:vertAlign w:val="baseline"/>
                                <w:lang w:eastAsia="zh-CN"/>
                              </w:rPr>
                              <w:t>加强社会监督共治，建立知识产权大保护格局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-1144905</wp:posOffset>
                      </wp:positionH>
                      <wp:positionV relativeFrom="paragraph">
                        <wp:posOffset>19685</wp:posOffset>
                      </wp:positionV>
                      <wp:extent cx="153035" cy="40005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default" w:ascii="Times New Roman" w:hAnsi="Times New Roman" w:cs="Times New Roman"/>
                                      <w:color w:val="auto"/>
                                      <w:sz w:val="21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90.15pt;margin-top:1.55pt;height:31.5pt;width:12.05pt;z-index:251661312;mso-width-relative:page;mso-height-relative:page;" filled="f" stroked="f" coordsize="21600,21600" o:gfxdata="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rBscYdwAAAAKAQAADwAAAAAAAAABACAAAAAi&#10;AAAAZHJzL2Rvd25yZXYueG1sUEsBAhQAFAAAAAgAh07iQIdwjPGUAQAACQMAAA4AAAAAAAAAAQAg&#10;AAAAKwEAAGRycy9lMm9Eb2MueG1sUEsFBgAAAAAGAAYAWQEAADEFAAAAAA==&#10;">
                      <v:path/>
                      <v:fill on="f" focussize="0,0"/>
                      <v:stroke on="f" weight="1.2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sz w:val="21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8.加强专业技术支撑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利用“双随机、一公开”监管平台、宁夏农产品质量安全追溯平台、全国网络交易平台监管服务系统等，加强数据采集和研判，探索知识产权线上线下一体化保护，通过源头追溯、实时监测、在线识别等技术手段强化知识产权保护。在知识产权行政执法案件处理和司法活动中引入技术调查官制度，协助执法、司法部门准确高效认定技术事实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区委宣传部，区人民法院，区自然资源局、农业农村局，区公安分局、市场监督管理分局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优化协作衔接机制，构建知识产权快保护体系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9.加强申请授权确权维权衔接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根据国家知识产权局制定的《专利优先审查管理办法》，推荐我区符合条件的专利申请优先审查，协助上级部门推动建立具有快速审查、快速确权、快速维权的协同保护机制，积极参与推动知识产权保护服务中心建设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zh-CN" w:eastAsia="zh-CN"/>
              </w:rPr>
              <w:t>区检察院，区司法局、自然资源局、农业农村局、旅游和文体广电局，区公安分局、市场监督管理分局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，各乡镇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加强跨部门跨区域办案协作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建立知识产权保护多部门协作机制，加强联合执法和协作执法，建立健全部门间知识产权线索通报、案件流转、执法联动、检验鉴定结果互认等机制，提升知识产权执法保护合力。推行行政执法与刑事司法紧密衔接，发挥衔接信息共享平台作用，参与跨区域知识产权协作，推进跨区域知识产权行政保护案件线索移送、调查执行协助、联合执法保护、结果互认互享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区委宣传部，区人民法院、人民检察院，区自然资源局、农业农村局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，区公安分局、市场监督管理分局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，各乡镇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11.推动简易案件和纠纷快速处理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在电商平台、展会、进出口等关键领域和环节推行纠纷快速处理绿色通道，推动简易案件快速处理。开展互联网领域侵权假冒治理，强化电商平台主体责任，指导各类网站规范管理，加强电商平台监管，删除侵权信息、屏蔽或断开盗版网站链接，停止侵权信息传播。畅通侵权假冒投诉举报渠道，充分利用12315投诉举报平台，及时受理知识产权侵权假冒投诉举报。探索建立知识产权投诉举报信息交流协商机制，提高知识产权投诉举报处理能力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区委宣传部、网信办，区工信和商务局、自然资源局、农业农村局，区市场监督管理分局，各乡镇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健全涉外沟通机制，营造知识产权同保护环境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12.依法同等保护知识产权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坚持对国内外企业知识产权一视同仁、同等保护。促进知识产权境内保护和进出口保护协同，加强进出口环节侵权假冒工作打击力度。落实公平竞争审查制度，加强涉外知识产权保护。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区委宣传部，区人民法院、人民检察院，区自然资源局、农业农村局、旅游和文体广电局，区公安分局、市场监督管理分局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-791845</wp:posOffset>
                      </wp:positionH>
                      <wp:positionV relativeFrom="paragraph">
                        <wp:posOffset>109855</wp:posOffset>
                      </wp:positionV>
                      <wp:extent cx="826770" cy="1038225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103822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left"/>
                                    <w:textAlignment w:val="auto"/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color w:val="auto"/>
                                      <w:sz w:val="21"/>
                                      <w:vertAlign w:val="baseline"/>
                                      <w:lang w:eastAsia="zh-CN"/>
                                    </w:rPr>
                                    <w:t>健全涉外沟通机制，营造知识产权同保护环境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2.35pt;margin-top:8.65pt;height:81.75pt;width:65.1pt;z-index:251662336;mso-width-relative:page;mso-height-relative:page;" filled="f" stroked="f" coordsize="21600,21600" o:gfxdata="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HLePmHbAAAACQEAAA8AAAAAAAAAAQAg&#10;AAAAIgAAAGRycy9kb3ducmV2LnhtbFBLAQIUABQAAAAIAIdO4kDeLFYJmQEAAAoDAAAOAAAAAAAA&#10;AAEAIAAAACoBAABkcnMvZTJvRG9jLnhtbFBLBQYAAAAABgAGAFkBAAA1BQAAAAA=&#10;">
                      <v:path/>
                      <v:fill on="f" focussize="0,0"/>
                      <v:stroke on="f" weight="1.2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color w:val="auto"/>
                                <w:sz w:val="21"/>
                                <w:vertAlign w:val="baseline"/>
                                <w:lang w:eastAsia="zh-CN"/>
                              </w:rPr>
                              <w:t>健全涉外沟通机制，营造知识产权同保护环境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-1163955</wp:posOffset>
                      </wp:positionH>
                      <wp:positionV relativeFrom="paragraph">
                        <wp:posOffset>46355</wp:posOffset>
                      </wp:positionV>
                      <wp:extent cx="248285" cy="485775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color w:val="auto"/>
                                      <w:sz w:val="21"/>
                                      <w:vertAlign w:val="baseline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91.65pt;margin-top:3.65pt;height:38.25pt;width:19.55pt;z-index:251663360;mso-width-relative:page;mso-height-relative:page;" filled="f" stroked="f" coordsize="21600,21600" o:gfxdata="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GHSnJndAAAACgEAAA8AAAAAAAAAAQAgAAAA&#10;IgAAAGRycy9kb3ducmV2LnhtbFBLAQIUABQAAAAIAIdO4kD6fEyalAEAAAkDAAAOAAAAAAAAAAEA&#10;IAAAACwBAABkcnMvZTJvRG9jLnhtbFBLBQYAAAAABgAGAFkBAAAyBQAAAAA=&#10;">
                      <v:path/>
                      <v:fill on="f" focussize="0,0"/>
                      <v:stroke on="f" weight="1.2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default" w:ascii="Times New Roman" w:hAnsi="Times New Roman" w:eastAsia="仿宋_GB2312" w:cs="Times New Roman"/>
                                <w:color w:val="auto"/>
                                <w:sz w:val="21"/>
                                <w:vertAlign w:val="baseline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13.拓展对外合作交流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围绕“一带一路”沿线城市、地区，加强知识产权保护合作，积极宣传我区知识产权保护成效。组织面向贸促机构和外向型企业的知识产权培训，引导法律服务行业开展涉外知识产权法律服务。加强展会知识产权保护，鼓励我区企业参加国内外展会，组织进驻展会开展知识产权保护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区委宣传部，区科技局、工信和商务局、司法局、自然资源局、农业农村局、旅游和文体广电局，区市场监督管理分局，各乡镇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vertAlign w:val="baseline"/>
                <w:lang w:eastAsia="zh-CN"/>
              </w:rPr>
              <w:t>健全涉外沟通机制，营造知识产权同保护环境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14.加强海外维权援助服务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支持我区企业拓展知识产权海外业务，积极参与国际合作，健全重大涉外知识产权纠纷信息通报和应急机制，开展海外知识产权纠纷应对指导，提供海外维权援助。建立重大产业专利预警机制，构建知识产权涉外风险防控体系。鼓励保险机构开展知识产权海外侵权责任险、专利执行险、专利被侵权损失险等保险业务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区委宣传部，区工信和商务局、财政局，区市场监督管理分局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</w:pP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加强基础条件建设，有力支撑知识产权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保护工作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15.加强基础平台建设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依托全国知识产权大数据中心和保护监测信息网络，建立和完善执法信息报送协调和信息共享机制，提高综合研判和宏观决策水平，加强知识产权维权援助、举报投诉平台建设，提升便民利民服务水平。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2"/>
                <w:vertAlign w:val="baseline"/>
                <w:lang w:eastAsia="zh-CN"/>
              </w:rPr>
              <w:t>区知识产权发展和保护工作联席会议各成员单位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16.加强专业人才队伍建设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加强知识产权保护机构及专业队伍建设，鼓励有关部门、教育机构、行业协会、学会加大知识产权保护专业人才培训力度。加强知识产权行政执法及司法队伍人员配备和职业化专业化建设，建立有效激励机制，确保队伍稳定和有序交流。推动知识产权刑事案件办理专业化建设，提高侦查、审查逮捕、审查起诉、审判工作效率和办案质量，充分发挥律师等法律服务队伍作用，做好知识产权纠纷调解、案件代理、普法宣传等工作。加强知识产权保护专业人才岗位锻炼，充分发挥各类人才在维权实践中的作用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2"/>
                <w:vertAlign w:val="baseline"/>
                <w:lang w:eastAsia="zh-CN"/>
              </w:rPr>
              <w:t>区知识产权发展和保护工作联席会议各成员单位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val="en-US" w:eastAsia="zh-CN"/>
              </w:rPr>
              <w:t>17.加大资源投入和支持力度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保障知识产权保护工作所需经费，引导和激励创新主体运用知识产权提升核心竞争力，促进知识产权高质量发展。支持配齐行政执法设备和司法装备，推动知识产权行政执法现代化、智能化建设。鼓励企业通过市场化方式设立知识产权保护维权互助基金，提升企业自我维权能力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  <w:t>区知识产权发展和保护工作联席会议各成员单位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2"/>
                <w:vertAlign w:val="baseline"/>
                <w:lang w:eastAsia="zh-CN"/>
              </w:rPr>
              <w:t>长期坚持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E610E"/>
    <w:rsid w:val="6C5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2022-12-19T10:28:00Z</dcterms:created>
  <dc:creator>杨娜</dc:creator>
  <cp:lastModifiedBy>杨娜</cp:lastModifiedBy>
  <dcterms:modified xsi:type="dcterms:W3CDTF">2022-12-19T10:29:06Z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