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hint="default"/>
        </w:rPr>
      </w:pPr>
    </w:p>
    <w:p>
      <w:pPr>
        <w:adjustRightInd/>
        <w:snapToGrid/>
        <w:spacing w:line="700" w:lineRule="exact"/>
        <w:ind w:firstLine="0" w:firstLineChars="0"/>
        <w:jc w:val="center"/>
        <w:rPr>
          <w:rFonts w:hint="default" w:ascii="Times New Roman" w:hAnsi="Times New Roman" w:eastAsia="方正小标宋简体" w:cs="Times New Roman"/>
          <w:b/>
          <w:color w:val="auto"/>
          <w:sz w:val="52"/>
          <w:szCs w:val="52"/>
          <w:highlight w:val="none"/>
        </w:rPr>
      </w:pPr>
    </w:p>
    <w:p>
      <w:pPr>
        <w:pStyle w:val="11"/>
        <w:rPr>
          <w:rFonts w:hint="default" w:ascii="Times New Roman" w:hAnsi="Times New Roman" w:eastAsia="方正小标宋简体" w:cs="Times New Roman"/>
          <w:b/>
          <w:color w:val="auto"/>
          <w:sz w:val="52"/>
          <w:szCs w:val="52"/>
          <w:highlight w:val="none"/>
        </w:rPr>
      </w:pPr>
    </w:p>
    <w:p>
      <w:pPr>
        <w:pStyle w:val="3"/>
        <w:rPr>
          <w:rFonts w:hint="default" w:ascii="Times New Roman" w:hAnsi="Times New Roman" w:cs="Times New Roman"/>
        </w:rPr>
      </w:pPr>
    </w:p>
    <w:p>
      <w:pPr>
        <w:ind w:left="0" w:leftChars="0" w:firstLine="0" w:firstLineChars="0"/>
        <w:rPr>
          <w:rFonts w:hint="default" w:ascii="Times New Roman" w:hAnsi="Times New Roman" w:cs="Times New Roman"/>
        </w:rPr>
      </w:pPr>
    </w:p>
    <w:p>
      <w:pPr>
        <w:spacing w:before="156" w:beforeLines="50" w:after="156" w:afterLines="50" w:line="700" w:lineRule="exact"/>
        <w:ind w:firstLine="0" w:firstLineChars="0"/>
        <w:jc w:val="center"/>
        <w:rPr>
          <w:rFonts w:hint="default" w:ascii="Times New Roman" w:hAnsi="Times New Roman" w:eastAsia="方正小标宋_GBK" w:cs="Times New Roman"/>
          <w:b w:val="0"/>
          <w:bCs/>
          <w:color w:val="auto"/>
          <w:sz w:val="44"/>
          <w:szCs w:val="44"/>
          <w:highlight w:val="none"/>
        </w:rPr>
      </w:pPr>
      <w:r>
        <w:rPr>
          <w:rFonts w:hint="default" w:ascii="Times New Roman" w:hAnsi="Times New Roman" w:eastAsia="方正小标宋_GBK" w:cs="Times New Roman"/>
          <w:b w:val="0"/>
          <w:bCs/>
          <w:color w:val="auto"/>
          <w:sz w:val="44"/>
          <w:szCs w:val="44"/>
          <w:highlight w:val="none"/>
        </w:rPr>
        <w:t>中卫市沙坡头区</w:t>
      </w:r>
      <w:r>
        <w:rPr>
          <w:rFonts w:hint="eastAsia" w:ascii="Times New Roman" w:hAnsi="Times New Roman" w:eastAsia="方正小标宋_GBK" w:cs="Times New Roman"/>
          <w:b w:val="0"/>
          <w:bCs/>
          <w:color w:val="auto"/>
          <w:sz w:val="44"/>
          <w:szCs w:val="44"/>
          <w:highlight w:val="none"/>
          <w:lang w:eastAsia="zh-CN"/>
        </w:rPr>
        <w:t>“</w:t>
      </w:r>
      <w:r>
        <w:rPr>
          <w:rFonts w:hint="default" w:ascii="Times New Roman" w:hAnsi="Times New Roman" w:eastAsia="方正小标宋_GBK" w:cs="Times New Roman"/>
          <w:b w:val="0"/>
          <w:bCs/>
          <w:color w:val="auto"/>
          <w:sz w:val="44"/>
          <w:szCs w:val="44"/>
          <w:highlight w:val="none"/>
        </w:rPr>
        <w:t>十四五</w:t>
      </w:r>
      <w:r>
        <w:rPr>
          <w:rFonts w:hint="eastAsia" w:ascii="Times New Roman" w:hAnsi="Times New Roman" w:eastAsia="方正小标宋_GBK" w:cs="Times New Roman"/>
          <w:b w:val="0"/>
          <w:bCs/>
          <w:color w:val="auto"/>
          <w:sz w:val="44"/>
          <w:szCs w:val="44"/>
          <w:highlight w:val="none"/>
          <w:lang w:eastAsia="zh-CN"/>
        </w:rPr>
        <w:t>”</w:t>
      </w:r>
      <w:r>
        <w:rPr>
          <w:rFonts w:hint="default" w:ascii="Times New Roman" w:hAnsi="Times New Roman" w:eastAsia="方正小标宋_GBK" w:cs="Times New Roman"/>
          <w:b w:val="0"/>
          <w:bCs/>
          <w:color w:val="auto"/>
          <w:sz w:val="44"/>
          <w:szCs w:val="44"/>
          <w:highlight w:val="none"/>
        </w:rPr>
        <w:t>水资源配置规划</w:t>
      </w:r>
    </w:p>
    <w:p>
      <w:pPr>
        <w:spacing w:before="156" w:beforeLines="50" w:after="156" w:afterLines="50" w:line="700" w:lineRule="exact"/>
        <w:ind w:firstLine="0" w:firstLineChars="0"/>
        <w:jc w:val="center"/>
        <w:rPr>
          <w:rFonts w:hint="default" w:ascii="Times New Roman" w:hAnsi="Times New Roman" w:eastAsia="方正小标宋_GBK" w:cs="Times New Roman"/>
          <w:b w:val="0"/>
          <w:bCs/>
          <w:color w:val="auto"/>
          <w:sz w:val="44"/>
          <w:szCs w:val="44"/>
          <w:highlight w:val="none"/>
        </w:rPr>
      </w:pPr>
      <w:r>
        <w:rPr>
          <w:rFonts w:hint="default" w:ascii="Times New Roman" w:hAnsi="Times New Roman" w:eastAsia="方正小标宋_GBK" w:cs="Times New Roman"/>
          <w:b w:val="0"/>
          <w:bCs/>
          <w:color w:val="auto"/>
          <w:sz w:val="44"/>
          <w:szCs w:val="44"/>
          <w:highlight w:val="none"/>
        </w:rPr>
        <w:t>（2021-2025年）</w:t>
      </w:r>
    </w:p>
    <w:p>
      <w:pPr>
        <w:pStyle w:val="2"/>
        <w:ind w:left="0" w:leftChars="0" w:firstLine="0" w:firstLineChars="0"/>
        <w:jc w:val="center"/>
        <w:rPr>
          <w:rFonts w:hint="default" w:ascii="Times New Roman" w:hAnsi="Times New Roman" w:eastAsia="黑体" w:cs="Times New Roman"/>
          <w:b/>
          <w:color w:val="auto"/>
          <w:sz w:val="52"/>
          <w:szCs w:val="52"/>
          <w:highlight w:val="none"/>
        </w:rPr>
      </w:pPr>
    </w:p>
    <w:p>
      <w:pPr>
        <w:pStyle w:val="2"/>
        <w:ind w:left="0" w:leftChars="0" w:firstLine="0" w:firstLineChars="0"/>
        <w:jc w:val="center"/>
        <w:rPr>
          <w:rFonts w:hint="default" w:ascii="Times New Roman" w:hAnsi="Times New Roman" w:eastAsia="黑体" w:cs="Times New Roman"/>
          <w:b/>
          <w:color w:val="auto"/>
          <w:sz w:val="52"/>
          <w:szCs w:val="52"/>
          <w:highlight w:val="none"/>
        </w:rPr>
      </w:pPr>
    </w:p>
    <w:p>
      <w:pPr>
        <w:pStyle w:val="2"/>
        <w:ind w:left="0" w:leftChars="0" w:firstLine="0" w:firstLineChars="0"/>
        <w:jc w:val="center"/>
        <w:rPr>
          <w:rFonts w:hint="default" w:ascii="Times New Roman" w:hAnsi="Times New Roman" w:eastAsia="黑体" w:cs="Times New Roman"/>
          <w:b/>
          <w:color w:val="auto"/>
          <w:sz w:val="52"/>
          <w:szCs w:val="52"/>
          <w:highlight w:val="none"/>
        </w:rPr>
      </w:pPr>
    </w:p>
    <w:p>
      <w:pPr>
        <w:pStyle w:val="2"/>
        <w:ind w:left="0" w:leftChars="0" w:firstLine="0" w:firstLineChars="0"/>
        <w:jc w:val="center"/>
        <w:rPr>
          <w:rFonts w:hint="default" w:ascii="Times New Roman" w:hAnsi="Times New Roman" w:eastAsia="黑体" w:cs="Times New Roman"/>
          <w:b/>
          <w:color w:val="auto"/>
          <w:sz w:val="52"/>
          <w:szCs w:val="52"/>
          <w:highlight w:val="none"/>
        </w:rPr>
      </w:pPr>
    </w:p>
    <w:p>
      <w:pPr>
        <w:pStyle w:val="2"/>
        <w:ind w:left="0" w:leftChars="0" w:firstLine="0" w:firstLineChars="0"/>
        <w:jc w:val="center"/>
        <w:rPr>
          <w:rFonts w:hint="default" w:ascii="Times New Roman" w:hAnsi="Times New Roman" w:eastAsia="黑体" w:cs="Times New Roman"/>
          <w:b/>
          <w:color w:val="auto"/>
          <w:sz w:val="52"/>
          <w:szCs w:val="52"/>
          <w:highlight w:val="none"/>
        </w:rPr>
      </w:pPr>
    </w:p>
    <w:p>
      <w:pPr>
        <w:pStyle w:val="2"/>
        <w:ind w:left="0" w:leftChars="0" w:firstLine="0" w:firstLineChars="0"/>
        <w:jc w:val="center"/>
        <w:rPr>
          <w:rFonts w:hint="default" w:ascii="Times New Roman" w:hAnsi="Times New Roman" w:eastAsia="黑体" w:cs="Times New Roman"/>
          <w:b/>
          <w:color w:val="auto"/>
          <w:sz w:val="52"/>
          <w:szCs w:val="52"/>
          <w:highlight w:val="none"/>
        </w:rPr>
      </w:pPr>
    </w:p>
    <w:p>
      <w:pPr>
        <w:pStyle w:val="2"/>
        <w:ind w:left="0" w:leftChars="0" w:firstLine="0" w:firstLineChars="0"/>
        <w:jc w:val="both"/>
        <w:rPr>
          <w:rFonts w:hint="default" w:ascii="Times New Roman" w:hAnsi="Times New Roman" w:eastAsia="黑体" w:cs="Times New Roman"/>
          <w:b/>
          <w:color w:val="auto"/>
          <w:sz w:val="52"/>
          <w:szCs w:val="52"/>
          <w:highlight w:val="none"/>
        </w:rPr>
      </w:pPr>
    </w:p>
    <w:p>
      <w:pPr>
        <w:spacing w:line="240" w:lineRule="auto"/>
        <w:ind w:firstLine="0" w:firstLineChars="0"/>
        <w:jc w:val="center"/>
        <w:rPr>
          <w:rFonts w:hint="default" w:ascii="Times New Roman" w:hAnsi="Times New Roman" w:eastAsia="黑体" w:cs="Times New Roman"/>
          <w:b w:val="0"/>
          <w:bCs/>
          <w:color w:val="auto"/>
          <w:szCs w:val="24"/>
          <w:highlight w:val="none"/>
          <w:lang w:val="en-US" w:eastAsia="zh-CN"/>
        </w:rPr>
      </w:pPr>
    </w:p>
    <w:p>
      <w:pPr>
        <w:spacing w:line="240" w:lineRule="auto"/>
        <w:ind w:firstLine="0" w:firstLineChars="0"/>
        <w:jc w:val="center"/>
        <w:rPr>
          <w:rFonts w:hint="default" w:ascii="Times New Roman" w:hAnsi="Times New Roman" w:eastAsia="黑体" w:cs="Times New Roman"/>
          <w:b w:val="0"/>
          <w:bCs/>
          <w:color w:val="auto"/>
          <w:szCs w:val="24"/>
          <w:highlight w:val="none"/>
          <w:lang w:val="en-US" w:eastAsia="zh-CN"/>
        </w:rPr>
      </w:pPr>
    </w:p>
    <w:p>
      <w:pPr>
        <w:spacing w:line="240" w:lineRule="auto"/>
        <w:ind w:firstLine="0" w:firstLineChars="0"/>
        <w:jc w:val="center"/>
        <w:rPr>
          <w:rFonts w:hint="default" w:ascii="Times New Roman" w:hAnsi="Times New Roman" w:eastAsia="黑体" w:cs="Times New Roman"/>
          <w:b w:val="0"/>
          <w:bCs/>
          <w:color w:val="auto"/>
          <w:szCs w:val="24"/>
          <w:highlight w:val="none"/>
          <w:lang w:val="en-US" w:eastAsia="zh-CN"/>
        </w:rPr>
      </w:pPr>
    </w:p>
    <w:p>
      <w:pPr>
        <w:spacing w:line="240" w:lineRule="auto"/>
        <w:ind w:firstLine="0" w:firstLineChars="0"/>
        <w:jc w:val="center"/>
        <w:rPr>
          <w:rFonts w:hint="default" w:ascii="Times New Roman" w:hAnsi="Times New Roman" w:eastAsia="黑体" w:cs="Times New Roman"/>
          <w:b w:val="0"/>
          <w:bCs/>
          <w:color w:val="auto"/>
          <w:szCs w:val="24"/>
          <w:highlight w:val="none"/>
          <w:lang w:val="en-US" w:eastAsia="zh-CN"/>
        </w:rPr>
      </w:pPr>
    </w:p>
    <w:p>
      <w:pPr>
        <w:spacing w:line="240" w:lineRule="auto"/>
        <w:ind w:firstLine="0" w:firstLineChars="0"/>
        <w:jc w:val="center"/>
        <w:rPr>
          <w:rFonts w:hint="default" w:ascii="Times New Roman" w:hAnsi="Times New Roman" w:eastAsia="黑体" w:cs="Times New Roman"/>
          <w:b w:val="0"/>
          <w:bCs/>
          <w:color w:val="auto"/>
          <w:szCs w:val="24"/>
          <w:highlight w:val="none"/>
          <w:lang w:val="en-US" w:eastAsia="zh-CN"/>
        </w:rPr>
      </w:pPr>
    </w:p>
    <w:p>
      <w:pPr>
        <w:spacing w:line="240" w:lineRule="auto"/>
        <w:ind w:firstLine="0" w:firstLineChars="0"/>
        <w:jc w:val="center"/>
        <w:rPr>
          <w:rFonts w:hint="default" w:ascii="Times New Roman" w:hAnsi="Times New Roman" w:eastAsia="黑体" w:cs="Times New Roman"/>
          <w:b w:val="0"/>
          <w:bCs/>
          <w:color w:val="auto"/>
          <w:szCs w:val="24"/>
          <w:highlight w:val="none"/>
          <w:lang w:val="en-US" w:eastAsia="zh-CN"/>
        </w:rPr>
      </w:pPr>
    </w:p>
    <w:p>
      <w:pPr>
        <w:spacing w:line="240" w:lineRule="auto"/>
        <w:ind w:firstLine="0" w:firstLineChars="0"/>
        <w:jc w:val="center"/>
        <w:rPr>
          <w:rFonts w:hint="default" w:ascii="Times New Roman" w:hAnsi="Times New Roman" w:eastAsia="黑体" w:cs="Times New Roman"/>
          <w:b w:val="0"/>
          <w:bCs/>
          <w:color w:val="auto"/>
          <w:szCs w:val="24"/>
          <w:highlight w:val="none"/>
          <w:lang w:val="en-US" w:eastAsia="zh-CN"/>
        </w:rPr>
      </w:pPr>
    </w:p>
    <w:p>
      <w:pPr>
        <w:spacing w:line="240" w:lineRule="auto"/>
        <w:ind w:firstLine="0" w:firstLineChars="0"/>
        <w:jc w:val="center"/>
        <w:rPr>
          <w:rFonts w:hint="default" w:ascii="Times New Roman" w:hAnsi="Times New Roman" w:eastAsia="黑体" w:cs="Times New Roman"/>
          <w:b w:val="0"/>
          <w:bCs/>
          <w:color w:val="auto"/>
          <w:szCs w:val="24"/>
          <w:highlight w:val="none"/>
          <w:lang w:val="en-US" w:eastAsia="zh-CN"/>
        </w:rPr>
        <w:sectPr>
          <w:footerReference r:id="rId3" w:type="default"/>
          <w:pgSz w:w="11906" w:h="16838"/>
          <w:pgMar w:top="2098" w:right="1474" w:bottom="1984" w:left="1587" w:header="851" w:footer="1417" w:gutter="0"/>
          <w:pgNumType w:fmt="upperRoman" w:start="1"/>
          <w:cols w:space="720" w:num="1"/>
          <w:rtlGutter w:val="0"/>
          <w:docGrid w:type="lines" w:linePitch="312" w:charSpace="0"/>
        </w:sectPr>
      </w:pPr>
    </w:p>
    <w:p>
      <w:pPr>
        <w:spacing w:line="240" w:lineRule="auto"/>
        <w:ind w:firstLine="0" w:firstLineChars="0"/>
        <w:jc w:val="center"/>
        <w:rPr>
          <w:rFonts w:hint="default" w:ascii="Times New Roman" w:hAnsi="Times New Roman" w:eastAsia="方正仿宋_GB2312" w:cs="Times New Roman"/>
          <w:color w:val="auto"/>
          <w:sz w:val="32"/>
          <w:szCs w:val="32"/>
          <w:highlight w:val="none"/>
        </w:rPr>
      </w:pPr>
      <w:r>
        <w:rPr>
          <w:rFonts w:hint="default" w:ascii="Times New Roman" w:hAnsi="Times New Roman" w:eastAsia="黑体" w:cs="Times New Roman"/>
          <w:b w:val="0"/>
          <w:bCs/>
          <w:color w:val="auto"/>
          <w:szCs w:val="24"/>
          <w:highlight w:val="none"/>
          <w:lang w:val="en-US" w:eastAsia="zh-CN"/>
        </w:rPr>
        <w:t>目 录</w:t>
      </w:r>
      <w:r>
        <w:rPr>
          <w:rFonts w:hint="default" w:ascii="Times New Roman" w:hAnsi="Times New Roman" w:eastAsia="仿宋" w:cs="Times New Roman"/>
          <w:b/>
          <w:color w:val="auto"/>
          <w:szCs w:val="24"/>
          <w:highlight w:val="none"/>
        </w:rPr>
        <w:fldChar w:fldCharType="begin"/>
      </w:r>
      <w:r>
        <w:rPr>
          <w:rFonts w:hint="default" w:ascii="Times New Roman" w:hAnsi="Times New Roman" w:eastAsia="仿宋" w:cs="Times New Roman"/>
          <w:b/>
          <w:color w:val="auto"/>
          <w:szCs w:val="24"/>
          <w:highlight w:val="none"/>
        </w:rPr>
        <w:instrText xml:space="preserve">TOC \o "1-3" \h \u </w:instrText>
      </w:r>
      <w:r>
        <w:rPr>
          <w:rFonts w:hint="default" w:ascii="Times New Roman" w:hAnsi="Times New Roman" w:eastAsia="仿宋" w:cs="Times New Roman"/>
          <w:b/>
          <w:color w:val="auto"/>
          <w:szCs w:val="24"/>
          <w:highlight w:val="none"/>
        </w:rPr>
        <w:fldChar w:fldCharType="separate"/>
      </w:r>
      <w:r>
        <w:rPr>
          <w:rFonts w:hint="default" w:ascii="Times New Roman" w:hAnsi="Times New Roman" w:eastAsia="仿宋" w:cs="Times New Roman"/>
          <w:color w:val="auto"/>
          <w:sz w:val="32"/>
          <w:szCs w:val="32"/>
          <w:highlight w:val="none"/>
        </w:rPr>
        <w:fldChar w:fldCharType="begin"/>
      </w:r>
      <w:r>
        <w:rPr>
          <w:rFonts w:hint="default" w:ascii="Times New Roman" w:hAnsi="Times New Roman" w:eastAsia="仿宋" w:cs="Times New Roman"/>
          <w:color w:val="auto"/>
          <w:sz w:val="32"/>
          <w:szCs w:val="32"/>
          <w:highlight w:val="none"/>
        </w:rPr>
        <w:instrText xml:space="preserve">TOC \o "1-3" \h \u </w:instrText>
      </w:r>
      <w:r>
        <w:rPr>
          <w:rFonts w:hint="default" w:ascii="Times New Roman" w:hAnsi="Times New Roman" w:eastAsia="仿宋" w:cs="Times New Roman"/>
          <w:color w:val="auto"/>
          <w:sz w:val="32"/>
          <w:szCs w:val="32"/>
          <w:highlight w:val="none"/>
        </w:rPr>
        <w:fldChar w:fldCharType="separate"/>
      </w:r>
    </w:p>
    <w:p>
      <w:pPr>
        <w:pStyle w:val="19"/>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b/>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TOC \o "1-2" \h \u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HYPERLINK \l _Toc23973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第一章  综述</w:t>
      </w:r>
      <w:r>
        <w:rPr>
          <w:rFonts w:hint="default" w:ascii="Times New Roman" w:hAnsi="Times New Roman" w:eastAsia="方正仿宋_GB2312" w:cs="Times New Roman"/>
          <w:b/>
          <w:color w:val="auto"/>
          <w:sz w:val="32"/>
          <w:szCs w:val="32"/>
          <w:highlight w:val="none"/>
        </w:rPr>
        <w:tab/>
      </w: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PAGEREF _Toc23973 \h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- 1 -</w:t>
      </w:r>
      <w:r>
        <w:rPr>
          <w:rFonts w:hint="default" w:ascii="Times New Roman" w:hAnsi="Times New Roman" w:eastAsia="方正仿宋_GB2312" w:cs="Times New Roman"/>
          <w:b/>
          <w:color w:val="auto"/>
          <w:sz w:val="32"/>
          <w:szCs w:val="32"/>
          <w:highlight w:val="none"/>
        </w:rPr>
        <w:fldChar w:fldCharType="end"/>
      </w:r>
      <w:r>
        <w:rPr>
          <w:rFonts w:hint="default" w:ascii="Times New Roman" w:hAnsi="Times New Roman" w:eastAsia="方正仿宋_GB2312" w:cs="Times New Roman"/>
          <w:b/>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_Toc31041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1.1项目背景及任务来源</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_Toc31041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- 1 -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_Toc31480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1.2规划依据</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_Toc31480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- 3 -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_Toc26978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1.3配置范围及对象</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_Toc26978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- 5 -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_Toc12260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1.4水平年</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_Toc12260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- 5 -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_Toc8657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1.5供水保证率</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_Toc8657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- 5 -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19"/>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b/>
          <w:color w:val="auto"/>
          <w:sz w:val="32"/>
          <w:szCs w:val="32"/>
          <w:highlight w:val="none"/>
        </w:rPr>
      </w:pP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HYPERLINK \l _Toc19359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第二章  区域概况</w:t>
      </w:r>
      <w:r>
        <w:rPr>
          <w:rFonts w:hint="default" w:ascii="Times New Roman" w:hAnsi="Times New Roman" w:eastAsia="方正仿宋_GB2312" w:cs="Times New Roman"/>
          <w:b/>
          <w:color w:val="auto"/>
          <w:sz w:val="32"/>
          <w:szCs w:val="32"/>
          <w:highlight w:val="none"/>
        </w:rPr>
        <w:tab/>
      </w: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PAGEREF _Toc19359 \h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- 6 -</w:t>
      </w:r>
      <w:r>
        <w:rPr>
          <w:rFonts w:hint="default" w:ascii="Times New Roman" w:hAnsi="Times New Roman" w:eastAsia="方正仿宋_GB2312" w:cs="Times New Roman"/>
          <w:b/>
          <w:color w:val="auto"/>
          <w:sz w:val="32"/>
          <w:szCs w:val="32"/>
          <w:highlight w:val="none"/>
        </w:rPr>
        <w:fldChar w:fldCharType="end"/>
      </w:r>
      <w:r>
        <w:rPr>
          <w:rFonts w:hint="default" w:ascii="Times New Roman" w:hAnsi="Times New Roman" w:eastAsia="方正仿宋_GB2312" w:cs="Times New Roman"/>
          <w:b/>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_Toc8099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2.1自然及资源条件</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_Toc8099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- 6 -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_Toc32449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2.2经济社会发展现状</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_Toc32449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- 10 -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_Toc8604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2.3生态环境概况</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_Toc8604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- 12 -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19"/>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b/>
          <w:color w:val="auto"/>
          <w:sz w:val="32"/>
          <w:szCs w:val="32"/>
          <w:highlight w:val="none"/>
        </w:rPr>
      </w:pP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HYPERLINK \l _Toc17240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第三章</w:t>
      </w:r>
      <w:r>
        <w:rPr>
          <w:rFonts w:hint="default" w:ascii="Times New Roman" w:hAnsi="Times New Roman" w:eastAsia="方正仿宋_GB2312" w:cs="Times New Roman"/>
          <w:b/>
          <w:color w:val="auto"/>
          <w:sz w:val="32"/>
          <w:szCs w:val="32"/>
          <w:highlight w:val="none"/>
          <w:lang w:val="en-US" w:eastAsia="zh-CN"/>
        </w:rPr>
        <w:t xml:space="preserve">  </w:t>
      </w:r>
      <w:r>
        <w:rPr>
          <w:rFonts w:hint="default" w:ascii="Times New Roman" w:hAnsi="Times New Roman" w:eastAsia="方正仿宋_GB2312" w:cs="Times New Roman"/>
          <w:b/>
          <w:color w:val="auto"/>
          <w:sz w:val="32"/>
          <w:szCs w:val="32"/>
          <w:highlight w:val="none"/>
        </w:rPr>
        <w:t>水资源及开发利用</w:t>
      </w:r>
      <w:r>
        <w:rPr>
          <w:rFonts w:hint="default" w:ascii="Times New Roman" w:hAnsi="Times New Roman" w:eastAsia="方正仿宋_GB2312" w:cs="Times New Roman"/>
          <w:b/>
          <w:color w:val="auto"/>
          <w:sz w:val="32"/>
          <w:szCs w:val="32"/>
          <w:highlight w:val="none"/>
        </w:rPr>
        <w:tab/>
      </w: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PAGEREF _Toc17240 \h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- 15 -</w:t>
      </w:r>
      <w:r>
        <w:rPr>
          <w:rFonts w:hint="default" w:ascii="Times New Roman" w:hAnsi="Times New Roman" w:eastAsia="方正仿宋_GB2312" w:cs="Times New Roman"/>
          <w:b/>
          <w:color w:val="auto"/>
          <w:sz w:val="32"/>
          <w:szCs w:val="32"/>
          <w:highlight w:val="none"/>
        </w:rPr>
        <w:fldChar w:fldCharType="end"/>
      </w:r>
      <w:r>
        <w:rPr>
          <w:rFonts w:hint="default" w:ascii="Times New Roman" w:hAnsi="Times New Roman" w:eastAsia="方正仿宋_GB2312" w:cs="Times New Roman"/>
          <w:b/>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_Toc7785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3.1水资源禀赋条件</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_Toc7785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- 15 -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_Toc28372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3.2水资源开发利用现状</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_Toc28372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- 18 -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_Toc12648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3.3用水总量控制指标</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_Toc12648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- 19 -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_Toc1055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3.4重点项目水资源情况</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_Toc1055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- 19 -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_Toc23252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3.5水资源开发利用存在的问题</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_Toc23252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- 26 -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19"/>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b/>
          <w:color w:val="auto"/>
          <w:sz w:val="32"/>
          <w:szCs w:val="32"/>
          <w:highlight w:val="none"/>
        </w:rPr>
      </w:pP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HYPERLINK \l _Toc20374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lang w:val="en-US" w:eastAsia="zh-CN"/>
        </w:rPr>
        <w:t>第四章  经济社会发展布局与水资源需求</w:t>
      </w:r>
      <w:r>
        <w:rPr>
          <w:rFonts w:hint="default" w:ascii="Times New Roman" w:hAnsi="Times New Roman" w:eastAsia="方正仿宋_GB2312" w:cs="Times New Roman"/>
          <w:b/>
          <w:color w:val="auto"/>
          <w:sz w:val="32"/>
          <w:szCs w:val="32"/>
          <w:highlight w:val="none"/>
        </w:rPr>
        <w:tab/>
      </w: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PAGEREF _Toc20374 \h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- 28 -</w:t>
      </w:r>
      <w:r>
        <w:rPr>
          <w:rFonts w:hint="default" w:ascii="Times New Roman" w:hAnsi="Times New Roman" w:eastAsia="方正仿宋_GB2312" w:cs="Times New Roman"/>
          <w:b/>
          <w:color w:val="auto"/>
          <w:sz w:val="32"/>
          <w:szCs w:val="32"/>
          <w:highlight w:val="none"/>
        </w:rPr>
        <w:fldChar w:fldCharType="end"/>
      </w:r>
      <w:r>
        <w:rPr>
          <w:rFonts w:hint="default" w:ascii="Times New Roman" w:hAnsi="Times New Roman" w:eastAsia="方正仿宋_GB2312" w:cs="Times New Roman"/>
          <w:b/>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_Toc5726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4.1经济发展布局</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_Toc5726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- 28 -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_Toc25545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4.2国民经济发展趋势</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_Toc25545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- 28 -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_Toc9076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4.3 国民经济需水预测</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_Toc9076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- 45 -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19"/>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b/>
          <w:color w:val="auto"/>
          <w:sz w:val="32"/>
          <w:szCs w:val="32"/>
          <w:highlight w:val="none"/>
        </w:rPr>
      </w:pP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HYPERLINK \l _Toc1314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lang w:val="en-US" w:eastAsia="zh-CN"/>
        </w:rPr>
        <w:t>第五章  水资源节约</w:t>
      </w:r>
      <w:r>
        <w:rPr>
          <w:rFonts w:hint="default" w:ascii="Times New Roman" w:hAnsi="Times New Roman" w:eastAsia="方正仿宋_GB2312" w:cs="Times New Roman"/>
          <w:b/>
          <w:color w:val="auto"/>
          <w:sz w:val="32"/>
          <w:szCs w:val="32"/>
          <w:highlight w:val="none"/>
        </w:rPr>
        <w:tab/>
      </w: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PAGEREF _Toc1314 \h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- 61 -</w:t>
      </w:r>
      <w:r>
        <w:rPr>
          <w:rFonts w:hint="default" w:ascii="Times New Roman" w:hAnsi="Times New Roman" w:eastAsia="方正仿宋_GB2312" w:cs="Times New Roman"/>
          <w:b/>
          <w:color w:val="auto"/>
          <w:sz w:val="32"/>
          <w:szCs w:val="32"/>
          <w:highlight w:val="none"/>
        </w:rPr>
        <w:fldChar w:fldCharType="end"/>
      </w:r>
      <w:r>
        <w:rPr>
          <w:rFonts w:hint="default" w:ascii="Times New Roman" w:hAnsi="Times New Roman" w:eastAsia="方正仿宋_GB2312" w:cs="Times New Roman"/>
          <w:b/>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_Toc29886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5.1节水潜力</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_Toc29886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- 61 -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_Toc17383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5.2再生水利用潜力</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_Toc17383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- 63 -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_Toc10402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5.3地下水开发利用潜力</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_Toc10402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- 64 -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_Toc16184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5.4水资源利用潜力汇总</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_Toc16184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- 64 -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19"/>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b/>
          <w:color w:val="auto"/>
          <w:sz w:val="32"/>
          <w:szCs w:val="32"/>
          <w:highlight w:val="none"/>
        </w:rPr>
      </w:pP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HYPERLINK \l _Toc15056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第六章  水资源配置</w:t>
      </w:r>
      <w:r>
        <w:rPr>
          <w:rFonts w:hint="default" w:ascii="Times New Roman" w:hAnsi="Times New Roman" w:eastAsia="方正仿宋_GB2312" w:cs="Times New Roman"/>
          <w:b/>
          <w:color w:val="auto"/>
          <w:sz w:val="32"/>
          <w:szCs w:val="32"/>
          <w:highlight w:val="none"/>
        </w:rPr>
        <w:tab/>
      </w: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PAGEREF _Toc15056 \h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- 65 -</w:t>
      </w:r>
      <w:r>
        <w:rPr>
          <w:rFonts w:hint="default" w:ascii="Times New Roman" w:hAnsi="Times New Roman" w:eastAsia="方正仿宋_GB2312" w:cs="Times New Roman"/>
          <w:b/>
          <w:color w:val="auto"/>
          <w:sz w:val="32"/>
          <w:szCs w:val="32"/>
          <w:highlight w:val="none"/>
        </w:rPr>
        <w:fldChar w:fldCharType="end"/>
      </w:r>
      <w:r>
        <w:rPr>
          <w:rFonts w:hint="default" w:ascii="Times New Roman" w:hAnsi="Times New Roman" w:eastAsia="方正仿宋_GB2312" w:cs="Times New Roman"/>
          <w:b/>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_Toc8429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6.1指导思想、原则和依据</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_Toc8429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- 65 -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_Toc24343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6.2供水指标分析</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_Toc24343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- 67 -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_Toc8583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6.3供水平衡分析</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_Toc8583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- 76 -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_Toc14366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6.4水资源配置保障</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_Toc14366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- 78 -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_Toc7316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6.5解决水资源供需失衡的配置措施</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_Toc7316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- 81 -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_Toc28855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6.6水资源配置</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_Toc28855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- 82 -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19"/>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b/>
          <w:color w:val="auto"/>
          <w:sz w:val="32"/>
          <w:szCs w:val="32"/>
          <w:highlight w:val="none"/>
        </w:rPr>
      </w:pP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HYPERLINK \l _Toc16684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第七章  水资源保护</w:t>
      </w:r>
      <w:r>
        <w:rPr>
          <w:rFonts w:hint="default" w:ascii="Times New Roman" w:hAnsi="Times New Roman" w:eastAsia="方正仿宋_GB2312" w:cs="Times New Roman"/>
          <w:b/>
          <w:color w:val="auto"/>
          <w:sz w:val="32"/>
          <w:szCs w:val="32"/>
          <w:highlight w:val="none"/>
        </w:rPr>
        <w:tab/>
      </w: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PAGEREF _Toc16684 \h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- 87 -</w:t>
      </w:r>
      <w:r>
        <w:rPr>
          <w:rFonts w:hint="default" w:ascii="Times New Roman" w:hAnsi="Times New Roman" w:eastAsia="方正仿宋_GB2312" w:cs="Times New Roman"/>
          <w:b/>
          <w:color w:val="auto"/>
          <w:sz w:val="32"/>
          <w:szCs w:val="32"/>
          <w:highlight w:val="none"/>
        </w:rPr>
        <w:fldChar w:fldCharType="end"/>
      </w:r>
      <w:r>
        <w:rPr>
          <w:rFonts w:hint="default" w:ascii="Times New Roman" w:hAnsi="Times New Roman" w:eastAsia="方正仿宋_GB2312" w:cs="Times New Roman"/>
          <w:b/>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_Toc13536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7.1水功能区划分和水质保护目标</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_Toc13536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- 87 -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_Toc1916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7.2饮用水源地保护</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_Toc1916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- 90 -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_Toc12206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7.3地下水保护</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_Toc12206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- 92 -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19"/>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b/>
          <w:color w:val="auto"/>
          <w:sz w:val="32"/>
          <w:szCs w:val="32"/>
          <w:highlight w:val="none"/>
        </w:rPr>
      </w:pP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HYPERLINK \l _Toc7030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第八章  保障措施</w:t>
      </w:r>
      <w:r>
        <w:rPr>
          <w:rFonts w:hint="default" w:ascii="Times New Roman" w:hAnsi="Times New Roman" w:eastAsia="方正仿宋_GB2312" w:cs="Times New Roman"/>
          <w:b/>
          <w:color w:val="auto"/>
          <w:sz w:val="32"/>
          <w:szCs w:val="32"/>
          <w:highlight w:val="none"/>
        </w:rPr>
        <w:tab/>
      </w: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PAGEREF _Toc7030 \h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- 94 -</w:t>
      </w:r>
      <w:r>
        <w:rPr>
          <w:rFonts w:hint="default" w:ascii="Times New Roman" w:hAnsi="Times New Roman" w:eastAsia="方正仿宋_GB2312" w:cs="Times New Roman"/>
          <w:b/>
          <w:color w:val="auto"/>
          <w:sz w:val="32"/>
          <w:szCs w:val="32"/>
          <w:highlight w:val="none"/>
        </w:rPr>
        <w:fldChar w:fldCharType="end"/>
      </w:r>
      <w:r>
        <w:rPr>
          <w:rFonts w:hint="default" w:ascii="Times New Roman" w:hAnsi="Times New Roman" w:eastAsia="方正仿宋_GB2312" w:cs="Times New Roman"/>
          <w:b/>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_Toc7608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8.1全面落实最严格水资源管理制度</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_Toc7608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- 95 -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_Toc11798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8.2坚持总量控制，强化水资源刚性约束</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_Toc11798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- 95 -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_Toc16318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8.3坚持节水优先，加大水资源节约集约利用</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_Toc16318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- 97 -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_Toc27116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8.4坚持生态优先，不断加大水生态修复力度</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_Toc27116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- 99 -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_Toc6047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8.5坚持优化配置，不断完善水资源供给网络</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_Toc6047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- 100 -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_Toc27841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8.6坚持一盘棋思想，完善水资源管理体制机制</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_Toc27841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- 102 -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19"/>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b/>
          <w:color w:val="auto"/>
          <w:sz w:val="32"/>
          <w:szCs w:val="32"/>
          <w:highlight w:val="none"/>
        </w:rPr>
      </w:pP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HYPERLINK \l _Toc27095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第九章  结论及建议</w:t>
      </w:r>
      <w:r>
        <w:rPr>
          <w:rFonts w:hint="default" w:ascii="Times New Roman" w:hAnsi="Times New Roman" w:eastAsia="方正仿宋_GB2312" w:cs="Times New Roman"/>
          <w:b/>
          <w:color w:val="auto"/>
          <w:sz w:val="32"/>
          <w:szCs w:val="32"/>
          <w:highlight w:val="none"/>
        </w:rPr>
        <w:tab/>
      </w:r>
      <w:r>
        <w:rPr>
          <w:rFonts w:hint="default" w:ascii="Times New Roman" w:hAnsi="Times New Roman" w:eastAsia="方正仿宋_GB2312" w:cs="Times New Roman"/>
          <w:b/>
          <w:color w:val="auto"/>
          <w:sz w:val="32"/>
          <w:szCs w:val="32"/>
          <w:highlight w:val="none"/>
        </w:rPr>
        <w:fldChar w:fldCharType="begin"/>
      </w:r>
      <w:r>
        <w:rPr>
          <w:rFonts w:hint="default" w:ascii="Times New Roman" w:hAnsi="Times New Roman" w:eastAsia="方正仿宋_GB2312" w:cs="Times New Roman"/>
          <w:b/>
          <w:color w:val="auto"/>
          <w:sz w:val="32"/>
          <w:szCs w:val="32"/>
          <w:highlight w:val="none"/>
        </w:rPr>
        <w:instrText xml:space="preserve"> PAGEREF _Toc27095 \h </w:instrText>
      </w:r>
      <w:r>
        <w:rPr>
          <w:rFonts w:hint="default" w:ascii="Times New Roman" w:hAnsi="Times New Roman" w:eastAsia="方正仿宋_GB2312" w:cs="Times New Roman"/>
          <w:b/>
          <w:color w:val="auto"/>
          <w:sz w:val="32"/>
          <w:szCs w:val="32"/>
          <w:highlight w:val="none"/>
        </w:rPr>
        <w:fldChar w:fldCharType="separate"/>
      </w:r>
      <w:r>
        <w:rPr>
          <w:rFonts w:hint="default" w:ascii="Times New Roman" w:hAnsi="Times New Roman" w:eastAsia="方正仿宋_GB2312" w:cs="Times New Roman"/>
          <w:b/>
          <w:color w:val="auto"/>
          <w:sz w:val="32"/>
          <w:szCs w:val="32"/>
          <w:highlight w:val="none"/>
        </w:rPr>
        <w:t>- 103 -</w:t>
      </w:r>
      <w:r>
        <w:rPr>
          <w:rFonts w:hint="default" w:ascii="Times New Roman" w:hAnsi="Times New Roman" w:eastAsia="方正仿宋_GB2312" w:cs="Times New Roman"/>
          <w:b/>
          <w:color w:val="auto"/>
          <w:sz w:val="32"/>
          <w:szCs w:val="32"/>
          <w:highlight w:val="none"/>
        </w:rPr>
        <w:fldChar w:fldCharType="end"/>
      </w:r>
      <w:r>
        <w:rPr>
          <w:rFonts w:hint="default" w:ascii="Times New Roman" w:hAnsi="Times New Roman" w:eastAsia="方正仿宋_GB2312" w:cs="Times New Roman"/>
          <w:b/>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_Toc30609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9.1结论</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_Toc30609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- 103 -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0"/>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方正仿宋_GB2312" w:cs="Times New Roman"/>
          <w:color w:val="auto"/>
          <w:sz w:val="32"/>
          <w:szCs w:val="32"/>
          <w:highlight w:val="none"/>
        </w:rPr>
      </w:pP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HYPERLINK \l _Toc4127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9.2建议</w:t>
      </w:r>
      <w:r>
        <w:rPr>
          <w:rFonts w:hint="default" w:ascii="Times New Roman" w:hAnsi="Times New Roman" w:eastAsia="方正仿宋_GB2312" w:cs="Times New Roman"/>
          <w:color w:val="auto"/>
          <w:sz w:val="32"/>
          <w:szCs w:val="32"/>
          <w:highlight w:val="none"/>
        </w:rPr>
        <w:tab/>
      </w:r>
      <w:r>
        <w:rPr>
          <w:rFonts w:hint="default" w:ascii="Times New Roman" w:hAnsi="Times New Roman" w:eastAsia="方正仿宋_GB2312" w:cs="Times New Roman"/>
          <w:color w:val="auto"/>
          <w:sz w:val="32"/>
          <w:szCs w:val="32"/>
          <w:highlight w:val="none"/>
        </w:rPr>
        <w:fldChar w:fldCharType="begin"/>
      </w:r>
      <w:r>
        <w:rPr>
          <w:rFonts w:hint="default" w:ascii="Times New Roman" w:hAnsi="Times New Roman" w:eastAsia="方正仿宋_GB2312" w:cs="Times New Roman"/>
          <w:color w:val="auto"/>
          <w:sz w:val="32"/>
          <w:szCs w:val="32"/>
          <w:highlight w:val="none"/>
        </w:rPr>
        <w:instrText xml:space="preserve"> PAGEREF _Toc4127 \h </w:instrText>
      </w:r>
      <w:r>
        <w:rPr>
          <w:rFonts w:hint="default" w:ascii="Times New Roman" w:hAnsi="Times New Roman" w:eastAsia="方正仿宋_GB2312" w:cs="Times New Roman"/>
          <w:color w:val="auto"/>
          <w:sz w:val="32"/>
          <w:szCs w:val="32"/>
          <w:highlight w:val="none"/>
        </w:rPr>
        <w:fldChar w:fldCharType="separate"/>
      </w:r>
      <w:r>
        <w:rPr>
          <w:rFonts w:hint="default" w:ascii="Times New Roman" w:hAnsi="Times New Roman" w:eastAsia="方正仿宋_GB2312" w:cs="Times New Roman"/>
          <w:color w:val="auto"/>
          <w:sz w:val="32"/>
          <w:szCs w:val="32"/>
          <w:highlight w:val="none"/>
        </w:rPr>
        <w:t>- 105 -</w:t>
      </w:r>
      <w:r>
        <w:rPr>
          <w:rFonts w:hint="default" w:ascii="Times New Roman" w:hAnsi="Times New Roman" w:eastAsia="方正仿宋_GB2312" w:cs="Times New Roman"/>
          <w:color w:val="auto"/>
          <w:sz w:val="32"/>
          <w:szCs w:val="32"/>
          <w:highlight w:val="none"/>
        </w:rPr>
        <w:fldChar w:fldCharType="end"/>
      </w:r>
      <w:r>
        <w:rPr>
          <w:rFonts w:hint="default" w:ascii="Times New Roman" w:hAnsi="Times New Roman" w:eastAsia="方正仿宋_GB2312" w:cs="Times New Roman"/>
          <w:color w:val="auto"/>
          <w:sz w:val="32"/>
          <w:szCs w:val="32"/>
          <w:highlight w:val="none"/>
        </w:rPr>
        <w:fldChar w:fldCharType="end"/>
      </w:r>
    </w:p>
    <w:p>
      <w:pPr>
        <w:pStyle w:val="21"/>
        <w:keepNext w:val="0"/>
        <w:keepLines w:val="0"/>
        <w:pageBreakBefore w:val="0"/>
        <w:tabs>
          <w:tab w:val="right" w:leader="dot" w:pos="8504"/>
        </w:tabs>
        <w:kinsoku/>
        <w:wordWrap/>
        <w:overflowPunct/>
        <w:topLinePunct w:val="0"/>
        <w:autoSpaceDE/>
        <w:autoSpaceDN/>
        <w:bidi w:val="0"/>
        <w:adjustRightInd w:val="0"/>
        <w:snapToGrid w:val="0"/>
        <w:spacing w:line="560" w:lineRule="exact"/>
        <w:textAlignment w:val="auto"/>
        <w:rPr>
          <w:rFonts w:hint="default" w:ascii="Times New Roman" w:hAnsi="Times New Roman" w:eastAsia="仿宋" w:cs="Times New Roman"/>
          <w:color w:val="auto"/>
          <w:highlight w:val="none"/>
        </w:rPr>
        <w:sectPr>
          <w:footerReference r:id="rId4" w:type="default"/>
          <w:pgSz w:w="11906" w:h="16838"/>
          <w:pgMar w:top="2098" w:right="1474" w:bottom="1984" w:left="1587" w:header="851" w:footer="1417" w:gutter="0"/>
          <w:pgNumType w:fmt="upperRoman" w:start="1"/>
          <w:cols w:space="720" w:num="1"/>
          <w:rtlGutter w:val="0"/>
          <w:docGrid w:type="lines" w:linePitch="312" w:charSpace="0"/>
        </w:sectPr>
      </w:pPr>
      <w:r>
        <w:rPr>
          <w:rFonts w:hint="default" w:ascii="Times New Roman" w:hAnsi="Times New Roman" w:eastAsia="方正仿宋_GB2312" w:cs="Times New Roman"/>
          <w:b/>
          <w:color w:val="auto"/>
          <w:sz w:val="32"/>
          <w:szCs w:val="32"/>
          <w:highlight w:val="none"/>
        </w:rPr>
        <w:fldChar w:fldCharType="end"/>
      </w:r>
      <w:r>
        <w:rPr>
          <w:rFonts w:hint="default" w:ascii="Times New Roman" w:hAnsi="Times New Roman" w:eastAsia="仿宋" w:cs="Times New Roman"/>
          <w:color w:val="auto"/>
          <w:sz w:val="32"/>
          <w:szCs w:val="32"/>
          <w:highlight w:val="none"/>
        </w:rPr>
        <w:fldChar w:fldCharType="end"/>
      </w:r>
      <w:r>
        <w:rPr>
          <w:rFonts w:hint="default" w:ascii="Times New Roman" w:hAnsi="Times New Roman" w:eastAsia="仿宋" w:cs="Times New Roman"/>
          <w:color w:val="auto"/>
          <w:highlight w:val="none"/>
        </w:rPr>
        <w:fldChar w:fldCharType="end"/>
      </w:r>
    </w:p>
    <w:p>
      <w:pPr>
        <w:adjustRightInd/>
        <w:snapToGrid/>
        <w:spacing w:line="240" w:lineRule="auto"/>
        <w:ind w:firstLine="0" w:firstLineChars="0"/>
        <w:jc w:val="center"/>
        <w:outlineLvl w:val="0"/>
        <w:rPr>
          <w:rFonts w:hint="default" w:ascii="Times New Roman" w:hAnsi="Times New Roman" w:eastAsia="黑体" w:cs="Times New Roman"/>
          <w:bCs/>
          <w:color w:val="auto"/>
          <w:spacing w:val="-28"/>
          <w:sz w:val="32"/>
          <w:szCs w:val="32"/>
          <w:highlight w:val="none"/>
        </w:rPr>
      </w:pPr>
      <w:bookmarkStart w:id="0" w:name="_Toc15850"/>
      <w:bookmarkStart w:id="1" w:name="_Toc21677"/>
      <w:r>
        <w:rPr>
          <w:rFonts w:hint="default" w:ascii="Times New Roman" w:hAnsi="Times New Roman" w:eastAsia="黑体" w:cs="Times New Roman"/>
          <w:bCs/>
          <w:color w:val="auto"/>
          <w:sz w:val="32"/>
          <w:szCs w:val="32"/>
          <w:highlight w:val="none"/>
        </w:rPr>
        <w:t>附件目录</w:t>
      </w:r>
      <w:bookmarkEnd w:id="0"/>
      <w:bookmarkEnd w:id="1"/>
    </w:p>
    <w:p>
      <w:pPr>
        <w:adjustRightInd/>
        <w:snapToGrid/>
        <w:spacing w:line="560" w:lineRule="exact"/>
        <w:ind w:firstLine="0" w:firstLineChars="0"/>
        <w:rPr>
          <w:rFonts w:hint="default" w:ascii="Times New Roman" w:hAnsi="Times New Roman" w:eastAsia="仿宋_GB2312" w:cs="Times New Roman"/>
          <w:color w:val="auto"/>
          <w:szCs w:val="30"/>
          <w:highlight w:val="none"/>
          <w:lang w:eastAsia="zh-CN"/>
        </w:rPr>
      </w:pPr>
      <w:r>
        <w:rPr>
          <w:rFonts w:hint="default" w:ascii="Times New Roman" w:hAnsi="Times New Roman" w:eastAsia="仿宋_GB2312" w:cs="Times New Roman"/>
          <w:b/>
          <w:bCs/>
          <w:color w:val="auto"/>
          <w:szCs w:val="30"/>
          <w:highlight w:val="none"/>
        </w:rPr>
        <w:t>附件1</w:t>
      </w:r>
      <w:r>
        <w:rPr>
          <w:rFonts w:hint="default" w:ascii="Times New Roman" w:hAnsi="Times New Roman" w:eastAsia="仿宋_GB2312" w:cs="Times New Roman"/>
          <w:color w:val="auto"/>
          <w:szCs w:val="30"/>
          <w:highlight w:val="none"/>
        </w:rPr>
        <w:t>：</w:t>
      </w:r>
      <w:r>
        <w:rPr>
          <w:rFonts w:hint="default" w:ascii="Times New Roman" w:hAnsi="Times New Roman" w:cs="Times New Roman"/>
          <w:color w:val="auto"/>
          <w:szCs w:val="30"/>
          <w:highlight w:val="none"/>
          <w:lang w:eastAsia="zh-CN"/>
        </w:rPr>
        <w:t>《</w:t>
      </w:r>
      <w:r>
        <w:rPr>
          <w:rFonts w:hint="default" w:ascii="Times New Roman" w:hAnsi="Times New Roman" w:eastAsia="仿宋_GB2312" w:cs="Times New Roman"/>
          <w:color w:val="auto"/>
          <w:szCs w:val="30"/>
          <w:highlight w:val="none"/>
        </w:rPr>
        <w:t>自治区人民政府办公厅关于印发宁夏黄河水资源县级初始水权分配方案的通知</w:t>
      </w:r>
      <w:r>
        <w:rPr>
          <w:rFonts w:hint="default" w:ascii="Times New Roman" w:hAnsi="Times New Roman" w:cs="Times New Roman"/>
          <w:color w:val="auto"/>
          <w:szCs w:val="30"/>
          <w:highlight w:val="none"/>
          <w:lang w:eastAsia="zh-CN"/>
        </w:rPr>
        <w:t>》（</w:t>
      </w:r>
      <w:r>
        <w:rPr>
          <w:rFonts w:hint="default" w:ascii="Times New Roman" w:hAnsi="Times New Roman" w:eastAsia="仿宋_GB2312" w:cs="Times New Roman"/>
          <w:color w:val="auto"/>
          <w:szCs w:val="30"/>
          <w:highlight w:val="none"/>
        </w:rPr>
        <w:t>宁政办发﹝2009﹞221号</w:t>
      </w:r>
      <w:r>
        <w:rPr>
          <w:rFonts w:hint="default" w:ascii="Times New Roman" w:hAnsi="Times New Roman" w:cs="Times New Roman"/>
          <w:color w:val="auto"/>
          <w:szCs w:val="30"/>
          <w:highlight w:val="none"/>
          <w:lang w:eastAsia="zh-CN"/>
        </w:rPr>
        <w:t>）</w:t>
      </w:r>
      <w:r>
        <w:rPr>
          <w:rFonts w:hint="default" w:ascii="Times New Roman" w:hAnsi="Times New Roman" w:eastAsia="仿宋_GB2312" w:cs="Times New Roman"/>
          <w:color w:val="auto"/>
          <w:szCs w:val="30"/>
          <w:highlight w:val="none"/>
        </w:rPr>
        <w:t>；</w:t>
      </w:r>
    </w:p>
    <w:p>
      <w:pPr>
        <w:adjustRightInd/>
        <w:snapToGrid/>
        <w:spacing w:line="560" w:lineRule="exact"/>
        <w:ind w:firstLine="0" w:firstLineChars="0"/>
        <w:rPr>
          <w:rFonts w:hint="default" w:ascii="Times New Roman" w:hAnsi="Times New Roman" w:eastAsia="仿宋_GB2312" w:cs="Times New Roman"/>
          <w:color w:val="auto"/>
          <w:szCs w:val="30"/>
          <w:highlight w:val="none"/>
          <w:lang w:eastAsia="zh-CN"/>
        </w:rPr>
      </w:pPr>
      <w:r>
        <w:rPr>
          <w:rFonts w:hint="default" w:ascii="Times New Roman" w:hAnsi="Times New Roman" w:eastAsia="仿宋_GB2312" w:cs="Times New Roman"/>
          <w:b/>
          <w:bCs/>
          <w:color w:val="auto"/>
          <w:szCs w:val="30"/>
          <w:highlight w:val="none"/>
        </w:rPr>
        <w:t>附件2</w:t>
      </w:r>
      <w:r>
        <w:rPr>
          <w:rFonts w:hint="default" w:ascii="Times New Roman" w:hAnsi="Times New Roman" w:eastAsia="仿宋_GB2312" w:cs="Times New Roman"/>
          <w:color w:val="auto"/>
          <w:szCs w:val="30"/>
          <w:highlight w:val="none"/>
        </w:rPr>
        <w:t>：</w:t>
      </w:r>
      <w:r>
        <w:rPr>
          <w:rFonts w:hint="default" w:ascii="Times New Roman" w:hAnsi="Times New Roman" w:cs="Times New Roman"/>
          <w:color w:val="auto"/>
          <w:szCs w:val="30"/>
          <w:highlight w:val="none"/>
          <w:lang w:eastAsia="zh-CN"/>
        </w:rPr>
        <w:t>《</w:t>
      </w:r>
      <w:r>
        <w:rPr>
          <w:rFonts w:hint="default" w:ascii="Times New Roman" w:hAnsi="Times New Roman" w:eastAsia="仿宋_GB2312" w:cs="Times New Roman"/>
          <w:color w:val="auto"/>
          <w:szCs w:val="30"/>
          <w:highlight w:val="none"/>
        </w:rPr>
        <w:t>自治区人民政府办公厅关于印发实行最严格水资源管理制度考核办法的通知</w:t>
      </w:r>
      <w:r>
        <w:rPr>
          <w:rFonts w:hint="default" w:ascii="Times New Roman" w:hAnsi="Times New Roman" w:cs="Times New Roman"/>
          <w:color w:val="auto"/>
          <w:szCs w:val="30"/>
          <w:highlight w:val="none"/>
          <w:lang w:eastAsia="zh-CN"/>
        </w:rPr>
        <w:t>》（</w:t>
      </w:r>
      <w:r>
        <w:rPr>
          <w:rFonts w:hint="default" w:ascii="Times New Roman" w:hAnsi="Times New Roman" w:eastAsia="仿宋_GB2312" w:cs="Times New Roman"/>
          <w:color w:val="auto"/>
          <w:szCs w:val="30"/>
          <w:highlight w:val="none"/>
        </w:rPr>
        <w:t>宁政办发﹝2013﹞61号</w:t>
      </w:r>
      <w:r>
        <w:rPr>
          <w:rFonts w:hint="default" w:ascii="Times New Roman" w:hAnsi="Times New Roman" w:cs="Times New Roman"/>
          <w:color w:val="auto"/>
          <w:szCs w:val="30"/>
          <w:highlight w:val="none"/>
          <w:lang w:eastAsia="zh-CN"/>
        </w:rPr>
        <w:t>）</w:t>
      </w:r>
      <w:r>
        <w:rPr>
          <w:rFonts w:hint="default" w:ascii="Times New Roman" w:hAnsi="Times New Roman" w:eastAsia="仿宋_GB2312" w:cs="Times New Roman"/>
          <w:color w:val="auto"/>
          <w:szCs w:val="30"/>
          <w:highlight w:val="none"/>
        </w:rPr>
        <w:t>；</w:t>
      </w:r>
    </w:p>
    <w:p>
      <w:pPr>
        <w:adjustRightInd/>
        <w:snapToGrid/>
        <w:spacing w:line="560" w:lineRule="exact"/>
        <w:ind w:firstLine="0" w:firstLineChars="0"/>
        <w:rPr>
          <w:rFonts w:hint="default" w:ascii="Times New Roman" w:hAnsi="Times New Roman" w:eastAsia="仿宋_GB2312" w:cs="Times New Roman"/>
          <w:color w:val="auto"/>
          <w:szCs w:val="30"/>
          <w:highlight w:val="none"/>
          <w:lang w:eastAsia="zh-CN"/>
        </w:rPr>
      </w:pPr>
      <w:r>
        <w:rPr>
          <w:rFonts w:hint="default" w:ascii="Times New Roman" w:hAnsi="Times New Roman" w:eastAsia="仿宋_GB2312" w:cs="Times New Roman"/>
          <w:b/>
          <w:bCs/>
          <w:color w:val="auto"/>
          <w:szCs w:val="30"/>
          <w:highlight w:val="none"/>
        </w:rPr>
        <w:t>附件3：</w:t>
      </w:r>
      <w:r>
        <w:rPr>
          <w:rFonts w:hint="default" w:ascii="Times New Roman" w:hAnsi="Times New Roman" w:eastAsia="仿宋_GB2312" w:cs="Times New Roman"/>
          <w:color w:val="auto"/>
          <w:szCs w:val="30"/>
          <w:highlight w:val="none"/>
          <w:lang w:eastAsia="zh-CN"/>
        </w:rPr>
        <w:t>《</w:t>
      </w:r>
      <w:r>
        <w:rPr>
          <w:rFonts w:hint="default" w:ascii="Times New Roman" w:hAnsi="Times New Roman" w:eastAsia="仿宋_GB2312" w:cs="Times New Roman"/>
          <w:color w:val="auto"/>
          <w:szCs w:val="30"/>
          <w:highlight w:val="none"/>
        </w:rPr>
        <w:t>自治区人民政府办公厅关于印发“十三五”实行水资源消耗总量和强度双控行动加快推进节水型社会建设实施方案的通知</w:t>
      </w:r>
      <w:r>
        <w:rPr>
          <w:rFonts w:hint="default" w:ascii="Times New Roman" w:hAnsi="Times New Roman" w:eastAsia="仿宋_GB2312" w:cs="Times New Roman"/>
          <w:color w:val="auto"/>
          <w:szCs w:val="30"/>
          <w:highlight w:val="none"/>
          <w:lang w:eastAsia="zh-CN"/>
        </w:rPr>
        <w:t>》</w:t>
      </w:r>
      <w:r>
        <w:rPr>
          <w:rFonts w:hint="default" w:ascii="Times New Roman" w:hAnsi="Times New Roman" w:cs="Times New Roman"/>
          <w:color w:val="auto"/>
          <w:szCs w:val="30"/>
          <w:highlight w:val="none"/>
          <w:lang w:eastAsia="zh-CN"/>
        </w:rPr>
        <w:t>（</w:t>
      </w:r>
      <w:r>
        <w:rPr>
          <w:rFonts w:hint="default" w:ascii="Times New Roman" w:hAnsi="Times New Roman" w:eastAsia="仿宋_GB2312" w:cs="Times New Roman"/>
          <w:color w:val="auto"/>
          <w:szCs w:val="30"/>
          <w:highlight w:val="none"/>
        </w:rPr>
        <w:t>宁政办发﹝2017﹞47号</w:t>
      </w:r>
      <w:r>
        <w:rPr>
          <w:rFonts w:hint="default" w:ascii="Times New Roman" w:hAnsi="Times New Roman" w:cs="Times New Roman"/>
          <w:color w:val="auto"/>
          <w:szCs w:val="30"/>
          <w:highlight w:val="none"/>
          <w:lang w:eastAsia="zh-CN"/>
        </w:rPr>
        <w:t>）</w:t>
      </w:r>
      <w:r>
        <w:rPr>
          <w:rFonts w:hint="default" w:ascii="Times New Roman" w:hAnsi="Times New Roman" w:eastAsia="仿宋_GB2312" w:cs="Times New Roman"/>
          <w:color w:val="auto"/>
          <w:szCs w:val="30"/>
          <w:highlight w:val="none"/>
        </w:rPr>
        <w:t>；</w:t>
      </w:r>
    </w:p>
    <w:p>
      <w:pPr>
        <w:adjustRightInd/>
        <w:snapToGrid/>
        <w:spacing w:line="560" w:lineRule="exact"/>
        <w:ind w:firstLine="0" w:firstLineChars="0"/>
        <w:rPr>
          <w:rFonts w:hint="default" w:ascii="Times New Roman" w:hAnsi="Times New Roman" w:eastAsia="仿宋_GB2312" w:cs="Times New Roman"/>
          <w:color w:val="auto"/>
          <w:szCs w:val="30"/>
          <w:highlight w:val="none"/>
        </w:rPr>
      </w:pPr>
      <w:r>
        <w:rPr>
          <w:rFonts w:hint="default" w:ascii="Times New Roman" w:hAnsi="Times New Roman" w:eastAsia="仿宋_GB2312" w:cs="Times New Roman"/>
          <w:b/>
          <w:bCs/>
          <w:color w:val="auto"/>
          <w:szCs w:val="30"/>
          <w:highlight w:val="none"/>
        </w:rPr>
        <w:t>附件</w:t>
      </w:r>
      <w:r>
        <w:rPr>
          <w:rFonts w:hint="default" w:ascii="Times New Roman" w:hAnsi="Times New Roman" w:eastAsia="仿宋_GB2312" w:cs="Times New Roman"/>
          <w:b/>
          <w:bCs/>
          <w:color w:val="auto"/>
          <w:szCs w:val="30"/>
          <w:highlight w:val="none"/>
          <w:lang w:val="en-US" w:eastAsia="zh-CN"/>
        </w:rPr>
        <w:t>4</w:t>
      </w:r>
      <w:r>
        <w:rPr>
          <w:rFonts w:hint="default" w:ascii="Times New Roman" w:hAnsi="Times New Roman" w:eastAsia="仿宋_GB2312" w:cs="Times New Roman"/>
          <w:b/>
          <w:bCs/>
          <w:color w:val="auto"/>
          <w:szCs w:val="30"/>
          <w:highlight w:val="none"/>
        </w:rPr>
        <w:t>：</w:t>
      </w:r>
      <w:r>
        <w:rPr>
          <w:rFonts w:hint="default" w:ascii="Times New Roman" w:hAnsi="Times New Roman" w:eastAsia="仿宋_GB2312" w:cs="Times New Roman"/>
          <w:color w:val="auto"/>
          <w:szCs w:val="30"/>
          <w:highlight w:val="none"/>
        </w:rPr>
        <w:t>《水利部关于黄河流域水资源超载地区暂停新增取水许可的通知》</w:t>
      </w:r>
      <w:r>
        <w:rPr>
          <w:rFonts w:hint="default" w:ascii="Times New Roman" w:hAnsi="Times New Roman" w:eastAsia="仿宋_GB2312" w:cs="Times New Roman"/>
          <w:color w:val="auto"/>
          <w:szCs w:val="30"/>
          <w:highlight w:val="none"/>
          <w:lang w:eastAsia="zh-CN"/>
        </w:rPr>
        <w:t>（</w:t>
      </w:r>
      <w:r>
        <w:rPr>
          <w:rFonts w:hint="default" w:ascii="Times New Roman" w:hAnsi="Times New Roman" w:eastAsia="仿宋_GB2312" w:cs="Times New Roman"/>
          <w:color w:val="auto"/>
          <w:kern w:val="2"/>
          <w:szCs w:val="30"/>
          <w:highlight w:val="none"/>
        </w:rPr>
        <w:t>水资管</w:t>
      </w:r>
      <w:r>
        <w:rPr>
          <w:rFonts w:hint="default" w:ascii="Times New Roman" w:hAnsi="Times New Roman" w:eastAsia="仿宋_GB2312" w:cs="Times New Roman"/>
          <w:color w:val="auto"/>
          <w:szCs w:val="30"/>
          <w:highlight w:val="none"/>
        </w:rPr>
        <w:t>﹝2020﹞280号</w:t>
      </w:r>
      <w:r>
        <w:rPr>
          <w:rFonts w:hint="default" w:ascii="Times New Roman" w:hAnsi="Times New Roman" w:eastAsia="仿宋_GB2312" w:cs="Times New Roman"/>
          <w:color w:val="auto"/>
          <w:szCs w:val="30"/>
          <w:highlight w:val="none"/>
          <w:lang w:eastAsia="zh-CN"/>
        </w:rPr>
        <w:t>）</w:t>
      </w:r>
      <w:r>
        <w:rPr>
          <w:rFonts w:hint="default" w:ascii="Times New Roman" w:hAnsi="Times New Roman" w:eastAsia="仿宋_GB2312" w:cs="Times New Roman"/>
          <w:color w:val="auto"/>
          <w:szCs w:val="30"/>
          <w:highlight w:val="none"/>
        </w:rPr>
        <w:t>；</w:t>
      </w:r>
    </w:p>
    <w:p>
      <w:pPr>
        <w:adjustRightInd/>
        <w:snapToGrid/>
        <w:spacing w:line="560" w:lineRule="exact"/>
        <w:ind w:firstLine="0" w:firstLineChars="0"/>
        <w:rPr>
          <w:rFonts w:hint="default" w:ascii="Times New Roman" w:hAnsi="Times New Roman" w:eastAsia="仿宋_GB2312" w:cs="Times New Roman"/>
          <w:color w:val="auto"/>
          <w:szCs w:val="30"/>
          <w:highlight w:val="none"/>
        </w:rPr>
      </w:pPr>
      <w:r>
        <w:rPr>
          <w:rFonts w:hint="default" w:ascii="Times New Roman" w:hAnsi="Times New Roman" w:eastAsia="仿宋_GB2312" w:cs="Times New Roman"/>
          <w:b/>
          <w:bCs/>
          <w:color w:val="auto"/>
          <w:szCs w:val="30"/>
          <w:highlight w:val="none"/>
        </w:rPr>
        <w:t>附件</w:t>
      </w:r>
      <w:r>
        <w:rPr>
          <w:rFonts w:hint="default" w:ascii="Times New Roman" w:hAnsi="Times New Roman" w:eastAsia="仿宋_GB2312" w:cs="Times New Roman"/>
          <w:b/>
          <w:bCs/>
          <w:color w:val="auto"/>
          <w:szCs w:val="30"/>
          <w:highlight w:val="none"/>
          <w:lang w:val="en-US" w:eastAsia="zh-CN"/>
        </w:rPr>
        <w:t>5</w:t>
      </w:r>
      <w:r>
        <w:rPr>
          <w:rFonts w:hint="default" w:ascii="Times New Roman" w:hAnsi="Times New Roman" w:eastAsia="仿宋_GB2312" w:cs="Times New Roman"/>
          <w:b/>
          <w:bCs/>
          <w:color w:val="auto"/>
          <w:szCs w:val="30"/>
          <w:highlight w:val="none"/>
        </w:rPr>
        <w:t>：</w:t>
      </w:r>
      <w:r>
        <w:rPr>
          <w:rFonts w:hint="default" w:ascii="Times New Roman" w:hAnsi="Times New Roman" w:eastAsia="仿宋_GB2312" w:cs="Times New Roman"/>
          <w:color w:val="auto"/>
          <w:szCs w:val="30"/>
          <w:highlight w:val="none"/>
        </w:rPr>
        <w:t>《自治区人民政府办公厅关于印发宁夏“十四五”用水权管控指标方案的通知》</w:t>
      </w:r>
      <w:r>
        <w:rPr>
          <w:rFonts w:hint="default" w:ascii="Times New Roman" w:hAnsi="Times New Roman" w:eastAsia="仿宋_GB2312" w:cs="Times New Roman"/>
          <w:color w:val="auto"/>
          <w:szCs w:val="30"/>
          <w:highlight w:val="none"/>
          <w:lang w:eastAsia="zh-CN"/>
        </w:rPr>
        <w:t>（</w:t>
      </w:r>
      <w:r>
        <w:rPr>
          <w:rFonts w:hint="default" w:ascii="Times New Roman" w:hAnsi="Times New Roman" w:eastAsia="仿宋_GB2312" w:cs="Times New Roman"/>
          <w:color w:val="auto"/>
          <w:szCs w:val="30"/>
          <w:highlight w:val="none"/>
        </w:rPr>
        <w:t>宁政办发﹝202</w:t>
      </w:r>
      <w:r>
        <w:rPr>
          <w:rFonts w:hint="default" w:ascii="Times New Roman" w:hAnsi="Times New Roman" w:eastAsia="仿宋_GB2312" w:cs="Times New Roman"/>
          <w:color w:val="auto"/>
          <w:szCs w:val="30"/>
          <w:highlight w:val="none"/>
          <w:lang w:val="en-US" w:eastAsia="zh-CN"/>
        </w:rPr>
        <w:t>1</w:t>
      </w:r>
      <w:r>
        <w:rPr>
          <w:rFonts w:hint="default" w:ascii="Times New Roman" w:hAnsi="Times New Roman" w:eastAsia="仿宋_GB2312" w:cs="Times New Roman"/>
          <w:color w:val="auto"/>
          <w:szCs w:val="30"/>
          <w:highlight w:val="none"/>
        </w:rPr>
        <w:t>﹞76号</w:t>
      </w:r>
      <w:r>
        <w:rPr>
          <w:rFonts w:hint="default" w:ascii="Times New Roman" w:hAnsi="Times New Roman" w:eastAsia="仿宋_GB2312" w:cs="Times New Roman"/>
          <w:color w:val="auto"/>
          <w:szCs w:val="30"/>
          <w:highlight w:val="none"/>
          <w:lang w:eastAsia="zh-CN"/>
        </w:rPr>
        <w:t>）；</w:t>
      </w:r>
    </w:p>
    <w:p>
      <w:pPr>
        <w:adjustRightInd/>
        <w:snapToGrid/>
        <w:spacing w:line="560" w:lineRule="exact"/>
        <w:ind w:firstLine="0" w:firstLineChars="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Cs w:val="30"/>
          <w:highlight w:val="none"/>
        </w:rPr>
        <w:t>附件</w:t>
      </w:r>
      <w:r>
        <w:rPr>
          <w:rFonts w:hint="default" w:ascii="Times New Roman" w:hAnsi="Times New Roman" w:eastAsia="仿宋_GB2312" w:cs="Times New Roman"/>
          <w:b/>
          <w:bCs/>
          <w:color w:val="auto"/>
          <w:szCs w:val="30"/>
          <w:highlight w:val="none"/>
          <w:lang w:val="en-US" w:eastAsia="zh-CN"/>
        </w:rPr>
        <w:t>6</w:t>
      </w:r>
      <w:r>
        <w:rPr>
          <w:rFonts w:hint="default" w:ascii="Times New Roman" w:hAnsi="Times New Roman" w:eastAsia="仿宋_GB2312" w:cs="Times New Roman"/>
          <w:b/>
          <w:bCs/>
          <w:color w:val="auto"/>
          <w:szCs w:val="30"/>
          <w:highlight w:val="none"/>
        </w:rPr>
        <w:t>：</w:t>
      </w:r>
      <w:r>
        <w:rPr>
          <w:rFonts w:hint="default" w:ascii="Times New Roman" w:hAnsi="Times New Roman" w:eastAsia="仿宋_GB2312" w:cs="Times New Roman"/>
          <w:color w:val="auto"/>
          <w:szCs w:val="30"/>
          <w:highlight w:val="none"/>
        </w:rPr>
        <w:t>自治区水利厅关于印发《宁夏回族自治区用水权确权指导意见的通知》</w:t>
      </w:r>
      <w:r>
        <w:rPr>
          <w:rFonts w:hint="default" w:ascii="Times New Roman" w:hAnsi="Times New Roman" w:eastAsia="仿宋_GB2312" w:cs="Times New Roman"/>
          <w:color w:val="auto"/>
          <w:szCs w:val="30"/>
          <w:highlight w:val="none"/>
          <w:lang w:eastAsia="zh-CN"/>
        </w:rPr>
        <w:t>（</w:t>
      </w:r>
      <w:r>
        <w:rPr>
          <w:rFonts w:hint="default" w:ascii="Times New Roman" w:hAnsi="Times New Roman" w:eastAsia="仿宋_GB2312" w:cs="Times New Roman"/>
          <w:color w:val="auto"/>
          <w:szCs w:val="30"/>
          <w:highlight w:val="none"/>
        </w:rPr>
        <w:t>宁水权改发﹝2021﹞1号</w:t>
      </w:r>
      <w:r>
        <w:rPr>
          <w:rFonts w:hint="default" w:ascii="Times New Roman" w:hAnsi="Times New Roman" w:eastAsia="仿宋_GB2312" w:cs="Times New Roman"/>
          <w:color w:val="auto"/>
          <w:szCs w:val="30"/>
          <w:highlight w:val="none"/>
          <w:lang w:eastAsia="zh-CN"/>
        </w:rPr>
        <w:t>）</w:t>
      </w:r>
      <w:r>
        <w:rPr>
          <w:rFonts w:hint="default" w:ascii="Times New Roman" w:hAnsi="Times New Roman" w:eastAsia="仿宋_GB2312" w:cs="Times New Roman"/>
          <w:color w:val="auto"/>
          <w:sz w:val="32"/>
          <w:szCs w:val="32"/>
          <w:highlight w:val="none"/>
        </w:rPr>
        <w:t>。</w:t>
      </w:r>
    </w:p>
    <w:p>
      <w:pPr>
        <w:pStyle w:val="2"/>
        <w:ind w:left="0" w:leftChars="0" w:firstLine="0" w:firstLineChars="0"/>
        <w:jc w:val="center"/>
        <w:rPr>
          <w:rFonts w:hint="default" w:ascii="Times New Roman" w:hAnsi="Times New Roman" w:eastAsia="黑体" w:cs="Times New Roman"/>
          <w:color w:val="auto"/>
          <w:highlight w:val="none"/>
        </w:rPr>
        <w:sectPr>
          <w:headerReference r:id="rId5" w:type="default"/>
          <w:footerReference r:id="rId6" w:type="default"/>
          <w:pgSz w:w="11906" w:h="16838"/>
          <w:pgMar w:top="2098" w:right="1474" w:bottom="1984" w:left="1587" w:header="851" w:footer="1417" w:gutter="0"/>
          <w:pgNumType w:fmt="upperRoman"/>
          <w:cols w:space="720" w:num="1"/>
          <w:rtlGutter w:val="0"/>
          <w:docGrid w:type="lines" w:linePitch="312" w:charSpace="0"/>
        </w:sectPr>
      </w:pPr>
      <w:bookmarkStart w:id="2" w:name="_Toc32426"/>
      <w:bookmarkStart w:id="3" w:name="_Toc278"/>
      <w:bookmarkStart w:id="4" w:name="_Toc9753"/>
      <w:bookmarkStart w:id="5" w:name="_Toc23973"/>
      <w:bookmarkStart w:id="6" w:name="_Toc6585"/>
      <w:bookmarkStart w:id="7" w:name="_Toc11191"/>
      <w:bookmarkStart w:id="8" w:name="_Toc26339"/>
      <w:bookmarkStart w:id="9" w:name="_Toc21414"/>
      <w:bookmarkStart w:id="10" w:name="_Toc2891"/>
      <w:bookmarkStart w:id="11" w:name="_Toc12232"/>
    </w:p>
    <w:p>
      <w:pPr>
        <w:pStyle w:val="2"/>
        <w:ind w:left="0" w:leftChars="0" w:firstLine="0" w:firstLineChars="0"/>
        <w:jc w:val="center"/>
        <w:rPr>
          <w:rFonts w:hint="default" w:ascii="Times New Roman" w:hAnsi="Times New Roman" w:cs="Times New Roman"/>
          <w:color w:val="auto"/>
          <w:highlight w:val="none"/>
        </w:rPr>
      </w:pPr>
      <w:r>
        <w:rPr>
          <w:rFonts w:hint="default" w:ascii="Times New Roman" w:hAnsi="Times New Roman" w:eastAsia="黑体" w:cs="Times New Roman"/>
          <w:color w:val="auto"/>
          <w:highlight w:val="none"/>
        </w:rPr>
        <w:t>第一章  综述</w:t>
      </w:r>
      <w:bookmarkEnd w:id="2"/>
      <w:bookmarkEnd w:id="3"/>
      <w:bookmarkEnd w:id="4"/>
      <w:bookmarkEnd w:id="5"/>
      <w:bookmarkEnd w:id="6"/>
      <w:bookmarkEnd w:id="7"/>
      <w:bookmarkEnd w:id="8"/>
      <w:bookmarkEnd w:id="9"/>
      <w:bookmarkEnd w:id="10"/>
      <w:bookmarkEnd w:id="11"/>
    </w:p>
    <w:p>
      <w:pPr>
        <w:pStyle w:val="6"/>
        <w:rPr>
          <w:rFonts w:hint="default" w:ascii="Times New Roman" w:hAnsi="Times New Roman" w:cs="Times New Roman"/>
          <w:color w:val="auto"/>
          <w:highlight w:val="none"/>
        </w:rPr>
      </w:pPr>
      <w:bookmarkStart w:id="12" w:name="_Toc31041"/>
      <w:bookmarkStart w:id="13" w:name="_Toc10205"/>
      <w:bookmarkStart w:id="14" w:name="_Toc8314"/>
      <w:bookmarkStart w:id="15" w:name="_Toc17698"/>
      <w:bookmarkStart w:id="16" w:name="_Toc8513"/>
      <w:bookmarkStart w:id="17" w:name="_Toc3520"/>
      <w:bookmarkStart w:id="18" w:name="_Toc12089"/>
      <w:bookmarkStart w:id="19" w:name="_Toc30360"/>
      <w:bookmarkStart w:id="20" w:name="_Toc24522"/>
      <w:bookmarkStart w:id="21" w:name="_Toc11823"/>
    </w:p>
    <w:p>
      <w:pPr>
        <w:pStyle w:val="6"/>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1.1项目背景及任务来源</w:t>
      </w:r>
      <w:bookmarkEnd w:id="12"/>
      <w:bookmarkEnd w:id="13"/>
      <w:bookmarkEnd w:id="14"/>
      <w:bookmarkEnd w:id="15"/>
      <w:bookmarkEnd w:id="16"/>
      <w:bookmarkEnd w:id="17"/>
      <w:bookmarkEnd w:id="18"/>
      <w:bookmarkEnd w:id="19"/>
      <w:bookmarkEnd w:id="20"/>
      <w:bookmarkEnd w:id="21"/>
    </w:p>
    <w:p>
      <w:pPr>
        <w:ind w:firstLine="600"/>
        <w:jc w:val="both"/>
        <w:rPr>
          <w:rFonts w:hint="default" w:ascii="Times New Roman" w:hAnsi="Times New Roman" w:eastAsia="仿宋_GB2312" w:cs="Times New Roman"/>
          <w:color w:val="auto"/>
          <w:szCs w:val="30"/>
          <w:highlight w:val="none"/>
        </w:rPr>
      </w:pPr>
      <w:r>
        <w:rPr>
          <w:rFonts w:hint="default" w:ascii="Times New Roman" w:hAnsi="Times New Roman" w:eastAsia="仿宋_GB2312" w:cs="Times New Roman"/>
          <w:color w:val="auto"/>
          <w:sz w:val="32"/>
          <w:szCs w:val="32"/>
          <w:highlight w:val="none"/>
        </w:rPr>
        <w:t>2020年6月8日至10日，习近平总书记来宁视察期间赋予宁夏“建设黄河流域生态保护和高质量发展先行区”的时代重任，并强调“要坚持不懈推动高质量发展，加快转变经济发展方式，加快产业转型升级，加快新旧动能转换，推动经济发展实现量的合理增长和质的稳步提升”。</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自治区党委十二届十一次全会审议通过《关于建设黄河流域生态保护和高质量发展先行区的实施意见》明确提出建设经济转型发展创新区。打造一批在黄河流域乃至全国有一定影响力、竞争力、带动力的特色产业、支柱产业，实现经济发展量的合理增长和质的稳步提升。2020年8月《自治区党委办公厅人民政府办公厅关于建立自治区省级领导同志包抓重点特色产业工作机制的通知》（宁党办</w:t>
      </w:r>
      <w:r>
        <w:rPr>
          <w:rFonts w:hint="default" w:ascii="Times New Roman" w:hAnsi="Times New Roman" w:eastAsia="仿宋_GB2312" w:cs="Times New Roman"/>
          <w:color w:val="auto"/>
          <w:szCs w:val="30"/>
          <w:highlight w:val="none"/>
        </w:rPr>
        <w:t>﹝20</w:t>
      </w:r>
      <w:r>
        <w:rPr>
          <w:rFonts w:hint="default" w:ascii="Times New Roman" w:hAnsi="Times New Roman" w:eastAsia="仿宋_GB2312" w:cs="Times New Roman"/>
          <w:color w:val="auto"/>
          <w:szCs w:val="30"/>
          <w:highlight w:val="none"/>
          <w:lang w:val="en-US" w:eastAsia="zh-CN"/>
        </w:rPr>
        <w:t>20</w:t>
      </w:r>
      <w:r>
        <w:rPr>
          <w:rFonts w:hint="default" w:ascii="Times New Roman" w:hAnsi="Times New Roman" w:eastAsia="仿宋_GB2312" w:cs="Times New Roman"/>
          <w:color w:val="auto"/>
          <w:szCs w:val="30"/>
          <w:highlight w:val="none"/>
        </w:rPr>
        <w:t>﹞</w:t>
      </w:r>
      <w:r>
        <w:rPr>
          <w:rFonts w:hint="default" w:ascii="Times New Roman" w:hAnsi="Times New Roman" w:eastAsia="仿宋_GB2312" w:cs="Times New Roman"/>
          <w:color w:val="auto"/>
          <w:sz w:val="32"/>
          <w:szCs w:val="32"/>
          <w:highlight w:val="none"/>
        </w:rPr>
        <w:t>56号），对推动枸杞产业、葡萄酒产业、奶产业、肉牛和滩羊产业、电子信息产业、新型材料产业、绿色食品产业、清洁能源产业、文化旅游产业等九大重点特色产业发展</w:t>
      </w:r>
      <w:r>
        <w:rPr>
          <w:rFonts w:hint="eastAsia" w:cs="Times New Roman"/>
          <w:color w:val="auto"/>
          <w:sz w:val="32"/>
          <w:szCs w:val="32"/>
          <w:highlight w:val="none"/>
          <w:lang w:eastAsia="zh-CN"/>
        </w:rPr>
        <w:t>作出</w:t>
      </w:r>
      <w:r>
        <w:rPr>
          <w:rFonts w:hint="default" w:ascii="Times New Roman" w:hAnsi="Times New Roman" w:eastAsia="仿宋_GB2312" w:cs="Times New Roman"/>
          <w:color w:val="auto"/>
          <w:sz w:val="32"/>
          <w:szCs w:val="32"/>
          <w:highlight w:val="none"/>
        </w:rPr>
        <w:t>了安排。</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根据中共中卫市委员会《关于深入学习贯彻习近平总书记视察宁夏重要讲话精神继续建设经济繁荣民族团结环境优美人民富裕的美丽新宁夏的实施意见》（卫党发</w:t>
      </w:r>
      <w:r>
        <w:rPr>
          <w:rFonts w:hint="default" w:ascii="Times New Roman" w:hAnsi="Times New Roman" w:eastAsia="仿宋_GB2312" w:cs="Times New Roman"/>
          <w:color w:val="auto"/>
          <w:szCs w:val="30"/>
          <w:highlight w:val="none"/>
        </w:rPr>
        <w:t>﹝20</w:t>
      </w:r>
      <w:r>
        <w:rPr>
          <w:rFonts w:hint="default" w:ascii="Times New Roman" w:hAnsi="Times New Roman" w:eastAsia="仿宋_GB2312" w:cs="Times New Roman"/>
          <w:color w:val="auto"/>
          <w:szCs w:val="30"/>
          <w:highlight w:val="none"/>
          <w:lang w:val="en-US" w:eastAsia="zh-CN"/>
        </w:rPr>
        <w:t>20</w:t>
      </w:r>
      <w:r>
        <w:rPr>
          <w:rFonts w:hint="default" w:ascii="Times New Roman" w:hAnsi="Times New Roman" w:eastAsia="仿宋_GB2312" w:cs="Times New Roman"/>
          <w:color w:val="auto"/>
          <w:szCs w:val="30"/>
          <w:highlight w:val="none"/>
        </w:rPr>
        <w:t>﹞</w:t>
      </w:r>
      <w:r>
        <w:rPr>
          <w:rFonts w:hint="default" w:ascii="Times New Roman" w:hAnsi="Times New Roman" w:eastAsia="仿宋_GB2312" w:cs="Times New Roman"/>
          <w:color w:val="auto"/>
          <w:sz w:val="32"/>
          <w:szCs w:val="32"/>
          <w:highlight w:val="none"/>
        </w:rPr>
        <w:t>9号）、《关于建设黄河流域生态保护和高质量发展先行市的意见》（卫党发</w:t>
      </w:r>
      <w:r>
        <w:rPr>
          <w:rFonts w:hint="default" w:ascii="Times New Roman" w:hAnsi="Times New Roman" w:eastAsia="仿宋_GB2312" w:cs="Times New Roman"/>
          <w:color w:val="auto"/>
          <w:szCs w:val="30"/>
          <w:highlight w:val="none"/>
        </w:rPr>
        <w:t>﹝20</w:t>
      </w:r>
      <w:r>
        <w:rPr>
          <w:rFonts w:hint="default" w:ascii="Times New Roman" w:hAnsi="Times New Roman" w:eastAsia="仿宋_GB2312" w:cs="Times New Roman"/>
          <w:color w:val="auto"/>
          <w:szCs w:val="30"/>
          <w:highlight w:val="none"/>
          <w:lang w:val="en-US" w:eastAsia="zh-CN"/>
        </w:rPr>
        <w:t>20</w:t>
      </w:r>
      <w:r>
        <w:rPr>
          <w:rFonts w:hint="default" w:ascii="Times New Roman" w:hAnsi="Times New Roman" w:eastAsia="仿宋_GB2312" w:cs="Times New Roman"/>
          <w:color w:val="auto"/>
          <w:szCs w:val="30"/>
          <w:highlight w:val="none"/>
        </w:rPr>
        <w:t>﹞</w:t>
      </w:r>
      <w:r>
        <w:rPr>
          <w:rFonts w:hint="default" w:ascii="Times New Roman" w:hAnsi="Times New Roman" w:eastAsia="仿宋_GB2312" w:cs="Times New Roman"/>
          <w:color w:val="auto"/>
          <w:sz w:val="32"/>
          <w:szCs w:val="32"/>
          <w:highlight w:val="none"/>
        </w:rPr>
        <w:t>10号）等相关要求。从黄河流域生态保护和高质量发展的大局出发，以“一带两廊”（沿黄生态经济带，扬黄特色产业廊，脱贫富民产业廊）空间发展规划、“先行市”发展规划为基础。不能把水当作无限供给的资源，有多少汤泡多少馍，要坚持以水定城、以水定地、以水定人、以水定产，把水资源作为最大的刚性约束，合理规划人口、城市和产业发展，坚决抑制不合理用水需求，大力发展节水产业和技术，大力推进农业节水，实施全社会节水行动，推动用水方式由粗放向节约集约转变。</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中卫市沙坡头区的水资源配置规划必须实行最严格水资源管理制度的“三条红线”（水资源开发利用控制红线、用水效率控制红线、水功能区限制纳污红线），</w:t>
      </w:r>
      <w:r>
        <w:rPr>
          <w:rFonts w:hint="default" w:ascii="Times New Roman" w:hAnsi="Times New Roman" w:eastAsia="仿宋_GB2312" w:cs="Times New Roman"/>
          <w:bCs/>
          <w:color w:val="auto"/>
          <w:sz w:val="32"/>
          <w:szCs w:val="32"/>
          <w:highlight w:val="none"/>
        </w:rPr>
        <w:t>严格实行用水总量控制。</w:t>
      </w:r>
      <w:r>
        <w:rPr>
          <w:rFonts w:hint="default" w:ascii="Times New Roman" w:hAnsi="Times New Roman" w:eastAsia="仿宋_GB2312" w:cs="Times New Roman"/>
          <w:color w:val="auto"/>
          <w:sz w:val="32"/>
          <w:szCs w:val="32"/>
          <w:highlight w:val="none"/>
        </w:rPr>
        <w:t>以“节水优先”为前提，合理预测发展指标，协调平衡行业之间、区域之间的用水需求，严格控制用水需求合理增长。</w:t>
      </w:r>
    </w:p>
    <w:p>
      <w:pPr>
        <w:ind w:firstLine="6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最严格水资源管理制度“三条红线”的约束下，全面实施节水行动，以水而定、量水而行，共同抓好大保护、协同推进大治理，以水“四定”管控，强化水资源的最大刚性约束，让黄河成为造福人民的幸福河。中卫市沙坡头区水资源如何保障及配置，目前缺乏一个总体规划指导。因此，为解决中卫市沙坡头区日益复杂的水资源供需问题，实现水资源高效利用和有效保护，保障经济社会可持续发展，编制好中卫市沙坡头区水资源配置规划，具有重要意义。</w:t>
      </w:r>
    </w:p>
    <w:p>
      <w:pPr>
        <w:ind w:firstLine="600"/>
        <w:jc w:val="both"/>
        <w:rPr>
          <w:rFonts w:hint="default" w:ascii="Times New Roman" w:hAnsi="Times New Roman" w:eastAsia="仿宋_GB2312" w:cs="Times New Roman"/>
          <w:color w:val="auto"/>
          <w:szCs w:val="30"/>
          <w:highlight w:val="none"/>
          <w:lang w:eastAsia="zh-CN"/>
        </w:rPr>
      </w:pPr>
      <w:r>
        <w:rPr>
          <w:rFonts w:hint="default" w:ascii="Times New Roman" w:hAnsi="Times New Roman" w:eastAsia="仿宋_GB2312" w:cs="Times New Roman"/>
          <w:color w:val="auto"/>
          <w:sz w:val="32"/>
          <w:szCs w:val="32"/>
          <w:highlight w:val="none"/>
        </w:rPr>
        <w:t>基于2021年</w:t>
      </w:r>
      <w:r>
        <w:rPr>
          <w:rFonts w:hint="default" w:ascii="Times New Roman" w:hAnsi="Times New Roman" w:cs="Times New Roman"/>
          <w:color w:val="auto"/>
          <w:sz w:val="32"/>
          <w:szCs w:val="32"/>
          <w:highlight w:val="none"/>
          <w:lang w:eastAsia="zh-CN"/>
        </w:rPr>
        <w:t>是</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十四五</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规划的开局之年，沙坡头区水务局按照沙坡头区人民政府</w:t>
      </w:r>
      <w:r>
        <w:rPr>
          <w:rFonts w:hint="default" w:ascii="Times New Roman" w:hAnsi="Times New Roman" w:eastAsia="仿宋_GB2312" w:cs="Times New Roman"/>
          <w:color w:val="auto"/>
          <w:sz w:val="32"/>
          <w:szCs w:val="32"/>
          <w:highlight w:val="none"/>
          <w:lang w:val="en-US" w:eastAsia="zh-CN"/>
        </w:rPr>
        <w:t>要求</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编制</w:t>
      </w:r>
      <w:r>
        <w:rPr>
          <w:rFonts w:hint="default" w:ascii="Times New Roman" w:hAnsi="Times New Roman" w:eastAsia="仿宋_GB2312" w:cs="Times New Roman"/>
          <w:color w:val="auto"/>
          <w:sz w:val="32"/>
          <w:szCs w:val="32"/>
          <w:highlight w:val="none"/>
        </w:rPr>
        <w:t>《中卫市沙坡头区“十四五”水资源配置规划（2021-2025年）》</w:t>
      </w:r>
      <w:r>
        <w:rPr>
          <w:rFonts w:hint="default" w:ascii="Times New Roman" w:hAnsi="Times New Roman" w:cs="Times New Roman"/>
          <w:color w:val="auto"/>
          <w:sz w:val="32"/>
          <w:szCs w:val="32"/>
          <w:highlight w:val="none"/>
          <w:lang w:eastAsia="zh-CN"/>
        </w:rPr>
        <w:t>。</w:t>
      </w:r>
    </w:p>
    <w:p>
      <w:pPr>
        <w:pStyle w:val="6"/>
        <w:rPr>
          <w:rFonts w:hint="default" w:ascii="Times New Roman" w:hAnsi="Times New Roman" w:eastAsia="楷体_GB2312" w:cs="Times New Roman"/>
          <w:color w:val="auto"/>
          <w:highlight w:val="none"/>
        </w:rPr>
      </w:pPr>
      <w:bookmarkStart w:id="22" w:name="_Toc23095"/>
      <w:bookmarkStart w:id="23" w:name="_Toc25677"/>
      <w:bookmarkStart w:id="24" w:name="_Toc31480"/>
      <w:bookmarkStart w:id="25" w:name="_Toc26871"/>
      <w:bookmarkStart w:id="26" w:name="_Toc20655"/>
      <w:bookmarkStart w:id="27" w:name="_Toc25713"/>
      <w:bookmarkStart w:id="28" w:name="_Toc17061"/>
      <w:bookmarkStart w:id="29" w:name="_Toc32396"/>
      <w:bookmarkStart w:id="30" w:name="_Toc5255"/>
      <w:bookmarkStart w:id="31" w:name="_Toc22928"/>
      <w:r>
        <w:rPr>
          <w:rFonts w:hint="default" w:ascii="Times New Roman" w:hAnsi="Times New Roman" w:eastAsia="楷体_GB2312" w:cs="Times New Roman"/>
          <w:color w:val="auto"/>
          <w:highlight w:val="none"/>
        </w:rPr>
        <w:t>1.2规划依据</w:t>
      </w:r>
      <w:bookmarkEnd w:id="22"/>
      <w:bookmarkEnd w:id="23"/>
      <w:bookmarkEnd w:id="24"/>
      <w:bookmarkEnd w:id="25"/>
      <w:bookmarkEnd w:id="26"/>
      <w:bookmarkEnd w:id="27"/>
      <w:bookmarkEnd w:id="28"/>
      <w:bookmarkEnd w:id="29"/>
      <w:bookmarkEnd w:id="30"/>
      <w:bookmarkEnd w:id="31"/>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w:t>
      </w:r>
      <w:r>
        <w:rPr>
          <w:rFonts w:hint="default"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国务院《关于实行最严格水资源管理制度的意见》（国发﹝2012﹞3号）；</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国务院办公厅《关于印发实行最严格水资源管理制度考核办法的通知》（国办发﹝2013﹞2号）；</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国务院办公厅《关于黄河可供水量分配方案报告的通知》（国办发﹝1987﹞61号）；</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宁夏回族自治区人民政府《关于实行最严格水资源管理制度的意见》（宁政发﹝2012﹞167号）；</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宁夏回族自治区人民政府办公厅《关于印发实行最严格水资源管理制度考核办法的通知》（宁政办发﹝2013﹞61号）；</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6</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自治区人民政府办公厅《关于印发“十三五”实行水资源消耗总量和强度双控行动加快推进节水型社会建设实施方案的通知》（宁政办发﹝2017﹞47号）；</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7</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宁夏回族自治区人民政府办公厅《关于印发宁夏黄河水资源县级初始水权分配方案的通知》（宁政办发﹝2009﹞221号）；</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8</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《宁夏空间战略规划》（2018年修正）；</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9</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《水利部关于非常规水源纳入水资源统一配置的指导意见》（水利部水资源﹝2017﹞274号）；</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10</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《水资源评价导则》（SL/T238－1999）；</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11</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《水资源供需预测分析技术规范》（SL429－2008）；</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12</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《自治区人民政府办公厅关于印发宁夏回族自治区有关行业用水定额（修订）的通知》（宁政办规发﹝2020﹞20号）；</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w:t>
      </w:r>
      <w:r>
        <w:rPr>
          <w:rFonts w:hint="default" w:ascii="Times New Roman" w:hAnsi="Times New Roman"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《宁夏水资源承载能力评价报告》（宁夏回族自治区水利厅、中国水利水电科学研究院，2016年12月）；</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w:t>
      </w:r>
      <w:r>
        <w:rPr>
          <w:rFonts w:hint="default" w:ascii="Times New Roman" w:hAnsi="Times New Roman"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《黄河流域综合规划（2012</w:t>
      </w:r>
      <w:r>
        <w:rPr>
          <w:rFonts w:hint="default"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2030年）》（水利部黄河水利委员会，2013年1月）；</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w:t>
      </w:r>
      <w:r>
        <w:rPr>
          <w:rFonts w:hint="default" w:ascii="Times New Roman" w:hAnsi="Times New Roman"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《宁夏回族自治区水资源公报》（201</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20</w:t>
      </w:r>
      <w:r>
        <w:rPr>
          <w:rFonts w:hint="default"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rPr>
        <w:t>年）；</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w:t>
      </w:r>
      <w:r>
        <w:rPr>
          <w:rFonts w:hint="default" w:ascii="Times New Roman" w:hAnsi="Times New Roman"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《201</w:t>
      </w:r>
      <w:r>
        <w:rPr>
          <w:rFonts w:hint="default"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20</w:t>
      </w:r>
      <w:r>
        <w:rPr>
          <w:rFonts w:hint="default"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rPr>
        <w:t>年中卫市统计年鉴》；</w:t>
      </w:r>
    </w:p>
    <w:p>
      <w:pPr>
        <w:widowControl/>
        <w:ind w:firstLine="600"/>
        <w:jc w:val="both"/>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kern w:val="2"/>
          <w:sz w:val="32"/>
          <w:szCs w:val="32"/>
          <w:highlight w:val="none"/>
          <w:lang w:val="en-US" w:eastAsia="zh-CN" w:bidi="ar"/>
        </w:rPr>
        <w:t>“十四五”节水型社会建设规划</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2021年10月</w:t>
      </w:r>
      <w:r>
        <w:rPr>
          <w:rFonts w:hint="default" w:ascii="Times New Roman" w:hAnsi="Times New Roman" w:eastAsia="仿宋_GB2312" w:cs="Times New Roman"/>
          <w:color w:val="auto"/>
          <w:sz w:val="32"/>
          <w:szCs w:val="32"/>
          <w:highlight w:val="none"/>
          <w:lang w:eastAsia="zh-CN"/>
        </w:rPr>
        <w:t>）；</w:t>
      </w:r>
    </w:p>
    <w:p>
      <w:pPr>
        <w:widowControl/>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cs="Times New Roman"/>
          <w:color w:val="auto"/>
          <w:sz w:val="32"/>
          <w:szCs w:val="32"/>
          <w:highlight w:val="none"/>
          <w:lang w:val="en-US" w:eastAsia="zh-CN" w:bidi="ar"/>
        </w:rPr>
        <w:t>18</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bidi="ar"/>
        </w:rPr>
        <w:t>《</w:t>
      </w:r>
      <w:r>
        <w:rPr>
          <w:rFonts w:hint="default" w:ascii="Times New Roman" w:hAnsi="Times New Roman" w:eastAsia="仿宋_GB2312" w:cs="Times New Roman"/>
          <w:color w:val="auto"/>
          <w:kern w:val="2"/>
          <w:sz w:val="32"/>
          <w:szCs w:val="32"/>
          <w:highlight w:val="none"/>
          <w:lang w:val="en-US" w:eastAsia="zh-CN" w:bidi="ar"/>
        </w:rPr>
        <w:t>宁夏回族自治区非常规水源利用规划</w:t>
      </w:r>
      <w:r>
        <w:rPr>
          <w:rFonts w:hint="default" w:ascii="Times New Roman" w:hAnsi="Times New Roman" w:eastAsia="仿宋_GB2312" w:cs="Times New Roman"/>
          <w:color w:val="auto"/>
          <w:sz w:val="32"/>
          <w:szCs w:val="32"/>
          <w:highlight w:val="none"/>
          <w:lang w:bidi="ar"/>
        </w:rPr>
        <w:t>》</w:t>
      </w:r>
      <w:r>
        <w:rPr>
          <w:rFonts w:hint="default" w:ascii="Times New Roman" w:hAnsi="Times New Roman" w:eastAsia="仿宋_GB2312" w:cs="Times New Roman"/>
          <w:color w:val="auto"/>
          <w:kern w:val="2"/>
          <w:sz w:val="32"/>
          <w:szCs w:val="32"/>
          <w:highlight w:val="none"/>
          <w:lang w:val="en-US" w:eastAsia="zh-CN" w:bidi="ar"/>
        </w:rPr>
        <w:t>（2021-2025年）</w:t>
      </w:r>
      <w:r>
        <w:rPr>
          <w:rFonts w:hint="default" w:ascii="Times New Roman" w:hAnsi="Times New Roman" w:eastAsia="仿宋_GB2312" w:cs="Times New Roman"/>
          <w:color w:val="auto"/>
          <w:sz w:val="32"/>
          <w:szCs w:val="32"/>
          <w:highlight w:val="none"/>
          <w:lang w:eastAsia="zh-CN" w:bidi="ar"/>
        </w:rPr>
        <w:t>（</w:t>
      </w:r>
      <w:r>
        <w:rPr>
          <w:rFonts w:hint="default" w:ascii="Times New Roman" w:hAnsi="Times New Roman" w:eastAsia="仿宋_GB2312" w:cs="Times New Roman"/>
          <w:color w:val="auto"/>
          <w:kern w:val="2"/>
          <w:sz w:val="32"/>
          <w:szCs w:val="32"/>
          <w:highlight w:val="none"/>
          <w:lang w:val="en-US" w:eastAsia="zh-CN" w:bidi="ar"/>
        </w:rPr>
        <w:t>宁夏回族自治区水利厅、宁夏回族自治区发展</w:t>
      </w:r>
      <w:r>
        <w:rPr>
          <w:rFonts w:hint="eastAsia" w:cs="Times New Roman"/>
          <w:color w:val="auto"/>
          <w:kern w:val="2"/>
          <w:sz w:val="32"/>
          <w:szCs w:val="32"/>
          <w:highlight w:val="none"/>
          <w:lang w:val="en-US" w:eastAsia="zh-CN" w:bidi="ar"/>
        </w:rPr>
        <w:t>和</w:t>
      </w:r>
      <w:r>
        <w:rPr>
          <w:rFonts w:hint="default" w:ascii="Times New Roman" w:hAnsi="Times New Roman" w:eastAsia="仿宋_GB2312" w:cs="Times New Roman"/>
          <w:color w:val="auto"/>
          <w:kern w:val="2"/>
          <w:sz w:val="32"/>
          <w:szCs w:val="32"/>
          <w:highlight w:val="none"/>
          <w:lang w:val="en-US" w:eastAsia="zh-CN" w:bidi="ar"/>
        </w:rPr>
        <w:t>改革委员会、宁夏回族自治区节约用水办公室，2021年9月</w:t>
      </w:r>
      <w:r>
        <w:rPr>
          <w:rFonts w:hint="default" w:ascii="Times New Roman" w:hAnsi="Times New Roman" w:eastAsia="仿宋_GB2312" w:cs="Times New Roman"/>
          <w:color w:val="auto"/>
          <w:sz w:val="32"/>
          <w:szCs w:val="32"/>
          <w:highlight w:val="none"/>
          <w:lang w:eastAsia="zh-CN"/>
        </w:rPr>
        <w:t>）；</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cs="Times New Roman"/>
          <w:color w:val="auto"/>
          <w:sz w:val="32"/>
          <w:szCs w:val="32"/>
          <w:highlight w:val="none"/>
          <w:lang w:val="en-US" w:eastAsia="zh-CN"/>
        </w:rPr>
        <w:t>19</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《中卫市水资源超载治理方案技术报告》</w:t>
      </w:r>
      <w:r>
        <w:rPr>
          <w:rFonts w:hint="default" w:ascii="Times New Roman" w:hAnsi="Times New Roman" w:cs="Times New Roman"/>
          <w:color w:val="auto"/>
          <w:sz w:val="32"/>
          <w:szCs w:val="32"/>
          <w:highlight w:val="none"/>
          <w:lang w:eastAsia="zh-CN"/>
        </w:rPr>
        <w:t>（征求意见稿）</w:t>
      </w:r>
      <w:r>
        <w:rPr>
          <w:rFonts w:hint="default" w:ascii="Times New Roman" w:hAnsi="Times New Roman" w:eastAsia="仿宋_GB2312" w:cs="Times New Roman"/>
          <w:color w:val="auto"/>
          <w:sz w:val="32"/>
          <w:szCs w:val="32"/>
          <w:highlight w:val="none"/>
          <w:lang w:eastAsia="zh-CN"/>
        </w:rPr>
        <w:t>；</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《中卫市工业园区水资源论证报告》</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2021</w:t>
      </w:r>
      <w:r>
        <w:rPr>
          <w:rFonts w:hint="default" w:ascii="Times New Roman" w:hAnsi="Times New Roman" w:cs="Times New Roman"/>
          <w:color w:val="auto"/>
          <w:sz w:val="32"/>
          <w:szCs w:val="32"/>
          <w:highlight w:val="none"/>
          <w:lang w:val="en-US" w:eastAsia="zh-CN"/>
        </w:rPr>
        <w:t>年</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cs="Times New Roman"/>
          <w:color w:val="auto"/>
          <w:sz w:val="32"/>
          <w:szCs w:val="32"/>
          <w:highlight w:val="none"/>
          <w:lang w:val="en-US" w:eastAsia="zh-CN"/>
        </w:rPr>
        <w:t>月</w:t>
      </w:r>
      <w:r>
        <w:rPr>
          <w:rFonts w:hint="default" w:ascii="Times New Roman" w:hAnsi="Times New Roman" w:eastAsia="仿宋_GB2312" w:cs="Times New Roman"/>
          <w:color w:val="auto"/>
          <w:sz w:val="32"/>
          <w:szCs w:val="32"/>
          <w:highlight w:val="none"/>
          <w:lang w:eastAsia="zh-CN"/>
        </w:rPr>
        <w:t>）；</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《沙坡头区水安全保障“十四五”规划》</w:t>
      </w:r>
      <w:r>
        <w:rPr>
          <w:rFonts w:hint="default" w:ascii="Times New Roman" w:hAnsi="Times New Roman" w:cs="Times New Roman"/>
          <w:color w:val="auto"/>
          <w:sz w:val="32"/>
          <w:szCs w:val="32"/>
          <w:highlight w:val="none"/>
          <w:lang w:eastAsia="zh-CN"/>
        </w:rPr>
        <w:t>（征求意见稿）</w:t>
      </w:r>
      <w:r>
        <w:rPr>
          <w:rFonts w:hint="default" w:ascii="Times New Roman" w:hAnsi="Times New Roman" w:eastAsia="仿宋_GB2312" w:cs="Times New Roman"/>
          <w:color w:val="auto"/>
          <w:sz w:val="32"/>
          <w:szCs w:val="32"/>
          <w:highlight w:val="none"/>
        </w:rPr>
        <w:t>；</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default" w:ascii="Times New Roman" w:hAnsi="Times New Roman"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《中卫市沙坡头区畜牧产业发展规划（2018-2025年）》（2018年11月）；</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default" w:ascii="Times New Roman" w:hAnsi="Times New Roman"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《中卫市水安全保障“十四五”规划》（2020年11月）；</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default" w:ascii="Times New Roman" w:hAnsi="Times New Roman"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《中卫市水生态环境保护“十四五”规划》（中卫市生态环境局，2020年10月）；</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default" w:ascii="Times New Roman" w:hAnsi="Times New Roman"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《沙坡头区一带两廊发展规划（2018-2035年）》；</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default" w:ascii="Times New Roman" w:hAnsi="Times New Roman"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《中卫市沙坡头区国民经济和社会发展第十四个五年规划纲要》（沙坡头区人民政府，2020年11月）；</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《沙坡头区乡村振兴战略规划（2018-2022年）》；</w:t>
      </w:r>
    </w:p>
    <w:p>
      <w:pPr>
        <w:ind w:firstLine="600"/>
        <w:jc w:val="both"/>
        <w:rPr>
          <w:rFonts w:hint="default" w:ascii="Times New Roman" w:hAnsi="Times New Roman" w:eastAsia="仿宋_GB2312" w:cs="Times New Roman"/>
          <w:color w:val="auto"/>
          <w:sz w:val="32"/>
          <w:szCs w:val="32"/>
          <w:highlight w:val="none"/>
          <w:lang w:eastAsia="zh-CN"/>
        </w:rPr>
      </w:pPr>
      <w:r>
        <w:rPr>
          <w:rFonts w:hint="default" w:ascii="Times New Roman" w:hAnsi="Times New Roman" w:cs="Times New Roman"/>
          <w:color w:val="auto"/>
          <w:sz w:val="32"/>
          <w:szCs w:val="32"/>
          <w:highlight w:val="none"/>
          <w:lang w:val="en-US" w:eastAsia="zh-CN"/>
        </w:rPr>
        <w:t>28</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《中卫市人民政府公报》2020年第3期</w:t>
      </w:r>
      <w:r>
        <w:rPr>
          <w:rFonts w:hint="default" w:ascii="Times New Roman" w:hAnsi="Times New Roman" w:cs="Times New Roman"/>
          <w:color w:val="auto"/>
          <w:sz w:val="32"/>
          <w:szCs w:val="32"/>
          <w:highlight w:val="none"/>
          <w:lang w:eastAsia="zh-CN"/>
        </w:rPr>
        <w:t>；</w:t>
      </w:r>
    </w:p>
    <w:p>
      <w:pPr>
        <w:widowControl/>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cs="Times New Roman"/>
          <w:color w:val="auto"/>
          <w:sz w:val="32"/>
          <w:szCs w:val="32"/>
          <w:highlight w:val="none"/>
          <w:lang w:val="en-US" w:eastAsia="zh-CN"/>
        </w:rPr>
        <w:t>29</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bidi="ar"/>
        </w:rPr>
        <w:t>关于印发《沙坡头区关于贯彻落实中卫市打响生态保护、污染治理、植绿增绿“三个大会战”分工方案》的通知</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bidi="ar"/>
        </w:rPr>
        <w:t>卫沙党办发</w:t>
      </w:r>
      <w:r>
        <w:rPr>
          <w:rFonts w:hint="default" w:ascii="Times New Roman" w:hAnsi="Times New Roman" w:eastAsia="仿宋_GB2312" w:cs="Times New Roman"/>
          <w:color w:val="auto"/>
          <w:sz w:val="32"/>
          <w:szCs w:val="32"/>
          <w:highlight w:val="none"/>
        </w:rPr>
        <w:t>﹝2020﹞</w:t>
      </w:r>
      <w:r>
        <w:rPr>
          <w:rFonts w:hint="default" w:ascii="Times New Roman" w:hAnsi="Times New Roman" w:eastAsia="仿宋_GB2312" w:cs="Times New Roman"/>
          <w:color w:val="auto"/>
          <w:sz w:val="32"/>
          <w:szCs w:val="32"/>
          <w:highlight w:val="none"/>
          <w:lang w:bidi="ar"/>
        </w:rPr>
        <w:t>29号</w:t>
      </w:r>
      <w:r>
        <w:rPr>
          <w:rFonts w:hint="default" w:ascii="Times New Roman" w:hAnsi="Times New Roman" w:eastAsia="仿宋_GB2312" w:cs="Times New Roman"/>
          <w:color w:val="auto"/>
          <w:sz w:val="32"/>
          <w:szCs w:val="32"/>
          <w:highlight w:val="none"/>
        </w:rPr>
        <w:t>）；</w:t>
      </w:r>
    </w:p>
    <w:p>
      <w:pPr>
        <w:widowControl/>
        <w:ind w:firstLine="600" w:firstLineChars="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《关于印发用水权、土地权、排污权、山林权“四权”改革实施方案的通知》（</w:t>
      </w:r>
      <w:r>
        <w:rPr>
          <w:rFonts w:hint="default" w:ascii="Times New Roman" w:hAnsi="Times New Roman" w:eastAsia="仿宋_GB2312" w:cs="Times New Roman"/>
          <w:color w:val="auto"/>
          <w:sz w:val="32"/>
          <w:szCs w:val="32"/>
          <w:highlight w:val="none"/>
          <w:lang w:bidi="ar"/>
        </w:rPr>
        <w:t>卫党办发</w:t>
      </w:r>
      <w:r>
        <w:rPr>
          <w:rFonts w:hint="default" w:ascii="Times New Roman" w:hAnsi="Times New Roman" w:eastAsia="仿宋_GB2312" w:cs="Times New Roman"/>
          <w:color w:val="auto"/>
          <w:sz w:val="32"/>
          <w:szCs w:val="32"/>
          <w:highlight w:val="none"/>
        </w:rPr>
        <w:t>﹝202</w:t>
      </w:r>
      <w:r>
        <w:rPr>
          <w:rFonts w:hint="default" w:ascii="Times New Roman" w:hAnsi="Times New Roman"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bidi="ar"/>
        </w:rPr>
        <w:t>20号</w:t>
      </w:r>
      <w:r>
        <w:rPr>
          <w:rFonts w:hint="default" w:ascii="Times New Roman" w:hAnsi="Times New Roman" w:eastAsia="仿宋_GB2312" w:cs="Times New Roman"/>
          <w:color w:val="auto"/>
          <w:sz w:val="32"/>
          <w:szCs w:val="32"/>
          <w:highlight w:val="none"/>
        </w:rPr>
        <w:t>）；</w:t>
      </w:r>
    </w:p>
    <w:p>
      <w:pPr>
        <w:widowControl/>
        <w:ind w:firstLine="600" w:firstLineChars="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《中卫市沙坡头区落实水资源“四定”原则深入推进用水权</w:t>
      </w:r>
      <w:r>
        <w:rPr>
          <w:rFonts w:hint="default" w:ascii="Times New Roman" w:hAnsi="Times New Roman" w:eastAsia="仿宋_GB2312" w:cs="Times New Roman"/>
          <w:color w:val="auto"/>
          <w:spacing w:val="-11"/>
          <w:sz w:val="32"/>
          <w:szCs w:val="32"/>
          <w:highlight w:val="none"/>
        </w:rPr>
        <w:t>改革实施方案》等六个实施方案的通知（</w:t>
      </w:r>
      <w:r>
        <w:rPr>
          <w:rFonts w:hint="default" w:ascii="Times New Roman" w:hAnsi="Times New Roman" w:eastAsia="仿宋_GB2312" w:cs="Times New Roman"/>
          <w:color w:val="auto"/>
          <w:spacing w:val="-11"/>
          <w:sz w:val="32"/>
          <w:szCs w:val="32"/>
          <w:highlight w:val="none"/>
          <w:lang w:bidi="ar"/>
        </w:rPr>
        <w:t>卫沙党办发</w:t>
      </w:r>
      <w:r>
        <w:rPr>
          <w:rFonts w:hint="default" w:ascii="Times New Roman" w:hAnsi="Times New Roman" w:eastAsia="仿宋_GB2312" w:cs="Times New Roman"/>
          <w:color w:val="auto"/>
          <w:spacing w:val="-11"/>
          <w:sz w:val="32"/>
          <w:szCs w:val="32"/>
          <w:highlight w:val="none"/>
        </w:rPr>
        <w:t>﹝202</w:t>
      </w:r>
      <w:r>
        <w:rPr>
          <w:rFonts w:hint="default" w:ascii="Times New Roman" w:hAnsi="Times New Roman" w:cs="Times New Roman"/>
          <w:color w:val="auto"/>
          <w:spacing w:val="-11"/>
          <w:sz w:val="32"/>
          <w:szCs w:val="32"/>
          <w:highlight w:val="none"/>
          <w:lang w:val="en-US" w:eastAsia="zh-CN"/>
        </w:rPr>
        <w:t>1</w:t>
      </w:r>
      <w:r>
        <w:rPr>
          <w:rFonts w:hint="default" w:ascii="Times New Roman" w:hAnsi="Times New Roman" w:eastAsia="仿宋_GB2312" w:cs="Times New Roman"/>
          <w:color w:val="auto"/>
          <w:spacing w:val="-11"/>
          <w:sz w:val="32"/>
          <w:szCs w:val="32"/>
          <w:highlight w:val="none"/>
        </w:rPr>
        <w:t>﹞</w:t>
      </w:r>
      <w:r>
        <w:rPr>
          <w:rFonts w:hint="default" w:ascii="Times New Roman" w:hAnsi="Times New Roman" w:eastAsia="仿宋_GB2312" w:cs="Times New Roman"/>
          <w:color w:val="auto"/>
          <w:spacing w:val="-11"/>
          <w:sz w:val="32"/>
          <w:szCs w:val="32"/>
          <w:highlight w:val="none"/>
          <w:lang w:bidi="ar"/>
        </w:rPr>
        <w:t>74号</w:t>
      </w:r>
      <w:r>
        <w:rPr>
          <w:rFonts w:hint="default" w:ascii="Times New Roman" w:hAnsi="Times New Roman" w:eastAsia="仿宋_GB2312" w:cs="Times New Roman"/>
          <w:color w:val="auto"/>
          <w:spacing w:val="-11"/>
          <w:sz w:val="32"/>
          <w:szCs w:val="32"/>
          <w:highlight w:val="none"/>
        </w:rPr>
        <w:t>）；</w:t>
      </w:r>
    </w:p>
    <w:p>
      <w:pPr>
        <w:widowControl/>
        <w:snapToGrid/>
        <w:spacing w:line="240" w:lineRule="auto"/>
        <w:ind w:firstLine="600" w:firstLineChars="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w:t>
      </w:r>
      <w:r>
        <w:rPr>
          <w:rFonts w:hint="default" w:ascii="Times New Roman" w:hAnsi="Times New Roman"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自治区人民政府办公厅关于印发宁夏“十四五”用水权管控指标方案的通知</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宁政办发</w:t>
      </w:r>
      <w:r>
        <w:rPr>
          <w:rFonts w:hint="default" w:ascii="Times New Roman" w:hAnsi="Times New Roman" w:eastAsia="仿宋_GB2312" w:cs="Times New Roman"/>
          <w:color w:val="auto"/>
          <w:sz w:val="32"/>
          <w:szCs w:val="32"/>
          <w:highlight w:val="none"/>
        </w:rPr>
        <w:t>﹝202</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76号</w:t>
      </w:r>
      <w:r>
        <w:rPr>
          <w:rFonts w:hint="default" w:ascii="Times New Roman" w:hAnsi="Times New Roman" w:eastAsia="仿宋_GB2312" w:cs="Times New Roman"/>
          <w:color w:val="auto"/>
          <w:sz w:val="32"/>
          <w:szCs w:val="32"/>
          <w:highlight w:val="none"/>
        </w:rPr>
        <w:t>）。</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以及相关文件及批复文件。</w:t>
      </w:r>
    </w:p>
    <w:p>
      <w:pPr>
        <w:pStyle w:val="6"/>
        <w:rPr>
          <w:rFonts w:hint="default" w:ascii="Times New Roman" w:hAnsi="Times New Roman" w:eastAsia="楷体_GB2312" w:cs="Times New Roman"/>
          <w:color w:val="auto"/>
          <w:highlight w:val="none"/>
        </w:rPr>
      </w:pPr>
      <w:bookmarkStart w:id="32" w:name="_Toc26978"/>
      <w:bookmarkStart w:id="33" w:name="_Toc972"/>
      <w:bookmarkStart w:id="34" w:name="_Toc21015"/>
      <w:bookmarkStart w:id="35" w:name="_Toc5915"/>
      <w:bookmarkStart w:id="36" w:name="_Toc12576"/>
      <w:bookmarkStart w:id="37" w:name="_Toc16875"/>
      <w:bookmarkStart w:id="38" w:name="_Toc6100"/>
      <w:bookmarkStart w:id="39" w:name="_Toc10857"/>
      <w:bookmarkStart w:id="40" w:name="_Toc21492"/>
      <w:bookmarkStart w:id="41" w:name="_Toc26632"/>
      <w:r>
        <w:rPr>
          <w:rFonts w:hint="default" w:ascii="Times New Roman" w:hAnsi="Times New Roman" w:eastAsia="楷体_GB2312" w:cs="Times New Roman"/>
          <w:color w:val="auto"/>
          <w:highlight w:val="none"/>
        </w:rPr>
        <w:t>1.3配置范围及对象</w:t>
      </w:r>
      <w:bookmarkEnd w:id="32"/>
      <w:bookmarkEnd w:id="33"/>
      <w:bookmarkEnd w:id="34"/>
      <w:bookmarkEnd w:id="35"/>
      <w:bookmarkEnd w:id="36"/>
      <w:bookmarkEnd w:id="37"/>
      <w:bookmarkEnd w:id="38"/>
      <w:bookmarkEnd w:id="39"/>
      <w:bookmarkEnd w:id="40"/>
      <w:bookmarkEnd w:id="41"/>
    </w:p>
    <w:p>
      <w:pPr>
        <w:ind w:firstLine="600"/>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32"/>
          <w:szCs w:val="32"/>
          <w:highlight w:val="none"/>
        </w:rPr>
        <w:t>中卫市沙坡头区各水源城乡生活</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工业</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农业和生态</w:t>
      </w:r>
      <w:r>
        <w:rPr>
          <w:rFonts w:hint="default" w:ascii="Times New Roman" w:hAnsi="Times New Roman" w:eastAsia="仿宋_GB2312" w:cs="Times New Roman"/>
          <w:color w:val="auto"/>
          <w:sz w:val="32"/>
          <w:szCs w:val="32"/>
          <w:highlight w:val="none"/>
        </w:rPr>
        <w:t>的供、用水量。</w:t>
      </w:r>
    </w:p>
    <w:p>
      <w:pPr>
        <w:pStyle w:val="6"/>
        <w:rPr>
          <w:rFonts w:hint="default" w:ascii="Times New Roman" w:hAnsi="Times New Roman" w:eastAsia="楷体_GB2312" w:cs="Times New Roman"/>
          <w:color w:val="auto"/>
          <w:highlight w:val="none"/>
        </w:rPr>
      </w:pPr>
      <w:bookmarkStart w:id="42" w:name="_Toc26277"/>
      <w:bookmarkStart w:id="43" w:name="_Toc11279"/>
      <w:bookmarkStart w:id="44" w:name="_Toc24142"/>
      <w:bookmarkStart w:id="45" w:name="_Toc29787"/>
      <w:bookmarkStart w:id="46" w:name="_Toc31604"/>
      <w:bookmarkStart w:id="47" w:name="_Toc17697"/>
      <w:bookmarkStart w:id="48" w:name="_Toc30212"/>
      <w:bookmarkStart w:id="49" w:name="_Toc15445"/>
      <w:bookmarkStart w:id="50" w:name="_Toc22502"/>
      <w:bookmarkStart w:id="51" w:name="_Toc12260"/>
      <w:r>
        <w:rPr>
          <w:rFonts w:hint="default" w:ascii="Times New Roman" w:hAnsi="Times New Roman" w:eastAsia="楷体_GB2312" w:cs="Times New Roman"/>
          <w:color w:val="auto"/>
          <w:highlight w:val="none"/>
        </w:rPr>
        <w:t>1.4水平年</w:t>
      </w:r>
      <w:bookmarkEnd w:id="42"/>
      <w:bookmarkEnd w:id="43"/>
      <w:bookmarkEnd w:id="44"/>
      <w:bookmarkEnd w:id="45"/>
      <w:bookmarkEnd w:id="46"/>
      <w:bookmarkEnd w:id="47"/>
      <w:bookmarkEnd w:id="48"/>
      <w:bookmarkEnd w:id="49"/>
      <w:bookmarkEnd w:id="50"/>
      <w:bookmarkEnd w:id="51"/>
    </w:p>
    <w:p>
      <w:pPr>
        <w:ind w:firstLine="600"/>
        <w:jc w:val="both"/>
        <w:rPr>
          <w:rFonts w:hint="default" w:ascii="Times New Roman" w:hAnsi="Times New Roman" w:eastAsia="仿宋_GB2312" w:cs="Times New Roman"/>
          <w:color w:val="auto"/>
          <w:szCs w:val="30"/>
          <w:highlight w:val="none"/>
        </w:rPr>
      </w:pPr>
      <w:r>
        <w:rPr>
          <w:rFonts w:hint="default" w:ascii="Times New Roman" w:hAnsi="Times New Roman" w:eastAsia="仿宋_GB2312" w:cs="Times New Roman"/>
          <w:color w:val="auto"/>
          <w:sz w:val="32"/>
          <w:szCs w:val="32"/>
          <w:highlight w:val="none"/>
        </w:rPr>
        <w:t>水资源配置规划现状水平年2020年，规划水平年2025年。</w:t>
      </w:r>
    </w:p>
    <w:p>
      <w:pPr>
        <w:pStyle w:val="6"/>
        <w:rPr>
          <w:rFonts w:hint="default" w:ascii="Times New Roman" w:hAnsi="Times New Roman" w:eastAsia="楷体_GB2312" w:cs="Times New Roman"/>
          <w:color w:val="auto"/>
          <w:highlight w:val="none"/>
        </w:rPr>
      </w:pPr>
      <w:bookmarkStart w:id="52" w:name="_Toc23802"/>
      <w:bookmarkStart w:id="53" w:name="_Toc31800"/>
      <w:bookmarkStart w:id="54" w:name="_Toc4328"/>
      <w:bookmarkStart w:id="55" w:name="_Toc8657"/>
      <w:r>
        <w:rPr>
          <w:rFonts w:hint="default" w:ascii="Times New Roman" w:hAnsi="Times New Roman" w:eastAsia="楷体_GB2312" w:cs="Times New Roman"/>
          <w:color w:val="auto"/>
          <w:highlight w:val="none"/>
        </w:rPr>
        <w:t>1.5供水保证率</w:t>
      </w:r>
      <w:bookmarkEnd w:id="52"/>
      <w:bookmarkEnd w:id="53"/>
      <w:bookmarkEnd w:id="54"/>
      <w:bookmarkEnd w:id="55"/>
    </w:p>
    <w:p>
      <w:pPr>
        <w:ind w:firstLine="600"/>
        <w:jc w:val="both"/>
        <w:rPr>
          <w:rFonts w:hint="default" w:ascii="Times New Roman" w:hAnsi="Times New Roman" w:eastAsia="仿宋_GB2312" w:cs="Times New Roman"/>
          <w:color w:val="auto"/>
          <w:sz w:val="32"/>
          <w:szCs w:val="32"/>
          <w:highlight w:val="none"/>
        </w:rPr>
        <w:sectPr>
          <w:footerReference r:id="rId7" w:type="default"/>
          <w:pgSz w:w="11906" w:h="16838"/>
          <w:pgMar w:top="2098" w:right="1474" w:bottom="1984" w:left="1587" w:header="851" w:footer="1417" w:gutter="0"/>
          <w:pgNumType w:fmt="numberInDash" w:start="1"/>
          <w:cols w:space="720" w:num="1"/>
          <w:rtlGutter w:val="0"/>
          <w:docGrid w:type="lines" w:linePitch="312" w:charSpace="0"/>
        </w:sectPr>
      </w:pPr>
      <w:r>
        <w:rPr>
          <w:rFonts w:hint="default" w:ascii="Times New Roman" w:hAnsi="Times New Roman" w:eastAsia="仿宋_GB2312" w:cs="Times New Roman"/>
          <w:color w:val="auto"/>
          <w:sz w:val="32"/>
          <w:szCs w:val="32"/>
          <w:highlight w:val="none"/>
        </w:rPr>
        <w:t>城乡生活和工业供水保证率95%，农业灌溉</w:t>
      </w:r>
      <w:r>
        <w:rPr>
          <w:rFonts w:hint="default" w:ascii="Times New Roman" w:hAnsi="Times New Roman" w:cs="Times New Roman"/>
          <w:color w:val="auto"/>
          <w:sz w:val="32"/>
          <w:szCs w:val="32"/>
          <w:highlight w:val="none"/>
          <w:lang w:eastAsia="zh-CN"/>
        </w:rPr>
        <w:t>供水保证率</w:t>
      </w:r>
      <w:r>
        <w:rPr>
          <w:rFonts w:hint="default" w:ascii="Times New Roman" w:hAnsi="Times New Roman" w:eastAsia="仿宋_GB2312" w:cs="Times New Roman"/>
          <w:color w:val="auto"/>
          <w:sz w:val="32"/>
          <w:szCs w:val="32"/>
          <w:highlight w:val="none"/>
        </w:rPr>
        <w:t>75</w:t>
      </w:r>
      <w:r>
        <w:rPr>
          <w:rFonts w:hint="default"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85%。</w:t>
      </w:r>
    </w:p>
    <w:p>
      <w:pPr>
        <w:pStyle w:val="5"/>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color w:val="auto"/>
          <w:highlight w:val="none"/>
        </w:rPr>
      </w:pPr>
      <w:bookmarkStart w:id="56" w:name="_Toc4686"/>
      <w:bookmarkStart w:id="57" w:name="_Toc25814"/>
      <w:bookmarkStart w:id="58" w:name="_Toc22027"/>
      <w:bookmarkStart w:id="59" w:name="_Toc14802"/>
      <w:bookmarkStart w:id="60" w:name="_Toc22938"/>
      <w:bookmarkStart w:id="61" w:name="_Toc12876"/>
      <w:bookmarkStart w:id="62" w:name="_Toc11734"/>
      <w:bookmarkStart w:id="63" w:name="_Toc24401"/>
      <w:bookmarkStart w:id="64" w:name="_Toc19359"/>
      <w:bookmarkStart w:id="65" w:name="_Toc7106"/>
      <w:r>
        <w:rPr>
          <w:rFonts w:hint="default" w:ascii="Times New Roman" w:hAnsi="Times New Roman" w:cs="Times New Roman"/>
          <w:color w:val="auto"/>
          <w:highlight w:val="none"/>
        </w:rPr>
        <w:t>第二章  区域概况</w:t>
      </w:r>
      <w:bookmarkEnd w:id="56"/>
      <w:bookmarkEnd w:id="57"/>
      <w:bookmarkEnd w:id="58"/>
      <w:bookmarkEnd w:id="59"/>
      <w:bookmarkEnd w:id="60"/>
      <w:bookmarkEnd w:id="61"/>
      <w:bookmarkEnd w:id="62"/>
      <w:bookmarkEnd w:id="63"/>
      <w:bookmarkEnd w:id="64"/>
      <w:bookmarkEnd w:id="65"/>
    </w:p>
    <w:p>
      <w:pPr>
        <w:pStyle w:val="6"/>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color w:val="auto"/>
          <w:highlight w:val="none"/>
        </w:rPr>
      </w:pPr>
      <w:bookmarkStart w:id="66" w:name="_Toc25834"/>
      <w:bookmarkStart w:id="67" w:name="_Toc25615"/>
      <w:bookmarkStart w:id="68" w:name="_Toc8099"/>
      <w:bookmarkStart w:id="69" w:name="_Toc30250"/>
      <w:bookmarkStart w:id="70" w:name="_Toc9611"/>
      <w:bookmarkStart w:id="71" w:name="_Toc17120"/>
      <w:bookmarkStart w:id="72" w:name="_Toc9846"/>
      <w:bookmarkStart w:id="73" w:name="_Toc24968"/>
      <w:bookmarkStart w:id="74" w:name="_Toc3202"/>
      <w:bookmarkStart w:id="75" w:name="_Toc27334"/>
    </w:p>
    <w:p>
      <w:pPr>
        <w:pStyle w:val="6"/>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2.1自然及资源条件</w:t>
      </w:r>
      <w:bookmarkEnd w:id="66"/>
      <w:bookmarkEnd w:id="67"/>
      <w:bookmarkEnd w:id="68"/>
      <w:bookmarkEnd w:id="69"/>
      <w:bookmarkEnd w:id="70"/>
      <w:bookmarkEnd w:id="71"/>
      <w:bookmarkEnd w:id="72"/>
      <w:bookmarkEnd w:id="73"/>
      <w:bookmarkEnd w:id="74"/>
      <w:bookmarkEnd w:id="75"/>
    </w:p>
    <w:p>
      <w:pPr>
        <w:pStyle w:val="7"/>
        <w:keepNext w:val="0"/>
        <w:keepLines w:val="0"/>
        <w:pageBreakBefore w:val="0"/>
        <w:widowControl w:val="0"/>
        <w:kinsoku/>
        <w:wordWrap/>
        <w:overflowPunct/>
        <w:topLinePunct w:val="0"/>
        <w:autoSpaceDE/>
        <w:autoSpaceDN/>
        <w:bidi w:val="0"/>
        <w:adjustRightInd w:val="0"/>
        <w:snapToGrid w:val="0"/>
        <w:spacing w:before="0" w:line="520" w:lineRule="exact"/>
        <w:textAlignment w:val="auto"/>
        <w:rPr>
          <w:rFonts w:hint="default" w:ascii="Times New Roman" w:hAnsi="Times New Roman" w:cs="Times New Roman"/>
          <w:color w:val="auto"/>
          <w:highlight w:val="none"/>
        </w:rPr>
      </w:pPr>
      <w:bookmarkStart w:id="76" w:name="_Toc19565"/>
      <w:bookmarkStart w:id="77" w:name="_Toc5582"/>
      <w:bookmarkStart w:id="78" w:name="_Toc30008"/>
      <w:bookmarkStart w:id="79" w:name="_Toc17142"/>
      <w:bookmarkStart w:id="80" w:name="_Toc1285"/>
      <w:bookmarkStart w:id="81" w:name="_Toc24514"/>
      <w:bookmarkStart w:id="82" w:name="_Toc15720"/>
      <w:bookmarkStart w:id="83" w:name="_Toc23269"/>
      <w:r>
        <w:rPr>
          <w:rFonts w:hint="default" w:ascii="Times New Roman" w:hAnsi="Times New Roman" w:cs="Times New Roman"/>
          <w:color w:val="auto"/>
          <w:highlight w:val="none"/>
        </w:rPr>
        <w:t>2.1.1</w:t>
      </w:r>
      <w:r>
        <w:rPr>
          <w:rFonts w:hint="default" w:ascii="Times New Roman" w:hAnsi="Times New Roman" w:eastAsia="仿宋_GB2312" w:cs="Times New Roman"/>
          <w:bCs/>
          <w:color w:val="auto"/>
          <w:kern w:val="2"/>
          <w:highlight w:val="none"/>
        </w:rPr>
        <w:t>地理位置</w:t>
      </w:r>
      <w:bookmarkEnd w:id="76"/>
      <w:bookmarkEnd w:id="77"/>
      <w:bookmarkEnd w:id="78"/>
      <w:bookmarkEnd w:id="79"/>
      <w:bookmarkEnd w:id="80"/>
      <w:bookmarkEnd w:id="81"/>
      <w:bookmarkEnd w:id="82"/>
      <w:bookmarkEnd w:id="83"/>
    </w:p>
    <w:p>
      <w:pPr>
        <w:keepNext w:val="0"/>
        <w:keepLines w:val="0"/>
        <w:pageBreakBefore w:val="0"/>
        <w:widowControl w:val="0"/>
        <w:kinsoku/>
        <w:wordWrap/>
        <w:overflowPunct/>
        <w:topLinePunct w:val="0"/>
        <w:autoSpaceDE/>
        <w:autoSpaceDN/>
        <w:bidi w:val="0"/>
        <w:adjustRightInd w:val="0"/>
        <w:snapToGrid w:val="0"/>
        <w:spacing w:line="520" w:lineRule="exact"/>
        <w:ind w:firstLine="6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区隶属宁夏中卫市，位于宁夏回族自治区中西部，东邻中宁县，南与同心县、海原县及甘肃省靖远县交汇，西接甘肃省景泰县，北邻内蒙古自治区阿拉善左旗，见图2.1-1所示。地处东经104°17′～106°10′，北纬36°06′～37°50′，</w:t>
      </w:r>
      <w:r>
        <w:rPr>
          <w:rFonts w:hint="default" w:ascii="Times New Roman" w:hAnsi="Times New Roman" w:eastAsia="仿宋_GB2312" w:cs="Times New Roman"/>
          <w:color w:val="auto"/>
          <w:spacing w:val="-20"/>
          <w:sz w:val="32"/>
          <w:szCs w:val="32"/>
          <w:highlight w:val="none"/>
        </w:rPr>
        <w:t>东西宽</w:t>
      </w:r>
      <w:r>
        <w:rPr>
          <w:rFonts w:hint="default" w:ascii="Times New Roman" w:hAnsi="Times New Roman" w:eastAsia="仿宋_GB2312" w:cs="Times New Roman"/>
          <w:color w:val="auto"/>
          <w:sz w:val="32"/>
          <w:szCs w:val="32"/>
          <w:highlight w:val="none"/>
        </w:rPr>
        <w:t>约130km，南北长约180km，地形由西向东倾斜，境内海拔高程在2</w:t>
      </w:r>
      <w:r>
        <w:rPr>
          <w:rFonts w:hint="default" w:ascii="Times New Roman" w:hAnsi="Times New Roman" w:eastAsia="仿宋_GB2312" w:cs="Times New Roman"/>
          <w:color w:val="auto"/>
          <w:sz w:val="32"/>
          <w:szCs w:val="32"/>
          <w:highlight w:val="none"/>
          <w:lang w:val="en-US" w:eastAsia="zh-CN"/>
        </w:rPr>
        <w:t>362</w:t>
      </w:r>
      <w:r>
        <w:rPr>
          <w:rFonts w:hint="default" w:ascii="Times New Roman" w:hAnsi="Times New Roman" w:eastAsia="仿宋_GB2312" w:cs="Times New Roman"/>
          <w:color w:val="auto"/>
          <w:sz w:val="32"/>
          <w:szCs w:val="32"/>
          <w:highlight w:val="none"/>
        </w:rPr>
        <w:t>～11</w:t>
      </w:r>
      <w:r>
        <w:rPr>
          <w:rFonts w:hint="default" w:ascii="Times New Roman" w:hAnsi="Times New Roman" w:eastAsia="仿宋_GB2312" w:cs="Times New Roman"/>
          <w:color w:val="auto"/>
          <w:sz w:val="32"/>
          <w:szCs w:val="32"/>
          <w:highlight w:val="none"/>
          <w:lang w:val="en-US" w:eastAsia="zh-CN"/>
        </w:rPr>
        <w:t>94</w:t>
      </w:r>
      <w:r>
        <w:rPr>
          <w:rFonts w:hint="default" w:ascii="Times New Roman" w:hAnsi="Times New Roman" w:eastAsia="仿宋_GB2312" w:cs="Times New Roman"/>
          <w:color w:val="auto"/>
          <w:sz w:val="32"/>
          <w:szCs w:val="32"/>
          <w:highlight w:val="none"/>
        </w:rPr>
        <w:t>m之间，地貌类型分为沙漠、黄河冲积平原、台地、山地和盆地五个较大的地貌单元。</w:t>
      </w:r>
    </w:p>
    <w:p>
      <w:pPr>
        <w:pStyle w:val="11"/>
        <w:spacing w:line="360" w:lineRule="auto"/>
        <w:ind w:firstLine="0" w:firstLineChars="0"/>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drawing>
          <wp:inline distT="0" distB="0" distL="114300" distR="114300">
            <wp:extent cx="5641340" cy="4187190"/>
            <wp:effectExtent l="0" t="0" r="16510" b="3810"/>
            <wp:docPr id="4" name="图片 1" descr="沙坡头区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沙坡头区地图"/>
                    <pic:cNvPicPr>
                      <a:picLocks noChangeAspect="1"/>
                    </pic:cNvPicPr>
                  </pic:nvPicPr>
                  <pic:blipFill>
                    <a:blip r:embed="rId15"/>
                    <a:stretch>
                      <a:fillRect/>
                    </a:stretch>
                  </pic:blipFill>
                  <pic:spPr>
                    <a:xfrm>
                      <a:off x="0" y="0"/>
                      <a:ext cx="5641340" cy="418719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eastAsia="仿宋_GB2312" w:cs="Times New Roman"/>
          <w:bCs/>
          <w:color w:val="auto"/>
          <w:kern w:val="2"/>
          <w:sz w:val="32"/>
          <w:szCs w:val="32"/>
          <w:highlight w:val="none"/>
        </w:rPr>
      </w:pPr>
      <w:r>
        <w:rPr>
          <w:rFonts w:hint="default" w:ascii="Times New Roman" w:hAnsi="Times New Roman" w:eastAsia="仿宋_GB2312" w:cs="Times New Roman"/>
          <w:bCs/>
          <w:color w:val="auto"/>
          <w:sz w:val="32"/>
          <w:szCs w:val="32"/>
          <w:highlight w:val="none"/>
        </w:rPr>
        <w:t>图</w:t>
      </w:r>
      <w:r>
        <w:rPr>
          <w:rFonts w:hint="default" w:ascii="Times New Roman" w:hAnsi="Times New Roman" w:eastAsia="仿宋_GB2312" w:cs="Times New Roman"/>
          <w:color w:val="auto"/>
          <w:sz w:val="32"/>
          <w:szCs w:val="32"/>
          <w:highlight w:val="none"/>
        </w:rPr>
        <w:t xml:space="preserve">2.1-1    </w:t>
      </w:r>
      <w:r>
        <w:rPr>
          <w:rFonts w:hint="default" w:ascii="Times New Roman" w:hAnsi="Times New Roman" w:eastAsia="仿宋_GB2312" w:cs="Times New Roman"/>
          <w:bCs/>
          <w:color w:val="auto"/>
          <w:sz w:val="32"/>
          <w:szCs w:val="32"/>
          <w:highlight w:val="none"/>
        </w:rPr>
        <w:t>沙坡头区地理位置图</w:t>
      </w:r>
      <w:bookmarkStart w:id="84" w:name="_Toc3179"/>
      <w:bookmarkStart w:id="85" w:name="_Toc26690"/>
      <w:bookmarkStart w:id="86" w:name="_Toc6787"/>
      <w:bookmarkStart w:id="87" w:name="_Toc3059"/>
      <w:bookmarkStart w:id="88" w:name="_Toc24716"/>
      <w:bookmarkStart w:id="89" w:name="_Toc29155"/>
    </w:p>
    <w:p>
      <w:pPr>
        <w:pStyle w:val="7"/>
        <w:rPr>
          <w:rFonts w:hint="default" w:ascii="Times New Roman" w:hAnsi="Times New Roman" w:eastAsia="仿宋_GB2312" w:cs="Times New Roman"/>
          <w:color w:val="auto"/>
          <w:highlight w:val="none"/>
        </w:rPr>
      </w:pPr>
      <w:bookmarkStart w:id="90" w:name="_Toc9799"/>
      <w:bookmarkStart w:id="91" w:name="_Toc27843"/>
      <w:r>
        <w:rPr>
          <w:rFonts w:hint="default" w:ascii="Times New Roman" w:hAnsi="Times New Roman" w:eastAsia="仿宋_GB2312" w:cs="Times New Roman"/>
          <w:color w:val="auto"/>
          <w:highlight w:val="none"/>
        </w:rPr>
        <w:t>2.1.2交通区位</w:t>
      </w:r>
      <w:bookmarkEnd w:id="84"/>
      <w:bookmarkEnd w:id="85"/>
      <w:bookmarkEnd w:id="86"/>
      <w:bookmarkEnd w:id="87"/>
      <w:bookmarkEnd w:id="88"/>
      <w:bookmarkEnd w:id="89"/>
      <w:bookmarkEnd w:id="90"/>
      <w:bookmarkEnd w:id="91"/>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沙坡头区作为中卫市的政治、经济和文化中心，交通条件优越，是古丝绸之路，现欧亚大陆桥的必经之路，包兰、甘武、宝中、中太铁路交汇于此，中银高铁于2019年12月开通，中卫沙坡头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机场于2008年12月正式通航，国道G109、G338、省道S308、S205贯穿沙坡头区南北，正在建设的中兰高铁、乌玛高速公路（青铜峡-中卫段），形成了铁路、公路和航空四通八达的交通网络，使得沙坡头区成为了西北地区最便捷的通道之一，也是联系西北与华北的重要铁路交通枢纽。</w:t>
      </w:r>
    </w:p>
    <w:p>
      <w:pPr>
        <w:ind w:firstLine="600"/>
        <w:jc w:val="both"/>
        <w:rPr>
          <w:rFonts w:hint="default" w:ascii="Times New Roman" w:hAnsi="Times New Roman" w:eastAsia="仿宋_GB2312" w:cs="Times New Roman"/>
          <w:color w:val="auto"/>
          <w:sz w:val="32"/>
          <w:szCs w:val="32"/>
          <w:highlight w:val="none"/>
        </w:rPr>
      </w:pPr>
      <w:r>
        <w:rPr>
          <w:rFonts w:hint="eastAsia" w:cs="Times New Roman"/>
          <w:color w:val="auto"/>
          <w:sz w:val="32"/>
          <w:szCs w:val="32"/>
          <w:highlight w:val="none"/>
          <w:lang w:eastAsia="zh-CN"/>
        </w:rPr>
        <w:t>截至</w:t>
      </w:r>
      <w:r>
        <w:rPr>
          <w:rFonts w:hint="default" w:ascii="Times New Roman" w:hAnsi="Times New Roman" w:eastAsia="仿宋_GB2312" w:cs="Times New Roman"/>
          <w:color w:val="auto"/>
          <w:sz w:val="32"/>
          <w:szCs w:val="32"/>
          <w:highlight w:val="none"/>
        </w:rPr>
        <w:t>2020年，沙坡头区公路通车里程2829.32km。按行政等级分，国道通车里程245.27km</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省道通车里程149.07km</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县道通车里程61.89km。按技术等级分，高速公路通车127.26km</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一级公路通车46.77km</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二级公路通车448.44km</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三级公路通车449.80km</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四级公路通车1757.05km。沙坡头区交通网络见图2.1-</w:t>
      </w:r>
      <w:r>
        <w:rPr>
          <w:rFonts w:hint="default" w:ascii="Times New Roman" w:hAnsi="Times New Roman"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所示。</w:t>
      </w:r>
    </w:p>
    <w:p>
      <w:pPr>
        <w:pStyle w:val="7"/>
        <w:spacing w:before="0"/>
        <w:rPr>
          <w:rFonts w:hint="default" w:ascii="Times New Roman" w:hAnsi="Times New Roman" w:eastAsia="仿宋_GB2312" w:cs="Times New Roman"/>
          <w:bCs/>
          <w:color w:val="auto"/>
          <w:kern w:val="2"/>
          <w:highlight w:val="none"/>
        </w:rPr>
      </w:pPr>
      <w:bookmarkStart w:id="92" w:name="_Toc6130"/>
      <w:bookmarkStart w:id="93" w:name="_Toc31021"/>
      <w:bookmarkStart w:id="94" w:name="_Toc5849"/>
      <w:bookmarkStart w:id="95" w:name="_Toc6590"/>
      <w:bookmarkStart w:id="96" w:name="_Toc28525"/>
      <w:bookmarkStart w:id="97" w:name="_Toc5321"/>
      <w:bookmarkStart w:id="98" w:name="_Toc29569"/>
      <w:bookmarkStart w:id="99" w:name="_Toc22179"/>
      <w:r>
        <w:rPr>
          <w:rFonts w:hint="default" w:ascii="Times New Roman" w:hAnsi="Times New Roman" w:eastAsia="仿宋_GB2312" w:cs="Times New Roman"/>
          <w:bCs/>
          <w:color w:val="auto"/>
          <w:kern w:val="2"/>
          <w:highlight w:val="none"/>
        </w:rPr>
        <w:t>2.1.3资源条件概况</w:t>
      </w:r>
      <w:bookmarkEnd w:id="92"/>
      <w:bookmarkEnd w:id="93"/>
      <w:bookmarkEnd w:id="94"/>
      <w:bookmarkEnd w:id="95"/>
      <w:bookmarkEnd w:id="96"/>
      <w:bookmarkEnd w:id="97"/>
      <w:bookmarkEnd w:id="98"/>
      <w:bookmarkEnd w:id="99"/>
    </w:p>
    <w:p>
      <w:pPr>
        <w:pStyle w:val="8"/>
        <w:rPr>
          <w:rFonts w:hint="default" w:ascii="Times New Roman" w:hAnsi="Times New Roman" w:cs="Times New Roman"/>
          <w:color w:val="auto"/>
          <w:highlight w:val="none"/>
        </w:rPr>
      </w:pPr>
      <w:r>
        <w:rPr>
          <w:rFonts w:hint="default" w:ascii="Times New Roman" w:hAnsi="Times New Roman" w:cs="Times New Roman"/>
          <w:color w:val="auto"/>
          <w:highlight w:val="none"/>
        </w:rPr>
        <w:t>2.1.3.1</w:t>
      </w:r>
      <w:r>
        <w:rPr>
          <w:rFonts w:hint="default" w:ascii="Times New Roman" w:hAnsi="Times New Roman" w:eastAsia="仿宋_GB2312" w:cs="Times New Roman"/>
          <w:color w:val="auto"/>
          <w:szCs w:val="32"/>
          <w:highlight w:val="none"/>
        </w:rPr>
        <w:t>气候条件</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卫市沙坡头区地处宁夏西部，属于西北内陆，处于黄土高原和青藏高原的交汇地带，黄河前套之首，宁夏黄河灌溉第一地。其基本气候特点是：干旱少雨、风大沙多、日照充足、蒸发强烈，气温年、日差较大，无霜期短而多变，干旱、冰雹、沙尘、霜冻等灾害性天气比较频繁，局部地区暴雨也时有出现；沙坡头区年平均气温8.9℃，年降水量</w:t>
      </w:r>
      <w:r>
        <w:rPr>
          <w:rFonts w:hint="default" w:ascii="Times New Roman" w:hAnsi="Times New Roman" w:cs="Times New Roman"/>
          <w:color w:val="auto"/>
          <w:sz w:val="32"/>
          <w:szCs w:val="32"/>
          <w:highlight w:val="none"/>
          <w:lang w:eastAsia="zh-CN"/>
        </w:rPr>
        <w:t>为</w:t>
      </w:r>
      <w:r>
        <w:rPr>
          <w:rFonts w:hint="default" w:ascii="Times New Roman" w:hAnsi="Times New Roman" w:eastAsia="仿宋_GB2312" w:cs="Times New Roman"/>
          <w:color w:val="auto"/>
          <w:sz w:val="32"/>
          <w:szCs w:val="32"/>
          <w:highlight w:val="none"/>
          <w:lang w:val="en-US" w:eastAsia="zh-CN"/>
        </w:rPr>
        <w:t>207</w:t>
      </w:r>
      <w:r>
        <w:rPr>
          <w:rFonts w:hint="default" w:ascii="Times New Roman" w:hAnsi="Times New Roman" w:eastAsia="仿宋_GB2312" w:cs="Times New Roman"/>
          <w:color w:val="auto"/>
          <w:sz w:val="32"/>
          <w:szCs w:val="32"/>
          <w:highlight w:val="none"/>
        </w:rPr>
        <w:t>mm，年蒸发量为1829.6mm，蒸发量为降水量的</w:t>
      </w:r>
      <w:r>
        <w:rPr>
          <w:rFonts w:hint="default" w:ascii="Times New Roman" w:hAnsi="Times New Roman" w:cs="Times New Roman"/>
          <w:color w:val="auto"/>
          <w:sz w:val="32"/>
          <w:szCs w:val="32"/>
          <w:highlight w:val="none"/>
          <w:lang w:val="en-US" w:eastAsia="zh-CN"/>
        </w:rPr>
        <w:t>8.84</w:t>
      </w:r>
      <w:r>
        <w:rPr>
          <w:rFonts w:hint="default" w:ascii="Times New Roman" w:hAnsi="Times New Roman" w:eastAsia="仿宋_GB2312" w:cs="Times New Roman"/>
          <w:color w:val="auto"/>
          <w:sz w:val="32"/>
          <w:szCs w:val="32"/>
          <w:highlight w:val="none"/>
        </w:rPr>
        <w:t>倍。降水量主要集中在</w:t>
      </w:r>
      <w:r>
        <w:rPr>
          <w:rFonts w:hint="default" w:ascii="Times New Roman" w:hAnsi="Times New Roman" w:eastAsia="仿宋_GB2312" w:cs="Times New Roman"/>
          <w:color w:val="auto"/>
          <w:sz w:val="32"/>
          <w:szCs w:val="32"/>
          <w:highlight w:val="none"/>
          <w:lang w:val="en-US" w:eastAsia="zh-CN"/>
        </w:rPr>
        <w:t>每年</w:t>
      </w:r>
      <w:r>
        <w:rPr>
          <w:rFonts w:hint="default" w:ascii="Times New Roman" w:hAnsi="Times New Roman" w:eastAsia="仿宋_GB2312" w:cs="Times New Roman"/>
          <w:color w:val="auto"/>
          <w:sz w:val="32"/>
          <w:szCs w:val="32"/>
          <w:highlight w:val="none"/>
        </w:rPr>
        <w:t>6</w:t>
      </w:r>
      <w:r>
        <w:rPr>
          <w:rFonts w:hint="default"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9月，占全年降水量的60%。全年无霜期平均167天，全年日照时数2870小时。</w:t>
      </w:r>
    </w:p>
    <w:p>
      <w:pPr>
        <w:pStyle w:val="8"/>
        <w:keepNext/>
        <w:keepLines/>
        <w:pageBreakBefore w:val="0"/>
        <w:widowControl w:val="0"/>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2.1.3.2</w:t>
      </w:r>
      <w:r>
        <w:rPr>
          <w:rFonts w:hint="default" w:ascii="Times New Roman" w:hAnsi="Times New Roman" w:eastAsia="仿宋_GB2312" w:cs="Times New Roman"/>
          <w:color w:val="auto"/>
          <w:szCs w:val="32"/>
          <w:highlight w:val="none"/>
        </w:rPr>
        <w:t>地形地貌</w:t>
      </w:r>
    </w:p>
    <w:p>
      <w:pPr>
        <w:jc w:val="both"/>
        <w:rPr>
          <w:rFonts w:hint="default" w:ascii="Times New Roman" w:hAnsi="Times New Roman" w:cs="Times New Roman"/>
          <w:color w:val="auto"/>
          <w:highlight w:val="none"/>
        </w:rPr>
      </w:pPr>
      <w:r>
        <w:rPr>
          <w:rFonts w:hint="default" w:ascii="Times New Roman" w:hAnsi="Times New Roman" w:eastAsia="仿宋_GB2312" w:cs="Times New Roman"/>
          <w:color w:val="auto"/>
          <w:sz w:val="32"/>
          <w:szCs w:val="32"/>
          <w:highlight w:val="none"/>
        </w:rPr>
        <w:t>中卫市沙坡头区境域东西长125.9km，南北宽117.8km，总面积6877</w:t>
      </w:r>
      <w:r>
        <w:rPr>
          <w:rFonts w:hint="default" w:ascii="Times New Roman" w:hAnsi="Times New Roman" w:eastAsia="仿宋_GB2312" w:cs="Times New Roman"/>
          <w:color w:val="auto"/>
          <w:sz w:val="32"/>
          <w:szCs w:val="32"/>
          <w:highlight w:val="none"/>
          <w:lang w:val="en-US" w:eastAsia="zh-CN"/>
        </w:rPr>
        <w:t>km</w:t>
      </w:r>
      <w:r>
        <w:rPr>
          <w:rFonts w:hint="default" w:ascii="Times New Roman" w:hAnsi="Times New Roman" w:eastAsia="仿宋_GB2312"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。地形由西向东、由南向北倾斜，山川相济，其中沙、山、台、盆地区总面积6374.98</w:t>
      </w:r>
      <w:r>
        <w:rPr>
          <w:rFonts w:hint="default" w:ascii="Times New Roman" w:hAnsi="Times New Roman" w:eastAsia="仿宋_GB2312" w:cs="Times New Roman"/>
          <w:color w:val="auto"/>
          <w:sz w:val="32"/>
          <w:szCs w:val="32"/>
          <w:highlight w:val="none"/>
          <w:lang w:val="en-US" w:eastAsia="zh-CN"/>
        </w:rPr>
        <w:t>km</w:t>
      </w:r>
      <w:r>
        <w:rPr>
          <w:rFonts w:hint="default" w:ascii="Times New Roman" w:hAnsi="Times New Roman" w:eastAsia="仿宋_GB2312"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占总面积的92.7%。地貌类型分为沙漠、黄河冲积平原、台地、山地和盆地五个较大的地貌单元。境内最高点为南部的香山主峰香岩寺山，海拔2362m，最低点位于中宁县交界的黄河河谷，海拔1194m。黄河自西向东横贯中卫</w:t>
      </w:r>
      <w:r>
        <w:rPr>
          <w:rFonts w:hint="eastAsia" w:cs="Times New Roman"/>
          <w:color w:val="auto"/>
          <w:sz w:val="32"/>
          <w:szCs w:val="32"/>
          <w:highlight w:val="none"/>
          <w:lang w:eastAsia="zh-CN"/>
        </w:rPr>
        <w:t>市</w:t>
      </w:r>
      <w:r>
        <w:rPr>
          <w:rFonts w:hint="default" w:ascii="Times New Roman" w:hAnsi="Times New Roman" w:eastAsia="仿宋_GB2312" w:cs="Times New Roman"/>
          <w:color w:val="auto"/>
          <w:sz w:val="32"/>
          <w:szCs w:val="32"/>
          <w:highlight w:val="none"/>
        </w:rPr>
        <w:t>沙坡头区，形成沙坡头灌区，灌区土壤肥沃，地势平坦开阔，灌排便利，是自治区重要的商品粮生产基地。</w:t>
      </w:r>
    </w:p>
    <w:p>
      <w:pPr>
        <w:pStyle w:val="8"/>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2.1.3.3</w:t>
      </w:r>
      <w:r>
        <w:rPr>
          <w:rFonts w:hint="default" w:ascii="Times New Roman" w:hAnsi="Times New Roman" w:eastAsia="仿宋_GB2312" w:cs="Times New Roman"/>
          <w:color w:val="auto"/>
          <w:szCs w:val="32"/>
          <w:highlight w:val="none"/>
        </w:rPr>
        <w:t>水资</w:t>
      </w:r>
      <w:r>
        <w:rPr>
          <w:rFonts w:hint="default" w:ascii="Times New Roman" w:hAnsi="Times New Roman" w:cs="Times New Roman"/>
          <w:color w:val="auto"/>
          <w:highlight w:val="none"/>
        </w:rPr>
        <w:t>源</w:t>
      </w:r>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中卫市沙坡头区境内主要有黄河干流及</w:t>
      </w:r>
      <w:r>
        <w:rPr>
          <w:rFonts w:hint="default" w:ascii="Times New Roman" w:hAnsi="Times New Roman" w:cs="Times New Roman"/>
          <w:color w:val="auto"/>
          <w:sz w:val="32"/>
          <w:szCs w:val="32"/>
          <w:highlight w:val="none"/>
          <w:lang w:eastAsia="zh-CN"/>
        </w:rPr>
        <w:t>崾</w:t>
      </w:r>
      <w:r>
        <w:rPr>
          <w:rFonts w:hint="default" w:ascii="Times New Roman" w:hAnsi="Times New Roman" w:eastAsia="仿宋_GB2312" w:cs="Times New Roman"/>
          <w:color w:val="auto"/>
          <w:sz w:val="32"/>
          <w:szCs w:val="32"/>
          <w:highlight w:val="none"/>
        </w:rPr>
        <w:t>岘子沟、高崖沟、长流水沟、清水河等一级支沟58条。年降水总量22.183亿m³，多年平均地表水资源量5970万m³。当地所产水资源总量为0.891亿m³。黄河自西北侧黑山峡入境，自西南向东北流过，于胜金关入中宁县，多年平均过境流量1039.8m³/s，年平均过境水量306.8亿m³。黄河过境水便成了当地农业灌溉的主要水源和地下水补给的重要来源，灌区每年引水量约为6亿m³左右，平原地区一带地下水丰富</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水质良好，易于开采利用，主要为本地区生产生活用水的主要水源。</w:t>
      </w:r>
    </w:p>
    <w:p>
      <w:pPr>
        <w:pStyle w:val="8"/>
        <w:keepNext/>
        <w:keepLines/>
        <w:pageBreakBefore w:val="0"/>
        <w:widowControl w:val="0"/>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2.1.3.4</w:t>
      </w:r>
      <w:r>
        <w:rPr>
          <w:rFonts w:hint="default" w:ascii="Times New Roman" w:hAnsi="Times New Roman" w:eastAsia="仿宋_GB2312" w:cs="Times New Roman"/>
          <w:color w:val="auto"/>
          <w:szCs w:val="32"/>
          <w:highlight w:val="none"/>
        </w:rPr>
        <w:t>水利灌溉条件</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中卫市地处黄河前套之首，是宁夏重要的优质、高产、高效农业生产基地。黄河从引黄灌区东西向横穿而过，流程114km，将引黄灌区分为河南、河北2个灌区，控制自流灌溉面积29.66万亩。河北灌区有沙坡头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北干渠及美利渠总干渠和一、二、三支干渠，有直接从沟道开口引水的支渠5条。河南灌区有羚羊寿渠、羚羊角渠、七星渠三条干渠及直接从黄河取水的马滩渠。</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灌区内（包括七星渠灌区）有干沟9条，与支、斗、农沟交织成网，汇集排水入黄河。沙坡头区引黄灌区内部现已形成渠、沟配套，水利设施基本完善的灌排体系，为沙坡头区农业和农村经济的稳步健康发展提供了良好的水利保障。</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区扬黄灌区包括南山台扬水灌区、碱碱湖扬水灌区、小型扬水灌区及固海扬水灌区。控制灌溉面积22.72万亩。扬黄灌区现有干渠3条29.8km（南山台电灌站），建筑物79座；支渠73条220.07km，配套建筑物1989座；斗渠337条560.63km，建筑物7702座，农渠4169条916.56。蓄水工程主要包括水库和骨干坝、淤地坝。</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沙坡头区的中型水库有沙坡头水库和沙沟水库。沙坡头水库位于沙坡头区黄河干流，2005年建成，以灌溉发电为主，装机容量12.03k</w:t>
      </w:r>
      <w:r>
        <w:rPr>
          <w:rFonts w:hint="default" w:ascii="Times New Roman" w:hAnsi="Times New Roman" w:eastAsia="仿宋_GB2312" w:cs="Times New Roman"/>
          <w:color w:val="auto"/>
          <w:sz w:val="32"/>
          <w:szCs w:val="32"/>
          <w:highlight w:val="none"/>
          <w:lang w:val="en-US" w:eastAsia="zh-CN"/>
        </w:rPr>
        <w:t>W</w:t>
      </w:r>
      <w:r>
        <w:rPr>
          <w:rFonts w:hint="default" w:ascii="Times New Roman" w:hAnsi="Times New Roman" w:eastAsia="仿宋_GB2312" w:cs="Times New Roman"/>
          <w:color w:val="auto"/>
          <w:sz w:val="32"/>
          <w:szCs w:val="32"/>
          <w:highlight w:val="none"/>
        </w:rPr>
        <w:t>，总库容2600万</w:t>
      </w:r>
      <w:r>
        <w:rPr>
          <w:rFonts w:hint="default" w:ascii="Times New Roman" w:hAnsi="Times New Roman" w:eastAsia="仿宋_GB2312" w:cs="Times New Roman"/>
          <w:color w:val="auto"/>
          <w:sz w:val="32"/>
          <w:szCs w:val="32"/>
          <w:highlight w:val="none"/>
          <w:lang w:eastAsia="zh-CN"/>
        </w:rPr>
        <w:t>m³</w:t>
      </w:r>
      <w:r>
        <w:rPr>
          <w:rFonts w:hint="default" w:ascii="Times New Roman" w:hAnsi="Times New Roman" w:eastAsia="仿宋_GB2312" w:cs="Times New Roman"/>
          <w:color w:val="auto"/>
          <w:sz w:val="32"/>
          <w:szCs w:val="32"/>
          <w:highlight w:val="none"/>
        </w:rPr>
        <w:t>，有效库容950万</w:t>
      </w:r>
      <w:r>
        <w:rPr>
          <w:rFonts w:hint="default" w:ascii="Times New Roman" w:hAnsi="Times New Roman" w:eastAsia="仿宋_GB2312" w:cs="Times New Roman"/>
          <w:color w:val="auto"/>
          <w:sz w:val="32"/>
          <w:szCs w:val="32"/>
          <w:highlight w:val="none"/>
          <w:lang w:eastAsia="zh-CN"/>
        </w:rPr>
        <w:t>m³</w:t>
      </w:r>
      <w:r>
        <w:rPr>
          <w:rFonts w:hint="default" w:ascii="Times New Roman" w:hAnsi="Times New Roman" w:eastAsia="仿宋_GB2312" w:cs="Times New Roman"/>
          <w:color w:val="auto"/>
          <w:sz w:val="32"/>
          <w:szCs w:val="32"/>
          <w:highlight w:val="none"/>
        </w:rPr>
        <w:t>。沙沟水库位于沙坡头区黄河右岸，2003年建成，为水源工程，总库容2300万</w:t>
      </w:r>
      <w:r>
        <w:rPr>
          <w:rFonts w:hint="default" w:ascii="Times New Roman" w:hAnsi="Times New Roman" w:eastAsia="仿宋_GB2312" w:cs="Times New Roman"/>
          <w:color w:val="auto"/>
          <w:sz w:val="32"/>
          <w:szCs w:val="32"/>
          <w:highlight w:val="none"/>
          <w:lang w:eastAsia="zh-CN"/>
        </w:rPr>
        <w:t>m³</w:t>
      </w:r>
      <w:r>
        <w:rPr>
          <w:rFonts w:hint="default" w:ascii="Times New Roman" w:hAnsi="Times New Roman" w:eastAsia="仿宋_GB2312" w:cs="Times New Roman"/>
          <w:color w:val="auto"/>
          <w:sz w:val="32"/>
          <w:szCs w:val="32"/>
          <w:highlight w:val="none"/>
        </w:rPr>
        <w:t>。</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沙坡头区现有骨干坝13座，主要分布在清水河流域和黄河右岸，控制面积926</w:t>
      </w:r>
      <w:r>
        <w:rPr>
          <w:rFonts w:hint="default" w:ascii="Times New Roman" w:hAnsi="Times New Roman" w:eastAsia="仿宋_GB2312" w:cs="Times New Roman"/>
          <w:color w:val="auto"/>
          <w:sz w:val="32"/>
          <w:szCs w:val="32"/>
          <w:highlight w:val="none"/>
          <w:lang w:val="en-US" w:eastAsia="zh-CN"/>
        </w:rPr>
        <w:t>km</w:t>
      </w:r>
      <w:r>
        <w:rPr>
          <w:rFonts w:hint="default" w:ascii="Times New Roman" w:hAnsi="Times New Roman" w:eastAsia="仿宋_GB2312"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，总库容1728万</w:t>
      </w:r>
      <w:r>
        <w:rPr>
          <w:rFonts w:hint="default" w:ascii="Times New Roman" w:hAnsi="Times New Roman" w:eastAsia="仿宋_GB2312" w:cs="Times New Roman"/>
          <w:color w:val="auto"/>
          <w:sz w:val="32"/>
          <w:szCs w:val="32"/>
          <w:highlight w:val="none"/>
          <w:lang w:eastAsia="zh-CN"/>
        </w:rPr>
        <w:t>m³</w:t>
      </w:r>
      <w:r>
        <w:rPr>
          <w:rFonts w:hint="default" w:ascii="Times New Roman" w:hAnsi="Times New Roman" w:eastAsia="仿宋_GB2312" w:cs="Times New Roman"/>
          <w:color w:val="auto"/>
          <w:sz w:val="32"/>
          <w:szCs w:val="32"/>
          <w:highlight w:val="none"/>
        </w:rPr>
        <w:t>，淤积库容524万</w:t>
      </w:r>
      <w:r>
        <w:rPr>
          <w:rFonts w:hint="default" w:ascii="Times New Roman" w:hAnsi="Times New Roman" w:eastAsia="仿宋_GB2312" w:cs="Times New Roman"/>
          <w:color w:val="auto"/>
          <w:sz w:val="32"/>
          <w:szCs w:val="32"/>
          <w:highlight w:val="none"/>
          <w:lang w:eastAsia="zh-CN"/>
        </w:rPr>
        <w:t>m³</w:t>
      </w:r>
      <w:r>
        <w:rPr>
          <w:rFonts w:hint="default" w:ascii="Times New Roman" w:hAnsi="Times New Roman" w:eastAsia="仿宋_GB2312" w:cs="Times New Roman"/>
          <w:color w:val="auto"/>
          <w:sz w:val="32"/>
          <w:szCs w:val="32"/>
          <w:highlight w:val="none"/>
        </w:rPr>
        <w:t>，实际灌溉面积0.22万亩，实际淤地利用面积0.16万亩；现有中型淤地坝34座，控制面积76</w:t>
      </w:r>
      <w:r>
        <w:rPr>
          <w:rFonts w:hint="default" w:ascii="Times New Roman" w:hAnsi="Times New Roman" w:eastAsia="仿宋_GB2312" w:cs="Times New Roman"/>
          <w:color w:val="auto"/>
          <w:sz w:val="32"/>
          <w:szCs w:val="32"/>
          <w:highlight w:val="none"/>
          <w:lang w:val="en-US" w:eastAsia="zh-CN"/>
        </w:rPr>
        <w:t>km</w:t>
      </w:r>
      <w:r>
        <w:rPr>
          <w:rFonts w:hint="default" w:ascii="Times New Roman" w:hAnsi="Times New Roman" w:eastAsia="仿宋_GB2312"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，总库容634万</w:t>
      </w:r>
      <w:r>
        <w:rPr>
          <w:rFonts w:hint="default" w:ascii="Times New Roman" w:hAnsi="Times New Roman" w:eastAsia="仿宋_GB2312" w:cs="Times New Roman"/>
          <w:color w:val="auto"/>
          <w:sz w:val="32"/>
          <w:szCs w:val="32"/>
          <w:highlight w:val="none"/>
          <w:lang w:eastAsia="zh-CN"/>
        </w:rPr>
        <w:t>m³</w:t>
      </w:r>
      <w:r>
        <w:rPr>
          <w:rFonts w:hint="default" w:ascii="Times New Roman" w:hAnsi="Times New Roman" w:eastAsia="仿宋_GB2312" w:cs="Times New Roman"/>
          <w:color w:val="auto"/>
          <w:sz w:val="32"/>
          <w:szCs w:val="32"/>
          <w:highlight w:val="none"/>
        </w:rPr>
        <w:t>，淤积库容238万</w:t>
      </w:r>
      <w:r>
        <w:rPr>
          <w:rFonts w:hint="default" w:ascii="Times New Roman" w:hAnsi="Times New Roman" w:eastAsia="仿宋_GB2312" w:cs="Times New Roman"/>
          <w:color w:val="auto"/>
          <w:sz w:val="32"/>
          <w:szCs w:val="32"/>
          <w:highlight w:val="none"/>
          <w:lang w:eastAsia="zh-CN"/>
        </w:rPr>
        <w:t>m³</w:t>
      </w:r>
      <w:r>
        <w:rPr>
          <w:rFonts w:hint="default" w:ascii="Times New Roman" w:hAnsi="Times New Roman" w:eastAsia="仿宋_GB2312" w:cs="Times New Roman"/>
          <w:color w:val="auto"/>
          <w:sz w:val="32"/>
          <w:szCs w:val="32"/>
          <w:highlight w:val="none"/>
        </w:rPr>
        <w:t>，实际淤地利用面积0.1万亩。</w:t>
      </w:r>
    </w:p>
    <w:p>
      <w:pPr>
        <w:pStyle w:val="8"/>
        <w:keepNext/>
        <w:keepLines/>
        <w:pageBreakBefore w:val="0"/>
        <w:widowControl w:val="0"/>
        <w:kinsoku/>
        <w:wordWrap/>
        <w:overflowPunct/>
        <w:topLinePunct w:val="0"/>
        <w:autoSpaceDE/>
        <w:autoSpaceDN/>
        <w:bidi w:val="0"/>
        <w:adjustRightInd w:val="0"/>
        <w:snapToGrid w:val="0"/>
        <w:spacing w:before="0" w:beforeLines="0"/>
        <w:textAlignment w:val="auto"/>
        <w:rPr>
          <w:rFonts w:hint="default" w:ascii="Times New Roman" w:hAnsi="Times New Roman" w:eastAsia="仿宋_GB2312" w:cs="Times New Roman"/>
          <w:color w:val="auto"/>
          <w:szCs w:val="32"/>
          <w:highlight w:val="none"/>
        </w:rPr>
      </w:pPr>
      <w:r>
        <w:rPr>
          <w:rFonts w:hint="default" w:ascii="Times New Roman" w:hAnsi="Times New Roman" w:eastAsia="仿宋_GB2312" w:cs="Times New Roman"/>
          <w:color w:val="auto"/>
          <w:szCs w:val="32"/>
          <w:highlight w:val="none"/>
        </w:rPr>
        <w:t>2.1.3.5物质资源</w:t>
      </w:r>
    </w:p>
    <w:p>
      <w:pPr>
        <w:ind w:firstLine="600"/>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rPr>
        <w:t>中卫市沙坡头区土壤主要有灰钙土、潮土、灌淤土、盐土、风沙土和粗骨土等八大类，其中灰钙土面积最大，占土地面积的52.7%，主要分布在香山、南山台、照壁山地区；灌淤土占土地面积的4.8%，主要分布在引黄灌区，是灌区主要的农业用地；风沙土占土地面积的19.2%，主要分布在北部沙漠和南山台地区；粗骨土占土地总面积的20.5%，主要分布在香山及灌区的部分地区。沙坡头区得黄河自流灌溉之利，钟灵毓秀，物华天宝，人杰地灵，自古以来是西北重要的商品粮、畜产品、水产品和果菜生产基地，被誉为“塞上江南”、“鱼米之乡”。现代农业向精品化、集约化方向发展，形成了</w:t>
      </w:r>
      <w:r>
        <w:rPr>
          <w:rFonts w:hint="default" w:ascii="Times New Roman" w:hAnsi="Times New Roman" w:eastAsia="仿宋_GB2312" w:cs="Times New Roman"/>
          <w:color w:val="auto"/>
          <w:sz w:val="32"/>
          <w:szCs w:val="32"/>
          <w:highlight w:val="none"/>
          <w:lang w:val="en-US" w:eastAsia="zh-CN"/>
        </w:rPr>
        <w:t>苹果</w:t>
      </w:r>
      <w:r>
        <w:rPr>
          <w:rFonts w:hint="default" w:ascii="Times New Roman" w:hAnsi="Times New Roman" w:eastAsia="仿宋_GB2312" w:cs="Times New Roman"/>
          <w:color w:val="auto"/>
          <w:sz w:val="32"/>
          <w:szCs w:val="32"/>
          <w:highlight w:val="none"/>
        </w:rPr>
        <w:t>、设施蔬菜、西甜瓜种植、家禽养殖、畜禽、优质米、生猪、水产养殖和红枣林果等优势特色产业，“西部养鸡第一市”的美名享誉全国。</w:t>
      </w:r>
    </w:p>
    <w:p>
      <w:pPr>
        <w:pStyle w:val="6"/>
        <w:rPr>
          <w:rFonts w:hint="default" w:ascii="Times New Roman" w:hAnsi="Times New Roman" w:eastAsia="楷体_GB2312" w:cs="Times New Roman"/>
          <w:color w:val="auto"/>
          <w:highlight w:val="none"/>
        </w:rPr>
      </w:pPr>
      <w:bookmarkStart w:id="100" w:name="_Toc19723"/>
      <w:bookmarkStart w:id="101" w:name="_Toc6481"/>
      <w:bookmarkStart w:id="102" w:name="_Toc10271"/>
      <w:bookmarkStart w:id="103" w:name="_Toc3049"/>
      <w:bookmarkStart w:id="104" w:name="_Toc30400"/>
      <w:bookmarkStart w:id="105" w:name="_Toc9029"/>
      <w:bookmarkStart w:id="106" w:name="_Toc26200"/>
      <w:bookmarkStart w:id="107" w:name="_Toc32449"/>
      <w:bookmarkStart w:id="108" w:name="_Toc148"/>
      <w:bookmarkStart w:id="109" w:name="_Toc29361"/>
      <w:r>
        <w:rPr>
          <w:rFonts w:hint="default" w:ascii="Times New Roman" w:hAnsi="Times New Roman" w:eastAsia="楷体_GB2312" w:cs="Times New Roman"/>
          <w:color w:val="auto"/>
          <w:highlight w:val="none"/>
        </w:rPr>
        <w:t>2.2经济社会发展现状</w:t>
      </w:r>
      <w:bookmarkEnd w:id="100"/>
      <w:bookmarkEnd w:id="101"/>
      <w:bookmarkEnd w:id="102"/>
      <w:bookmarkEnd w:id="103"/>
      <w:bookmarkEnd w:id="104"/>
      <w:bookmarkEnd w:id="105"/>
      <w:bookmarkEnd w:id="106"/>
      <w:bookmarkEnd w:id="107"/>
      <w:bookmarkEnd w:id="108"/>
      <w:bookmarkEnd w:id="109"/>
    </w:p>
    <w:p>
      <w:pPr>
        <w:pStyle w:val="7"/>
        <w:spacing w:before="0"/>
        <w:rPr>
          <w:rFonts w:hint="default" w:ascii="Times New Roman" w:hAnsi="Times New Roman" w:eastAsia="仿宋_GB2312" w:cs="Times New Roman"/>
          <w:bCs/>
          <w:color w:val="auto"/>
          <w:kern w:val="2"/>
          <w:highlight w:val="none"/>
        </w:rPr>
      </w:pPr>
      <w:bookmarkStart w:id="110" w:name="_Toc26882"/>
      <w:bookmarkStart w:id="111" w:name="_Toc5359"/>
      <w:bookmarkStart w:id="112" w:name="_Toc44664585"/>
      <w:bookmarkStart w:id="113" w:name="_Toc19903"/>
      <w:bookmarkStart w:id="114" w:name="_Toc25730"/>
      <w:bookmarkStart w:id="115" w:name="_Toc45886386"/>
      <w:bookmarkStart w:id="116" w:name="_Toc6490"/>
      <w:bookmarkStart w:id="117" w:name="_Toc26102"/>
      <w:bookmarkStart w:id="118" w:name="_Toc30665"/>
      <w:bookmarkStart w:id="119" w:name="_Toc24963"/>
      <w:r>
        <w:rPr>
          <w:rFonts w:hint="default" w:ascii="Times New Roman" w:hAnsi="Times New Roman" w:eastAsia="仿宋_GB2312" w:cs="Times New Roman"/>
          <w:bCs/>
          <w:color w:val="auto"/>
          <w:kern w:val="2"/>
          <w:highlight w:val="none"/>
        </w:rPr>
        <w:t>2.2.1人口及分布</w:t>
      </w:r>
      <w:bookmarkEnd w:id="110"/>
      <w:bookmarkEnd w:id="111"/>
      <w:bookmarkEnd w:id="112"/>
      <w:bookmarkEnd w:id="113"/>
      <w:bookmarkEnd w:id="114"/>
      <w:bookmarkEnd w:id="115"/>
      <w:bookmarkEnd w:id="116"/>
      <w:bookmarkEnd w:id="117"/>
      <w:bookmarkEnd w:id="118"/>
      <w:bookmarkEnd w:id="119"/>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中卫市沙坡头区辖10镇</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乡共165个行政村、36个居民委员会，其中灌区9镇共143个行政村（其中引黄灌区行政村112个、扬黄灌溉区行政村19个、山区行政村12个），山区1镇</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乡共2</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个行政村。</w:t>
      </w:r>
    </w:p>
    <w:p>
      <w:pPr>
        <w:ind w:firstLine="600"/>
        <w:rPr>
          <w:rFonts w:hint="default" w:ascii="Times New Roman" w:hAnsi="Times New Roman" w:eastAsia="仿宋_GB2312" w:cs="Times New Roman"/>
          <w:color w:val="auto"/>
          <w:sz w:val="32"/>
          <w:szCs w:val="32"/>
          <w:highlight w:val="none"/>
        </w:rPr>
      </w:pPr>
      <w:bookmarkStart w:id="120" w:name="_Toc45886387"/>
      <w:bookmarkStart w:id="121" w:name="_Toc44664586"/>
      <w:r>
        <w:rPr>
          <w:rFonts w:hint="default" w:ascii="Times New Roman" w:hAnsi="Times New Roman" w:eastAsia="仿宋_GB2312" w:cs="Times New Roman"/>
          <w:color w:val="auto"/>
          <w:sz w:val="32"/>
          <w:szCs w:val="32"/>
          <w:highlight w:val="none"/>
        </w:rPr>
        <w:t>2020年，中卫市沙坡头区年末总人口41.68万人，其中城镇人口23.19万人，城镇化率5</w:t>
      </w:r>
      <w:r>
        <w:rPr>
          <w:rFonts w:hint="default" w:ascii="Times New Roman" w:hAnsi="Times New Roman" w:eastAsia="仿宋_GB2312" w:cs="Times New Roman"/>
          <w:color w:val="auto"/>
          <w:sz w:val="32"/>
          <w:szCs w:val="32"/>
          <w:highlight w:val="none"/>
          <w:lang w:eastAsia="zh-CN"/>
        </w:rPr>
        <w:t>6</w:t>
      </w:r>
      <w:r>
        <w:rPr>
          <w:rFonts w:hint="default" w:ascii="Times New Roman" w:hAnsi="Times New Roman" w:eastAsia="仿宋_GB2312" w:cs="Times New Roman"/>
          <w:color w:val="auto"/>
          <w:sz w:val="32"/>
          <w:szCs w:val="32"/>
          <w:highlight w:val="none"/>
        </w:rPr>
        <w:t>%。全年自然增加人口0.15万人，自然增长率为7.68‰。</w:t>
      </w:r>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2020年宁夏沙坡头区人口状况</w:t>
      </w:r>
      <w:r>
        <w:rPr>
          <w:rFonts w:hint="default" w:ascii="Times New Roman" w:hAnsi="Times New Roman" w:cs="Times New Roman"/>
          <w:color w:val="auto"/>
          <w:sz w:val="32"/>
          <w:szCs w:val="32"/>
          <w:highlight w:val="none"/>
          <w:lang w:eastAsia="zh-CN"/>
        </w:rPr>
        <w:t>，详</w:t>
      </w:r>
      <w:r>
        <w:rPr>
          <w:rFonts w:hint="default" w:ascii="Times New Roman" w:hAnsi="Times New Roman" w:eastAsia="仿宋_GB2312" w:cs="Times New Roman"/>
          <w:color w:val="auto"/>
          <w:sz w:val="32"/>
          <w:szCs w:val="32"/>
          <w:highlight w:val="none"/>
        </w:rPr>
        <w:t>见表2.2-1</w:t>
      </w:r>
      <w:r>
        <w:rPr>
          <w:rFonts w:hint="default" w:ascii="Times New Roman" w:hAnsi="Times New Roman" w:cs="Times New Roman"/>
          <w:color w:val="auto"/>
          <w:sz w:val="32"/>
          <w:szCs w:val="32"/>
          <w:highlight w:val="none"/>
          <w:lang w:eastAsia="zh-CN"/>
        </w:rPr>
        <w:t>所示</w:t>
      </w:r>
      <w:r>
        <w:rPr>
          <w:rFonts w:hint="default" w:ascii="Times New Roman" w:hAnsi="Times New Roman" w:eastAsia="仿宋_GB2312" w:cs="Times New Roman"/>
          <w:color w:val="auto"/>
          <w:sz w:val="32"/>
          <w:szCs w:val="32"/>
          <w:highlight w:val="none"/>
        </w:rPr>
        <w:t>。</w:t>
      </w:r>
    </w:p>
    <w:p>
      <w:pPr>
        <w:pStyle w:val="22"/>
        <w:ind w:firstLine="640" w:firstLineChars="200"/>
        <w:jc w:val="center"/>
        <w:rPr>
          <w:rFonts w:hint="default" w:ascii="Times New Roman" w:hAnsi="Times New Roman" w:eastAsia="方正小标宋_GBK" w:cs="Times New Roman"/>
          <w:b w:val="0"/>
          <w:bCs w:val="0"/>
          <w:color w:val="auto"/>
          <w:sz w:val="36"/>
          <w:szCs w:val="36"/>
          <w:highlight w:val="none"/>
        </w:rPr>
      </w:pPr>
      <w:r>
        <w:rPr>
          <w:rFonts w:hint="default" w:ascii="Times New Roman" w:hAnsi="Times New Roman" w:eastAsia="方正小标宋_GBK" w:cs="Times New Roman"/>
          <w:b w:val="0"/>
          <w:bCs w:val="0"/>
          <w:color w:val="auto"/>
          <w:sz w:val="32"/>
          <w:szCs w:val="32"/>
          <w:highlight w:val="none"/>
        </w:rPr>
        <w:t>表2.2-1</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2020年沙坡头区人口统计表</w:t>
      </w:r>
    </w:p>
    <w:tbl>
      <w:tblPr>
        <w:tblStyle w:val="17"/>
        <w:tblW w:w="88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34"/>
        <w:gridCol w:w="1518"/>
        <w:gridCol w:w="1598"/>
        <w:gridCol w:w="1475"/>
        <w:gridCol w:w="1376"/>
        <w:gridCol w:w="13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836" w:hRule="atLeast"/>
          <w:jc w:val="center"/>
        </w:trPr>
        <w:tc>
          <w:tcPr>
            <w:tcW w:w="1534" w:type="dxa"/>
            <w:vAlign w:val="center"/>
          </w:tcPr>
          <w:p>
            <w:pPr>
              <w:widowControl/>
              <w:adjustRightInd/>
              <w:snapToGrid/>
              <w:spacing w:before="0" w:beforeLines="0" w:line="240" w:lineRule="auto"/>
              <w:ind w:firstLine="0" w:firstLineChars="0"/>
              <w:jc w:val="center"/>
              <w:rPr>
                <w:rFonts w:hint="default" w:ascii="Times New Roman" w:hAnsi="Times New Roman" w:cs="Times New Roman"/>
                <w:b/>
                <w:color w:val="auto"/>
                <w:kern w:val="0"/>
                <w:sz w:val="24"/>
                <w:szCs w:val="24"/>
                <w:highlight w:val="none"/>
              </w:rPr>
            </w:pPr>
            <w:r>
              <w:rPr>
                <w:rFonts w:hint="default" w:ascii="Times New Roman" w:hAnsi="Times New Roman" w:eastAsia="仿宋_GB2312" w:cs="Times New Roman"/>
                <w:b/>
                <w:bCs/>
                <w:color w:val="auto"/>
                <w:sz w:val="24"/>
                <w:szCs w:val="24"/>
                <w:highlight w:val="none"/>
              </w:rPr>
              <w:t>行政区划</w:t>
            </w:r>
          </w:p>
        </w:tc>
        <w:tc>
          <w:tcPr>
            <w:tcW w:w="1518" w:type="dxa"/>
            <w:vAlign w:val="center"/>
          </w:tcPr>
          <w:p>
            <w:pPr>
              <w:widowControl/>
              <w:adjustRightInd/>
              <w:snapToGrid/>
              <w:spacing w:before="0" w:beforeLines="0" w:line="240" w:lineRule="auto"/>
              <w:ind w:firstLine="0" w:firstLineChars="0"/>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常住人口</w:t>
            </w:r>
          </w:p>
          <w:p>
            <w:pPr>
              <w:widowControl/>
              <w:adjustRightInd/>
              <w:snapToGrid/>
              <w:spacing w:before="0" w:beforeLines="0" w:line="240" w:lineRule="auto"/>
              <w:ind w:firstLine="0" w:firstLineChars="0"/>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（万人）</w:t>
            </w:r>
          </w:p>
        </w:tc>
        <w:tc>
          <w:tcPr>
            <w:tcW w:w="1598" w:type="dxa"/>
            <w:vAlign w:val="center"/>
          </w:tcPr>
          <w:p>
            <w:pPr>
              <w:widowControl/>
              <w:adjustRightInd/>
              <w:snapToGrid/>
              <w:spacing w:before="0" w:beforeLines="0" w:line="240" w:lineRule="auto"/>
              <w:ind w:firstLine="0" w:firstLineChars="0"/>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城镇人口</w:t>
            </w:r>
          </w:p>
          <w:p>
            <w:pPr>
              <w:widowControl/>
              <w:adjustRightInd/>
              <w:snapToGrid/>
              <w:spacing w:before="0" w:beforeLines="0" w:line="240" w:lineRule="auto"/>
              <w:ind w:firstLine="0" w:firstLineChars="0"/>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（万人）</w:t>
            </w:r>
          </w:p>
        </w:tc>
        <w:tc>
          <w:tcPr>
            <w:tcW w:w="1475" w:type="dxa"/>
            <w:vAlign w:val="center"/>
          </w:tcPr>
          <w:p>
            <w:pPr>
              <w:widowControl/>
              <w:adjustRightInd/>
              <w:snapToGrid/>
              <w:spacing w:before="0" w:beforeLines="0" w:line="240" w:lineRule="auto"/>
              <w:ind w:firstLine="0" w:firstLineChars="0"/>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农村人口</w:t>
            </w:r>
          </w:p>
          <w:p>
            <w:pPr>
              <w:widowControl/>
              <w:adjustRightInd/>
              <w:snapToGrid/>
              <w:spacing w:before="0" w:beforeLines="0" w:line="240" w:lineRule="auto"/>
              <w:ind w:firstLine="0" w:firstLineChars="0"/>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（万人）</w:t>
            </w:r>
          </w:p>
        </w:tc>
        <w:tc>
          <w:tcPr>
            <w:tcW w:w="1376" w:type="dxa"/>
            <w:vAlign w:val="center"/>
          </w:tcPr>
          <w:p>
            <w:pPr>
              <w:widowControl/>
              <w:adjustRightInd/>
              <w:snapToGrid/>
              <w:spacing w:before="0" w:beforeLines="0" w:line="240" w:lineRule="auto"/>
              <w:ind w:firstLine="0" w:firstLineChars="0"/>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城镇化率</w:t>
            </w:r>
          </w:p>
          <w:p>
            <w:pPr>
              <w:widowControl/>
              <w:adjustRightInd/>
              <w:snapToGrid/>
              <w:spacing w:before="0" w:beforeLines="0" w:line="240" w:lineRule="auto"/>
              <w:ind w:firstLine="0" w:firstLineChars="0"/>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w:t>
            </w:r>
          </w:p>
        </w:tc>
        <w:tc>
          <w:tcPr>
            <w:tcW w:w="1370" w:type="dxa"/>
            <w:vAlign w:val="center"/>
          </w:tcPr>
          <w:p>
            <w:pPr>
              <w:widowControl/>
              <w:adjustRightInd/>
              <w:snapToGrid/>
              <w:spacing w:before="0" w:beforeLines="0" w:line="240" w:lineRule="auto"/>
              <w:ind w:firstLine="0" w:firstLineChars="0"/>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自然人口</w:t>
            </w:r>
          </w:p>
          <w:p>
            <w:pPr>
              <w:widowControl/>
              <w:adjustRightInd/>
              <w:snapToGrid/>
              <w:spacing w:before="0" w:beforeLines="0" w:line="240" w:lineRule="auto"/>
              <w:ind w:firstLine="0" w:firstLineChars="0"/>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增长率（‰）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38" w:hRule="atLeast"/>
          <w:jc w:val="center"/>
        </w:trPr>
        <w:tc>
          <w:tcPr>
            <w:tcW w:w="1534" w:type="dxa"/>
            <w:vAlign w:val="center"/>
          </w:tcPr>
          <w:p>
            <w:pPr>
              <w:widowControl/>
              <w:spacing w:before="0" w:beforeLines="0"/>
              <w:ind w:firstLine="0" w:firstLineChars="0"/>
              <w:jc w:val="center"/>
              <w:rPr>
                <w:rFonts w:hint="default" w:ascii="Times New Roman" w:hAnsi="Times New Roman" w:cs="Times New Roman"/>
                <w:bCs/>
                <w:color w:val="auto"/>
                <w:kern w:val="0"/>
                <w:sz w:val="40"/>
                <w:szCs w:val="24"/>
                <w:highlight w:val="none"/>
              </w:rPr>
            </w:pPr>
            <w:r>
              <w:rPr>
                <w:rFonts w:hint="default" w:ascii="Times New Roman" w:hAnsi="Times New Roman" w:eastAsia="仿宋_GB2312" w:cs="Times New Roman"/>
                <w:color w:val="auto"/>
                <w:sz w:val="24"/>
                <w:szCs w:val="24"/>
                <w:highlight w:val="none"/>
              </w:rPr>
              <w:t>沙坡头区</w:t>
            </w:r>
          </w:p>
        </w:tc>
        <w:tc>
          <w:tcPr>
            <w:tcW w:w="1518" w:type="dxa"/>
            <w:vAlign w:val="center"/>
          </w:tcPr>
          <w:p>
            <w:pPr>
              <w:widowControl/>
              <w:spacing w:before="0" w:beforeLines="0"/>
              <w:ind w:firstLine="0" w:firstLineChars="0"/>
              <w:jc w:val="center"/>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41.68</w:t>
            </w:r>
          </w:p>
        </w:tc>
        <w:tc>
          <w:tcPr>
            <w:tcW w:w="1598" w:type="dxa"/>
            <w:vAlign w:val="center"/>
          </w:tcPr>
          <w:p>
            <w:pPr>
              <w:widowControl/>
              <w:spacing w:before="0" w:beforeLines="0"/>
              <w:ind w:firstLine="0" w:firstLineChars="0"/>
              <w:jc w:val="center"/>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18.49</w:t>
            </w:r>
          </w:p>
        </w:tc>
        <w:tc>
          <w:tcPr>
            <w:tcW w:w="1475" w:type="dxa"/>
            <w:vAlign w:val="center"/>
          </w:tcPr>
          <w:p>
            <w:pPr>
              <w:widowControl/>
              <w:spacing w:before="0" w:beforeLines="0"/>
              <w:ind w:firstLine="0" w:firstLineChars="0"/>
              <w:jc w:val="center"/>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23.19</w:t>
            </w:r>
          </w:p>
        </w:tc>
        <w:tc>
          <w:tcPr>
            <w:tcW w:w="1376" w:type="dxa"/>
            <w:vAlign w:val="center"/>
          </w:tcPr>
          <w:p>
            <w:pPr>
              <w:widowControl/>
              <w:spacing w:before="0" w:beforeLines="0"/>
              <w:ind w:firstLine="0" w:firstLineChars="0"/>
              <w:jc w:val="center"/>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5</w:t>
            </w:r>
            <w:r>
              <w:rPr>
                <w:rFonts w:hint="default" w:ascii="Times New Roman" w:hAnsi="Times New Roman" w:cs="Times New Roman"/>
                <w:bCs/>
                <w:color w:val="auto"/>
                <w:kern w:val="0"/>
                <w:sz w:val="24"/>
                <w:szCs w:val="24"/>
                <w:highlight w:val="none"/>
                <w:lang w:eastAsia="zh-CN"/>
              </w:rPr>
              <w:t>6</w:t>
            </w:r>
          </w:p>
        </w:tc>
        <w:tc>
          <w:tcPr>
            <w:tcW w:w="1370" w:type="dxa"/>
            <w:vAlign w:val="center"/>
          </w:tcPr>
          <w:p>
            <w:pPr>
              <w:widowControl/>
              <w:spacing w:before="0" w:beforeLines="0"/>
              <w:ind w:firstLine="0" w:firstLineChars="0"/>
              <w:jc w:val="center"/>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rPr>
              <w:t>7.68</w:t>
            </w:r>
          </w:p>
        </w:tc>
      </w:tr>
    </w:tbl>
    <w:p>
      <w:pPr>
        <w:pStyle w:val="7"/>
        <w:spacing w:before="0"/>
        <w:rPr>
          <w:rFonts w:hint="default" w:ascii="Times New Roman" w:hAnsi="Times New Roman" w:eastAsia="仿宋_GB2312" w:cs="Times New Roman"/>
          <w:bCs/>
          <w:color w:val="auto"/>
          <w:kern w:val="2"/>
          <w:highlight w:val="none"/>
        </w:rPr>
      </w:pPr>
      <w:bookmarkStart w:id="122" w:name="_Toc23102"/>
      <w:bookmarkStart w:id="123" w:name="_Toc7876"/>
      <w:bookmarkStart w:id="124" w:name="_Toc19122"/>
      <w:bookmarkStart w:id="125" w:name="_Toc12073"/>
      <w:bookmarkStart w:id="126" w:name="_Toc14634"/>
      <w:bookmarkStart w:id="127" w:name="_Toc24896"/>
      <w:bookmarkStart w:id="128" w:name="_Toc30449"/>
      <w:bookmarkStart w:id="129" w:name="_Toc15585"/>
      <w:r>
        <w:rPr>
          <w:rFonts w:hint="default" w:ascii="Times New Roman" w:hAnsi="Times New Roman" w:eastAsia="仿宋_GB2312" w:cs="Times New Roman"/>
          <w:bCs/>
          <w:color w:val="auto"/>
          <w:kern w:val="2"/>
          <w:highlight w:val="none"/>
        </w:rPr>
        <w:t>2.2.2经济发展形势</w:t>
      </w:r>
      <w:bookmarkEnd w:id="120"/>
      <w:bookmarkEnd w:id="121"/>
      <w:bookmarkEnd w:id="122"/>
      <w:bookmarkEnd w:id="123"/>
      <w:bookmarkEnd w:id="124"/>
      <w:bookmarkEnd w:id="125"/>
      <w:bookmarkEnd w:id="126"/>
      <w:bookmarkEnd w:id="127"/>
      <w:bookmarkEnd w:id="128"/>
      <w:bookmarkEnd w:id="129"/>
    </w:p>
    <w:p>
      <w:pPr>
        <w:pStyle w:val="8"/>
        <w:rPr>
          <w:rFonts w:hint="default" w:ascii="Times New Roman" w:hAnsi="Times New Roman" w:cs="Times New Roman"/>
          <w:color w:val="auto"/>
          <w:highlight w:val="none"/>
        </w:rPr>
      </w:pPr>
      <w:r>
        <w:rPr>
          <w:rFonts w:hint="default" w:ascii="Times New Roman" w:hAnsi="Times New Roman" w:cs="Times New Roman"/>
          <w:color w:val="auto"/>
          <w:highlight w:val="none"/>
        </w:rPr>
        <w:t>2.2.2.1</w:t>
      </w:r>
      <w:r>
        <w:rPr>
          <w:rFonts w:hint="default" w:ascii="Times New Roman" w:hAnsi="Times New Roman" w:eastAsia="仿宋_GB2312" w:cs="Times New Roman"/>
          <w:color w:val="auto"/>
          <w:szCs w:val="32"/>
          <w:highlight w:val="none"/>
        </w:rPr>
        <w:t>工业发展形势</w:t>
      </w:r>
    </w:p>
    <w:p>
      <w:pPr>
        <w:pStyle w:val="9"/>
        <w:rPr>
          <w:rFonts w:hint="default" w:ascii="Times New Roman" w:hAnsi="Times New Roman" w:eastAsia="仿宋_GB2312" w:cs="Times New Roman"/>
          <w:b w:val="0"/>
          <w:bCs w:val="0"/>
          <w:color w:val="auto"/>
          <w:sz w:val="32"/>
          <w:szCs w:val="28"/>
          <w:highlight w:val="none"/>
        </w:rPr>
      </w:pPr>
      <w:r>
        <w:rPr>
          <w:rFonts w:hint="default" w:ascii="Times New Roman" w:hAnsi="Times New Roman" w:eastAsia="仿宋_GB2312" w:cs="Times New Roman"/>
          <w:b w:val="0"/>
          <w:bCs w:val="0"/>
          <w:color w:val="auto"/>
          <w:sz w:val="32"/>
          <w:szCs w:val="28"/>
          <w:highlight w:val="none"/>
        </w:rPr>
        <w:t>（1）中卫市沙坡头区发展形势</w:t>
      </w:r>
    </w:p>
    <w:p>
      <w:pPr>
        <w:ind w:firstLine="600"/>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rPr>
        <w:t>2020年，沙坡头区实现地区生产总值194.52亿元，比上年增长1.5%。其中，第一产业增加值29.57亿元，增长4.9%；第二产业增加值77.23亿元，增长0.3%；第三产业增加值87.72亿元，增长1.4%。第一产业增加值占地区生产总值的比重为15.2%，第二产业增加值比重为39.7%，第三产业增加值比重为45.1%。</w:t>
      </w:r>
    </w:p>
    <w:p>
      <w:pPr>
        <w:pStyle w:val="22"/>
        <w:ind w:firstLine="640" w:firstLineChars="200"/>
        <w:jc w:val="center"/>
        <w:rPr>
          <w:rFonts w:hint="default" w:ascii="Times New Roman" w:hAnsi="Times New Roman" w:eastAsia="方正小标宋_GBK" w:cs="Times New Roman"/>
          <w:b w:val="0"/>
          <w:bCs w:val="0"/>
          <w:color w:val="auto"/>
          <w:sz w:val="32"/>
          <w:szCs w:val="32"/>
          <w:highlight w:val="none"/>
        </w:rPr>
      </w:pPr>
      <w:r>
        <w:rPr>
          <w:rFonts w:hint="default" w:ascii="Times New Roman" w:hAnsi="Times New Roman" w:eastAsia="方正小标宋_GBK" w:cs="Times New Roman"/>
          <w:b w:val="0"/>
          <w:bCs w:val="0"/>
          <w:color w:val="auto"/>
          <w:sz w:val="32"/>
          <w:szCs w:val="32"/>
          <w:highlight w:val="none"/>
        </w:rPr>
        <w:t>表2.2-2</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 xml:space="preserve">2020年沙坡头区相关经济指标表     </w:t>
      </w:r>
    </w:p>
    <w:p>
      <w:pPr>
        <w:pStyle w:val="22"/>
        <w:ind w:firstLine="7700" w:firstLineChars="3500"/>
        <w:jc w:val="left"/>
        <w:rPr>
          <w:rFonts w:hint="default" w:ascii="Times New Roman" w:hAnsi="Times New Roman" w:eastAsia="仿宋_GB2312" w:cs="Times New Roman"/>
          <w:b w:val="0"/>
          <w:bCs w:val="0"/>
          <w:color w:val="auto"/>
          <w:sz w:val="22"/>
          <w:szCs w:val="22"/>
          <w:highlight w:val="none"/>
        </w:rPr>
      </w:pPr>
      <w:r>
        <w:rPr>
          <w:rFonts w:hint="default" w:ascii="Times New Roman" w:hAnsi="Times New Roman" w:eastAsia="仿宋_GB2312" w:cs="Times New Roman"/>
          <w:b w:val="0"/>
          <w:bCs w:val="0"/>
          <w:color w:val="auto"/>
          <w:sz w:val="22"/>
          <w:szCs w:val="22"/>
          <w:highlight w:val="none"/>
        </w:rPr>
        <w:t>单位：亿元</w:t>
      </w:r>
    </w:p>
    <w:tbl>
      <w:tblPr>
        <w:tblStyle w:val="17"/>
        <w:tblW w:w="9056"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108" w:type="dxa"/>
          <w:bottom w:w="0" w:type="dxa"/>
          <w:right w:w="108" w:type="dxa"/>
        </w:tblCellMar>
      </w:tblPr>
      <w:tblGrid>
        <w:gridCol w:w="1972"/>
        <w:gridCol w:w="1450"/>
        <w:gridCol w:w="1499"/>
        <w:gridCol w:w="1370"/>
        <w:gridCol w:w="1473"/>
        <w:gridCol w:w="1292"/>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108" w:type="dxa"/>
            <w:bottom w:w="0" w:type="dxa"/>
            <w:right w:w="108" w:type="dxa"/>
          </w:tblCellMar>
        </w:tblPrEx>
        <w:trPr>
          <w:trHeight w:val="651" w:hRule="atLeast"/>
          <w:jc w:val="center"/>
        </w:trPr>
        <w:tc>
          <w:tcPr>
            <w:tcW w:w="1972" w:type="dxa"/>
            <w:tcBorders>
              <w:bottom w:val="single" w:color="auto" w:sz="4" w:space="0"/>
              <w:right w:val="single" w:color="auto" w:sz="4" w:space="0"/>
            </w:tcBorders>
            <w:vAlign w:val="center"/>
          </w:tcPr>
          <w:p>
            <w:pPr>
              <w:pStyle w:val="23"/>
              <w:jc w:val="center"/>
              <w:rPr>
                <w:rFonts w:hint="default" w:ascii="Times New Roman" w:hAnsi="Times New Roman" w:eastAsia="仿宋" w:cs="Times New Roman"/>
                <w:b/>
                <w:color w:val="auto"/>
                <w:kern w:val="0"/>
                <w:sz w:val="24"/>
                <w:szCs w:val="24"/>
                <w:highlight w:val="none"/>
              </w:rPr>
            </w:pPr>
            <w:r>
              <w:rPr>
                <w:rFonts w:hint="default" w:ascii="Times New Roman" w:hAnsi="Times New Roman" w:eastAsia="仿宋_GB2312" w:cs="Times New Roman"/>
                <w:b/>
                <w:bCs/>
                <w:color w:val="auto"/>
                <w:sz w:val="24"/>
                <w:szCs w:val="24"/>
                <w:highlight w:val="none"/>
              </w:rPr>
              <w:t>分区</w:t>
            </w:r>
          </w:p>
        </w:tc>
        <w:tc>
          <w:tcPr>
            <w:tcW w:w="1450" w:type="dxa"/>
            <w:tcBorders>
              <w:left w:val="nil"/>
              <w:bottom w:val="single" w:color="auto" w:sz="4" w:space="0"/>
              <w:right w:val="single" w:color="auto" w:sz="4" w:space="0"/>
            </w:tcBorders>
            <w:vAlign w:val="center"/>
          </w:tcPr>
          <w:p>
            <w:pPr>
              <w:pStyle w:val="23"/>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总量</w:t>
            </w:r>
          </w:p>
        </w:tc>
        <w:tc>
          <w:tcPr>
            <w:tcW w:w="1499" w:type="dxa"/>
            <w:tcBorders>
              <w:left w:val="nil"/>
              <w:bottom w:val="single" w:color="auto" w:sz="4" w:space="0"/>
              <w:right w:val="single" w:color="auto" w:sz="4" w:space="0"/>
            </w:tcBorders>
            <w:vAlign w:val="center"/>
          </w:tcPr>
          <w:p>
            <w:pPr>
              <w:pStyle w:val="23"/>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第一产业</w:t>
            </w:r>
          </w:p>
        </w:tc>
        <w:tc>
          <w:tcPr>
            <w:tcW w:w="1370" w:type="dxa"/>
            <w:tcBorders>
              <w:left w:val="nil"/>
              <w:bottom w:val="single" w:color="auto" w:sz="4" w:space="0"/>
              <w:right w:val="single" w:color="auto" w:sz="4" w:space="0"/>
            </w:tcBorders>
            <w:vAlign w:val="center"/>
          </w:tcPr>
          <w:p>
            <w:pPr>
              <w:pStyle w:val="23"/>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第二产业</w:t>
            </w:r>
          </w:p>
        </w:tc>
        <w:tc>
          <w:tcPr>
            <w:tcW w:w="1473" w:type="dxa"/>
            <w:tcBorders>
              <w:left w:val="nil"/>
              <w:bottom w:val="single" w:color="auto" w:sz="4" w:space="0"/>
              <w:right w:val="single" w:color="auto" w:sz="4" w:space="0"/>
            </w:tcBorders>
            <w:vAlign w:val="center"/>
          </w:tcPr>
          <w:p>
            <w:pPr>
              <w:pStyle w:val="23"/>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其中工业</w:t>
            </w:r>
          </w:p>
        </w:tc>
        <w:tc>
          <w:tcPr>
            <w:tcW w:w="1292" w:type="dxa"/>
            <w:tcBorders>
              <w:left w:val="nil"/>
              <w:bottom w:val="single" w:color="auto" w:sz="4" w:space="0"/>
            </w:tcBorders>
            <w:vAlign w:val="center"/>
          </w:tcPr>
          <w:p>
            <w:pPr>
              <w:pStyle w:val="23"/>
              <w:jc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第三产业</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108" w:type="dxa"/>
            <w:bottom w:w="0" w:type="dxa"/>
            <w:right w:w="108" w:type="dxa"/>
          </w:tblCellMar>
        </w:tblPrEx>
        <w:trPr>
          <w:trHeight w:val="664" w:hRule="atLeast"/>
          <w:jc w:val="center"/>
        </w:trPr>
        <w:tc>
          <w:tcPr>
            <w:tcW w:w="1972" w:type="dxa"/>
            <w:tcBorders>
              <w:top w:val="single" w:color="auto" w:sz="4" w:space="0"/>
              <w:right w:val="single" w:color="auto" w:sz="4" w:space="0"/>
            </w:tcBorders>
            <w:vAlign w:val="center"/>
          </w:tcPr>
          <w:p>
            <w:pPr>
              <w:pStyle w:val="23"/>
              <w:jc w:val="center"/>
              <w:rPr>
                <w:rFonts w:hint="default" w:ascii="Times New Roman" w:hAnsi="Times New Roman"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合计</w:t>
            </w:r>
          </w:p>
        </w:tc>
        <w:tc>
          <w:tcPr>
            <w:tcW w:w="1450" w:type="dxa"/>
            <w:tcBorders>
              <w:top w:val="single" w:color="auto" w:sz="4" w:space="0"/>
              <w:left w:val="nil"/>
              <w:right w:val="single" w:color="auto" w:sz="4" w:space="0"/>
            </w:tcBorders>
            <w:vAlign w:val="center"/>
          </w:tcPr>
          <w:p>
            <w:pPr>
              <w:pStyle w:val="24"/>
              <w:rPr>
                <w:rFonts w:hint="default" w:ascii="Times New Roman" w:hAnsi="Times New Roman" w:cs="Times New Roman"/>
                <w:color w:val="auto"/>
                <w:kern w:val="0"/>
                <w:sz w:val="24"/>
                <w:szCs w:val="36"/>
                <w:highlight w:val="none"/>
                <w:lang w:val="en-US"/>
              </w:rPr>
            </w:pPr>
            <w:r>
              <w:rPr>
                <w:rFonts w:hint="default" w:ascii="Times New Roman" w:hAnsi="Times New Roman" w:cs="Times New Roman"/>
                <w:color w:val="auto"/>
                <w:sz w:val="24"/>
                <w:szCs w:val="36"/>
                <w:highlight w:val="none"/>
                <w:lang w:val="en-US"/>
              </w:rPr>
              <w:t>194.52</w:t>
            </w:r>
          </w:p>
        </w:tc>
        <w:tc>
          <w:tcPr>
            <w:tcW w:w="1499" w:type="dxa"/>
            <w:tcBorders>
              <w:top w:val="single" w:color="auto" w:sz="4" w:space="0"/>
              <w:left w:val="nil"/>
              <w:right w:val="single" w:color="auto" w:sz="4" w:space="0"/>
            </w:tcBorders>
            <w:vAlign w:val="center"/>
          </w:tcPr>
          <w:p>
            <w:pPr>
              <w:pStyle w:val="24"/>
              <w:rPr>
                <w:rFonts w:hint="default" w:ascii="Times New Roman" w:hAnsi="Times New Roman" w:cs="Times New Roman"/>
                <w:color w:val="auto"/>
                <w:kern w:val="0"/>
                <w:sz w:val="24"/>
                <w:szCs w:val="36"/>
                <w:highlight w:val="none"/>
                <w:lang w:val="en-US"/>
              </w:rPr>
            </w:pPr>
            <w:r>
              <w:rPr>
                <w:rFonts w:hint="default" w:ascii="Times New Roman" w:hAnsi="Times New Roman" w:cs="Times New Roman"/>
                <w:color w:val="auto"/>
                <w:sz w:val="24"/>
                <w:szCs w:val="36"/>
                <w:highlight w:val="none"/>
                <w:lang w:val="en-US"/>
              </w:rPr>
              <w:t>29.57</w:t>
            </w:r>
          </w:p>
        </w:tc>
        <w:tc>
          <w:tcPr>
            <w:tcW w:w="1370" w:type="dxa"/>
            <w:tcBorders>
              <w:top w:val="single" w:color="auto" w:sz="4" w:space="0"/>
              <w:left w:val="nil"/>
              <w:right w:val="single" w:color="auto" w:sz="4" w:space="0"/>
            </w:tcBorders>
            <w:vAlign w:val="center"/>
          </w:tcPr>
          <w:p>
            <w:pPr>
              <w:pStyle w:val="24"/>
              <w:rPr>
                <w:rFonts w:hint="default" w:ascii="Times New Roman" w:hAnsi="Times New Roman" w:cs="Times New Roman"/>
                <w:color w:val="auto"/>
                <w:kern w:val="0"/>
                <w:sz w:val="24"/>
                <w:szCs w:val="36"/>
                <w:highlight w:val="none"/>
                <w:lang w:val="en-US"/>
              </w:rPr>
            </w:pPr>
            <w:r>
              <w:rPr>
                <w:rFonts w:hint="default" w:ascii="Times New Roman" w:hAnsi="Times New Roman" w:cs="Times New Roman"/>
                <w:color w:val="auto"/>
                <w:sz w:val="24"/>
                <w:szCs w:val="36"/>
                <w:highlight w:val="none"/>
                <w:lang w:val="en-US"/>
              </w:rPr>
              <w:t>77.23</w:t>
            </w:r>
          </w:p>
        </w:tc>
        <w:tc>
          <w:tcPr>
            <w:tcW w:w="1473" w:type="dxa"/>
            <w:tcBorders>
              <w:top w:val="single" w:color="auto" w:sz="4" w:space="0"/>
              <w:left w:val="nil"/>
              <w:right w:val="single" w:color="auto" w:sz="4" w:space="0"/>
            </w:tcBorders>
            <w:vAlign w:val="center"/>
          </w:tcPr>
          <w:p>
            <w:pPr>
              <w:pStyle w:val="24"/>
              <w:rPr>
                <w:rFonts w:hint="default" w:ascii="Times New Roman" w:hAnsi="Times New Roman" w:cs="Times New Roman"/>
                <w:color w:val="auto"/>
                <w:kern w:val="0"/>
                <w:sz w:val="24"/>
                <w:szCs w:val="36"/>
                <w:highlight w:val="none"/>
                <w:lang w:val="en-US"/>
              </w:rPr>
            </w:pPr>
            <w:r>
              <w:rPr>
                <w:rFonts w:hint="default" w:ascii="Times New Roman" w:hAnsi="Times New Roman" w:cs="Times New Roman"/>
                <w:color w:val="auto"/>
                <w:sz w:val="24"/>
                <w:szCs w:val="36"/>
                <w:highlight w:val="none"/>
                <w:lang w:val="en-US"/>
              </w:rPr>
              <w:t>62.58</w:t>
            </w:r>
          </w:p>
        </w:tc>
        <w:tc>
          <w:tcPr>
            <w:tcW w:w="1292" w:type="dxa"/>
            <w:tcBorders>
              <w:top w:val="single" w:color="auto" w:sz="4" w:space="0"/>
              <w:left w:val="nil"/>
            </w:tcBorders>
            <w:vAlign w:val="center"/>
          </w:tcPr>
          <w:p>
            <w:pPr>
              <w:pStyle w:val="24"/>
              <w:rPr>
                <w:rFonts w:hint="default" w:ascii="Times New Roman" w:hAnsi="Times New Roman" w:cs="Times New Roman"/>
                <w:color w:val="auto"/>
                <w:kern w:val="0"/>
                <w:sz w:val="24"/>
                <w:szCs w:val="36"/>
                <w:highlight w:val="none"/>
                <w:lang w:val="en-US"/>
              </w:rPr>
            </w:pPr>
            <w:r>
              <w:rPr>
                <w:rFonts w:hint="default" w:ascii="Times New Roman" w:hAnsi="Times New Roman" w:cs="Times New Roman"/>
                <w:color w:val="auto"/>
                <w:sz w:val="24"/>
                <w:szCs w:val="36"/>
                <w:highlight w:val="none"/>
                <w:lang w:val="en-US"/>
              </w:rPr>
              <w:t>87.72</w:t>
            </w:r>
          </w:p>
        </w:tc>
      </w:tr>
    </w:tbl>
    <w:p>
      <w:pPr>
        <w:pStyle w:val="9"/>
        <w:rPr>
          <w:rFonts w:hint="default" w:ascii="Times New Roman" w:hAnsi="Times New Roman" w:eastAsia="仿宋_GB2312" w:cs="Times New Roman"/>
          <w:b w:val="0"/>
          <w:bCs w:val="0"/>
          <w:color w:val="auto"/>
          <w:sz w:val="32"/>
          <w:szCs w:val="28"/>
          <w:highlight w:val="none"/>
        </w:rPr>
      </w:pPr>
      <w:r>
        <w:rPr>
          <w:rFonts w:hint="default" w:ascii="Times New Roman" w:hAnsi="Times New Roman" w:eastAsia="仿宋_GB2312" w:cs="Times New Roman"/>
          <w:b w:val="0"/>
          <w:bCs w:val="0"/>
          <w:color w:val="auto"/>
          <w:sz w:val="32"/>
          <w:szCs w:val="28"/>
          <w:highlight w:val="none"/>
        </w:rPr>
        <w:t>（2）中卫工业园区发展形势</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卫工业园区是中卫市委、市人民政府为实现“工业强市”战略目标，推进中卫经济社会跨越式发展，在中心城向北10km的卫宁北山地区规划建设集工业发展、生态绿化为一体的区级综合性工业园区。中卫工业园区控制规划面积80km</w:t>
      </w:r>
      <w:r>
        <w:rPr>
          <w:rFonts w:hint="default" w:ascii="Times New Roman" w:hAnsi="Times New Roman"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，其中包括不可利用地26.9km</w:t>
      </w:r>
      <w:r>
        <w:rPr>
          <w:rFonts w:hint="default" w:ascii="Times New Roman" w:hAnsi="Times New Roman"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及工业用地22.2km</w:t>
      </w:r>
      <w:r>
        <w:rPr>
          <w:rFonts w:hint="default" w:ascii="Times New Roman" w:hAnsi="Times New Roman"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。园区分为一区、二区和三区，其中一区已基本建成，二区及三区为规划发展的东扩区。一区主要用于发展精细化工、新材料和新能源冶金等相关产业，规划面积50</w:t>
      </w:r>
      <w:r>
        <w:rPr>
          <w:rFonts w:hint="default" w:ascii="Times New Roman" w:hAnsi="Times New Roman" w:eastAsia="仿宋_GB2312" w:cs="Times New Roman"/>
          <w:color w:val="auto"/>
          <w:sz w:val="32"/>
          <w:szCs w:val="32"/>
          <w:highlight w:val="none"/>
          <w:lang w:val="en-US" w:eastAsia="zh-CN"/>
        </w:rPr>
        <w:t>km</w:t>
      </w:r>
      <w:r>
        <w:rPr>
          <w:rFonts w:hint="default" w:ascii="Times New Roman" w:hAnsi="Times New Roman" w:eastAsia="仿宋_GB2312"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，目前大部分企业及项目均在此范围内建成或规划在建；二区是基于宁夏中关科技产业园西部云基地数据中心项目规划的范围，规划面积10km</w:t>
      </w:r>
      <w:r>
        <w:rPr>
          <w:rFonts w:hint="default" w:ascii="Times New Roman" w:hAnsi="Times New Roman" w:eastAsia="仿宋_GB2312"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；三区包括新材料产业区及预留区，规划面积20km</w:t>
      </w:r>
      <w:r>
        <w:rPr>
          <w:rFonts w:hint="default" w:ascii="Times New Roman" w:hAnsi="Times New Roman" w:eastAsia="仿宋_GB2312"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w:t>
      </w:r>
    </w:p>
    <w:p>
      <w:pPr>
        <w:ind w:firstLine="600"/>
        <w:jc w:val="both"/>
        <w:rPr>
          <w:rFonts w:hint="default" w:ascii="Times New Roman" w:hAnsi="Times New Roman" w:eastAsia="仿宋_GB2312" w:cs="Times New Roman"/>
          <w:color w:val="auto"/>
          <w:szCs w:val="30"/>
          <w:highlight w:val="none"/>
        </w:rPr>
      </w:pPr>
      <w:r>
        <w:rPr>
          <w:rFonts w:hint="default" w:ascii="Times New Roman" w:hAnsi="Times New Roman" w:eastAsia="仿宋_GB2312" w:cs="Times New Roman"/>
          <w:color w:val="auto"/>
          <w:sz w:val="32"/>
          <w:szCs w:val="32"/>
          <w:highlight w:val="none"/>
        </w:rPr>
        <w:t>根据20</w:t>
      </w:r>
      <w:r>
        <w:rPr>
          <w:rFonts w:hint="default" w:ascii="Times New Roman" w:hAnsi="Times New Roman" w:eastAsia="仿宋_GB2312" w:cs="Times New Roman"/>
          <w:color w:val="auto"/>
          <w:sz w:val="32"/>
          <w:szCs w:val="32"/>
          <w:highlight w:val="none"/>
          <w:lang w:eastAsia="zh-CN"/>
        </w:rPr>
        <w:t>2</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年统计，中卫工业园区实现工业增加值36.2732亿元，占沙坡头区工业增加值的60%。</w:t>
      </w:r>
    </w:p>
    <w:p>
      <w:pPr>
        <w:pStyle w:val="8"/>
        <w:ind w:firstLine="600"/>
        <w:rPr>
          <w:rFonts w:hint="default" w:ascii="Times New Roman" w:hAnsi="Times New Roman" w:cs="Times New Roman"/>
          <w:color w:val="auto"/>
          <w:highlight w:val="none"/>
        </w:rPr>
      </w:pPr>
      <w:bookmarkStart w:id="130" w:name="_Toc30496"/>
      <w:r>
        <w:rPr>
          <w:rFonts w:hint="default" w:ascii="Times New Roman" w:hAnsi="Times New Roman" w:cs="Times New Roman"/>
          <w:color w:val="auto"/>
          <w:highlight w:val="none"/>
        </w:rPr>
        <w:t>2.2.2.2</w:t>
      </w:r>
      <w:r>
        <w:rPr>
          <w:rFonts w:hint="default" w:ascii="Times New Roman" w:hAnsi="Times New Roman" w:eastAsia="仿宋_GB2312" w:cs="Times New Roman"/>
          <w:color w:val="auto"/>
          <w:szCs w:val="32"/>
          <w:highlight w:val="none"/>
        </w:rPr>
        <w:t>农业发展形势</w:t>
      </w:r>
    </w:p>
    <w:bookmarkEnd w:id="130"/>
    <w:p>
      <w:pPr>
        <w:ind w:firstLine="60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2020年沙坡头区农林牧渔业总产值59.15亿元，其中农林牧渔业增加值30.5亿元；全年粮食播种面积27.58万亩，比上年增长6.3%；总产量15.81万吨，比上年增长2.7%；亩产573公斤，比上年下降3.4%。</w:t>
      </w:r>
    </w:p>
    <w:p>
      <w:pPr>
        <w:pStyle w:val="6"/>
        <w:rPr>
          <w:rFonts w:hint="default" w:ascii="Times New Roman" w:hAnsi="Times New Roman" w:cs="Times New Roman"/>
          <w:color w:val="auto"/>
          <w:highlight w:val="none"/>
        </w:rPr>
      </w:pPr>
      <w:bookmarkStart w:id="131" w:name="_Toc12472"/>
      <w:bookmarkStart w:id="132" w:name="_Toc9002"/>
      <w:bookmarkStart w:id="133" w:name="_Toc24918"/>
      <w:bookmarkStart w:id="134" w:name="_Toc30759"/>
      <w:bookmarkStart w:id="135" w:name="_Toc5934"/>
      <w:bookmarkStart w:id="136" w:name="_Toc8604"/>
      <w:bookmarkStart w:id="137" w:name="_Toc45886388"/>
      <w:bookmarkStart w:id="138" w:name="_Toc13453"/>
      <w:bookmarkStart w:id="139" w:name="_Toc54701661"/>
      <w:bookmarkStart w:id="140" w:name="_Toc21738"/>
      <w:bookmarkStart w:id="141" w:name="_Toc13835"/>
      <w:bookmarkStart w:id="142" w:name="_Toc16831"/>
      <w:bookmarkStart w:id="143" w:name="_Toc44664587"/>
      <w:bookmarkStart w:id="144" w:name="_Toc4854"/>
      <w:bookmarkStart w:id="145" w:name="_Toc6405"/>
      <w:r>
        <w:rPr>
          <w:rFonts w:hint="default" w:ascii="Times New Roman" w:hAnsi="Times New Roman" w:cs="Times New Roman"/>
          <w:color w:val="auto"/>
          <w:highlight w:val="none"/>
        </w:rPr>
        <w:t>2.3生态环境概况</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Pr>
          <w:rFonts w:hint="default" w:ascii="Times New Roman" w:hAnsi="Times New Roman" w:cs="Times New Roman"/>
          <w:color w:val="auto"/>
          <w:highlight w:val="none"/>
        </w:rPr>
        <w:tab/>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根据中共中卫市委员会办公室中卫市人民政府办公室印发《关于全面打响生态保护大会战推动高质量发展的实施方案》的通知（卫党办发﹝202</w:t>
      </w:r>
      <w:r>
        <w:rPr>
          <w:rFonts w:hint="default" w:ascii="Times New Roman" w:hAnsi="Times New Roman"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﹞54号），全面落实习近平总书记视察宁夏重要讲话精神，坚决守好改善生态环境的“生命线”，全面打响生态保护大会战，切实扛起保护和改善生态环境的重任。</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目前，</w:t>
      </w:r>
      <w:r>
        <w:rPr>
          <w:rFonts w:hint="default" w:ascii="Times New Roman" w:hAnsi="Times New Roman" w:eastAsia="仿宋_GB2312" w:cs="Times New Roman"/>
          <w:color w:val="auto"/>
          <w:sz w:val="32"/>
          <w:szCs w:val="32"/>
          <w:highlight w:val="none"/>
        </w:rPr>
        <w:t>黄河干流入出境断面稳定保持Ⅱ类水质，202</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年，重点入黄排水沟水质达标率达到90%以上，城市集中式饮用水水质达标率100%，城市污水集中处理率达到95%以上，水土保持治理度达到55%，全市森林覆盖率达到17.3%以上。同时，加强水源涵养，在蒿川林场和香山黄色水林区实施雨季抢墒播种柠条1.4万亩。沙坡头区实施退耕还林地补植补造工程5000亩，恢复草原1万亩；实施防沙治沙工程。在长流水腾格里沙漠区封沙育林2万亩，补植补造2万亩，扎设草方格营造灌木林3000亩，在美利林区和永大线退化林抚育管理3.5万亩。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国家级自然保护区管理局在迎闫公路至沙坡头景区包兰铁路两侧、九龙湾等区域扎设草方格营造灌木林1.5万亩，提升改造退化林1.5万亩；开展湖泊湿地生态修复。启动千岛湖湿地生态修复及照壁山湿地工业园区地下渗流补给工程建设，确保湿地水位不降低、湿地面积不缩小。科学合理适度种植水生植物，加快香山湖、腾格里湖及中央大道水系岸线缺株断带补绿工程，规划适宜的浮游动物及鱼类，设计合理的食物网，控制富养生物。年度向香山湖、腾格里湖、中央大道水系等湖泊补水不少于3000万m³，向照壁山水库补给水量2550万m³。</w:t>
      </w:r>
    </w:p>
    <w:p>
      <w:pPr>
        <w:pStyle w:val="7"/>
        <w:spacing w:before="0"/>
        <w:rPr>
          <w:rFonts w:hint="default" w:ascii="Times New Roman" w:hAnsi="Times New Roman" w:eastAsia="仿宋_GB2312" w:cs="Times New Roman"/>
          <w:bCs/>
          <w:color w:val="auto"/>
          <w:kern w:val="2"/>
          <w:highlight w:val="none"/>
        </w:rPr>
      </w:pPr>
      <w:bookmarkStart w:id="146" w:name="_Toc32611"/>
      <w:bookmarkStart w:id="147" w:name="_Toc5088"/>
      <w:bookmarkStart w:id="148" w:name="_Toc29333"/>
      <w:bookmarkStart w:id="149" w:name="_Toc22269"/>
      <w:bookmarkStart w:id="150" w:name="_Toc24624"/>
      <w:bookmarkStart w:id="151" w:name="_Toc18895"/>
      <w:bookmarkStart w:id="152" w:name="_Toc8634"/>
      <w:bookmarkStart w:id="153" w:name="_Toc19293"/>
      <w:r>
        <w:rPr>
          <w:rFonts w:hint="default" w:ascii="Times New Roman" w:hAnsi="Times New Roman" w:eastAsia="仿宋_GB2312" w:cs="Times New Roman"/>
          <w:bCs/>
          <w:color w:val="auto"/>
          <w:kern w:val="2"/>
          <w:highlight w:val="none"/>
        </w:rPr>
        <w:t>2.3.1河流水系</w:t>
      </w:r>
      <w:bookmarkEnd w:id="146"/>
      <w:bookmarkEnd w:id="147"/>
      <w:bookmarkEnd w:id="148"/>
      <w:bookmarkEnd w:id="149"/>
      <w:bookmarkEnd w:id="150"/>
      <w:bookmarkEnd w:id="151"/>
      <w:bookmarkEnd w:id="152"/>
      <w:bookmarkEnd w:id="153"/>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沙坡头区地处黄河上游下段，黄河自黑山峡入境，胜金关出境，横穿城区中部。境内流程114km，占黄河宁夏段的28%，是卫宁灌区主要的农业用水水源。</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沙坡头区境内河流主要有黄河及其支流，包括卫宁黄河左、右岸诸沟。多为季节性干沟，地表径流中因多为暴雨引起的山洪径流，难以利用。</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沙坡头区境内黄河左岸诸沟主要有卫宁北山南麓的长流水沟、色井沟、井梁子沟、新井沟等13条。其中色井沟、井梁子沟集水面积分别为296km</w:t>
      </w:r>
      <w:r>
        <w:rPr>
          <w:rFonts w:hint="default" w:ascii="Times New Roman" w:hAnsi="Times New Roman" w:eastAsia="仿宋_GB2312"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、220km</w:t>
      </w:r>
      <w:r>
        <w:rPr>
          <w:rFonts w:hint="default" w:ascii="Times New Roman" w:hAnsi="Times New Roman" w:eastAsia="仿宋_GB2312"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。长流水沟有常流水。黄左诸沟水质多为中矿化度、低度苦咸水。</w:t>
      </w:r>
    </w:p>
    <w:p>
      <w:pPr>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沙坡头区境内黄河右岸诸沟主要有高崖沟、北沟、冰沟、崾岘子沟、三个窑沟、阴洞梁沟、寺口子沟等。流域面积小于50km</w:t>
      </w:r>
      <w:r>
        <w:rPr>
          <w:rFonts w:hint="default" w:ascii="Times New Roman" w:hAnsi="Times New Roman" w:eastAsia="仿宋_GB2312"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的沟道有42条，50～100km</w:t>
      </w:r>
      <w:r>
        <w:rPr>
          <w:rFonts w:hint="default" w:ascii="Times New Roman" w:hAnsi="Times New Roman" w:eastAsia="仿宋_GB2312"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的沟道6条，100km</w:t>
      </w:r>
      <w:r>
        <w:rPr>
          <w:rFonts w:hint="default" w:ascii="Times New Roman" w:hAnsi="Times New Roman" w:eastAsia="仿宋_GB2312"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以上的沟道6条。常流水二级沟道有5条。各沟道SO4</w:t>
      </w:r>
      <w:r>
        <w:rPr>
          <w:rFonts w:hint="default" w:ascii="Times New Roman" w:hAnsi="Times New Roman" w:eastAsia="仿宋_GB2312" w:cs="Times New Roman"/>
          <w:color w:val="auto"/>
          <w:sz w:val="32"/>
          <w:szCs w:val="32"/>
          <w:highlight w:val="none"/>
          <w:vertAlign w:val="superscript"/>
        </w:rPr>
        <w:t>2-</w:t>
      </w:r>
      <w:r>
        <w:rPr>
          <w:rFonts w:hint="default" w:ascii="Times New Roman" w:hAnsi="Times New Roman" w:eastAsia="仿宋_GB2312" w:cs="Times New Roman"/>
          <w:color w:val="auto"/>
          <w:sz w:val="32"/>
          <w:szCs w:val="32"/>
          <w:highlight w:val="none"/>
        </w:rPr>
        <w:t>、Cl</w:t>
      </w:r>
      <w:r>
        <w:rPr>
          <w:rFonts w:hint="default" w:ascii="Times New Roman" w:hAnsi="Times New Roman" w:eastAsia="仿宋_GB2312" w:cs="Times New Roman"/>
          <w:color w:val="auto"/>
          <w:sz w:val="32"/>
          <w:szCs w:val="32"/>
          <w:highlight w:val="none"/>
          <w:vertAlign w:val="superscript"/>
        </w:rPr>
        <w:t>-</w:t>
      </w:r>
      <w:r>
        <w:rPr>
          <w:rFonts w:hint="default" w:ascii="Times New Roman" w:hAnsi="Times New Roman" w:eastAsia="仿宋_GB2312" w:cs="Times New Roman"/>
          <w:color w:val="auto"/>
          <w:sz w:val="32"/>
          <w:szCs w:val="32"/>
          <w:highlight w:val="none"/>
        </w:rPr>
        <w:t>、矿化度水质指标略有超标，为中、低矿化度苦咸水。</w:t>
      </w:r>
      <w:bookmarkStart w:id="154" w:name="_Toc44664590"/>
      <w:bookmarkStart w:id="155" w:name="_Toc13633"/>
      <w:bookmarkStart w:id="156" w:name="_Toc17040"/>
      <w:bookmarkStart w:id="157" w:name="_Toc20330"/>
      <w:bookmarkStart w:id="158" w:name="_Toc45886391"/>
      <w:bookmarkStart w:id="159" w:name="_Toc16095"/>
      <w:bookmarkStart w:id="160" w:name="_Toc32734"/>
      <w:bookmarkStart w:id="161" w:name="_Toc19081"/>
      <w:bookmarkStart w:id="162" w:name="_Toc15741"/>
    </w:p>
    <w:p>
      <w:pPr>
        <w:pStyle w:val="7"/>
        <w:keepNext/>
        <w:keepLines/>
        <w:pageBreakBefore w:val="0"/>
        <w:widowControl w:val="0"/>
        <w:kinsoku/>
        <w:wordWrap/>
        <w:overflowPunct/>
        <w:topLinePunct w:val="0"/>
        <w:autoSpaceDE/>
        <w:autoSpaceDN/>
        <w:bidi w:val="0"/>
        <w:adjustRightInd w:val="0"/>
        <w:snapToGrid w:val="0"/>
        <w:spacing w:before="0"/>
        <w:textAlignment w:val="auto"/>
        <w:rPr>
          <w:rFonts w:hint="default" w:ascii="Times New Roman" w:hAnsi="Times New Roman" w:eastAsia="仿宋_GB2312" w:cs="Times New Roman"/>
          <w:bCs/>
          <w:color w:val="auto"/>
          <w:kern w:val="2"/>
          <w:highlight w:val="none"/>
        </w:rPr>
      </w:pPr>
      <w:bookmarkStart w:id="163" w:name="_Toc10068"/>
      <w:r>
        <w:rPr>
          <w:rFonts w:hint="default" w:ascii="Times New Roman" w:hAnsi="Times New Roman" w:eastAsia="仿宋_GB2312" w:cs="Times New Roman"/>
          <w:bCs/>
          <w:color w:val="auto"/>
          <w:kern w:val="2"/>
          <w:highlight w:val="none"/>
        </w:rPr>
        <w:t>2.3.2湖泊湿地</w:t>
      </w:r>
      <w:bookmarkEnd w:id="154"/>
      <w:bookmarkEnd w:id="155"/>
      <w:bookmarkEnd w:id="156"/>
      <w:bookmarkEnd w:id="157"/>
      <w:bookmarkEnd w:id="158"/>
      <w:bookmarkEnd w:id="159"/>
      <w:bookmarkEnd w:id="160"/>
      <w:bookmarkEnd w:id="161"/>
      <w:bookmarkEnd w:id="162"/>
      <w:bookmarkEnd w:id="163"/>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根据现状调查评价，沙坡头区常年水域面积在1</w:t>
      </w:r>
      <w:r>
        <w:rPr>
          <w:rFonts w:hint="default" w:ascii="Times New Roman" w:hAnsi="Times New Roman" w:eastAsia="仿宋_GB2312" w:cs="Times New Roman"/>
          <w:color w:val="auto"/>
          <w:sz w:val="32"/>
          <w:szCs w:val="32"/>
          <w:highlight w:val="none"/>
          <w:lang w:val="en-US" w:eastAsia="zh-CN"/>
        </w:rPr>
        <w:t>km</w:t>
      </w:r>
      <w:r>
        <w:rPr>
          <w:rFonts w:hint="default" w:ascii="Times New Roman" w:hAnsi="Times New Roman" w:eastAsia="仿宋_GB2312"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rPr>
        <w:t>以上的湖泊有2个，城市水系1处，</w:t>
      </w:r>
      <w:r>
        <w:rPr>
          <w:rFonts w:hint="default" w:ascii="Times New Roman" w:hAnsi="Times New Roman" w:eastAsia="仿宋_GB2312" w:cs="Times New Roman"/>
          <w:color w:val="auto"/>
          <w:sz w:val="32"/>
          <w:szCs w:val="32"/>
          <w:highlight w:val="none"/>
          <w:lang w:val="en-US" w:eastAsia="zh-CN"/>
        </w:rPr>
        <w:t>总</w:t>
      </w:r>
      <w:r>
        <w:rPr>
          <w:rFonts w:hint="default" w:ascii="Times New Roman" w:hAnsi="Times New Roman" w:eastAsia="仿宋_GB2312" w:cs="Times New Roman"/>
          <w:color w:val="auto"/>
          <w:sz w:val="32"/>
          <w:szCs w:val="32"/>
          <w:highlight w:val="none"/>
        </w:rPr>
        <w:t>水面面积2.63</w:t>
      </w:r>
      <w:r>
        <w:rPr>
          <w:rFonts w:hint="default" w:ascii="Times New Roman" w:hAnsi="Times New Roman" w:eastAsia="仿宋_GB2312" w:cs="Times New Roman"/>
          <w:color w:val="auto"/>
          <w:sz w:val="32"/>
          <w:szCs w:val="32"/>
          <w:highlight w:val="none"/>
          <w:lang w:val="en-US" w:eastAsia="zh-CN"/>
        </w:rPr>
        <w:t>km</w:t>
      </w:r>
      <w:r>
        <w:rPr>
          <w:rFonts w:hint="default" w:ascii="Times New Roman" w:hAnsi="Times New Roman" w:eastAsia="仿宋_GB2312" w:cs="Times New Roman"/>
          <w:color w:val="auto"/>
          <w:sz w:val="32"/>
          <w:szCs w:val="32"/>
          <w:highlight w:val="none"/>
          <w:vertAlign w:val="superscript"/>
          <w:lang w:val="en-US" w:eastAsia="zh-CN"/>
        </w:rPr>
        <w:t>2</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3.39万亩</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p>
    <w:p>
      <w:pPr>
        <w:ind w:firstLine="600"/>
        <w:jc w:val="both"/>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根据习近平总书记在黄河流域生态保护和高质量发展座谈会与视察宁夏时的重要讲话精神，水资源作为经济社会发展的最大刚性约束，按照“以水定城、以水定地、以水定人、以水定产”的原则，抑制不合理用水需求，实现水资源的高效利用。针对</w:t>
      </w:r>
      <w:r>
        <w:rPr>
          <w:rFonts w:hint="default" w:ascii="Times New Roman" w:hAnsi="Times New Roman" w:eastAsia="仿宋_GB2312" w:cs="Times New Roman"/>
          <w:color w:val="auto"/>
          <w:sz w:val="32"/>
          <w:szCs w:val="32"/>
          <w:highlight w:val="none"/>
          <w:lang w:val="en-US" w:eastAsia="zh-CN"/>
        </w:rPr>
        <w:t>沙坡头区</w:t>
      </w:r>
      <w:r>
        <w:rPr>
          <w:rFonts w:hint="default" w:ascii="Times New Roman" w:hAnsi="Times New Roman" w:eastAsia="仿宋_GB2312" w:cs="Times New Roman"/>
          <w:color w:val="auto"/>
          <w:sz w:val="32"/>
          <w:szCs w:val="32"/>
          <w:highlight w:val="none"/>
        </w:rPr>
        <w:t>干旱缺水现状，本次主要考虑重点湖泊、补给水源单一、现状由黄河水补水的湖泊，共计湖泊3个，规划年水面面积基本维持现状</w:t>
      </w:r>
      <w:r>
        <w:rPr>
          <w:rFonts w:hint="default"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详见表2.3-1</w:t>
      </w:r>
      <w:r>
        <w:rPr>
          <w:rFonts w:hint="default" w:ascii="Times New Roman" w:hAnsi="Times New Roman" w:cs="Times New Roman"/>
          <w:color w:val="auto"/>
          <w:sz w:val="32"/>
          <w:szCs w:val="32"/>
          <w:highlight w:val="none"/>
          <w:lang w:eastAsia="zh-CN"/>
        </w:rPr>
        <w:t>所示</w:t>
      </w:r>
      <w:r>
        <w:rPr>
          <w:rFonts w:hint="default" w:ascii="Times New Roman" w:hAnsi="Times New Roman" w:eastAsia="仿宋_GB2312" w:cs="Times New Roman"/>
          <w:color w:val="auto"/>
          <w:sz w:val="32"/>
          <w:szCs w:val="32"/>
          <w:highlight w:val="none"/>
        </w:rPr>
        <w:t>。</w:t>
      </w:r>
    </w:p>
    <w:p>
      <w:pPr>
        <w:pStyle w:val="22"/>
        <w:ind w:firstLine="640" w:firstLineChars="200"/>
        <w:jc w:val="center"/>
        <w:rPr>
          <w:rFonts w:hint="default" w:ascii="Times New Roman" w:hAnsi="Times New Roman" w:eastAsia="方正小标宋_GBK" w:cs="Times New Roman"/>
          <w:b w:val="0"/>
          <w:bCs w:val="0"/>
          <w:color w:val="auto"/>
          <w:sz w:val="32"/>
          <w:szCs w:val="32"/>
          <w:highlight w:val="none"/>
        </w:rPr>
      </w:pPr>
      <w:r>
        <w:rPr>
          <w:rFonts w:hint="default" w:ascii="Times New Roman" w:hAnsi="Times New Roman" w:eastAsia="方正小标宋_GBK" w:cs="Times New Roman"/>
          <w:b w:val="0"/>
          <w:bCs w:val="0"/>
          <w:color w:val="auto"/>
          <w:sz w:val="32"/>
          <w:szCs w:val="32"/>
          <w:highlight w:val="none"/>
        </w:rPr>
        <w:t>表2.3-1</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沙坡头区主要湖泊水面面积</w:t>
      </w:r>
    </w:p>
    <w:tbl>
      <w:tblPr>
        <w:tblStyle w:val="17"/>
        <w:tblW w:w="8871"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2956"/>
        <w:gridCol w:w="2956"/>
        <w:gridCol w:w="2959"/>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72" w:hRule="atLeast"/>
          <w:jc w:val="center"/>
        </w:trPr>
        <w:tc>
          <w:tcPr>
            <w:tcW w:w="2956" w:type="dxa"/>
            <w:tcBorders>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4"/>
                <w:szCs w:val="36"/>
                <w:highlight w:val="none"/>
              </w:rPr>
            </w:pPr>
            <w:r>
              <w:rPr>
                <w:rFonts w:hint="default" w:ascii="Times New Roman" w:hAnsi="Times New Roman" w:eastAsia="仿宋_GB2312" w:cs="Times New Roman"/>
                <w:b/>
                <w:bCs/>
                <w:color w:val="auto"/>
                <w:kern w:val="2"/>
                <w:sz w:val="24"/>
                <w:szCs w:val="24"/>
                <w:highlight w:val="none"/>
                <w:lang w:val="en-US"/>
              </w:rPr>
              <w:t>湖泊名称</w:t>
            </w:r>
          </w:p>
        </w:tc>
        <w:tc>
          <w:tcPr>
            <w:tcW w:w="2956"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4"/>
                <w:szCs w:val="36"/>
                <w:highlight w:val="none"/>
              </w:rPr>
            </w:pPr>
            <w:r>
              <w:rPr>
                <w:rFonts w:hint="default" w:ascii="Times New Roman" w:hAnsi="Times New Roman" w:eastAsia="仿宋_GB2312" w:cs="Times New Roman"/>
                <w:b/>
                <w:bCs/>
                <w:color w:val="auto"/>
                <w:kern w:val="2"/>
                <w:sz w:val="24"/>
                <w:szCs w:val="24"/>
                <w:highlight w:val="none"/>
                <w:lang w:val="en-US"/>
              </w:rPr>
              <w:t>水面面积（</w:t>
            </w:r>
            <w:r>
              <w:rPr>
                <w:rFonts w:hint="default" w:ascii="Times New Roman" w:hAnsi="Times New Roman" w:eastAsia="仿宋_GB2312" w:cs="Times New Roman"/>
                <w:b/>
                <w:bCs/>
                <w:color w:val="auto"/>
                <w:sz w:val="24"/>
                <w:szCs w:val="36"/>
                <w:highlight w:val="none"/>
                <w:lang w:val="en-US" w:eastAsia="zh-CN"/>
              </w:rPr>
              <w:t>km</w:t>
            </w:r>
            <w:r>
              <w:rPr>
                <w:rFonts w:hint="default" w:ascii="Times New Roman" w:hAnsi="Times New Roman" w:eastAsia="仿宋_GB2312" w:cs="Times New Roman"/>
                <w:b/>
                <w:bCs/>
                <w:color w:val="auto"/>
                <w:sz w:val="24"/>
                <w:szCs w:val="36"/>
                <w:highlight w:val="none"/>
                <w:vertAlign w:val="superscript"/>
                <w:lang w:val="en-US" w:eastAsia="zh-CN"/>
              </w:rPr>
              <w:t>2</w:t>
            </w:r>
            <w:r>
              <w:rPr>
                <w:rFonts w:hint="default" w:ascii="Times New Roman" w:hAnsi="Times New Roman" w:eastAsia="仿宋_GB2312" w:cs="Times New Roman"/>
                <w:b/>
                <w:bCs/>
                <w:color w:val="auto"/>
                <w:kern w:val="2"/>
                <w:sz w:val="24"/>
                <w:szCs w:val="24"/>
                <w:highlight w:val="none"/>
                <w:lang w:val="en-US"/>
              </w:rPr>
              <w:t>）</w:t>
            </w:r>
          </w:p>
        </w:tc>
        <w:tc>
          <w:tcPr>
            <w:tcW w:w="2959" w:type="dxa"/>
            <w:tcBorders>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4"/>
                <w:szCs w:val="36"/>
                <w:highlight w:val="none"/>
              </w:rPr>
            </w:pPr>
            <w:r>
              <w:rPr>
                <w:rFonts w:hint="default" w:ascii="Times New Roman" w:hAnsi="Times New Roman" w:eastAsia="仿宋_GB2312" w:cs="Times New Roman"/>
                <w:b/>
                <w:bCs/>
                <w:color w:val="auto"/>
                <w:kern w:val="2"/>
                <w:sz w:val="24"/>
                <w:szCs w:val="24"/>
                <w:highlight w:val="none"/>
                <w:lang w:val="en-US"/>
              </w:rPr>
              <w:t>水面面积（万亩）</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43" w:hRule="atLeast"/>
          <w:jc w:val="center"/>
        </w:trPr>
        <w:tc>
          <w:tcPr>
            <w:tcW w:w="2956"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腾格里湖</w:t>
            </w:r>
          </w:p>
        </w:tc>
        <w:tc>
          <w:tcPr>
            <w:tcW w:w="29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5.7</w:t>
            </w:r>
          </w:p>
        </w:tc>
        <w:tc>
          <w:tcPr>
            <w:tcW w:w="295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0.86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43" w:hRule="atLeast"/>
          <w:jc w:val="center"/>
        </w:trPr>
        <w:tc>
          <w:tcPr>
            <w:tcW w:w="2956"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香山湖</w:t>
            </w:r>
          </w:p>
        </w:tc>
        <w:tc>
          <w:tcPr>
            <w:tcW w:w="29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1.13</w:t>
            </w:r>
          </w:p>
        </w:tc>
        <w:tc>
          <w:tcPr>
            <w:tcW w:w="295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0.17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43" w:hRule="atLeast"/>
          <w:jc w:val="center"/>
        </w:trPr>
        <w:tc>
          <w:tcPr>
            <w:tcW w:w="2956"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城市水系</w:t>
            </w:r>
          </w:p>
        </w:tc>
        <w:tc>
          <w:tcPr>
            <w:tcW w:w="29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15.8</w:t>
            </w:r>
          </w:p>
        </w:tc>
        <w:tc>
          <w:tcPr>
            <w:tcW w:w="295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2.37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86" w:hRule="atLeast"/>
          <w:jc w:val="center"/>
        </w:trPr>
        <w:tc>
          <w:tcPr>
            <w:tcW w:w="2956" w:type="dxa"/>
            <w:tcBorders>
              <w:top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b/>
                <w:bCs/>
                <w:color w:val="auto"/>
                <w:sz w:val="24"/>
                <w:szCs w:val="36"/>
                <w:highlight w:val="none"/>
              </w:rPr>
            </w:pPr>
            <w:r>
              <w:rPr>
                <w:rFonts w:hint="default" w:ascii="Times New Roman" w:hAnsi="Times New Roman" w:eastAsia="仿宋" w:cs="Times New Roman"/>
                <w:b/>
                <w:bCs/>
                <w:color w:val="auto"/>
                <w:sz w:val="24"/>
                <w:szCs w:val="36"/>
                <w:highlight w:val="none"/>
                <w:lang w:val="en-US"/>
              </w:rPr>
              <w:t>合计</w:t>
            </w:r>
          </w:p>
        </w:tc>
        <w:tc>
          <w:tcPr>
            <w:tcW w:w="2956"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b/>
                <w:bCs/>
                <w:color w:val="auto"/>
                <w:sz w:val="24"/>
                <w:szCs w:val="36"/>
                <w:highlight w:val="none"/>
              </w:rPr>
            </w:pPr>
            <w:r>
              <w:rPr>
                <w:rFonts w:hint="default" w:ascii="Times New Roman" w:hAnsi="Times New Roman" w:eastAsia="仿宋" w:cs="Times New Roman"/>
                <w:b/>
                <w:bCs/>
                <w:color w:val="auto"/>
                <w:sz w:val="24"/>
                <w:szCs w:val="36"/>
                <w:highlight w:val="none"/>
                <w:lang w:val="en-US"/>
              </w:rPr>
              <w:t>22.63</w:t>
            </w:r>
          </w:p>
        </w:tc>
        <w:tc>
          <w:tcPr>
            <w:tcW w:w="2959" w:type="dxa"/>
            <w:tcBorders>
              <w:top w:val="single" w:color="000000" w:sz="4" w:space="0"/>
              <w:lef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b/>
                <w:bCs/>
                <w:color w:val="auto"/>
                <w:sz w:val="24"/>
                <w:szCs w:val="36"/>
                <w:highlight w:val="none"/>
              </w:rPr>
            </w:pPr>
            <w:r>
              <w:rPr>
                <w:rFonts w:hint="default" w:ascii="Times New Roman" w:hAnsi="Times New Roman" w:eastAsia="仿宋" w:cs="Times New Roman"/>
                <w:b/>
                <w:bCs/>
                <w:color w:val="auto"/>
                <w:sz w:val="24"/>
                <w:szCs w:val="36"/>
                <w:highlight w:val="none"/>
                <w:lang w:val="en-US"/>
              </w:rPr>
              <w:t>3.39</w:t>
            </w:r>
          </w:p>
        </w:tc>
      </w:tr>
    </w:tbl>
    <w:p>
      <w:pPr>
        <w:pStyle w:val="5"/>
        <w:rPr>
          <w:rFonts w:hint="default" w:ascii="Times New Roman" w:hAnsi="Times New Roman" w:cs="Times New Roman"/>
          <w:color w:val="auto"/>
          <w:highlight w:val="none"/>
        </w:rPr>
      </w:pPr>
      <w:bookmarkStart w:id="164" w:name="_Toc29694"/>
      <w:bookmarkStart w:id="165" w:name="_Toc5627"/>
      <w:bookmarkStart w:id="166" w:name="_Toc17240"/>
      <w:bookmarkStart w:id="167" w:name="_Toc21209"/>
      <w:bookmarkStart w:id="168" w:name="_Toc31600"/>
      <w:bookmarkStart w:id="169" w:name="_Toc1912"/>
      <w:bookmarkStart w:id="170" w:name="_Toc3"/>
      <w:bookmarkStart w:id="171" w:name="_Toc31855"/>
      <w:bookmarkStart w:id="172" w:name="_Toc3253"/>
      <w:bookmarkStart w:id="173" w:name="_Toc11945"/>
    </w:p>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第三章</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水资源及开发利用</w:t>
      </w:r>
      <w:bookmarkEnd w:id="164"/>
      <w:bookmarkEnd w:id="165"/>
      <w:bookmarkEnd w:id="166"/>
      <w:bookmarkEnd w:id="167"/>
      <w:bookmarkEnd w:id="168"/>
      <w:bookmarkEnd w:id="169"/>
      <w:bookmarkEnd w:id="170"/>
      <w:bookmarkEnd w:id="171"/>
      <w:bookmarkEnd w:id="172"/>
      <w:bookmarkEnd w:id="173"/>
    </w:p>
    <w:p>
      <w:pPr>
        <w:pStyle w:val="6"/>
        <w:rPr>
          <w:rFonts w:hint="default" w:ascii="Times New Roman" w:hAnsi="Times New Roman" w:cs="Times New Roman"/>
          <w:color w:val="auto"/>
          <w:highlight w:val="none"/>
        </w:rPr>
      </w:pPr>
      <w:bookmarkStart w:id="174" w:name="_Toc9891"/>
      <w:bookmarkStart w:id="175" w:name="_Toc10446"/>
      <w:bookmarkStart w:id="176" w:name="_Toc21447"/>
      <w:bookmarkStart w:id="177" w:name="_Toc14641"/>
      <w:bookmarkStart w:id="178" w:name="_Toc31635"/>
      <w:bookmarkStart w:id="179" w:name="_Toc17733"/>
      <w:bookmarkStart w:id="180" w:name="_Toc14087"/>
      <w:bookmarkStart w:id="181" w:name="_Toc5047"/>
      <w:bookmarkStart w:id="182" w:name="_Toc23004"/>
      <w:bookmarkStart w:id="183" w:name="_Toc7785"/>
    </w:p>
    <w:p>
      <w:pPr>
        <w:pStyle w:val="6"/>
        <w:rPr>
          <w:rFonts w:hint="default" w:ascii="Times New Roman" w:hAnsi="Times New Roman" w:cs="Times New Roman"/>
          <w:color w:val="auto"/>
          <w:highlight w:val="none"/>
        </w:rPr>
      </w:pPr>
      <w:r>
        <w:rPr>
          <w:rFonts w:hint="default" w:ascii="Times New Roman" w:hAnsi="Times New Roman" w:eastAsia="楷体_GB2312" w:cs="Times New Roman"/>
          <w:color w:val="auto"/>
          <w:highlight w:val="none"/>
        </w:rPr>
        <w:t>3.1水资源禀赋条件</w:t>
      </w:r>
      <w:bookmarkEnd w:id="174"/>
      <w:bookmarkEnd w:id="175"/>
      <w:bookmarkEnd w:id="176"/>
      <w:bookmarkEnd w:id="177"/>
      <w:bookmarkEnd w:id="178"/>
      <w:bookmarkEnd w:id="179"/>
      <w:bookmarkEnd w:id="180"/>
      <w:bookmarkEnd w:id="181"/>
      <w:bookmarkEnd w:id="182"/>
      <w:bookmarkEnd w:id="183"/>
      <w:r>
        <w:rPr>
          <w:rFonts w:hint="default" w:ascii="Times New Roman" w:hAnsi="Times New Roman" w:cs="Times New Roman"/>
          <w:color w:val="auto"/>
          <w:highlight w:val="none"/>
        </w:rPr>
        <w:tab/>
      </w:r>
    </w:p>
    <w:p>
      <w:pPr>
        <w:pStyle w:val="7"/>
        <w:rPr>
          <w:rFonts w:hint="default" w:ascii="Times New Roman" w:hAnsi="Times New Roman" w:eastAsia="仿宋_GB2312" w:cs="Times New Roman"/>
          <w:b/>
          <w:bCs w:val="0"/>
          <w:color w:val="auto"/>
          <w:sz w:val="32"/>
          <w:szCs w:val="32"/>
          <w:highlight w:val="none"/>
          <w:lang w:val="en-US" w:eastAsia="zh-CN"/>
        </w:rPr>
      </w:pPr>
      <w:bookmarkStart w:id="184" w:name="_Toc2482"/>
      <w:bookmarkStart w:id="185" w:name="_Toc45886395"/>
      <w:bookmarkStart w:id="186" w:name="_Toc44664594"/>
      <w:r>
        <w:rPr>
          <w:rFonts w:hint="default" w:ascii="Times New Roman" w:hAnsi="Times New Roman" w:eastAsia="仿宋_GB2312" w:cs="Times New Roman"/>
          <w:b/>
          <w:bCs w:val="0"/>
          <w:color w:val="auto"/>
          <w:highlight w:val="none"/>
          <w:lang w:eastAsia="zh-CN"/>
        </w:rPr>
        <w:t>3</w:t>
      </w:r>
      <w:r>
        <w:rPr>
          <w:rFonts w:hint="default" w:ascii="Times New Roman" w:hAnsi="Times New Roman" w:eastAsia="仿宋_GB2312" w:cs="Times New Roman"/>
          <w:b/>
          <w:bCs w:val="0"/>
          <w:color w:val="auto"/>
          <w:highlight w:val="none"/>
          <w:lang w:val="en-US" w:eastAsia="zh-CN"/>
        </w:rPr>
        <w:t>.1.1</w:t>
      </w:r>
      <w:r>
        <w:rPr>
          <w:rFonts w:hint="default" w:ascii="Times New Roman" w:hAnsi="Times New Roman" w:eastAsia="仿宋_GB2312" w:cs="Times New Roman"/>
          <w:b/>
          <w:bCs w:val="0"/>
          <w:color w:val="auto"/>
          <w:sz w:val="32"/>
          <w:szCs w:val="32"/>
          <w:highlight w:val="none"/>
        </w:rPr>
        <w:t>过境黄河水资源量</w:t>
      </w:r>
      <w:bookmarkEnd w:id="184"/>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黄河是宁夏主要的供水水源，根据宁夏入境下河沿水文站和出境石嘴山水文站多年平均径流量以1956</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2000年45年系列计算，下河沿水文站实测入境水量306.8亿m³，石嘴山站出境水量281.2亿m³，进出境相差25.6亿m³。通过</w:t>
      </w:r>
      <w:r>
        <w:rPr>
          <w:rFonts w:hint="default" w:ascii="Times New Roman" w:hAnsi="Times New Roman" w:eastAsia="仿宋_GB2312" w:cs="Times New Roman"/>
          <w:color w:val="auto"/>
          <w:sz w:val="32"/>
          <w:szCs w:val="32"/>
          <w:highlight w:val="none"/>
          <w:shd w:val="clear" w:color="auto" w:fill="auto"/>
        </w:rPr>
        <w:t>上游龙羊峡和刘家峡水库（简称龙刘水库）</w:t>
      </w:r>
      <w:r>
        <w:rPr>
          <w:rFonts w:hint="default" w:ascii="Times New Roman" w:hAnsi="Times New Roman" w:eastAsia="仿宋_GB2312" w:cs="Times New Roman"/>
          <w:color w:val="auto"/>
          <w:sz w:val="32"/>
          <w:szCs w:val="32"/>
          <w:highlight w:val="none"/>
        </w:rPr>
        <w:t>联调后，根据宁夏入境下河沿水文站和出境石嘴山水文站多年平均流量以1987</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2015年29年系列计算，下河沿水文站实测入境水量258.5亿m³，石嘴山站出境水量226.4亿m³，进出境水量相差32.1亿m³。不同时段黄河宁夏段入、出境水量统计表，</w:t>
      </w:r>
      <w:r>
        <w:rPr>
          <w:rFonts w:hint="default" w:ascii="Times New Roman" w:hAnsi="Times New Roman" w:cs="Times New Roman"/>
          <w:color w:val="auto"/>
          <w:sz w:val="32"/>
          <w:szCs w:val="32"/>
          <w:highlight w:val="none"/>
          <w:lang w:eastAsia="zh-CN"/>
        </w:rPr>
        <w:t>详</w:t>
      </w:r>
      <w:r>
        <w:rPr>
          <w:rFonts w:hint="default" w:ascii="Times New Roman" w:hAnsi="Times New Roman" w:eastAsia="仿宋_GB2312" w:cs="Times New Roman"/>
          <w:color w:val="auto"/>
          <w:sz w:val="32"/>
          <w:szCs w:val="32"/>
          <w:highlight w:val="none"/>
        </w:rPr>
        <w:t>见表3.1-1</w:t>
      </w:r>
      <w:r>
        <w:rPr>
          <w:rFonts w:hint="default" w:ascii="Times New Roman" w:hAnsi="Times New Roman" w:cs="Times New Roman"/>
          <w:color w:val="auto"/>
          <w:sz w:val="32"/>
          <w:szCs w:val="32"/>
          <w:highlight w:val="none"/>
          <w:lang w:eastAsia="zh-CN"/>
        </w:rPr>
        <w:t>所示</w:t>
      </w:r>
      <w:r>
        <w:rPr>
          <w:rFonts w:hint="default" w:ascii="Times New Roman" w:hAnsi="Times New Roman" w:eastAsia="仿宋_GB2312" w:cs="Times New Roman"/>
          <w:color w:val="auto"/>
          <w:sz w:val="32"/>
          <w:szCs w:val="32"/>
          <w:highlight w:val="none"/>
        </w:rPr>
        <w:t>。</w:t>
      </w:r>
    </w:p>
    <w:p>
      <w:pPr>
        <w:pStyle w:val="22"/>
        <w:ind w:firstLine="482"/>
        <w:rPr>
          <w:rFonts w:hint="default" w:ascii="Times New Roman" w:hAnsi="Times New Roman" w:eastAsia="仿宋_GB2312" w:cs="Times New Roman"/>
          <w:b/>
          <w:bCs/>
          <w:color w:val="auto"/>
          <w:sz w:val="24"/>
          <w:szCs w:val="24"/>
          <w:highlight w:val="none"/>
        </w:rPr>
      </w:pPr>
      <w:r>
        <w:rPr>
          <w:rFonts w:hint="default" w:ascii="Times New Roman" w:hAnsi="Times New Roman" w:eastAsia="方正小标宋_GBK" w:cs="Times New Roman"/>
          <w:b w:val="0"/>
          <w:bCs w:val="0"/>
          <w:color w:val="auto"/>
          <w:sz w:val="32"/>
          <w:szCs w:val="32"/>
          <w:highlight w:val="none"/>
        </w:rPr>
        <w:t>表3.1-1</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 xml:space="preserve">黄河宁夏段入、出境水量统计表  </w:t>
      </w:r>
      <w:r>
        <w:rPr>
          <w:rFonts w:hint="default" w:ascii="Times New Roman" w:hAnsi="Times New Roman" w:eastAsia="仿宋_GB2312" w:cs="Times New Roman"/>
          <w:b/>
          <w:bCs/>
          <w:color w:val="auto"/>
          <w:sz w:val="24"/>
          <w:szCs w:val="24"/>
          <w:highlight w:val="none"/>
        </w:rPr>
        <w:t xml:space="preserve">       </w:t>
      </w:r>
    </w:p>
    <w:p>
      <w:pPr>
        <w:pStyle w:val="22"/>
        <w:ind w:firstLine="482"/>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lang w:val="en-US" w:eastAsia="zh-CN"/>
        </w:rPr>
        <w:t xml:space="preserve">                                                                    </w:t>
      </w:r>
      <w:r>
        <w:rPr>
          <w:rFonts w:hint="default" w:ascii="Times New Roman" w:hAnsi="Times New Roman" w:eastAsia="仿宋_GB2312" w:cs="Times New Roman"/>
          <w:b w:val="0"/>
          <w:bCs w:val="0"/>
          <w:color w:val="auto"/>
          <w:sz w:val="21"/>
          <w:szCs w:val="21"/>
          <w:highlight w:val="none"/>
        </w:rPr>
        <w:t>单位：亿m³</w:t>
      </w:r>
    </w:p>
    <w:tbl>
      <w:tblPr>
        <w:tblStyle w:val="17"/>
        <w:tblW w:w="90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296"/>
        <w:gridCol w:w="1918"/>
        <w:gridCol w:w="1294"/>
        <w:gridCol w:w="1294"/>
        <w:gridCol w:w="1293"/>
        <w:gridCol w:w="12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jc w:val="center"/>
        </w:trPr>
        <w:tc>
          <w:tcPr>
            <w:tcW w:w="667"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序号</w:t>
            </w:r>
          </w:p>
        </w:tc>
        <w:tc>
          <w:tcPr>
            <w:tcW w:w="1296"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时段</w:t>
            </w:r>
          </w:p>
        </w:tc>
        <w:tc>
          <w:tcPr>
            <w:tcW w:w="1918"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起止年份</w:t>
            </w:r>
          </w:p>
        </w:tc>
        <w:tc>
          <w:tcPr>
            <w:tcW w:w="1294"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年份</w:t>
            </w:r>
          </w:p>
        </w:tc>
        <w:tc>
          <w:tcPr>
            <w:tcW w:w="1294"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下河沿</w:t>
            </w:r>
          </w:p>
        </w:tc>
        <w:tc>
          <w:tcPr>
            <w:tcW w:w="1293"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石嘴山</w:t>
            </w:r>
          </w:p>
        </w:tc>
        <w:tc>
          <w:tcPr>
            <w:tcW w:w="1295" w:type="dxa"/>
            <w:vAlign w:val="center"/>
          </w:tcPr>
          <w:p>
            <w:pPr>
              <w:pStyle w:val="24"/>
              <w:rPr>
                <w:rFonts w:hint="default" w:ascii="Times New Roman" w:hAnsi="Times New Roman" w:eastAsia="仿宋" w:cs="Times New Roman"/>
                <w:b/>
                <w:bCs/>
                <w:color w:val="auto"/>
                <w:sz w:val="22"/>
                <w:szCs w:val="32"/>
                <w:highlight w:val="none"/>
              </w:rPr>
            </w:pPr>
            <w:r>
              <w:rPr>
                <w:rFonts w:hint="default" w:ascii="Times New Roman" w:hAnsi="Times New Roman" w:eastAsia="仿宋_GB2312" w:cs="Times New Roman"/>
                <w:b/>
                <w:bCs/>
                <w:color w:val="auto"/>
                <w:kern w:val="2"/>
                <w:sz w:val="22"/>
                <w:szCs w:val="22"/>
                <w:highlight w:val="none"/>
                <w:lang w:val="en-US"/>
              </w:rPr>
              <w:t>W</w:t>
            </w:r>
            <w:r>
              <w:rPr>
                <w:rFonts w:hint="default" w:ascii="Times New Roman" w:hAnsi="Times New Roman" w:eastAsia="仿宋_GB2312" w:cs="Times New Roman"/>
                <w:b/>
                <w:bCs/>
                <w:color w:val="auto"/>
                <w:kern w:val="2"/>
                <w:sz w:val="22"/>
                <w:szCs w:val="22"/>
                <w:highlight w:val="none"/>
                <w:vertAlign w:val="subscript"/>
                <w:lang w:val="en-US"/>
              </w:rPr>
              <w:t>下</w:t>
            </w:r>
            <w:r>
              <w:rPr>
                <w:rFonts w:hint="default" w:ascii="Times New Roman" w:hAnsi="Times New Roman" w:eastAsia="仿宋_GB2312" w:cs="Times New Roman"/>
                <w:b/>
                <w:bCs/>
                <w:color w:val="auto"/>
                <w:kern w:val="2"/>
                <w:sz w:val="22"/>
                <w:szCs w:val="22"/>
                <w:highlight w:val="none"/>
                <w:lang w:val="en-US"/>
              </w:rPr>
              <w:t>-W</w:t>
            </w:r>
            <w:r>
              <w:rPr>
                <w:rFonts w:hint="default" w:ascii="Times New Roman" w:hAnsi="Times New Roman" w:eastAsia="仿宋_GB2312" w:cs="Times New Roman"/>
                <w:b/>
                <w:bCs/>
                <w:color w:val="auto"/>
                <w:kern w:val="2"/>
                <w:sz w:val="22"/>
                <w:szCs w:val="22"/>
                <w:highlight w:val="none"/>
                <w:vertAlign w:val="subscript"/>
                <w:lang w:val="en-US"/>
              </w:rPr>
              <w:t>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jc w:val="center"/>
        </w:trPr>
        <w:tc>
          <w:tcPr>
            <w:tcW w:w="667"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1</w:t>
            </w:r>
          </w:p>
        </w:tc>
        <w:tc>
          <w:tcPr>
            <w:tcW w:w="1296"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多年平均</w:t>
            </w:r>
          </w:p>
        </w:tc>
        <w:tc>
          <w:tcPr>
            <w:tcW w:w="1918"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1956</w:t>
            </w:r>
            <w:r>
              <w:rPr>
                <w:rFonts w:hint="default" w:ascii="Times New Roman" w:hAnsi="Times New Roman" w:eastAsia="仿宋" w:cs="Times New Roman"/>
                <w:color w:val="auto"/>
                <w:sz w:val="22"/>
                <w:szCs w:val="32"/>
                <w:highlight w:val="none"/>
                <w:lang w:val="en-US" w:eastAsia="zh-CN"/>
              </w:rPr>
              <w:t>-</w:t>
            </w:r>
            <w:r>
              <w:rPr>
                <w:rFonts w:hint="default" w:ascii="Times New Roman" w:hAnsi="Times New Roman" w:eastAsia="仿宋" w:cs="Times New Roman"/>
                <w:color w:val="auto"/>
                <w:sz w:val="22"/>
                <w:szCs w:val="32"/>
                <w:highlight w:val="none"/>
              </w:rPr>
              <w:t>2000</w:t>
            </w:r>
          </w:p>
        </w:tc>
        <w:tc>
          <w:tcPr>
            <w:tcW w:w="1294"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45</w:t>
            </w:r>
          </w:p>
        </w:tc>
        <w:tc>
          <w:tcPr>
            <w:tcW w:w="1294"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306.8</w:t>
            </w:r>
          </w:p>
        </w:tc>
        <w:tc>
          <w:tcPr>
            <w:tcW w:w="1293"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281.2</w:t>
            </w:r>
          </w:p>
        </w:tc>
        <w:tc>
          <w:tcPr>
            <w:tcW w:w="1295"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jc w:val="center"/>
        </w:trPr>
        <w:tc>
          <w:tcPr>
            <w:tcW w:w="667"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2</w:t>
            </w:r>
          </w:p>
        </w:tc>
        <w:tc>
          <w:tcPr>
            <w:tcW w:w="1296"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刘库投运</w:t>
            </w:r>
          </w:p>
        </w:tc>
        <w:tc>
          <w:tcPr>
            <w:tcW w:w="1918"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1968</w:t>
            </w:r>
            <w:r>
              <w:rPr>
                <w:rFonts w:hint="default" w:ascii="Times New Roman" w:hAnsi="Times New Roman" w:eastAsia="仿宋" w:cs="Times New Roman"/>
                <w:color w:val="auto"/>
                <w:sz w:val="22"/>
                <w:szCs w:val="32"/>
                <w:highlight w:val="none"/>
                <w:lang w:val="en-US" w:eastAsia="zh-CN"/>
              </w:rPr>
              <w:t>-</w:t>
            </w:r>
            <w:r>
              <w:rPr>
                <w:rFonts w:hint="default" w:ascii="Times New Roman" w:hAnsi="Times New Roman" w:eastAsia="仿宋" w:cs="Times New Roman"/>
                <w:color w:val="auto"/>
                <w:sz w:val="22"/>
                <w:szCs w:val="32"/>
                <w:highlight w:val="none"/>
              </w:rPr>
              <w:t>2015</w:t>
            </w:r>
          </w:p>
        </w:tc>
        <w:tc>
          <w:tcPr>
            <w:tcW w:w="1294"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48</w:t>
            </w:r>
          </w:p>
        </w:tc>
        <w:tc>
          <w:tcPr>
            <w:tcW w:w="1294"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287.8</w:t>
            </w:r>
          </w:p>
        </w:tc>
        <w:tc>
          <w:tcPr>
            <w:tcW w:w="1293"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257.9</w:t>
            </w:r>
          </w:p>
        </w:tc>
        <w:tc>
          <w:tcPr>
            <w:tcW w:w="1295"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29.9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5" w:hRule="atLeast"/>
          <w:jc w:val="center"/>
        </w:trPr>
        <w:tc>
          <w:tcPr>
            <w:tcW w:w="667"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3</w:t>
            </w:r>
          </w:p>
        </w:tc>
        <w:tc>
          <w:tcPr>
            <w:tcW w:w="1296"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龙库投运</w:t>
            </w:r>
          </w:p>
        </w:tc>
        <w:tc>
          <w:tcPr>
            <w:tcW w:w="1918"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1987</w:t>
            </w:r>
            <w:r>
              <w:rPr>
                <w:rFonts w:hint="default" w:ascii="Times New Roman" w:hAnsi="Times New Roman" w:eastAsia="仿宋" w:cs="Times New Roman"/>
                <w:color w:val="auto"/>
                <w:sz w:val="22"/>
                <w:szCs w:val="32"/>
                <w:highlight w:val="none"/>
                <w:lang w:val="en-US" w:eastAsia="zh-CN"/>
              </w:rPr>
              <w:t>-</w:t>
            </w:r>
            <w:r>
              <w:rPr>
                <w:rFonts w:hint="default" w:ascii="Times New Roman" w:hAnsi="Times New Roman" w:eastAsia="仿宋" w:cs="Times New Roman"/>
                <w:color w:val="auto"/>
                <w:sz w:val="22"/>
                <w:szCs w:val="32"/>
                <w:highlight w:val="none"/>
              </w:rPr>
              <w:t>2015</w:t>
            </w:r>
          </w:p>
        </w:tc>
        <w:tc>
          <w:tcPr>
            <w:tcW w:w="1294"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29</w:t>
            </w:r>
          </w:p>
        </w:tc>
        <w:tc>
          <w:tcPr>
            <w:tcW w:w="1294"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258.5</w:t>
            </w:r>
          </w:p>
        </w:tc>
        <w:tc>
          <w:tcPr>
            <w:tcW w:w="1293"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226.4</w:t>
            </w:r>
          </w:p>
        </w:tc>
        <w:tc>
          <w:tcPr>
            <w:tcW w:w="1295" w:type="dxa"/>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32.1</w:t>
            </w:r>
          </w:p>
        </w:tc>
      </w:tr>
    </w:tbl>
    <w:p>
      <w:pPr>
        <w:pStyle w:val="7"/>
        <w:rPr>
          <w:rFonts w:hint="default" w:ascii="Times New Roman" w:hAnsi="Times New Roman" w:eastAsia="仿宋_GB2312" w:cs="Times New Roman"/>
          <w:color w:val="auto"/>
          <w:highlight w:val="none"/>
        </w:rPr>
      </w:pPr>
      <w:bookmarkStart w:id="187" w:name="_Toc13390"/>
      <w:r>
        <w:rPr>
          <w:rFonts w:hint="default" w:ascii="Times New Roman" w:hAnsi="Times New Roman" w:eastAsia="仿宋_GB2312" w:cs="Times New Roman"/>
          <w:color w:val="auto"/>
          <w:highlight w:val="none"/>
          <w:lang w:eastAsia="zh-CN"/>
        </w:rPr>
        <w:t>3</w:t>
      </w:r>
      <w:r>
        <w:rPr>
          <w:rFonts w:hint="default" w:ascii="Times New Roman" w:hAnsi="Times New Roman" w:eastAsia="仿宋_GB2312" w:cs="Times New Roman"/>
          <w:color w:val="auto"/>
          <w:highlight w:val="none"/>
          <w:lang w:val="en-US" w:eastAsia="zh-CN"/>
        </w:rPr>
        <w:t>.1.2</w:t>
      </w:r>
      <w:r>
        <w:rPr>
          <w:rFonts w:hint="default" w:ascii="Times New Roman" w:hAnsi="Times New Roman" w:eastAsia="仿宋_GB2312" w:cs="Times New Roman"/>
          <w:color w:val="auto"/>
          <w:highlight w:val="none"/>
        </w:rPr>
        <w:t>地表水资源量</w:t>
      </w:r>
      <w:bookmarkEnd w:id="187"/>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卫市沙坡头区地处内陆北部沙漠，是典型的中温带干旱区大陆性兼沙漠性气候，总的气候特征是四季分明，春季气候温暖，升温较快，降水稀少，风大沙多；夏季炎热，光照充足，蒸发强烈；秋季凉爽，降温快，降水多于其他三季；冬季寒冷，干旱少雨雪，且多西北风。该区域年平均降水量为207mm，且降雨集中，各月降水量相差较大，6</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9月降水量占全年降水量的73.1%，12</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2月降水量仅占全年降水量的1.3%。沙坡头区降水量逐月分配情况，</w:t>
      </w:r>
      <w:r>
        <w:rPr>
          <w:rFonts w:hint="default" w:ascii="Times New Roman" w:hAnsi="Times New Roman" w:cs="Times New Roman"/>
          <w:color w:val="auto"/>
          <w:sz w:val="32"/>
          <w:szCs w:val="32"/>
          <w:highlight w:val="none"/>
          <w:lang w:eastAsia="zh-CN"/>
        </w:rPr>
        <w:t>详</w:t>
      </w:r>
      <w:r>
        <w:rPr>
          <w:rFonts w:hint="default" w:ascii="Times New Roman" w:hAnsi="Times New Roman" w:eastAsia="仿宋_GB2312" w:cs="Times New Roman"/>
          <w:color w:val="auto"/>
          <w:sz w:val="32"/>
          <w:szCs w:val="32"/>
          <w:highlight w:val="none"/>
        </w:rPr>
        <w:t>见表3.1-2</w:t>
      </w:r>
      <w:r>
        <w:rPr>
          <w:rFonts w:hint="default" w:ascii="Times New Roman" w:hAnsi="Times New Roman" w:cs="Times New Roman"/>
          <w:color w:val="auto"/>
          <w:sz w:val="32"/>
          <w:szCs w:val="32"/>
          <w:highlight w:val="none"/>
          <w:lang w:eastAsia="zh-CN"/>
        </w:rPr>
        <w:t>所示</w:t>
      </w:r>
      <w:r>
        <w:rPr>
          <w:rFonts w:hint="default" w:ascii="Times New Roman" w:hAnsi="Times New Roman" w:eastAsia="仿宋_GB2312" w:cs="Times New Roman"/>
          <w:color w:val="auto"/>
          <w:sz w:val="32"/>
          <w:szCs w:val="32"/>
          <w:highlight w:val="none"/>
        </w:rPr>
        <w:t>。</w:t>
      </w:r>
    </w:p>
    <w:p>
      <w:pPr>
        <w:pStyle w:val="22"/>
        <w:ind w:firstLine="640" w:firstLineChars="200"/>
        <w:rPr>
          <w:rFonts w:hint="default" w:ascii="Times New Roman" w:hAnsi="Times New Roman" w:eastAsia="仿宋_GB2312" w:cs="Times New Roman"/>
          <w:b/>
          <w:bCs/>
          <w:color w:val="auto"/>
          <w:sz w:val="24"/>
          <w:szCs w:val="24"/>
          <w:highlight w:val="none"/>
        </w:rPr>
      </w:pPr>
      <w:r>
        <w:rPr>
          <w:rFonts w:hint="default" w:ascii="Times New Roman" w:hAnsi="Times New Roman" w:eastAsia="方正小标宋_GBK" w:cs="Times New Roman"/>
          <w:b w:val="0"/>
          <w:bCs w:val="0"/>
          <w:color w:val="auto"/>
          <w:sz w:val="32"/>
          <w:szCs w:val="32"/>
          <w:highlight w:val="none"/>
          <w:lang w:val="en-US" w:eastAsia="zh-CN"/>
        </w:rPr>
        <w:t xml:space="preserve">表3.1-2  沙坡头区降水量逐月分配表     </w:t>
      </w:r>
      <w:r>
        <w:rPr>
          <w:rFonts w:hint="default" w:ascii="Times New Roman" w:hAnsi="Times New Roman" w:eastAsia="仿宋_GB2312" w:cs="Times New Roman"/>
          <w:b/>
          <w:bCs/>
          <w:color w:val="auto"/>
          <w:sz w:val="24"/>
          <w:szCs w:val="24"/>
          <w:highlight w:val="none"/>
        </w:rPr>
        <w:t xml:space="preserve">        </w:t>
      </w:r>
    </w:p>
    <w:p>
      <w:pPr>
        <w:pStyle w:val="22"/>
        <w:ind w:firstLine="420" w:firstLineChars="200"/>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val="0"/>
          <w:bCs w:val="0"/>
          <w:color w:val="auto"/>
          <w:sz w:val="21"/>
          <w:szCs w:val="21"/>
          <w:highlight w:val="none"/>
          <w:lang w:val="en-US" w:eastAsia="zh-CN"/>
        </w:rPr>
        <w:t xml:space="preserve">                                                                     单位：mm</w:t>
      </w:r>
    </w:p>
    <w:tbl>
      <w:tblPr>
        <w:tblStyle w:val="17"/>
        <w:tblW w:w="8863" w:type="dxa"/>
        <w:jc w:val="center"/>
        <w:tblInd w:w="0" w:type="dxa"/>
        <w:tblLayout w:type="fixed"/>
        <w:tblCellMar>
          <w:top w:w="15" w:type="dxa"/>
          <w:left w:w="15" w:type="dxa"/>
          <w:bottom w:w="15" w:type="dxa"/>
          <w:right w:w="15" w:type="dxa"/>
        </w:tblCellMar>
      </w:tblPr>
      <w:tblGrid>
        <w:gridCol w:w="853"/>
        <w:gridCol w:w="613"/>
        <w:gridCol w:w="614"/>
        <w:gridCol w:w="614"/>
        <w:gridCol w:w="614"/>
        <w:gridCol w:w="616"/>
        <w:gridCol w:w="616"/>
        <w:gridCol w:w="616"/>
        <w:gridCol w:w="616"/>
        <w:gridCol w:w="616"/>
        <w:gridCol w:w="616"/>
        <w:gridCol w:w="616"/>
        <w:gridCol w:w="616"/>
        <w:gridCol w:w="627"/>
      </w:tblGrid>
      <w:tr>
        <w:tblPrEx>
          <w:tblLayout w:type="fixed"/>
          <w:tblCellMar>
            <w:top w:w="15" w:type="dxa"/>
            <w:left w:w="15" w:type="dxa"/>
            <w:bottom w:w="15" w:type="dxa"/>
            <w:right w:w="15" w:type="dxa"/>
          </w:tblCellMar>
        </w:tblPrEx>
        <w:trPr>
          <w:trHeight w:val="674" w:hRule="atLeast"/>
          <w:jc w:val="center"/>
        </w:trPr>
        <w:tc>
          <w:tcPr>
            <w:tcW w:w="853" w:type="dxa"/>
            <w:tcBorders>
              <w:top w:val="single" w:color="000000" w:sz="12" w:space="0"/>
              <w:left w:val="single" w:color="000000" w:sz="12" w:space="0"/>
              <w:bottom w:val="single" w:color="000000" w:sz="4" w:space="0"/>
              <w:right w:val="single" w:color="000000" w:sz="4" w:space="0"/>
            </w:tcBorders>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_GB2312" w:cs="Times New Roman"/>
                <w:b/>
                <w:bCs/>
                <w:color w:val="auto"/>
                <w:kern w:val="2"/>
                <w:szCs w:val="21"/>
                <w:highlight w:val="none"/>
                <w:lang w:val="en-US"/>
              </w:rPr>
              <w:t>月份</w:t>
            </w:r>
          </w:p>
        </w:tc>
        <w:tc>
          <w:tcPr>
            <w:tcW w:w="613" w:type="dxa"/>
            <w:tcBorders>
              <w:top w:val="single" w:color="000000" w:sz="12" w:space="0"/>
              <w:left w:val="single" w:color="000000" w:sz="4" w:space="0"/>
              <w:bottom w:val="single" w:color="000000" w:sz="4" w:space="0"/>
              <w:right w:val="single" w:color="000000" w:sz="4" w:space="0"/>
            </w:tcBorders>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1月</w:t>
            </w:r>
          </w:p>
        </w:tc>
        <w:tc>
          <w:tcPr>
            <w:tcW w:w="614" w:type="dxa"/>
            <w:tcBorders>
              <w:top w:val="single" w:color="000000" w:sz="12" w:space="0"/>
              <w:left w:val="single" w:color="000000" w:sz="4" w:space="0"/>
              <w:bottom w:val="single" w:color="000000" w:sz="4" w:space="0"/>
              <w:right w:val="single" w:color="000000" w:sz="4" w:space="0"/>
            </w:tcBorders>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2月</w:t>
            </w:r>
          </w:p>
        </w:tc>
        <w:tc>
          <w:tcPr>
            <w:tcW w:w="614" w:type="dxa"/>
            <w:tcBorders>
              <w:top w:val="single" w:color="000000" w:sz="12" w:space="0"/>
              <w:left w:val="single" w:color="000000" w:sz="4" w:space="0"/>
              <w:bottom w:val="single" w:color="000000" w:sz="4" w:space="0"/>
              <w:right w:val="single" w:color="000000" w:sz="4" w:space="0"/>
            </w:tcBorders>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3月</w:t>
            </w:r>
          </w:p>
        </w:tc>
        <w:tc>
          <w:tcPr>
            <w:tcW w:w="614" w:type="dxa"/>
            <w:tcBorders>
              <w:top w:val="single" w:color="000000" w:sz="12" w:space="0"/>
              <w:left w:val="single" w:color="000000" w:sz="4" w:space="0"/>
              <w:bottom w:val="single" w:color="000000" w:sz="4" w:space="0"/>
              <w:right w:val="single" w:color="000000" w:sz="4" w:space="0"/>
            </w:tcBorders>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4月</w:t>
            </w:r>
          </w:p>
        </w:tc>
        <w:tc>
          <w:tcPr>
            <w:tcW w:w="616" w:type="dxa"/>
            <w:tcBorders>
              <w:top w:val="single" w:color="000000" w:sz="12" w:space="0"/>
              <w:left w:val="single" w:color="000000" w:sz="4" w:space="0"/>
              <w:bottom w:val="single" w:color="000000" w:sz="4" w:space="0"/>
              <w:right w:val="single" w:color="000000" w:sz="4" w:space="0"/>
            </w:tcBorders>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5月</w:t>
            </w:r>
          </w:p>
        </w:tc>
        <w:tc>
          <w:tcPr>
            <w:tcW w:w="616" w:type="dxa"/>
            <w:tcBorders>
              <w:top w:val="single" w:color="000000" w:sz="12" w:space="0"/>
              <w:left w:val="single" w:color="000000" w:sz="4" w:space="0"/>
              <w:bottom w:val="single" w:color="000000" w:sz="4" w:space="0"/>
              <w:right w:val="single" w:color="000000" w:sz="4" w:space="0"/>
            </w:tcBorders>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6月</w:t>
            </w:r>
          </w:p>
        </w:tc>
        <w:tc>
          <w:tcPr>
            <w:tcW w:w="616" w:type="dxa"/>
            <w:tcBorders>
              <w:top w:val="single" w:color="000000" w:sz="12" w:space="0"/>
              <w:left w:val="single" w:color="000000" w:sz="4" w:space="0"/>
              <w:bottom w:val="single" w:color="000000" w:sz="4" w:space="0"/>
              <w:right w:val="single" w:color="000000" w:sz="4" w:space="0"/>
            </w:tcBorders>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7月</w:t>
            </w:r>
          </w:p>
        </w:tc>
        <w:tc>
          <w:tcPr>
            <w:tcW w:w="616" w:type="dxa"/>
            <w:tcBorders>
              <w:top w:val="single" w:color="000000" w:sz="12" w:space="0"/>
              <w:left w:val="single" w:color="000000" w:sz="4" w:space="0"/>
              <w:bottom w:val="single" w:color="000000" w:sz="4" w:space="0"/>
              <w:right w:val="single" w:color="000000" w:sz="4" w:space="0"/>
            </w:tcBorders>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8月</w:t>
            </w:r>
          </w:p>
        </w:tc>
        <w:tc>
          <w:tcPr>
            <w:tcW w:w="616" w:type="dxa"/>
            <w:tcBorders>
              <w:top w:val="single" w:color="000000" w:sz="12" w:space="0"/>
              <w:left w:val="single" w:color="000000" w:sz="4" w:space="0"/>
              <w:bottom w:val="single" w:color="000000" w:sz="4" w:space="0"/>
              <w:right w:val="single" w:color="000000" w:sz="4" w:space="0"/>
            </w:tcBorders>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9月</w:t>
            </w:r>
          </w:p>
        </w:tc>
        <w:tc>
          <w:tcPr>
            <w:tcW w:w="616" w:type="dxa"/>
            <w:tcBorders>
              <w:top w:val="single" w:color="000000" w:sz="12" w:space="0"/>
              <w:left w:val="single" w:color="000000" w:sz="4" w:space="0"/>
              <w:bottom w:val="single" w:color="000000" w:sz="4" w:space="0"/>
              <w:right w:val="single" w:color="000000" w:sz="4" w:space="0"/>
            </w:tcBorders>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10月</w:t>
            </w:r>
          </w:p>
        </w:tc>
        <w:tc>
          <w:tcPr>
            <w:tcW w:w="616" w:type="dxa"/>
            <w:tcBorders>
              <w:top w:val="single" w:color="000000" w:sz="12" w:space="0"/>
              <w:left w:val="single" w:color="000000" w:sz="4" w:space="0"/>
              <w:bottom w:val="single" w:color="000000" w:sz="4" w:space="0"/>
              <w:right w:val="single" w:color="000000" w:sz="4" w:space="0"/>
            </w:tcBorders>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11月</w:t>
            </w:r>
          </w:p>
        </w:tc>
        <w:tc>
          <w:tcPr>
            <w:tcW w:w="616" w:type="dxa"/>
            <w:tcBorders>
              <w:top w:val="single" w:color="000000" w:sz="12" w:space="0"/>
              <w:left w:val="single" w:color="000000" w:sz="4" w:space="0"/>
              <w:bottom w:val="single" w:color="000000" w:sz="4" w:space="0"/>
              <w:right w:val="single" w:color="000000" w:sz="4" w:space="0"/>
            </w:tcBorders>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12月</w:t>
            </w:r>
          </w:p>
        </w:tc>
        <w:tc>
          <w:tcPr>
            <w:tcW w:w="627" w:type="dxa"/>
            <w:tcBorders>
              <w:top w:val="single" w:color="000000" w:sz="12" w:space="0"/>
              <w:left w:val="single" w:color="000000" w:sz="4" w:space="0"/>
              <w:bottom w:val="single" w:color="000000" w:sz="4" w:space="0"/>
              <w:right w:val="single" w:color="000000" w:sz="12" w:space="0"/>
            </w:tcBorders>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全年</w:t>
            </w:r>
          </w:p>
        </w:tc>
      </w:tr>
      <w:tr>
        <w:tblPrEx>
          <w:tblLayout w:type="fixed"/>
          <w:tblCellMar>
            <w:top w:w="15" w:type="dxa"/>
            <w:left w:w="15" w:type="dxa"/>
            <w:bottom w:w="15" w:type="dxa"/>
            <w:right w:w="15" w:type="dxa"/>
          </w:tblCellMar>
        </w:tblPrEx>
        <w:trPr>
          <w:trHeight w:val="1011" w:hRule="atLeast"/>
          <w:jc w:val="center"/>
        </w:trPr>
        <w:tc>
          <w:tcPr>
            <w:tcW w:w="853" w:type="dxa"/>
            <w:tcBorders>
              <w:top w:val="single" w:color="000000" w:sz="4" w:space="0"/>
              <w:left w:val="single" w:color="000000" w:sz="12" w:space="0"/>
              <w:bottom w:val="single" w:color="000000" w:sz="12" w:space="0"/>
              <w:right w:val="single" w:color="000000" w:sz="4" w:space="0"/>
            </w:tcBorders>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多年</w:t>
            </w:r>
          </w:p>
          <w:p>
            <w:pPr>
              <w:pStyle w:val="24"/>
              <w:rPr>
                <w:rFonts w:hint="default" w:ascii="Times New Roman" w:hAnsi="Times New Roman" w:eastAsia="仿宋" w:cs="Times New Roman"/>
                <w:color w:val="auto"/>
                <w:highlight w:val="none"/>
              </w:rPr>
            </w:pPr>
            <w:r>
              <w:rPr>
                <w:rFonts w:hint="default" w:ascii="Times New Roman" w:hAnsi="Times New Roman" w:eastAsia="仿宋_GB2312" w:cs="Times New Roman"/>
                <w:color w:val="auto"/>
                <w:kern w:val="2"/>
                <w:szCs w:val="21"/>
                <w:highlight w:val="none"/>
                <w:lang w:val="en-US"/>
              </w:rPr>
              <w:t>平均</w:t>
            </w:r>
          </w:p>
        </w:tc>
        <w:tc>
          <w:tcPr>
            <w:tcW w:w="613" w:type="dxa"/>
            <w:tcBorders>
              <w:top w:val="single" w:color="000000" w:sz="4" w:space="0"/>
              <w:left w:val="single" w:color="000000" w:sz="4" w:space="0"/>
              <w:bottom w:val="single" w:color="000000" w:sz="12" w:space="0"/>
              <w:right w:val="single" w:color="000000" w:sz="4" w:space="0"/>
            </w:tcBorders>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1.1</w:t>
            </w:r>
          </w:p>
        </w:tc>
        <w:tc>
          <w:tcPr>
            <w:tcW w:w="614" w:type="dxa"/>
            <w:tcBorders>
              <w:top w:val="single" w:color="000000" w:sz="4" w:space="0"/>
              <w:left w:val="single" w:color="000000" w:sz="4" w:space="0"/>
              <w:bottom w:val="single" w:color="000000" w:sz="12" w:space="0"/>
              <w:right w:val="single" w:color="000000" w:sz="4" w:space="0"/>
            </w:tcBorders>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1.6</w:t>
            </w:r>
          </w:p>
        </w:tc>
        <w:tc>
          <w:tcPr>
            <w:tcW w:w="614" w:type="dxa"/>
            <w:tcBorders>
              <w:top w:val="single" w:color="000000" w:sz="4" w:space="0"/>
              <w:left w:val="single" w:color="000000" w:sz="4" w:space="0"/>
              <w:bottom w:val="single" w:color="000000" w:sz="12" w:space="0"/>
              <w:right w:val="single" w:color="000000" w:sz="4" w:space="0"/>
            </w:tcBorders>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rPr>
              <w:t>4</w:t>
            </w:r>
            <w:r>
              <w:rPr>
                <w:rFonts w:hint="default" w:ascii="Times New Roman" w:hAnsi="Times New Roman" w:eastAsia="仿宋" w:cs="Times New Roman"/>
                <w:color w:val="auto"/>
                <w:highlight w:val="none"/>
                <w:lang w:val="en-US"/>
              </w:rPr>
              <w:t>.0</w:t>
            </w:r>
          </w:p>
        </w:tc>
        <w:tc>
          <w:tcPr>
            <w:tcW w:w="614" w:type="dxa"/>
            <w:tcBorders>
              <w:top w:val="single" w:color="000000" w:sz="4" w:space="0"/>
              <w:left w:val="single" w:color="000000" w:sz="4" w:space="0"/>
              <w:bottom w:val="single" w:color="000000" w:sz="12" w:space="0"/>
              <w:right w:val="single" w:color="000000" w:sz="4" w:space="0"/>
            </w:tcBorders>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rPr>
              <w:t>12</w:t>
            </w:r>
            <w:r>
              <w:rPr>
                <w:rFonts w:hint="default" w:ascii="Times New Roman" w:hAnsi="Times New Roman" w:eastAsia="仿宋" w:cs="Times New Roman"/>
                <w:color w:val="auto"/>
                <w:highlight w:val="none"/>
                <w:lang w:val="en-US"/>
              </w:rPr>
              <w:t>.0</w:t>
            </w:r>
          </w:p>
        </w:tc>
        <w:tc>
          <w:tcPr>
            <w:tcW w:w="616" w:type="dxa"/>
            <w:tcBorders>
              <w:top w:val="single" w:color="000000" w:sz="4" w:space="0"/>
              <w:left w:val="single" w:color="000000" w:sz="4" w:space="0"/>
              <w:bottom w:val="single" w:color="000000" w:sz="12" w:space="0"/>
              <w:right w:val="single" w:color="000000" w:sz="4" w:space="0"/>
            </w:tcBorders>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19.7</w:t>
            </w:r>
          </w:p>
        </w:tc>
        <w:tc>
          <w:tcPr>
            <w:tcW w:w="616" w:type="dxa"/>
            <w:tcBorders>
              <w:top w:val="single" w:color="000000" w:sz="4" w:space="0"/>
              <w:left w:val="single" w:color="000000" w:sz="4" w:space="0"/>
              <w:bottom w:val="single" w:color="000000" w:sz="12" w:space="0"/>
              <w:right w:val="single" w:color="000000" w:sz="4" w:space="0"/>
            </w:tcBorders>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rPr>
              <w:t>24</w:t>
            </w:r>
            <w:r>
              <w:rPr>
                <w:rFonts w:hint="default" w:ascii="Times New Roman" w:hAnsi="Times New Roman" w:eastAsia="仿宋" w:cs="Times New Roman"/>
                <w:color w:val="auto"/>
                <w:highlight w:val="none"/>
                <w:lang w:val="en-US"/>
              </w:rPr>
              <w:t>.0</w:t>
            </w:r>
          </w:p>
        </w:tc>
        <w:tc>
          <w:tcPr>
            <w:tcW w:w="616" w:type="dxa"/>
            <w:tcBorders>
              <w:top w:val="single" w:color="000000" w:sz="4" w:space="0"/>
              <w:left w:val="single" w:color="000000" w:sz="4" w:space="0"/>
              <w:bottom w:val="single" w:color="000000" w:sz="12" w:space="0"/>
              <w:right w:val="single" w:color="000000" w:sz="4" w:space="0"/>
            </w:tcBorders>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38.5</w:t>
            </w:r>
          </w:p>
        </w:tc>
        <w:tc>
          <w:tcPr>
            <w:tcW w:w="616" w:type="dxa"/>
            <w:tcBorders>
              <w:top w:val="single" w:color="000000" w:sz="4" w:space="0"/>
              <w:left w:val="single" w:color="000000" w:sz="4" w:space="0"/>
              <w:bottom w:val="single" w:color="000000" w:sz="12" w:space="0"/>
              <w:right w:val="single" w:color="000000" w:sz="4" w:space="0"/>
            </w:tcBorders>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60.7</w:t>
            </w:r>
          </w:p>
        </w:tc>
        <w:tc>
          <w:tcPr>
            <w:tcW w:w="616" w:type="dxa"/>
            <w:tcBorders>
              <w:top w:val="single" w:color="000000" w:sz="4" w:space="0"/>
              <w:left w:val="single" w:color="000000" w:sz="4" w:space="0"/>
              <w:bottom w:val="single" w:color="000000" w:sz="12" w:space="0"/>
              <w:right w:val="single" w:color="000000" w:sz="4" w:space="0"/>
            </w:tcBorders>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27.9</w:t>
            </w:r>
          </w:p>
        </w:tc>
        <w:tc>
          <w:tcPr>
            <w:tcW w:w="616" w:type="dxa"/>
            <w:tcBorders>
              <w:top w:val="single" w:color="000000" w:sz="4" w:space="0"/>
              <w:left w:val="single" w:color="000000" w:sz="4" w:space="0"/>
              <w:bottom w:val="single" w:color="000000" w:sz="12" w:space="0"/>
              <w:right w:val="single" w:color="000000" w:sz="4" w:space="0"/>
            </w:tcBorders>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13.5</w:t>
            </w:r>
          </w:p>
        </w:tc>
        <w:tc>
          <w:tcPr>
            <w:tcW w:w="616" w:type="dxa"/>
            <w:tcBorders>
              <w:top w:val="single" w:color="000000" w:sz="4" w:space="0"/>
              <w:left w:val="single" w:color="000000" w:sz="4" w:space="0"/>
              <w:bottom w:val="single" w:color="000000" w:sz="12" w:space="0"/>
              <w:right w:val="single" w:color="000000" w:sz="4" w:space="0"/>
            </w:tcBorders>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3.5</w:t>
            </w:r>
          </w:p>
        </w:tc>
        <w:tc>
          <w:tcPr>
            <w:tcW w:w="616" w:type="dxa"/>
            <w:tcBorders>
              <w:top w:val="single" w:color="000000" w:sz="4" w:space="0"/>
              <w:left w:val="single" w:color="000000" w:sz="4" w:space="0"/>
              <w:bottom w:val="single" w:color="000000" w:sz="12" w:space="0"/>
              <w:right w:val="single" w:color="000000" w:sz="4" w:space="0"/>
            </w:tcBorders>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0.6</w:t>
            </w:r>
          </w:p>
        </w:tc>
        <w:tc>
          <w:tcPr>
            <w:tcW w:w="627" w:type="dxa"/>
            <w:tcBorders>
              <w:top w:val="single" w:color="000000" w:sz="4" w:space="0"/>
              <w:left w:val="single" w:color="000000" w:sz="4" w:space="0"/>
              <w:bottom w:val="single" w:color="000000" w:sz="12" w:space="0"/>
              <w:right w:val="single" w:color="000000" w:sz="12" w:space="0"/>
            </w:tcBorders>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rPr>
              <w:t>207</w:t>
            </w:r>
            <w:r>
              <w:rPr>
                <w:rFonts w:hint="default" w:ascii="Times New Roman" w:hAnsi="Times New Roman" w:eastAsia="仿宋" w:cs="Times New Roman"/>
                <w:color w:val="auto"/>
                <w:highlight w:val="none"/>
                <w:lang w:val="en-US"/>
              </w:rPr>
              <w:t>.0</w:t>
            </w:r>
          </w:p>
        </w:tc>
      </w:tr>
    </w:tbl>
    <w:p>
      <w:pPr>
        <w:ind w:firstLine="600"/>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rPr>
        <w:t>中卫市沙坡头区当地水资源量少，年内、年际变化大，地区分布不均，地表水资源的开发利用难度大。依据《</w:t>
      </w:r>
      <w:r>
        <w:rPr>
          <w:rFonts w:hint="default" w:ascii="Times New Roman" w:hAnsi="Times New Roman" w:eastAsia="仿宋_GB2312" w:cs="Times New Roman"/>
          <w:color w:val="auto"/>
          <w:sz w:val="32"/>
          <w:szCs w:val="32"/>
          <w:highlight w:val="none"/>
          <w:lang w:val="en-US" w:eastAsia="zh-CN"/>
        </w:rPr>
        <w:t>水文手册</w:t>
      </w:r>
      <w:r>
        <w:rPr>
          <w:rFonts w:hint="default" w:ascii="Times New Roman" w:hAnsi="Times New Roman" w:eastAsia="仿宋_GB2312" w:cs="Times New Roman"/>
          <w:color w:val="auto"/>
          <w:sz w:val="32"/>
          <w:szCs w:val="32"/>
          <w:highlight w:val="none"/>
        </w:rPr>
        <w:t>》的相关计算成果，中卫市沙坡头区当地地表水资源量为0.25</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亿m³，折合年径流深4.8mm。</w:t>
      </w:r>
    </w:p>
    <w:p>
      <w:pPr>
        <w:pStyle w:val="7"/>
        <w:rPr>
          <w:rFonts w:hint="default" w:ascii="Times New Roman" w:hAnsi="Times New Roman" w:eastAsia="仿宋_GB2312" w:cs="Times New Roman"/>
          <w:b w:val="0"/>
          <w:bCs/>
          <w:color w:val="auto"/>
          <w:szCs w:val="32"/>
          <w:highlight w:val="none"/>
        </w:rPr>
      </w:pPr>
      <w:bookmarkStart w:id="188" w:name="_Toc29647"/>
      <w:r>
        <w:rPr>
          <w:rFonts w:hint="default" w:ascii="Times New Roman" w:hAnsi="Times New Roman" w:eastAsia="仿宋_GB2312" w:cs="Times New Roman"/>
          <w:color w:val="auto"/>
          <w:highlight w:val="none"/>
        </w:rPr>
        <w:t>3.1.3地下水资源量</w:t>
      </w:r>
      <w:bookmarkEnd w:id="188"/>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中卫市沙坡头区引黄灌区由于大量引黄水量进行渠系渗漏补给和田间入渗补给，地下水资源较为丰富，</w:t>
      </w:r>
      <w:bookmarkStart w:id="189" w:name="_Hlk53665738"/>
      <w:r>
        <w:rPr>
          <w:rFonts w:hint="default" w:ascii="Times New Roman" w:hAnsi="Times New Roman" w:eastAsia="仿宋_GB2312" w:cs="Times New Roman"/>
          <w:color w:val="auto"/>
          <w:sz w:val="32"/>
          <w:szCs w:val="32"/>
          <w:highlight w:val="none"/>
        </w:rPr>
        <w:t>根据《</w:t>
      </w:r>
      <w:r>
        <w:rPr>
          <w:rFonts w:hint="default" w:ascii="Times New Roman" w:hAnsi="Times New Roman" w:eastAsia="仿宋_GB2312" w:cs="Times New Roman"/>
          <w:color w:val="auto"/>
          <w:sz w:val="32"/>
          <w:szCs w:val="32"/>
          <w:highlight w:val="none"/>
          <w:lang w:val="en-US" w:eastAsia="zh-CN"/>
        </w:rPr>
        <w:t>水文手册</w:t>
      </w:r>
      <w:r>
        <w:rPr>
          <w:rFonts w:hint="default" w:ascii="Times New Roman" w:hAnsi="Times New Roman" w:eastAsia="仿宋_GB2312" w:cs="Times New Roman"/>
          <w:color w:val="auto"/>
          <w:sz w:val="32"/>
          <w:szCs w:val="32"/>
          <w:highlight w:val="none"/>
        </w:rPr>
        <w:t>》成果，中卫市沙坡头区多年平均地下水资源量</w:t>
      </w:r>
      <w:r>
        <w:rPr>
          <w:rFonts w:hint="default" w:ascii="Times New Roman" w:hAnsi="Times New Roman" w:eastAsia="仿宋_GB2312" w:cs="Times New Roman"/>
          <w:color w:val="auto"/>
          <w:sz w:val="32"/>
          <w:szCs w:val="32"/>
          <w:highlight w:val="none"/>
          <w:lang w:val="en-US" w:eastAsia="zh-CN"/>
        </w:rPr>
        <w:t>2.024</w:t>
      </w:r>
      <w:r>
        <w:rPr>
          <w:rFonts w:hint="default" w:ascii="Times New Roman" w:hAnsi="Times New Roman" w:eastAsia="仿宋_GB2312" w:cs="Times New Roman"/>
          <w:color w:val="auto"/>
          <w:sz w:val="32"/>
          <w:szCs w:val="32"/>
          <w:highlight w:val="none"/>
        </w:rPr>
        <w:t>亿m³。</w:t>
      </w:r>
      <w:bookmarkEnd w:id="189"/>
    </w:p>
    <w:p>
      <w:pPr>
        <w:pStyle w:val="7"/>
        <w:rPr>
          <w:rFonts w:hint="default" w:ascii="Times New Roman" w:hAnsi="Times New Roman" w:eastAsia="仿宋_GB2312" w:cs="Times New Roman"/>
          <w:color w:val="auto"/>
          <w:highlight w:val="none"/>
        </w:rPr>
      </w:pPr>
      <w:bookmarkStart w:id="190" w:name="_Toc18942"/>
      <w:r>
        <w:rPr>
          <w:rFonts w:hint="default" w:ascii="Times New Roman" w:hAnsi="Times New Roman" w:eastAsia="仿宋_GB2312" w:cs="Times New Roman"/>
          <w:color w:val="auto"/>
          <w:highlight w:val="none"/>
        </w:rPr>
        <w:t>3.1.4水资源总量</w:t>
      </w:r>
      <w:bookmarkEnd w:id="190"/>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水资源总量是指当地降水形成的地表和地下产水量，即地表径流量与降水入渗补给量之和，不包括过境水量。水资源总量计算用下式计算：</w:t>
      </w:r>
    </w:p>
    <w:p>
      <w:pPr>
        <w:ind w:firstLine="560"/>
        <w:jc w:val="center"/>
        <w:rPr>
          <w:rFonts w:hint="default" w:ascii="Times New Roman" w:hAnsi="Times New Roman" w:cs="Times New Roman"/>
          <w:color w:val="auto"/>
          <w:sz w:val="28"/>
          <w:highlight w:val="none"/>
        </w:rPr>
      </w:pPr>
      <w:r>
        <w:rPr>
          <w:rFonts w:hint="default" w:ascii="Times New Roman" w:hAnsi="Times New Roman" w:cs="Times New Roman"/>
          <w:i/>
          <w:color w:val="auto"/>
          <w:position w:val="-14"/>
          <w:sz w:val="28"/>
          <w:highlight w:val="none"/>
        </w:rPr>
        <w:drawing>
          <wp:inline distT="0" distB="0" distL="114300" distR="114300">
            <wp:extent cx="1934210" cy="342900"/>
            <wp:effectExtent l="0" t="0" r="889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1934210" cy="342900"/>
                    </a:xfrm>
                    <a:prstGeom prst="rect">
                      <a:avLst/>
                    </a:prstGeom>
                    <a:noFill/>
                    <a:ln>
                      <a:noFill/>
                    </a:ln>
                  </pic:spPr>
                </pic:pic>
              </a:graphicData>
            </a:graphic>
          </wp:inline>
        </w:drawing>
      </w:r>
    </w:p>
    <w:p>
      <w:pPr>
        <w:ind w:firstLine="0" w:firstLineChars="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式中：W</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为水资源总量；</w:t>
      </w:r>
    </w:p>
    <w:p>
      <w:pPr>
        <w:ind w:firstLine="960" w:firstLineChars="3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R</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为河川径流量；</w:t>
      </w:r>
    </w:p>
    <w:p>
      <w:pPr>
        <w:ind w:firstLine="960" w:firstLineChars="3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Q</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为地下水资源量；</w:t>
      </w:r>
    </w:p>
    <w:p>
      <w:pPr>
        <w:ind w:firstLine="960" w:firstLineChars="3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Rg</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为河川基流量，是山丘区地表水资源与地下水资源量之间的重复量；</w:t>
      </w:r>
    </w:p>
    <w:p>
      <w:pPr>
        <w:ind w:firstLine="960" w:firstLineChars="3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drawing>
          <wp:inline distT="0" distB="0" distL="114300" distR="114300">
            <wp:extent cx="381000" cy="28575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381000" cy="285750"/>
                    </a:xfrm>
                    <a:prstGeom prst="rect">
                      <a:avLst/>
                    </a:prstGeom>
                    <a:noFill/>
                    <a:ln>
                      <a:noFill/>
                    </a:ln>
                  </pic:spPr>
                </pic:pic>
              </a:graphicData>
            </a:graphic>
          </wp:inline>
        </w:drawing>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为地表水体补给量，是平原区地表水资源与地下水资源之间的重复量。对山丘区来讲Q</w:t>
      </w:r>
      <w:r>
        <w:rPr>
          <w:rFonts w:hint="default" w:ascii="Times New Roman" w:hAnsi="Times New Roman" w:eastAsia="仿宋_GB2312" w:cs="Times New Roman"/>
          <w:color w:val="auto"/>
          <w:sz w:val="32"/>
          <w:szCs w:val="32"/>
          <w:highlight w:val="none"/>
          <w:vertAlign w:val="subscript"/>
        </w:rPr>
        <w:t>表补</w:t>
      </w:r>
      <w:r>
        <w:rPr>
          <w:rFonts w:hint="default" w:ascii="Times New Roman" w:hAnsi="Times New Roman" w:eastAsia="仿宋_GB2312" w:cs="Times New Roman"/>
          <w:color w:val="auto"/>
          <w:sz w:val="32"/>
          <w:szCs w:val="32"/>
          <w:highlight w:val="none"/>
        </w:rPr>
        <w:t>为零，对平原区来讲Rg为零。</w:t>
      </w:r>
    </w:p>
    <w:p>
      <w:pPr>
        <w:ind w:firstLine="600"/>
        <w:rPr>
          <w:rFonts w:hint="default" w:ascii="Times New Roman" w:hAnsi="Times New Roman" w:eastAsia="仿宋_GB2312" w:cs="Times New Roman"/>
          <w:color w:val="auto"/>
          <w:sz w:val="32"/>
          <w:szCs w:val="32"/>
          <w:highlight w:val="none"/>
        </w:rPr>
      </w:pPr>
      <w:bookmarkStart w:id="191" w:name="_Hlk53662691"/>
      <w:r>
        <w:rPr>
          <w:rFonts w:hint="default" w:ascii="Times New Roman" w:hAnsi="Times New Roman" w:eastAsia="仿宋_GB2312" w:cs="Times New Roman"/>
          <w:color w:val="auto"/>
          <w:sz w:val="32"/>
          <w:szCs w:val="32"/>
          <w:highlight w:val="none"/>
        </w:rPr>
        <w:t>中卫市沙坡头区当地地表水资源总量0.25</w:t>
      </w:r>
      <w:r>
        <w:rPr>
          <w:rFonts w:hint="default"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亿m³，地下水资源量</w:t>
      </w:r>
      <w:r>
        <w:rPr>
          <w:rFonts w:hint="default" w:ascii="Times New Roman" w:hAnsi="Times New Roman" w:eastAsia="仿宋_GB2312" w:cs="Times New Roman"/>
          <w:color w:val="auto"/>
          <w:sz w:val="32"/>
          <w:szCs w:val="32"/>
          <w:highlight w:val="none"/>
          <w:lang w:val="en-US" w:eastAsia="zh-CN"/>
        </w:rPr>
        <w:t>2.024</w:t>
      </w:r>
      <w:r>
        <w:rPr>
          <w:rFonts w:hint="default" w:ascii="Times New Roman" w:hAnsi="Times New Roman" w:eastAsia="仿宋_GB2312" w:cs="Times New Roman"/>
          <w:color w:val="auto"/>
          <w:sz w:val="32"/>
          <w:szCs w:val="32"/>
          <w:highlight w:val="none"/>
        </w:rPr>
        <w:t>亿m³，扣除地表水与地下水重复计算量1.</w:t>
      </w:r>
      <w:r>
        <w:rPr>
          <w:rFonts w:hint="default" w:ascii="Times New Roman" w:hAnsi="Times New Roman" w:eastAsia="仿宋_GB2312" w:cs="Times New Roman"/>
          <w:color w:val="auto"/>
          <w:sz w:val="32"/>
          <w:szCs w:val="32"/>
          <w:highlight w:val="none"/>
          <w:lang w:val="en-US" w:eastAsia="zh-CN"/>
        </w:rPr>
        <w:t>911</w:t>
      </w:r>
      <w:r>
        <w:rPr>
          <w:rFonts w:hint="default" w:ascii="Times New Roman" w:hAnsi="Times New Roman" w:eastAsia="仿宋_GB2312" w:cs="Times New Roman"/>
          <w:color w:val="auto"/>
          <w:sz w:val="32"/>
          <w:szCs w:val="32"/>
          <w:highlight w:val="none"/>
        </w:rPr>
        <w:t>亿m³后，则中卫市沙坡头区水资源总量为0.3</w:t>
      </w:r>
      <w:bookmarkEnd w:id="191"/>
      <w:r>
        <w:rPr>
          <w:rFonts w:hint="default" w:ascii="Times New Roman" w:hAnsi="Times New Roman" w:eastAsia="仿宋_GB2312" w:cs="Times New Roman"/>
          <w:color w:val="auto"/>
          <w:sz w:val="32"/>
          <w:szCs w:val="32"/>
          <w:highlight w:val="none"/>
          <w:lang w:val="en-US" w:eastAsia="zh-CN"/>
        </w:rPr>
        <w:t>66</w:t>
      </w:r>
      <w:r>
        <w:rPr>
          <w:rFonts w:hint="default" w:ascii="Times New Roman" w:hAnsi="Times New Roman" w:eastAsia="仿宋_GB2312" w:cs="Times New Roman"/>
          <w:color w:val="auto"/>
          <w:sz w:val="32"/>
          <w:szCs w:val="32"/>
          <w:highlight w:val="none"/>
        </w:rPr>
        <w:t>亿m³。沙坡头区水资源总量计算表，</w:t>
      </w:r>
      <w:r>
        <w:rPr>
          <w:rFonts w:hint="default" w:ascii="Times New Roman" w:hAnsi="Times New Roman" w:cs="Times New Roman"/>
          <w:color w:val="auto"/>
          <w:sz w:val="32"/>
          <w:szCs w:val="32"/>
          <w:highlight w:val="none"/>
          <w:lang w:eastAsia="zh-CN"/>
        </w:rPr>
        <w:t>详</w:t>
      </w:r>
      <w:r>
        <w:rPr>
          <w:rFonts w:hint="default" w:ascii="Times New Roman" w:hAnsi="Times New Roman" w:eastAsia="仿宋_GB2312" w:cs="Times New Roman"/>
          <w:color w:val="auto"/>
          <w:sz w:val="32"/>
          <w:szCs w:val="32"/>
          <w:highlight w:val="none"/>
        </w:rPr>
        <w:t>见表3.1-3</w:t>
      </w:r>
      <w:r>
        <w:rPr>
          <w:rFonts w:hint="default" w:ascii="Times New Roman" w:hAnsi="Times New Roman" w:cs="Times New Roman"/>
          <w:color w:val="auto"/>
          <w:sz w:val="32"/>
          <w:szCs w:val="32"/>
          <w:highlight w:val="none"/>
          <w:lang w:eastAsia="zh-CN"/>
        </w:rPr>
        <w:t>所示</w:t>
      </w:r>
      <w:r>
        <w:rPr>
          <w:rFonts w:hint="default" w:ascii="Times New Roman" w:hAnsi="Times New Roman" w:eastAsia="仿宋_GB2312" w:cs="Times New Roman"/>
          <w:color w:val="auto"/>
          <w:sz w:val="32"/>
          <w:szCs w:val="32"/>
          <w:highlight w:val="none"/>
        </w:rPr>
        <w:t>。</w:t>
      </w:r>
    </w:p>
    <w:p>
      <w:pPr>
        <w:pStyle w:val="22"/>
        <w:ind w:firstLine="640" w:firstLineChars="200"/>
        <w:rPr>
          <w:rFonts w:hint="default" w:ascii="Times New Roman" w:hAnsi="Times New Roman" w:eastAsia="仿宋_GB2312" w:cs="Times New Roman"/>
          <w:b/>
          <w:bCs/>
          <w:color w:val="auto"/>
          <w:sz w:val="24"/>
          <w:szCs w:val="24"/>
          <w:highlight w:val="none"/>
        </w:rPr>
      </w:pPr>
      <w:r>
        <w:rPr>
          <w:rFonts w:hint="default" w:ascii="Times New Roman" w:hAnsi="Times New Roman" w:eastAsia="方正小标宋_GBK" w:cs="Times New Roman"/>
          <w:b w:val="0"/>
          <w:bCs w:val="0"/>
          <w:color w:val="auto"/>
          <w:sz w:val="32"/>
          <w:szCs w:val="32"/>
          <w:highlight w:val="none"/>
          <w:lang w:val="en-US" w:eastAsia="zh-CN"/>
        </w:rPr>
        <w:t xml:space="preserve">表3.1-3  沙坡头区水资源总量计算表  </w:t>
      </w:r>
      <w:r>
        <w:rPr>
          <w:rFonts w:hint="default" w:ascii="Times New Roman" w:hAnsi="Times New Roman" w:eastAsia="仿宋_GB2312" w:cs="Times New Roman"/>
          <w:b/>
          <w:bCs/>
          <w:color w:val="auto"/>
          <w:sz w:val="24"/>
          <w:szCs w:val="24"/>
          <w:highlight w:val="none"/>
        </w:rPr>
        <w:t xml:space="preserve">  </w:t>
      </w:r>
      <w:r>
        <w:rPr>
          <w:rFonts w:hint="default"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bCs/>
          <w:color w:val="auto"/>
          <w:sz w:val="24"/>
          <w:szCs w:val="24"/>
          <w:highlight w:val="none"/>
        </w:rPr>
        <w:t xml:space="preserve">   </w:t>
      </w:r>
    </w:p>
    <w:p>
      <w:pPr>
        <w:pStyle w:val="22"/>
        <w:ind w:firstLine="482" w:firstLineChars="200"/>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lang w:val="en-US" w:eastAsia="zh-CN"/>
        </w:rPr>
        <w:t xml:space="preserve">                                                           </w:t>
      </w:r>
      <w:r>
        <w:rPr>
          <w:rFonts w:hint="default" w:ascii="Times New Roman" w:hAnsi="Times New Roman" w:eastAsia="仿宋_GB2312" w:cs="Times New Roman"/>
          <w:b w:val="0"/>
          <w:bCs w:val="0"/>
          <w:color w:val="auto"/>
          <w:sz w:val="21"/>
          <w:szCs w:val="21"/>
          <w:highlight w:val="none"/>
          <w:lang w:val="en-US" w:eastAsia="zh-CN"/>
        </w:rPr>
        <w:t>单位：亿m³</w:t>
      </w:r>
    </w:p>
    <w:tbl>
      <w:tblPr>
        <w:tblStyle w:val="17"/>
        <w:tblW w:w="905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6"/>
        <w:gridCol w:w="1578"/>
        <w:gridCol w:w="1533"/>
        <w:gridCol w:w="1584"/>
        <w:gridCol w:w="1805"/>
        <w:gridCol w:w="13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69" w:hRule="exact"/>
          <w:jc w:val="center"/>
        </w:trPr>
        <w:tc>
          <w:tcPr>
            <w:tcW w:w="1196" w:type="dxa"/>
            <w:vAlign w:val="center"/>
          </w:tcPr>
          <w:p>
            <w:pPr>
              <w:pStyle w:val="24"/>
              <w:spacing w:after="0"/>
              <w:rPr>
                <w:rFonts w:hint="default" w:ascii="Times New Roman" w:hAnsi="Times New Roman" w:cs="Times New Roman"/>
                <w:color w:val="auto"/>
                <w:sz w:val="22"/>
                <w:szCs w:val="32"/>
                <w:highlight w:val="none"/>
              </w:rPr>
            </w:pPr>
            <w:r>
              <w:rPr>
                <w:rFonts w:hint="default" w:ascii="Times New Roman" w:hAnsi="Times New Roman" w:eastAsia="仿宋_GB2312" w:cs="Times New Roman"/>
                <w:b/>
                <w:bCs/>
                <w:color w:val="auto"/>
                <w:kern w:val="2"/>
                <w:sz w:val="22"/>
                <w:szCs w:val="22"/>
                <w:highlight w:val="none"/>
                <w:lang w:val="en-US"/>
              </w:rPr>
              <w:t>流域</w:t>
            </w:r>
          </w:p>
        </w:tc>
        <w:tc>
          <w:tcPr>
            <w:tcW w:w="1578" w:type="dxa"/>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实际计算面积</w:t>
            </w:r>
          </w:p>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（km</w:t>
            </w:r>
            <w:r>
              <w:rPr>
                <w:rFonts w:hint="default" w:ascii="Times New Roman" w:hAnsi="Times New Roman" w:eastAsia="仿宋_GB2312" w:cs="Times New Roman"/>
                <w:b/>
                <w:bCs/>
                <w:color w:val="auto"/>
                <w:kern w:val="2"/>
                <w:sz w:val="22"/>
                <w:szCs w:val="22"/>
                <w:highlight w:val="none"/>
                <w:vertAlign w:val="superscript"/>
                <w:lang w:val="en-US" w:eastAsia="zh-CN"/>
              </w:rPr>
              <w:t>2</w:t>
            </w:r>
            <w:r>
              <w:rPr>
                <w:rFonts w:hint="default" w:ascii="Times New Roman" w:hAnsi="Times New Roman" w:eastAsia="仿宋_GB2312" w:cs="Times New Roman"/>
                <w:b/>
                <w:bCs/>
                <w:color w:val="auto"/>
                <w:kern w:val="2"/>
                <w:sz w:val="22"/>
                <w:szCs w:val="22"/>
                <w:highlight w:val="none"/>
                <w:lang w:val="en-US"/>
              </w:rPr>
              <w:t>）</w:t>
            </w:r>
          </w:p>
        </w:tc>
        <w:tc>
          <w:tcPr>
            <w:tcW w:w="1533" w:type="dxa"/>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地表水</w:t>
            </w:r>
          </w:p>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资源量</w:t>
            </w:r>
          </w:p>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（亿m³）</w:t>
            </w:r>
          </w:p>
        </w:tc>
        <w:tc>
          <w:tcPr>
            <w:tcW w:w="1584" w:type="dxa"/>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地下水资源量</w:t>
            </w:r>
          </w:p>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（亿m³）</w:t>
            </w:r>
          </w:p>
        </w:tc>
        <w:tc>
          <w:tcPr>
            <w:tcW w:w="1805" w:type="dxa"/>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与地表水重复量</w:t>
            </w:r>
          </w:p>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（亿m³）</w:t>
            </w:r>
          </w:p>
        </w:tc>
        <w:tc>
          <w:tcPr>
            <w:tcW w:w="1361" w:type="dxa"/>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水资源总量</w:t>
            </w:r>
          </w:p>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（亿m³）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4" w:hRule="exact"/>
          <w:jc w:val="center"/>
        </w:trPr>
        <w:tc>
          <w:tcPr>
            <w:tcW w:w="1196" w:type="dxa"/>
            <w:vAlign w:val="center"/>
          </w:tcPr>
          <w:p>
            <w:pPr>
              <w:pStyle w:val="24"/>
              <w:spacing w:after="0"/>
              <w:rPr>
                <w:rFonts w:hint="default" w:ascii="Times New Roman" w:hAnsi="Times New Roman" w:cs="Times New Roman"/>
                <w:color w:val="auto"/>
                <w:sz w:val="22"/>
                <w:szCs w:val="32"/>
                <w:highlight w:val="none"/>
              </w:rPr>
            </w:pPr>
            <w:r>
              <w:rPr>
                <w:rFonts w:hint="default" w:ascii="Times New Roman" w:hAnsi="Times New Roman" w:eastAsia="仿宋_GB2312" w:cs="Times New Roman"/>
                <w:color w:val="auto"/>
                <w:kern w:val="2"/>
                <w:sz w:val="22"/>
                <w:szCs w:val="22"/>
                <w:highlight w:val="none"/>
                <w:lang w:val="en-US"/>
              </w:rPr>
              <w:t>沙坡头区</w:t>
            </w:r>
          </w:p>
        </w:tc>
        <w:tc>
          <w:tcPr>
            <w:tcW w:w="1578" w:type="dxa"/>
            <w:vAlign w:val="center"/>
          </w:tcPr>
          <w:p>
            <w:pPr>
              <w:pStyle w:val="24"/>
              <w:spacing w:after="0"/>
              <w:rPr>
                <w:rFonts w:hint="default" w:ascii="Times New Roman" w:hAnsi="Times New Roman" w:eastAsia="宋体" w:cs="Times New Roman"/>
                <w:color w:val="auto"/>
                <w:sz w:val="22"/>
                <w:szCs w:val="32"/>
                <w:highlight w:val="none"/>
                <w:lang w:val="en-US" w:eastAsia="zh-CN"/>
              </w:rPr>
            </w:pPr>
            <w:r>
              <w:rPr>
                <w:rFonts w:hint="default" w:ascii="Times New Roman" w:hAnsi="Times New Roman" w:cs="Times New Roman"/>
                <w:color w:val="auto"/>
                <w:sz w:val="22"/>
                <w:szCs w:val="32"/>
                <w:highlight w:val="none"/>
              </w:rPr>
              <w:t>5</w:t>
            </w:r>
            <w:r>
              <w:rPr>
                <w:rFonts w:hint="default" w:ascii="Times New Roman" w:hAnsi="Times New Roman" w:cs="Times New Roman"/>
                <w:color w:val="auto"/>
                <w:sz w:val="22"/>
                <w:szCs w:val="32"/>
                <w:highlight w:val="none"/>
                <w:lang w:val="en-US" w:eastAsia="zh-CN"/>
              </w:rPr>
              <w:t>338</w:t>
            </w:r>
          </w:p>
        </w:tc>
        <w:tc>
          <w:tcPr>
            <w:tcW w:w="1533" w:type="dxa"/>
            <w:vAlign w:val="center"/>
          </w:tcPr>
          <w:p>
            <w:pPr>
              <w:pStyle w:val="24"/>
              <w:spacing w:after="0"/>
              <w:rPr>
                <w:rFonts w:hint="default" w:ascii="Times New Roman" w:hAnsi="Times New Roman" w:eastAsia="宋体" w:cs="Times New Roman"/>
                <w:color w:val="auto"/>
                <w:sz w:val="22"/>
                <w:szCs w:val="32"/>
                <w:highlight w:val="none"/>
                <w:lang w:eastAsia="zh-CN"/>
              </w:rPr>
            </w:pPr>
            <w:r>
              <w:rPr>
                <w:rFonts w:hint="default" w:ascii="Times New Roman" w:hAnsi="Times New Roman" w:cs="Times New Roman"/>
                <w:color w:val="auto"/>
                <w:sz w:val="22"/>
                <w:szCs w:val="32"/>
                <w:highlight w:val="none"/>
              </w:rPr>
              <w:t>0.25</w:t>
            </w:r>
            <w:r>
              <w:rPr>
                <w:rFonts w:hint="default" w:ascii="Times New Roman" w:hAnsi="Times New Roman" w:cs="Times New Roman"/>
                <w:color w:val="auto"/>
                <w:sz w:val="22"/>
                <w:szCs w:val="32"/>
                <w:highlight w:val="none"/>
                <w:lang w:val="en-US" w:eastAsia="zh-CN"/>
              </w:rPr>
              <w:t>3</w:t>
            </w:r>
          </w:p>
        </w:tc>
        <w:tc>
          <w:tcPr>
            <w:tcW w:w="1584" w:type="dxa"/>
            <w:vAlign w:val="center"/>
          </w:tcPr>
          <w:p>
            <w:pPr>
              <w:pStyle w:val="24"/>
              <w:spacing w:after="0"/>
              <w:rPr>
                <w:rFonts w:hint="default" w:ascii="Times New Roman" w:hAnsi="Times New Roman" w:eastAsia="宋体" w:cs="Times New Roman"/>
                <w:color w:val="auto"/>
                <w:sz w:val="22"/>
                <w:szCs w:val="32"/>
                <w:highlight w:val="none"/>
                <w:lang w:val="en-US" w:eastAsia="zh-CN"/>
              </w:rPr>
            </w:pPr>
            <w:r>
              <w:rPr>
                <w:rFonts w:hint="default" w:ascii="Times New Roman" w:hAnsi="Times New Roman" w:cs="Times New Roman"/>
                <w:color w:val="auto"/>
                <w:sz w:val="22"/>
                <w:szCs w:val="32"/>
                <w:highlight w:val="none"/>
                <w:lang w:val="en-US" w:eastAsia="zh-CN"/>
              </w:rPr>
              <w:t>2.024</w:t>
            </w:r>
          </w:p>
        </w:tc>
        <w:tc>
          <w:tcPr>
            <w:tcW w:w="1805" w:type="dxa"/>
            <w:vAlign w:val="center"/>
          </w:tcPr>
          <w:p>
            <w:pPr>
              <w:pStyle w:val="24"/>
              <w:spacing w:after="0"/>
              <w:rPr>
                <w:rFonts w:hint="default" w:ascii="Times New Roman" w:hAnsi="Times New Roman" w:eastAsia="宋体" w:cs="Times New Roman"/>
                <w:color w:val="auto"/>
                <w:sz w:val="22"/>
                <w:szCs w:val="32"/>
                <w:highlight w:val="none"/>
                <w:lang w:val="en-US" w:eastAsia="zh-CN"/>
              </w:rPr>
            </w:pPr>
            <w:r>
              <w:rPr>
                <w:rFonts w:hint="default" w:ascii="Times New Roman" w:hAnsi="Times New Roman" w:cs="Times New Roman"/>
                <w:color w:val="auto"/>
                <w:sz w:val="22"/>
                <w:szCs w:val="32"/>
                <w:highlight w:val="none"/>
                <w:lang w:val="en-US" w:eastAsia="zh-CN"/>
              </w:rPr>
              <w:t>1.911</w:t>
            </w:r>
          </w:p>
        </w:tc>
        <w:tc>
          <w:tcPr>
            <w:tcW w:w="1361" w:type="dxa"/>
            <w:vAlign w:val="center"/>
          </w:tcPr>
          <w:p>
            <w:pPr>
              <w:pStyle w:val="24"/>
              <w:spacing w:after="0"/>
              <w:rPr>
                <w:rFonts w:hint="default" w:ascii="Times New Roman" w:hAnsi="Times New Roman" w:eastAsia="宋体" w:cs="Times New Roman"/>
                <w:color w:val="auto"/>
                <w:sz w:val="22"/>
                <w:szCs w:val="32"/>
                <w:highlight w:val="none"/>
                <w:lang w:val="en-US" w:eastAsia="zh-CN"/>
              </w:rPr>
            </w:pPr>
            <w:r>
              <w:rPr>
                <w:rFonts w:hint="default" w:ascii="Times New Roman" w:hAnsi="Times New Roman" w:cs="Times New Roman"/>
                <w:color w:val="auto"/>
                <w:sz w:val="22"/>
                <w:szCs w:val="32"/>
                <w:highlight w:val="none"/>
              </w:rPr>
              <w:t>0.3</w:t>
            </w:r>
            <w:r>
              <w:rPr>
                <w:rFonts w:hint="default" w:ascii="Times New Roman" w:hAnsi="Times New Roman" w:cs="Times New Roman"/>
                <w:color w:val="auto"/>
                <w:sz w:val="22"/>
                <w:szCs w:val="32"/>
                <w:highlight w:val="none"/>
                <w:lang w:val="en-US" w:eastAsia="zh-CN"/>
              </w:rPr>
              <w:t>66</w:t>
            </w:r>
          </w:p>
        </w:tc>
      </w:tr>
      <w:bookmarkEnd w:id="185"/>
      <w:bookmarkEnd w:id="186"/>
    </w:tbl>
    <w:p>
      <w:pPr>
        <w:pStyle w:val="6"/>
        <w:rPr>
          <w:rFonts w:hint="default" w:ascii="Times New Roman" w:hAnsi="Times New Roman" w:eastAsia="楷体_GB2312" w:cs="Times New Roman"/>
          <w:color w:val="auto"/>
          <w:highlight w:val="none"/>
        </w:rPr>
      </w:pPr>
      <w:bookmarkStart w:id="192" w:name="_Toc31313"/>
      <w:bookmarkStart w:id="193" w:name="_Toc6088"/>
      <w:bookmarkStart w:id="194" w:name="_Toc28372"/>
      <w:bookmarkStart w:id="195" w:name="_Toc15299"/>
      <w:bookmarkStart w:id="196" w:name="_Toc54701664"/>
      <w:bookmarkStart w:id="197" w:name="_Toc19006"/>
      <w:bookmarkStart w:id="198" w:name="_Toc23379"/>
      <w:bookmarkStart w:id="199" w:name="_Toc45886396"/>
      <w:bookmarkStart w:id="200" w:name="_Toc10242"/>
      <w:bookmarkStart w:id="201" w:name="_Toc5541"/>
      <w:bookmarkStart w:id="202" w:name="_Toc22501"/>
      <w:bookmarkStart w:id="203" w:name="_Toc20813"/>
      <w:bookmarkStart w:id="204" w:name="_Toc31364"/>
      <w:bookmarkStart w:id="205" w:name="_Toc16727"/>
      <w:r>
        <w:rPr>
          <w:rFonts w:hint="default" w:ascii="Times New Roman" w:hAnsi="Times New Roman" w:eastAsia="楷体_GB2312" w:cs="Times New Roman"/>
          <w:color w:val="auto"/>
          <w:highlight w:val="none"/>
        </w:rPr>
        <w:t>3.2水资源开发利用现状</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2016年至2018年沙坡头区取水总量总体上升，按水源分，增加的主要是黄河水；按行业分，增加的主要是生活和工业用水。</w:t>
      </w:r>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2019年至2020年取水总量增加，按水源分，增加的主要是地下水；按行业分，增加的主要是生活和工业用水。</w:t>
      </w:r>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2020年沙坡头区取水总量为6.315亿m³，按水源分，黄河水5.74亿m³，地下水0.538亿m³，其他水源0.037亿m³；按行</w:t>
      </w:r>
      <w:r>
        <w:rPr>
          <w:rFonts w:hint="default" w:ascii="Times New Roman" w:hAnsi="Times New Roman" w:eastAsia="仿宋_GB2312" w:cs="Times New Roman"/>
          <w:color w:val="auto"/>
          <w:spacing w:val="-6"/>
          <w:sz w:val="32"/>
          <w:szCs w:val="32"/>
          <w:highlight w:val="none"/>
        </w:rPr>
        <w:t>业分，生活0.349亿m³，工业0.275亿m³，农业+生态5.691亿m³。</w:t>
      </w:r>
    </w:p>
    <w:p>
      <w:pPr>
        <w:ind w:left="0" w:leftChars="0" w:firstLine="0" w:firstLineChars="0"/>
        <w:rPr>
          <w:rFonts w:hint="default" w:ascii="Times New Roman" w:hAnsi="Times New Roman" w:eastAsia="仿宋_GB2312" w:cs="Times New Roman"/>
          <w:bCs w:val="0"/>
          <w:color w:val="auto"/>
          <w:kern w:val="2"/>
          <w:sz w:val="32"/>
          <w:szCs w:val="32"/>
          <w:highlight w:val="none"/>
          <w:lang w:val="en-US" w:eastAsia="zh-CN"/>
        </w:rPr>
      </w:pPr>
      <w:r>
        <w:rPr>
          <w:rFonts w:hint="default" w:ascii="Times New Roman" w:hAnsi="Times New Roman" w:cs="Times New Roman"/>
          <w:color w:val="auto"/>
          <w:sz w:val="32"/>
          <w:szCs w:val="32"/>
          <w:highlight w:val="none"/>
          <w:lang w:val="en-US" w:eastAsia="zh-CN"/>
        </w:rPr>
        <w:t>沙坡头区近5年取水量统计表，</w:t>
      </w:r>
      <w:r>
        <w:rPr>
          <w:rFonts w:hint="default" w:ascii="Times New Roman" w:hAnsi="Times New Roman" w:eastAsia="仿宋_GB2312" w:cs="Times New Roman"/>
          <w:color w:val="auto"/>
          <w:sz w:val="32"/>
          <w:szCs w:val="32"/>
          <w:highlight w:val="none"/>
        </w:rPr>
        <w:t>详见表3.2-1</w:t>
      </w:r>
      <w:r>
        <w:rPr>
          <w:rFonts w:hint="default" w:ascii="Times New Roman" w:hAnsi="Times New Roman" w:cs="Times New Roman"/>
          <w:color w:val="auto"/>
          <w:sz w:val="32"/>
          <w:szCs w:val="32"/>
          <w:highlight w:val="none"/>
          <w:lang w:eastAsia="zh-CN"/>
        </w:rPr>
        <w:t>所示</w:t>
      </w:r>
      <w:r>
        <w:rPr>
          <w:rFonts w:hint="default" w:ascii="Times New Roman" w:hAnsi="Times New Roman" w:eastAsia="仿宋_GB2312" w:cs="Times New Roman"/>
          <w:color w:val="auto"/>
          <w:sz w:val="32"/>
          <w:szCs w:val="32"/>
          <w:highlight w:val="none"/>
        </w:rPr>
        <w:t>。</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lang w:val="en-US" w:eastAsia="zh-CN"/>
        </w:rPr>
        <w:t>表3.2-1  沙坡头区近5年取水量统计表</w:t>
      </w:r>
    </w:p>
    <w:p>
      <w:pPr>
        <w:pStyle w:val="22"/>
        <w:ind w:firstLine="7770" w:firstLineChars="3700"/>
        <w:jc w:val="both"/>
        <w:rPr>
          <w:rFonts w:hint="default" w:ascii="Times New Roman" w:hAnsi="Times New Roman" w:eastAsia="仿宋_GB2312" w:cs="Times New Roman"/>
          <w:b/>
          <w:bCs/>
          <w:color w:val="auto"/>
          <w:kern w:val="2"/>
          <w:sz w:val="24"/>
          <w:szCs w:val="24"/>
          <w:highlight w:val="none"/>
        </w:rPr>
      </w:pPr>
      <w:r>
        <w:rPr>
          <w:rFonts w:hint="default" w:ascii="Times New Roman" w:hAnsi="Times New Roman" w:eastAsia="仿宋_GB2312" w:cs="Times New Roman"/>
          <w:b w:val="0"/>
          <w:bCs w:val="0"/>
          <w:color w:val="auto"/>
          <w:sz w:val="21"/>
          <w:szCs w:val="21"/>
          <w:highlight w:val="none"/>
          <w:lang w:val="en-US" w:eastAsia="zh-CN"/>
        </w:rPr>
        <w:t>单位：亿m³</w:t>
      </w:r>
    </w:p>
    <w:tbl>
      <w:tblPr>
        <w:tblStyle w:val="17"/>
        <w:tblW w:w="9059"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31"/>
        <w:gridCol w:w="857"/>
        <w:gridCol w:w="1073"/>
        <w:gridCol w:w="1133"/>
        <w:gridCol w:w="1098"/>
        <w:gridCol w:w="1073"/>
        <w:gridCol w:w="1133"/>
        <w:gridCol w:w="13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01" w:hRule="atLeast"/>
          <w:tblHeader/>
          <w:jc w:val="center"/>
        </w:trPr>
        <w:tc>
          <w:tcPr>
            <w:tcW w:w="1331" w:type="dxa"/>
            <w:vMerge w:val="restart"/>
            <w:vAlign w:val="center"/>
          </w:tcPr>
          <w:p>
            <w:pPr>
              <w:widowControl/>
              <w:spacing w:line="240" w:lineRule="auto"/>
              <w:ind w:firstLine="0" w:firstLineChars="0"/>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eastAsia="仿宋_GB2312" w:cs="Times New Roman"/>
                <w:b/>
                <w:bCs/>
                <w:color w:val="auto"/>
                <w:sz w:val="24"/>
                <w:szCs w:val="24"/>
                <w:highlight w:val="none"/>
              </w:rPr>
              <w:t>年份（年）</w:t>
            </w:r>
          </w:p>
        </w:tc>
        <w:tc>
          <w:tcPr>
            <w:tcW w:w="857" w:type="dxa"/>
            <w:vMerge w:val="restart"/>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取水总量</w:t>
            </w:r>
          </w:p>
        </w:tc>
        <w:tc>
          <w:tcPr>
            <w:tcW w:w="3304" w:type="dxa"/>
            <w:gridSpan w:val="3"/>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取水量</w:t>
            </w:r>
          </w:p>
        </w:tc>
        <w:tc>
          <w:tcPr>
            <w:tcW w:w="3567" w:type="dxa"/>
            <w:gridSpan w:val="3"/>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用水户指标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65" w:hRule="atLeast"/>
          <w:tblHeader/>
          <w:jc w:val="center"/>
        </w:trPr>
        <w:tc>
          <w:tcPr>
            <w:tcW w:w="1331" w:type="dxa"/>
            <w:vMerge w:val="continue"/>
            <w:vAlign w:val="center"/>
          </w:tcPr>
          <w:p>
            <w:pPr>
              <w:spacing w:line="240" w:lineRule="auto"/>
              <w:ind w:firstLine="0" w:firstLineChars="0"/>
              <w:jc w:val="center"/>
              <w:rPr>
                <w:rFonts w:hint="default" w:ascii="Times New Roman" w:hAnsi="Times New Roman" w:cs="Times New Roman"/>
                <w:b/>
                <w:bCs/>
                <w:color w:val="auto"/>
                <w:sz w:val="21"/>
                <w:szCs w:val="21"/>
                <w:highlight w:val="none"/>
              </w:rPr>
            </w:pPr>
          </w:p>
        </w:tc>
        <w:tc>
          <w:tcPr>
            <w:tcW w:w="857" w:type="dxa"/>
            <w:vMerge w:val="continue"/>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4"/>
                <w:szCs w:val="24"/>
                <w:highlight w:val="none"/>
              </w:rPr>
            </w:pPr>
          </w:p>
        </w:tc>
        <w:tc>
          <w:tcPr>
            <w:tcW w:w="1073" w:type="dxa"/>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黄河水</w:t>
            </w:r>
          </w:p>
        </w:tc>
        <w:tc>
          <w:tcPr>
            <w:tcW w:w="1133" w:type="dxa"/>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地下水</w:t>
            </w:r>
          </w:p>
        </w:tc>
        <w:tc>
          <w:tcPr>
            <w:tcW w:w="1098" w:type="dxa"/>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其他</w:t>
            </w:r>
          </w:p>
        </w:tc>
        <w:tc>
          <w:tcPr>
            <w:tcW w:w="1073" w:type="dxa"/>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生活</w:t>
            </w:r>
          </w:p>
        </w:tc>
        <w:tc>
          <w:tcPr>
            <w:tcW w:w="1133" w:type="dxa"/>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工业</w:t>
            </w:r>
          </w:p>
        </w:tc>
        <w:tc>
          <w:tcPr>
            <w:tcW w:w="1361" w:type="dxa"/>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4"/>
                <w:szCs w:val="24"/>
                <w:highlight w:val="none"/>
              </w:rPr>
            </w:pPr>
            <w:r>
              <w:rPr>
                <w:rFonts w:hint="default" w:ascii="Times New Roman" w:hAnsi="Times New Roman" w:eastAsia="仿宋_GB2312" w:cs="Times New Roman"/>
                <w:b/>
                <w:bCs/>
                <w:color w:val="auto"/>
                <w:sz w:val="24"/>
                <w:szCs w:val="24"/>
                <w:highlight w:val="none"/>
              </w:rPr>
              <w:t>农业+生态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45" w:hRule="atLeast"/>
          <w:jc w:val="center"/>
        </w:trPr>
        <w:tc>
          <w:tcPr>
            <w:tcW w:w="1331"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2016</w:t>
            </w:r>
          </w:p>
        </w:tc>
        <w:tc>
          <w:tcPr>
            <w:tcW w:w="857"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4.701</w:t>
            </w:r>
          </w:p>
        </w:tc>
        <w:tc>
          <w:tcPr>
            <w:tcW w:w="1073"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4.403</w:t>
            </w:r>
          </w:p>
        </w:tc>
        <w:tc>
          <w:tcPr>
            <w:tcW w:w="1133"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0.249</w:t>
            </w:r>
          </w:p>
        </w:tc>
        <w:tc>
          <w:tcPr>
            <w:tcW w:w="1098"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0.049</w:t>
            </w:r>
          </w:p>
        </w:tc>
        <w:tc>
          <w:tcPr>
            <w:tcW w:w="1073"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0.125</w:t>
            </w:r>
          </w:p>
        </w:tc>
        <w:tc>
          <w:tcPr>
            <w:tcW w:w="1133"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0.212</w:t>
            </w:r>
          </w:p>
        </w:tc>
        <w:tc>
          <w:tcPr>
            <w:tcW w:w="1361"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4.364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45" w:hRule="atLeast"/>
          <w:jc w:val="center"/>
        </w:trPr>
        <w:tc>
          <w:tcPr>
            <w:tcW w:w="1331"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2017</w:t>
            </w:r>
          </w:p>
        </w:tc>
        <w:tc>
          <w:tcPr>
            <w:tcW w:w="857"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4.958</w:t>
            </w:r>
          </w:p>
        </w:tc>
        <w:tc>
          <w:tcPr>
            <w:tcW w:w="1073"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4.616</w:t>
            </w:r>
          </w:p>
        </w:tc>
        <w:tc>
          <w:tcPr>
            <w:tcW w:w="1133"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0.31</w:t>
            </w:r>
          </w:p>
        </w:tc>
        <w:tc>
          <w:tcPr>
            <w:tcW w:w="1098"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0.032</w:t>
            </w:r>
          </w:p>
        </w:tc>
        <w:tc>
          <w:tcPr>
            <w:tcW w:w="1073"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0.174</w:t>
            </w:r>
          </w:p>
        </w:tc>
        <w:tc>
          <w:tcPr>
            <w:tcW w:w="1133"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0.206</w:t>
            </w:r>
          </w:p>
        </w:tc>
        <w:tc>
          <w:tcPr>
            <w:tcW w:w="1361"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4.578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45" w:hRule="atLeast"/>
          <w:jc w:val="center"/>
        </w:trPr>
        <w:tc>
          <w:tcPr>
            <w:tcW w:w="1331"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1"/>
                <w:szCs w:val="21"/>
                <w:highlight w:val="none"/>
              </w:rPr>
            </w:pPr>
            <w:r>
              <w:rPr>
                <w:rFonts w:hint="default" w:ascii="Times New Roman" w:hAnsi="Times New Roman" w:eastAsia="仿宋_GB2312" w:cs="Times New Roman"/>
                <w:color w:val="auto"/>
                <w:sz w:val="21"/>
                <w:szCs w:val="21"/>
                <w:highlight w:val="none"/>
              </w:rPr>
              <w:t>2018</w:t>
            </w:r>
          </w:p>
        </w:tc>
        <w:tc>
          <w:tcPr>
            <w:tcW w:w="857"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4.938</w:t>
            </w:r>
          </w:p>
        </w:tc>
        <w:tc>
          <w:tcPr>
            <w:tcW w:w="1073"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4.619</w:t>
            </w:r>
          </w:p>
        </w:tc>
        <w:tc>
          <w:tcPr>
            <w:tcW w:w="1133"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0.284</w:t>
            </w:r>
          </w:p>
        </w:tc>
        <w:tc>
          <w:tcPr>
            <w:tcW w:w="1098"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0.035</w:t>
            </w:r>
          </w:p>
        </w:tc>
        <w:tc>
          <w:tcPr>
            <w:tcW w:w="1073"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0.162</w:t>
            </w:r>
          </w:p>
        </w:tc>
        <w:tc>
          <w:tcPr>
            <w:tcW w:w="1133"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0.27</w:t>
            </w:r>
          </w:p>
        </w:tc>
        <w:tc>
          <w:tcPr>
            <w:tcW w:w="1361" w:type="dxa"/>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rPr>
              <w:t>4.506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70" w:hRule="atLeast"/>
          <w:jc w:val="center"/>
        </w:trPr>
        <w:tc>
          <w:tcPr>
            <w:tcW w:w="1331"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2016-2018年平均值</w:t>
            </w:r>
          </w:p>
        </w:tc>
        <w:tc>
          <w:tcPr>
            <w:tcW w:w="857"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4.866</w:t>
            </w:r>
          </w:p>
        </w:tc>
        <w:tc>
          <w:tcPr>
            <w:tcW w:w="107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4.546</w:t>
            </w:r>
          </w:p>
        </w:tc>
        <w:tc>
          <w:tcPr>
            <w:tcW w:w="113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0.281</w:t>
            </w:r>
          </w:p>
        </w:tc>
        <w:tc>
          <w:tcPr>
            <w:tcW w:w="1098"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0.039</w:t>
            </w:r>
          </w:p>
        </w:tc>
        <w:tc>
          <w:tcPr>
            <w:tcW w:w="107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0.154</w:t>
            </w:r>
          </w:p>
        </w:tc>
        <w:tc>
          <w:tcPr>
            <w:tcW w:w="113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0.229</w:t>
            </w:r>
          </w:p>
        </w:tc>
        <w:tc>
          <w:tcPr>
            <w:tcW w:w="1361"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4.483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45" w:hRule="atLeast"/>
          <w:jc w:val="center"/>
        </w:trPr>
        <w:tc>
          <w:tcPr>
            <w:tcW w:w="1331"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2019</w:t>
            </w:r>
          </w:p>
        </w:tc>
        <w:tc>
          <w:tcPr>
            <w:tcW w:w="857"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6.125</w:t>
            </w:r>
          </w:p>
        </w:tc>
        <w:tc>
          <w:tcPr>
            <w:tcW w:w="107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5.807</w:t>
            </w:r>
          </w:p>
        </w:tc>
        <w:tc>
          <w:tcPr>
            <w:tcW w:w="113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0.288</w:t>
            </w:r>
          </w:p>
        </w:tc>
        <w:tc>
          <w:tcPr>
            <w:tcW w:w="1098"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0.03</w:t>
            </w:r>
          </w:p>
        </w:tc>
        <w:tc>
          <w:tcPr>
            <w:tcW w:w="107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0.157</w:t>
            </w:r>
          </w:p>
        </w:tc>
        <w:tc>
          <w:tcPr>
            <w:tcW w:w="113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0.255</w:t>
            </w:r>
          </w:p>
        </w:tc>
        <w:tc>
          <w:tcPr>
            <w:tcW w:w="1361"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5.713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45" w:hRule="atLeast"/>
          <w:jc w:val="center"/>
        </w:trPr>
        <w:tc>
          <w:tcPr>
            <w:tcW w:w="1331"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2020</w:t>
            </w:r>
          </w:p>
        </w:tc>
        <w:tc>
          <w:tcPr>
            <w:tcW w:w="857"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6.315</w:t>
            </w:r>
          </w:p>
        </w:tc>
        <w:tc>
          <w:tcPr>
            <w:tcW w:w="107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5.74</w:t>
            </w:r>
          </w:p>
        </w:tc>
        <w:tc>
          <w:tcPr>
            <w:tcW w:w="113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0.538</w:t>
            </w:r>
          </w:p>
        </w:tc>
        <w:tc>
          <w:tcPr>
            <w:tcW w:w="1098"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0.037</w:t>
            </w:r>
          </w:p>
        </w:tc>
        <w:tc>
          <w:tcPr>
            <w:tcW w:w="107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0.349</w:t>
            </w:r>
          </w:p>
        </w:tc>
        <w:tc>
          <w:tcPr>
            <w:tcW w:w="113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0.275</w:t>
            </w:r>
          </w:p>
        </w:tc>
        <w:tc>
          <w:tcPr>
            <w:tcW w:w="1361"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5.691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40" w:hRule="atLeast"/>
          <w:jc w:val="center"/>
        </w:trPr>
        <w:tc>
          <w:tcPr>
            <w:tcW w:w="1331" w:type="dxa"/>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2019-2020年平均值</w:t>
            </w:r>
          </w:p>
        </w:tc>
        <w:tc>
          <w:tcPr>
            <w:tcW w:w="857"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6.220</w:t>
            </w:r>
          </w:p>
        </w:tc>
        <w:tc>
          <w:tcPr>
            <w:tcW w:w="107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5.774</w:t>
            </w:r>
          </w:p>
        </w:tc>
        <w:tc>
          <w:tcPr>
            <w:tcW w:w="113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0.413</w:t>
            </w:r>
          </w:p>
        </w:tc>
        <w:tc>
          <w:tcPr>
            <w:tcW w:w="1098"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0.034</w:t>
            </w:r>
          </w:p>
        </w:tc>
        <w:tc>
          <w:tcPr>
            <w:tcW w:w="107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0.253</w:t>
            </w:r>
          </w:p>
        </w:tc>
        <w:tc>
          <w:tcPr>
            <w:tcW w:w="1133"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0.265</w:t>
            </w:r>
          </w:p>
        </w:tc>
        <w:tc>
          <w:tcPr>
            <w:tcW w:w="1361" w:type="dxa"/>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rPr>
              <w:t>5.702</w:t>
            </w:r>
          </w:p>
        </w:tc>
      </w:tr>
    </w:tbl>
    <w:p>
      <w:pPr>
        <w:pStyle w:val="6"/>
        <w:rPr>
          <w:rFonts w:hint="default" w:ascii="Times New Roman" w:hAnsi="Times New Roman" w:eastAsia="楷体_GB2312" w:cs="Times New Roman"/>
          <w:color w:val="auto"/>
          <w:highlight w:val="none"/>
        </w:rPr>
      </w:pPr>
      <w:bookmarkStart w:id="206" w:name="_Toc8124"/>
      <w:bookmarkStart w:id="207" w:name="_Toc8839"/>
      <w:bookmarkStart w:id="208" w:name="_Toc28424"/>
      <w:bookmarkStart w:id="209" w:name="_Toc12648"/>
      <w:bookmarkStart w:id="210" w:name="_Toc32516"/>
      <w:bookmarkStart w:id="211" w:name="_Toc16425"/>
      <w:bookmarkStart w:id="212" w:name="_Toc2917"/>
      <w:bookmarkStart w:id="213" w:name="_Toc3979"/>
      <w:bookmarkStart w:id="214" w:name="_Toc21654"/>
      <w:bookmarkStart w:id="215" w:name="_Toc3738"/>
      <w:bookmarkStart w:id="216" w:name="_Toc54701665"/>
      <w:bookmarkStart w:id="217" w:name="_Toc21454"/>
      <w:bookmarkStart w:id="218" w:name="_Toc13383"/>
      <w:bookmarkStart w:id="219" w:name="_Toc45886400"/>
      <w:bookmarkStart w:id="220" w:name="_Toc44664599"/>
      <w:r>
        <w:rPr>
          <w:rFonts w:hint="default" w:ascii="Times New Roman" w:hAnsi="Times New Roman" w:eastAsia="楷体_GB2312" w:cs="Times New Roman"/>
          <w:color w:val="auto"/>
          <w:highlight w:val="none"/>
        </w:rPr>
        <w:t>3.3</w:t>
      </w:r>
      <w:bookmarkEnd w:id="206"/>
      <w:bookmarkEnd w:id="207"/>
      <w:bookmarkEnd w:id="208"/>
      <w:r>
        <w:rPr>
          <w:rFonts w:hint="default" w:ascii="Times New Roman" w:hAnsi="Times New Roman" w:eastAsia="楷体_GB2312" w:cs="Times New Roman"/>
          <w:color w:val="auto"/>
          <w:highlight w:val="none"/>
        </w:rPr>
        <w:t>用水总量控制指标</w:t>
      </w:r>
      <w:bookmarkEnd w:id="209"/>
      <w:bookmarkEnd w:id="210"/>
      <w:bookmarkEnd w:id="211"/>
      <w:bookmarkEnd w:id="212"/>
      <w:bookmarkEnd w:id="213"/>
      <w:bookmarkEnd w:id="214"/>
      <w:bookmarkEnd w:id="215"/>
    </w:p>
    <w:p>
      <w:pPr>
        <w:ind w:firstLine="600"/>
        <w:jc w:val="both"/>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自治区人民政府办公厅关于印发宁夏“十四五”用水权管控指标方案的通知</w:t>
      </w:r>
      <w:r>
        <w:rPr>
          <w:rFonts w:hint="default" w:ascii="Times New Roman" w:hAnsi="Times New Roman" w:eastAsia="仿宋_GB2312" w:cs="Times New Roman"/>
          <w:color w:val="auto"/>
          <w:sz w:val="32"/>
          <w:szCs w:val="32"/>
          <w:highlight w:val="none"/>
        </w:rPr>
        <w:t>》</w:t>
      </w:r>
      <w:r>
        <w:rPr>
          <w:rFonts w:hint="default" w:ascii="Times New Roman" w:hAnsi="Times New Roman" w:cs="Times New Roman"/>
          <w:color w:val="auto"/>
          <w:sz w:val="32"/>
          <w:szCs w:val="32"/>
          <w:highlight w:val="none"/>
          <w:lang w:eastAsia="zh-CN"/>
        </w:rPr>
        <w:t>（宁政办发</w:t>
      </w:r>
      <w:r>
        <w:rPr>
          <w:rFonts w:hint="default" w:ascii="Times New Roman" w:hAnsi="Times New Roman" w:eastAsia="仿宋_GB2312" w:cs="Times New Roman"/>
          <w:color w:val="auto"/>
          <w:sz w:val="32"/>
          <w:szCs w:val="32"/>
          <w:highlight w:val="none"/>
        </w:rPr>
        <w:t>﹝202</w:t>
      </w:r>
      <w:r>
        <w:rPr>
          <w:rFonts w:hint="default" w:ascii="Times New Roman" w:hAnsi="Times New Roman"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w:t>
      </w:r>
      <w:r>
        <w:rPr>
          <w:rFonts w:hint="default" w:ascii="Times New Roman" w:hAnsi="Times New Roman" w:cs="Times New Roman"/>
          <w:color w:val="auto"/>
          <w:sz w:val="32"/>
          <w:szCs w:val="32"/>
          <w:highlight w:val="none"/>
          <w:lang w:val="en-US" w:eastAsia="zh-CN"/>
        </w:rPr>
        <w:t>76号）</w:t>
      </w:r>
      <w:r>
        <w:rPr>
          <w:rFonts w:hint="default" w:ascii="Times New Roman" w:hAnsi="Times New Roman" w:eastAsia="仿宋_GB2312" w:cs="Times New Roman"/>
          <w:color w:val="auto"/>
          <w:sz w:val="32"/>
          <w:szCs w:val="32"/>
          <w:highlight w:val="none"/>
        </w:rPr>
        <w:t>，已确定2025年各县（区）的取水指标和耗水指标，考虑到“八七”分水方案将进行重新分配，沙坡头区水资源配置工作仅考虑取水指标。按取水口径：中卫市沙坡头区2025年取水总量控制指标为5.76亿m³，</w:t>
      </w:r>
      <w:r>
        <w:rPr>
          <w:rFonts w:hint="default" w:ascii="Times New Roman" w:hAnsi="Times New Roman" w:eastAsia="仿宋_GB2312" w:cs="Times New Roman"/>
          <w:color w:val="auto"/>
          <w:sz w:val="32"/>
          <w:szCs w:val="32"/>
          <w:highlight w:val="none"/>
          <w:lang w:val="en-US" w:eastAsia="zh-CN"/>
        </w:rPr>
        <w:t>按水源划分，</w:t>
      </w:r>
      <w:r>
        <w:rPr>
          <w:rFonts w:hint="default" w:ascii="Times New Roman" w:hAnsi="Times New Roman" w:eastAsia="仿宋_GB2312" w:cs="Times New Roman"/>
          <w:color w:val="auto"/>
          <w:sz w:val="32"/>
          <w:szCs w:val="32"/>
          <w:highlight w:val="none"/>
        </w:rPr>
        <w:t>黄河水5.23亿m³，地下水0.45亿m³，非常规水0.08亿m³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按行业划分，生活0.39</w:t>
      </w:r>
      <w:r>
        <w:rPr>
          <w:rFonts w:hint="default" w:ascii="Times New Roman" w:hAnsi="Times New Roman" w:eastAsia="仿宋_GB2312" w:cs="Times New Roman"/>
          <w:color w:val="auto"/>
          <w:sz w:val="32"/>
          <w:szCs w:val="32"/>
          <w:highlight w:val="none"/>
        </w:rPr>
        <w:t>亿m³，</w:t>
      </w:r>
      <w:r>
        <w:rPr>
          <w:rFonts w:hint="default" w:ascii="Times New Roman" w:hAnsi="Times New Roman" w:eastAsia="仿宋_GB2312" w:cs="Times New Roman"/>
          <w:color w:val="auto"/>
          <w:sz w:val="32"/>
          <w:szCs w:val="32"/>
          <w:highlight w:val="none"/>
          <w:lang w:val="en-US" w:eastAsia="zh-CN"/>
        </w:rPr>
        <w:t>工业0.30</w:t>
      </w:r>
      <w:r>
        <w:rPr>
          <w:rFonts w:hint="default" w:ascii="Times New Roman" w:hAnsi="Times New Roman" w:eastAsia="仿宋_GB2312" w:cs="Times New Roman"/>
          <w:color w:val="auto"/>
          <w:sz w:val="32"/>
          <w:szCs w:val="32"/>
          <w:highlight w:val="none"/>
        </w:rPr>
        <w:t>亿m³，</w:t>
      </w:r>
      <w:r>
        <w:rPr>
          <w:rFonts w:hint="default" w:ascii="Times New Roman" w:hAnsi="Times New Roman" w:eastAsia="仿宋_GB2312" w:cs="Times New Roman"/>
          <w:color w:val="auto"/>
          <w:sz w:val="32"/>
          <w:szCs w:val="32"/>
          <w:highlight w:val="none"/>
          <w:lang w:val="en-US" w:eastAsia="zh-CN"/>
        </w:rPr>
        <w:t>农业3.78</w:t>
      </w:r>
      <w:r>
        <w:rPr>
          <w:rFonts w:hint="default" w:ascii="Times New Roman" w:hAnsi="Times New Roman" w:eastAsia="仿宋_GB2312" w:cs="Times New Roman"/>
          <w:color w:val="auto"/>
          <w:sz w:val="32"/>
          <w:szCs w:val="32"/>
          <w:highlight w:val="none"/>
        </w:rPr>
        <w:t>亿m³，</w:t>
      </w:r>
      <w:r>
        <w:rPr>
          <w:rFonts w:hint="default" w:ascii="Times New Roman" w:hAnsi="Times New Roman" w:eastAsia="仿宋_GB2312" w:cs="Times New Roman"/>
          <w:color w:val="auto"/>
          <w:sz w:val="32"/>
          <w:szCs w:val="32"/>
          <w:highlight w:val="none"/>
          <w:lang w:val="en-US" w:eastAsia="zh-CN"/>
        </w:rPr>
        <w:t>生态1.29</w:t>
      </w:r>
      <w:r>
        <w:rPr>
          <w:rFonts w:hint="default" w:ascii="Times New Roman" w:hAnsi="Times New Roman" w:eastAsia="仿宋_GB2312" w:cs="Times New Roman"/>
          <w:color w:val="auto"/>
          <w:sz w:val="32"/>
          <w:szCs w:val="32"/>
          <w:highlight w:val="none"/>
        </w:rPr>
        <w:t>亿m³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cs="Times New Roman"/>
          <w:color w:val="auto"/>
          <w:sz w:val="32"/>
          <w:szCs w:val="32"/>
          <w:highlight w:val="none"/>
          <w:lang w:eastAsia="zh-CN"/>
        </w:rPr>
        <w:t>详见表</w:t>
      </w:r>
      <w:r>
        <w:rPr>
          <w:rFonts w:hint="default" w:ascii="Times New Roman" w:hAnsi="Times New Roman" w:cs="Times New Roman"/>
          <w:color w:val="auto"/>
          <w:sz w:val="32"/>
          <w:szCs w:val="32"/>
          <w:highlight w:val="none"/>
          <w:lang w:val="en-US" w:eastAsia="zh-CN"/>
        </w:rPr>
        <w:t>3.3-1所示。</w:t>
      </w:r>
    </w:p>
    <w:p>
      <w:pPr>
        <w:pStyle w:val="25"/>
        <w:jc w:val="center"/>
        <w:rPr>
          <w:rFonts w:hint="default" w:ascii="Times New Roman" w:hAnsi="Times New Roman" w:eastAsia="仿宋_GB2312" w:cs="Times New Roman"/>
          <w:bCs/>
          <w:color w:val="auto"/>
          <w:kern w:val="2"/>
          <w:sz w:val="24"/>
          <w:szCs w:val="24"/>
          <w:highlight w:val="none"/>
        </w:rPr>
      </w:pPr>
      <w:r>
        <w:rPr>
          <w:rFonts w:hint="default" w:ascii="Times New Roman" w:hAnsi="Times New Roman" w:eastAsia="方正小标宋_GBK" w:cs="Times New Roman"/>
          <w:b w:val="0"/>
          <w:bCs w:val="0"/>
          <w:color w:val="auto"/>
          <w:kern w:val="2"/>
          <w:sz w:val="32"/>
          <w:szCs w:val="32"/>
          <w:highlight w:val="none"/>
          <w:lang w:val="en-US" w:eastAsia="zh-CN" w:bidi="ar-SA"/>
        </w:rPr>
        <w:t>表3.3-1  沙坡头区取水控制指标对比表</w:t>
      </w:r>
    </w:p>
    <w:p>
      <w:pPr>
        <w:pStyle w:val="25"/>
        <w:ind w:firstLine="482" w:firstLineChars="200"/>
        <w:rPr>
          <w:rFonts w:hint="default" w:ascii="Times New Roman" w:hAnsi="Times New Roman" w:cs="Times New Roman"/>
          <w:b w:val="0"/>
          <w:bCs/>
          <w:color w:val="auto"/>
          <w:kern w:val="2"/>
          <w:highlight w:val="none"/>
        </w:rPr>
      </w:pPr>
      <w:r>
        <w:rPr>
          <w:rFonts w:hint="default" w:ascii="Times New Roman" w:hAnsi="Times New Roman" w:eastAsia="仿宋_GB2312" w:cs="Times New Roman"/>
          <w:bCs/>
          <w:color w:val="auto"/>
          <w:kern w:val="2"/>
          <w:sz w:val="24"/>
          <w:szCs w:val="24"/>
          <w:highlight w:val="none"/>
        </w:rPr>
        <w:t xml:space="preserve"> </w:t>
      </w:r>
      <w:r>
        <w:rPr>
          <w:rFonts w:hint="default" w:ascii="Times New Roman" w:hAnsi="Times New Roman" w:eastAsia="仿宋_GB2312" w:cs="Times New Roman"/>
          <w:bCs/>
          <w:color w:val="auto"/>
          <w:kern w:val="2"/>
          <w:sz w:val="24"/>
          <w:szCs w:val="24"/>
          <w:highlight w:val="none"/>
          <w:lang w:val="en-US" w:eastAsia="zh-CN"/>
        </w:rPr>
        <w:t xml:space="preserve">                                                          </w:t>
      </w:r>
      <w:r>
        <w:rPr>
          <w:rFonts w:hint="default" w:ascii="Times New Roman" w:hAnsi="Times New Roman" w:eastAsia="仿宋_GB2312" w:cs="Times New Roman"/>
          <w:b w:val="0"/>
          <w:bCs w:val="0"/>
          <w:color w:val="auto"/>
          <w:kern w:val="2"/>
          <w:sz w:val="21"/>
          <w:szCs w:val="21"/>
          <w:highlight w:val="none"/>
          <w:lang w:val="en-US" w:eastAsia="zh-CN" w:bidi="ar-SA"/>
        </w:rPr>
        <w:t>单位：亿m³</w:t>
      </w:r>
    </w:p>
    <w:tbl>
      <w:tblPr>
        <w:tblStyle w:val="17"/>
        <w:tblW w:w="8953"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89"/>
        <w:gridCol w:w="876"/>
        <w:gridCol w:w="799"/>
        <w:gridCol w:w="822"/>
        <w:gridCol w:w="906"/>
        <w:gridCol w:w="720"/>
        <w:gridCol w:w="763"/>
        <w:gridCol w:w="840"/>
        <w:gridCol w:w="763"/>
        <w:gridCol w:w="7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24" w:hRule="atLeast"/>
          <w:jc w:val="center"/>
        </w:trPr>
        <w:tc>
          <w:tcPr>
            <w:tcW w:w="1689" w:type="dxa"/>
            <w:vMerge w:val="restart"/>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b/>
                <w:bCs/>
                <w:color w:val="auto"/>
                <w:sz w:val="22"/>
                <w:szCs w:val="22"/>
                <w:highlight w:val="none"/>
              </w:rPr>
            </w:pPr>
            <w:r>
              <w:rPr>
                <w:rFonts w:hint="default" w:ascii="Times New Roman" w:hAnsi="Times New Roman" w:eastAsia="仿宋_GB2312" w:cs="Times New Roman"/>
                <w:b/>
                <w:bCs/>
                <w:color w:val="auto"/>
                <w:sz w:val="22"/>
                <w:szCs w:val="22"/>
                <w:highlight w:val="none"/>
              </w:rPr>
              <w:t>年份/指标</w:t>
            </w:r>
          </w:p>
        </w:tc>
        <w:tc>
          <w:tcPr>
            <w:tcW w:w="876" w:type="dxa"/>
            <w:vMerge w:val="restart"/>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2"/>
                <w:szCs w:val="22"/>
                <w:highlight w:val="none"/>
              </w:rPr>
            </w:pPr>
            <w:r>
              <w:rPr>
                <w:rFonts w:hint="default" w:ascii="Times New Roman" w:hAnsi="Times New Roman" w:eastAsia="仿宋_GB2312" w:cs="Times New Roman"/>
                <w:b/>
                <w:bCs/>
                <w:color w:val="auto"/>
                <w:sz w:val="22"/>
                <w:szCs w:val="22"/>
                <w:highlight w:val="none"/>
              </w:rPr>
              <w:t>取水</w:t>
            </w:r>
          </w:p>
          <w:p>
            <w:pPr>
              <w:widowControl/>
              <w:spacing w:line="240" w:lineRule="auto"/>
              <w:ind w:firstLine="0" w:firstLineChars="0"/>
              <w:jc w:val="center"/>
              <w:textAlignment w:val="center"/>
              <w:rPr>
                <w:rFonts w:hint="default" w:ascii="Times New Roman" w:hAnsi="Times New Roman" w:eastAsia="仿宋_GB2312" w:cs="Times New Roman"/>
                <w:b/>
                <w:bCs/>
                <w:color w:val="auto"/>
                <w:sz w:val="22"/>
                <w:szCs w:val="22"/>
                <w:highlight w:val="none"/>
              </w:rPr>
            </w:pPr>
            <w:r>
              <w:rPr>
                <w:rFonts w:hint="default" w:ascii="Times New Roman" w:hAnsi="Times New Roman" w:eastAsia="仿宋_GB2312" w:cs="Times New Roman"/>
                <w:b/>
                <w:bCs/>
                <w:color w:val="auto"/>
                <w:sz w:val="22"/>
                <w:szCs w:val="22"/>
                <w:highlight w:val="none"/>
              </w:rPr>
              <w:t>总量</w:t>
            </w:r>
          </w:p>
        </w:tc>
        <w:tc>
          <w:tcPr>
            <w:tcW w:w="3247" w:type="dxa"/>
            <w:gridSpan w:val="4"/>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2"/>
                <w:szCs w:val="22"/>
                <w:highlight w:val="none"/>
              </w:rPr>
            </w:pPr>
            <w:r>
              <w:rPr>
                <w:rFonts w:hint="default" w:ascii="Times New Roman" w:hAnsi="Times New Roman" w:eastAsia="仿宋_GB2312" w:cs="Times New Roman"/>
                <w:b/>
                <w:bCs/>
                <w:color w:val="auto"/>
                <w:sz w:val="22"/>
                <w:szCs w:val="22"/>
                <w:highlight w:val="none"/>
              </w:rPr>
              <w:t>按水源划分</w:t>
            </w:r>
          </w:p>
        </w:tc>
        <w:tc>
          <w:tcPr>
            <w:tcW w:w="3141" w:type="dxa"/>
            <w:gridSpan w:val="4"/>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2"/>
                <w:szCs w:val="22"/>
                <w:highlight w:val="none"/>
              </w:rPr>
            </w:pPr>
            <w:r>
              <w:rPr>
                <w:rFonts w:hint="default" w:ascii="Times New Roman" w:hAnsi="Times New Roman" w:eastAsia="仿宋_GB2312" w:cs="Times New Roman"/>
                <w:b/>
                <w:bCs/>
                <w:color w:val="auto"/>
                <w:sz w:val="22"/>
                <w:szCs w:val="22"/>
                <w:highlight w:val="none"/>
              </w:rPr>
              <w:t>按行业划分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83" w:hRule="atLeast"/>
          <w:jc w:val="center"/>
        </w:trPr>
        <w:tc>
          <w:tcPr>
            <w:tcW w:w="1689" w:type="dxa"/>
            <w:vMerge w:val="continue"/>
            <w:tcMar>
              <w:top w:w="15" w:type="dxa"/>
              <w:left w:w="15" w:type="dxa"/>
              <w:right w:w="15" w:type="dxa"/>
            </w:tcMar>
            <w:vAlign w:val="center"/>
          </w:tcPr>
          <w:p>
            <w:pPr>
              <w:widowControl/>
              <w:spacing w:line="240" w:lineRule="auto"/>
              <w:ind w:firstLine="0" w:firstLineChars="0"/>
              <w:jc w:val="center"/>
              <w:rPr>
                <w:rFonts w:hint="default" w:ascii="Times New Roman" w:hAnsi="Times New Roman" w:cs="Times New Roman"/>
                <w:b/>
                <w:bCs/>
                <w:color w:val="auto"/>
                <w:sz w:val="22"/>
                <w:szCs w:val="22"/>
                <w:highlight w:val="none"/>
              </w:rPr>
            </w:pPr>
          </w:p>
        </w:tc>
        <w:tc>
          <w:tcPr>
            <w:tcW w:w="876" w:type="dxa"/>
            <w:vMerge w:val="continue"/>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2"/>
                <w:szCs w:val="22"/>
                <w:highlight w:val="none"/>
              </w:rPr>
            </w:pPr>
          </w:p>
        </w:tc>
        <w:tc>
          <w:tcPr>
            <w:tcW w:w="799"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2"/>
                <w:szCs w:val="22"/>
                <w:highlight w:val="none"/>
              </w:rPr>
            </w:pPr>
            <w:r>
              <w:rPr>
                <w:rFonts w:hint="default" w:ascii="Times New Roman" w:hAnsi="Times New Roman" w:eastAsia="仿宋_GB2312" w:cs="Times New Roman"/>
                <w:b/>
                <w:bCs/>
                <w:color w:val="auto"/>
                <w:sz w:val="22"/>
                <w:szCs w:val="22"/>
                <w:highlight w:val="none"/>
              </w:rPr>
              <w:t>当地</w:t>
            </w:r>
          </w:p>
          <w:p>
            <w:pPr>
              <w:widowControl/>
              <w:spacing w:line="240" w:lineRule="auto"/>
              <w:ind w:firstLine="0" w:firstLineChars="0"/>
              <w:jc w:val="center"/>
              <w:textAlignment w:val="center"/>
              <w:rPr>
                <w:rFonts w:hint="default" w:ascii="Times New Roman" w:hAnsi="Times New Roman" w:eastAsia="仿宋_GB2312" w:cs="Times New Roman"/>
                <w:b/>
                <w:bCs/>
                <w:color w:val="auto"/>
                <w:sz w:val="22"/>
                <w:szCs w:val="22"/>
                <w:highlight w:val="none"/>
              </w:rPr>
            </w:pPr>
            <w:r>
              <w:rPr>
                <w:rFonts w:hint="default" w:ascii="Times New Roman" w:hAnsi="Times New Roman" w:eastAsia="仿宋_GB2312" w:cs="Times New Roman"/>
                <w:b/>
                <w:bCs/>
                <w:color w:val="auto"/>
                <w:sz w:val="22"/>
                <w:szCs w:val="22"/>
                <w:highlight w:val="none"/>
              </w:rPr>
              <w:t>地表水</w:t>
            </w:r>
          </w:p>
        </w:tc>
        <w:tc>
          <w:tcPr>
            <w:tcW w:w="822"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2"/>
                <w:szCs w:val="22"/>
                <w:highlight w:val="none"/>
              </w:rPr>
            </w:pPr>
            <w:r>
              <w:rPr>
                <w:rFonts w:hint="default" w:ascii="Times New Roman" w:hAnsi="Times New Roman" w:eastAsia="仿宋_GB2312" w:cs="Times New Roman"/>
                <w:b/>
                <w:bCs/>
                <w:color w:val="auto"/>
                <w:sz w:val="22"/>
                <w:szCs w:val="22"/>
                <w:highlight w:val="none"/>
              </w:rPr>
              <w:t>黄河水</w:t>
            </w:r>
          </w:p>
        </w:tc>
        <w:tc>
          <w:tcPr>
            <w:tcW w:w="906"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2"/>
                <w:szCs w:val="22"/>
                <w:highlight w:val="none"/>
              </w:rPr>
            </w:pPr>
            <w:r>
              <w:rPr>
                <w:rFonts w:hint="default" w:ascii="Times New Roman" w:hAnsi="Times New Roman" w:eastAsia="仿宋_GB2312" w:cs="Times New Roman"/>
                <w:b/>
                <w:bCs/>
                <w:color w:val="auto"/>
                <w:sz w:val="22"/>
                <w:szCs w:val="22"/>
                <w:highlight w:val="none"/>
              </w:rPr>
              <w:t>地下水</w:t>
            </w:r>
          </w:p>
        </w:tc>
        <w:tc>
          <w:tcPr>
            <w:tcW w:w="720"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2"/>
                <w:szCs w:val="22"/>
                <w:highlight w:val="none"/>
              </w:rPr>
            </w:pPr>
            <w:r>
              <w:rPr>
                <w:rFonts w:hint="default" w:ascii="Times New Roman" w:hAnsi="Times New Roman" w:eastAsia="仿宋_GB2312" w:cs="Times New Roman"/>
                <w:b/>
                <w:bCs/>
                <w:color w:val="auto"/>
                <w:sz w:val="22"/>
                <w:szCs w:val="22"/>
                <w:highlight w:val="none"/>
              </w:rPr>
              <w:t>其他</w:t>
            </w:r>
          </w:p>
        </w:tc>
        <w:tc>
          <w:tcPr>
            <w:tcW w:w="763"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2"/>
                <w:szCs w:val="22"/>
                <w:highlight w:val="none"/>
              </w:rPr>
            </w:pPr>
            <w:r>
              <w:rPr>
                <w:rFonts w:hint="default" w:ascii="Times New Roman" w:hAnsi="Times New Roman" w:eastAsia="仿宋_GB2312" w:cs="Times New Roman"/>
                <w:b/>
                <w:bCs/>
                <w:color w:val="auto"/>
                <w:sz w:val="22"/>
                <w:szCs w:val="22"/>
                <w:highlight w:val="none"/>
              </w:rPr>
              <w:t>生活</w:t>
            </w:r>
          </w:p>
        </w:tc>
        <w:tc>
          <w:tcPr>
            <w:tcW w:w="840"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2"/>
                <w:szCs w:val="22"/>
                <w:highlight w:val="none"/>
              </w:rPr>
            </w:pPr>
            <w:r>
              <w:rPr>
                <w:rFonts w:hint="default" w:ascii="Times New Roman" w:hAnsi="Times New Roman" w:eastAsia="仿宋_GB2312" w:cs="Times New Roman"/>
                <w:b/>
                <w:bCs/>
                <w:color w:val="auto"/>
                <w:sz w:val="22"/>
                <w:szCs w:val="22"/>
                <w:highlight w:val="none"/>
              </w:rPr>
              <w:t>工业</w:t>
            </w:r>
          </w:p>
        </w:tc>
        <w:tc>
          <w:tcPr>
            <w:tcW w:w="763" w:type="dxa"/>
            <w:vAlign w:val="center"/>
          </w:tcPr>
          <w:p>
            <w:pPr>
              <w:widowControl/>
              <w:spacing w:line="240" w:lineRule="auto"/>
              <w:ind w:firstLine="0" w:firstLineChars="0"/>
              <w:jc w:val="center"/>
              <w:textAlignment w:val="center"/>
              <w:rPr>
                <w:rFonts w:hint="default" w:ascii="Times New Roman" w:hAnsi="Times New Roman" w:eastAsia="仿宋_GB2312" w:cs="Times New Roman"/>
                <w:b/>
                <w:bCs/>
                <w:color w:val="auto"/>
                <w:sz w:val="22"/>
                <w:szCs w:val="22"/>
                <w:highlight w:val="none"/>
              </w:rPr>
            </w:pPr>
            <w:r>
              <w:rPr>
                <w:rFonts w:hint="default" w:ascii="Times New Roman" w:hAnsi="Times New Roman" w:eastAsia="仿宋_GB2312" w:cs="Times New Roman"/>
                <w:b/>
                <w:bCs/>
                <w:color w:val="auto"/>
                <w:sz w:val="22"/>
                <w:szCs w:val="22"/>
                <w:highlight w:val="none"/>
              </w:rPr>
              <w:t>农业</w:t>
            </w:r>
          </w:p>
        </w:tc>
        <w:tc>
          <w:tcPr>
            <w:tcW w:w="775"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b/>
                <w:bCs/>
                <w:color w:val="auto"/>
                <w:sz w:val="22"/>
                <w:szCs w:val="22"/>
                <w:highlight w:val="none"/>
              </w:rPr>
              <w:t>生态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32" w:hRule="atLeast"/>
          <w:jc w:val="center"/>
        </w:trPr>
        <w:tc>
          <w:tcPr>
            <w:tcW w:w="1689"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2"/>
                <w:szCs w:val="22"/>
                <w:highlight w:val="none"/>
              </w:rPr>
            </w:pPr>
            <w:r>
              <w:rPr>
                <w:rFonts w:hint="default" w:ascii="Times New Roman" w:hAnsi="Times New Roman" w:eastAsia="仿宋_GB2312" w:cs="Times New Roman"/>
                <w:color w:val="auto"/>
                <w:sz w:val="22"/>
                <w:szCs w:val="22"/>
                <w:highlight w:val="none"/>
              </w:rPr>
              <w:t>2025年控制指标</w:t>
            </w:r>
          </w:p>
        </w:tc>
        <w:tc>
          <w:tcPr>
            <w:tcW w:w="876"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kern w:val="0"/>
                <w:sz w:val="22"/>
                <w:szCs w:val="22"/>
                <w:highlight w:val="none"/>
              </w:rPr>
              <w:t>5.76</w:t>
            </w:r>
          </w:p>
        </w:tc>
        <w:tc>
          <w:tcPr>
            <w:tcW w:w="799"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kern w:val="0"/>
                <w:sz w:val="22"/>
                <w:szCs w:val="22"/>
                <w:highlight w:val="none"/>
              </w:rPr>
              <w:t>0</w:t>
            </w:r>
          </w:p>
        </w:tc>
        <w:tc>
          <w:tcPr>
            <w:tcW w:w="822"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kern w:val="0"/>
                <w:sz w:val="22"/>
                <w:szCs w:val="22"/>
                <w:highlight w:val="none"/>
              </w:rPr>
              <w:t>5.23</w:t>
            </w:r>
          </w:p>
        </w:tc>
        <w:tc>
          <w:tcPr>
            <w:tcW w:w="906"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kern w:val="0"/>
                <w:sz w:val="22"/>
                <w:szCs w:val="22"/>
                <w:highlight w:val="none"/>
              </w:rPr>
              <w:t>0.45</w:t>
            </w:r>
          </w:p>
        </w:tc>
        <w:tc>
          <w:tcPr>
            <w:tcW w:w="720"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kern w:val="0"/>
                <w:sz w:val="22"/>
                <w:szCs w:val="22"/>
                <w:highlight w:val="none"/>
              </w:rPr>
              <w:t>0.08</w:t>
            </w:r>
          </w:p>
        </w:tc>
        <w:tc>
          <w:tcPr>
            <w:tcW w:w="763"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2"/>
                <w:szCs w:val="22"/>
                <w:highlight w:val="none"/>
              </w:rPr>
            </w:pPr>
            <w:r>
              <w:rPr>
                <w:rFonts w:hint="default" w:ascii="Times New Roman" w:hAnsi="Times New Roman" w:cs="Times New Roman"/>
                <w:color w:val="auto"/>
                <w:kern w:val="0"/>
                <w:sz w:val="22"/>
                <w:szCs w:val="22"/>
                <w:highlight w:val="none"/>
              </w:rPr>
              <w:t>0.39</w:t>
            </w:r>
          </w:p>
        </w:tc>
        <w:tc>
          <w:tcPr>
            <w:tcW w:w="840"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2"/>
                <w:szCs w:val="22"/>
                <w:highlight w:val="none"/>
                <w:lang w:eastAsia="zh-CN"/>
              </w:rPr>
            </w:pPr>
            <w:r>
              <w:rPr>
                <w:rFonts w:hint="default" w:ascii="Times New Roman" w:hAnsi="Times New Roman" w:cs="Times New Roman"/>
                <w:color w:val="auto"/>
                <w:kern w:val="0"/>
                <w:sz w:val="22"/>
                <w:szCs w:val="22"/>
                <w:highlight w:val="none"/>
              </w:rPr>
              <w:t>0.3</w:t>
            </w:r>
            <w:r>
              <w:rPr>
                <w:rFonts w:hint="default" w:ascii="Times New Roman" w:hAnsi="Times New Roman" w:cs="Times New Roman"/>
                <w:color w:val="auto"/>
                <w:kern w:val="0"/>
                <w:sz w:val="22"/>
                <w:szCs w:val="22"/>
                <w:highlight w:val="none"/>
                <w:lang w:val="en-US" w:eastAsia="zh-CN"/>
              </w:rPr>
              <w:t>0</w:t>
            </w:r>
          </w:p>
        </w:tc>
        <w:tc>
          <w:tcPr>
            <w:tcW w:w="763" w:type="dxa"/>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2"/>
                <w:szCs w:val="22"/>
                <w:highlight w:val="none"/>
              </w:rPr>
            </w:pPr>
            <w:r>
              <w:rPr>
                <w:rFonts w:hint="default" w:ascii="Times New Roman" w:hAnsi="Times New Roman" w:cs="Times New Roman"/>
                <w:color w:val="auto"/>
                <w:kern w:val="0"/>
                <w:sz w:val="22"/>
                <w:szCs w:val="22"/>
                <w:highlight w:val="none"/>
              </w:rPr>
              <w:t>3.78</w:t>
            </w:r>
          </w:p>
        </w:tc>
        <w:tc>
          <w:tcPr>
            <w:tcW w:w="775" w:type="dxa"/>
            <w:tcMar>
              <w:top w:w="15" w:type="dxa"/>
              <w:left w:w="15" w:type="dxa"/>
              <w:right w:w="15" w:type="dxa"/>
            </w:tcMar>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2"/>
                <w:szCs w:val="22"/>
                <w:highlight w:val="none"/>
                <w:lang w:eastAsia="zh-CN"/>
              </w:rPr>
            </w:pPr>
            <w:r>
              <w:rPr>
                <w:rFonts w:hint="default" w:ascii="Times New Roman" w:hAnsi="Times New Roman" w:cs="Times New Roman"/>
                <w:color w:val="auto"/>
                <w:kern w:val="0"/>
                <w:sz w:val="22"/>
                <w:szCs w:val="22"/>
                <w:highlight w:val="none"/>
              </w:rPr>
              <w:t>1.2</w:t>
            </w:r>
            <w:r>
              <w:rPr>
                <w:rFonts w:hint="default" w:ascii="Times New Roman" w:hAnsi="Times New Roman" w:cs="Times New Roman"/>
                <w:color w:val="auto"/>
                <w:kern w:val="0"/>
                <w:sz w:val="22"/>
                <w:szCs w:val="22"/>
                <w:highlight w:val="none"/>
                <w:lang w:val="en-US" w:eastAsia="zh-CN"/>
              </w:rPr>
              <w:t>9</w:t>
            </w:r>
          </w:p>
        </w:tc>
      </w:tr>
    </w:tbl>
    <w:p>
      <w:pPr>
        <w:pStyle w:val="6"/>
        <w:rPr>
          <w:rFonts w:hint="default" w:ascii="Times New Roman" w:hAnsi="Times New Roman" w:eastAsia="楷体_GB2312" w:cs="Times New Roman"/>
          <w:color w:val="auto"/>
          <w:highlight w:val="none"/>
          <w:lang w:eastAsia="zh-CN"/>
        </w:rPr>
      </w:pPr>
      <w:bookmarkStart w:id="221" w:name="_Toc276046551"/>
      <w:bookmarkStart w:id="222" w:name="_Toc419380490"/>
      <w:bookmarkStart w:id="223" w:name="_Toc402104312"/>
      <w:bookmarkStart w:id="224" w:name="_Toc22801"/>
      <w:bookmarkStart w:id="225" w:name="_Toc6336"/>
      <w:bookmarkStart w:id="226" w:name="_Toc19329"/>
      <w:bookmarkStart w:id="227" w:name="_Toc9652"/>
      <w:bookmarkStart w:id="228" w:name="_Toc11336"/>
      <w:bookmarkStart w:id="229" w:name="_Toc3795"/>
      <w:bookmarkStart w:id="230" w:name="_Toc10317"/>
      <w:bookmarkStart w:id="231" w:name="_Toc22708"/>
      <w:bookmarkStart w:id="232" w:name="_Toc1055"/>
      <w:bookmarkStart w:id="233" w:name="_Toc12163"/>
      <w:r>
        <w:rPr>
          <w:rFonts w:hint="default" w:ascii="Times New Roman" w:hAnsi="Times New Roman" w:eastAsia="楷体_GB2312" w:cs="Times New Roman"/>
          <w:color w:val="auto"/>
          <w:highlight w:val="none"/>
        </w:rPr>
        <w:t>3.</w:t>
      </w:r>
      <w:bookmarkEnd w:id="221"/>
      <w:bookmarkEnd w:id="222"/>
      <w:bookmarkEnd w:id="223"/>
      <w:r>
        <w:rPr>
          <w:rFonts w:hint="default" w:ascii="Times New Roman" w:hAnsi="Times New Roman" w:eastAsia="楷体_GB2312" w:cs="Times New Roman"/>
          <w:color w:val="auto"/>
          <w:highlight w:val="none"/>
        </w:rPr>
        <w:t>4重点项目水资源情况</w:t>
      </w:r>
      <w:bookmarkEnd w:id="224"/>
      <w:bookmarkEnd w:id="225"/>
      <w:bookmarkEnd w:id="226"/>
      <w:bookmarkEnd w:id="227"/>
      <w:bookmarkEnd w:id="228"/>
      <w:bookmarkEnd w:id="229"/>
      <w:bookmarkEnd w:id="230"/>
      <w:bookmarkEnd w:id="231"/>
      <w:bookmarkEnd w:id="232"/>
      <w:bookmarkEnd w:id="233"/>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本次配置坚持把节水作为革命性措施，认真贯彻中央新时期治水方针，紧扣基本区情水情，大力实施自治区节水行动方案，遵循“农业节水领跑、工业节水增效、城市节水普及、全民节水文明、重点地区节水开源、科技创新引领”的总基调，走出一条干旱缺水地区解决发展用水问题的有效路子。</w:t>
      </w:r>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按照现状存在的问题，着重对</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十四五</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期间城乡生活供水工程、香山兴仁片区种植结构调整、中卫工业园区以及</w:t>
      </w:r>
      <w:r>
        <w:rPr>
          <w:rFonts w:hint="default"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十四五</w:t>
      </w:r>
      <w:r>
        <w:rPr>
          <w:rFonts w:hint="default"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期间重点特色产业高质量发展水资源量</w:t>
      </w:r>
      <w:r>
        <w:rPr>
          <w:rFonts w:hint="default" w:ascii="Times New Roman" w:hAnsi="Times New Roman" w:eastAsia="仿宋_GB2312" w:cs="Times New Roman"/>
          <w:color w:val="auto"/>
          <w:sz w:val="32"/>
          <w:szCs w:val="32"/>
          <w:highlight w:val="none"/>
          <w:lang w:val="en-US" w:eastAsia="zh-CN"/>
        </w:rPr>
        <w:t>进行配置分析</w:t>
      </w:r>
      <w:r>
        <w:rPr>
          <w:rFonts w:hint="default" w:ascii="Times New Roman" w:hAnsi="Times New Roman" w:eastAsia="仿宋_GB2312" w:cs="Times New Roman"/>
          <w:color w:val="auto"/>
          <w:sz w:val="32"/>
          <w:szCs w:val="32"/>
          <w:highlight w:val="none"/>
        </w:rPr>
        <w:t>。</w:t>
      </w:r>
    </w:p>
    <w:p>
      <w:pPr>
        <w:pStyle w:val="7"/>
        <w:spacing w:before="0"/>
        <w:rPr>
          <w:rFonts w:hint="default" w:ascii="Times New Roman" w:hAnsi="Times New Roman" w:eastAsia="仿宋_GB2312" w:cs="Times New Roman"/>
          <w:bCs/>
          <w:color w:val="auto"/>
          <w:kern w:val="2"/>
          <w:highlight w:val="none"/>
        </w:rPr>
      </w:pPr>
      <w:bookmarkStart w:id="234" w:name="_Toc32689"/>
      <w:bookmarkStart w:id="235" w:name="_Toc29720"/>
      <w:bookmarkStart w:id="236" w:name="_Toc15185"/>
      <w:bookmarkStart w:id="237" w:name="_Toc25754"/>
      <w:bookmarkStart w:id="238" w:name="_Toc3501"/>
      <w:bookmarkStart w:id="239" w:name="_Toc8298"/>
      <w:bookmarkStart w:id="240" w:name="_Toc4611"/>
      <w:bookmarkStart w:id="241" w:name="_Toc10975"/>
      <w:r>
        <w:rPr>
          <w:rFonts w:hint="default" w:ascii="Times New Roman" w:hAnsi="Times New Roman" w:eastAsia="仿宋_GB2312" w:cs="Times New Roman"/>
          <w:bCs/>
          <w:color w:val="auto"/>
          <w:kern w:val="2"/>
          <w:highlight w:val="none"/>
        </w:rPr>
        <w:t>3.4.1</w:t>
      </w:r>
      <w:bookmarkEnd w:id="234"/>
      <w:r>
        <w:rPr>
          <w:rFonts w:hint="default" w:ascii="Times New Roman" w:hAnsi="Times New Roman" w:eastAsia="仿宋_GB2312" w:cs="Times New Roman"/>
          <w:bCs/>
          <w:color w:val="auto"/>
          <w:kern w:val="2"/>
          <w:highlight w:val="none"/>
        </w:rPr>
        <w:t>城乡生活供水工程</w:t>
      </w:r>
      <w:bookmarkEnd w:id="235"/>
      <w:bookmarkEnd w:id="236"/>
      <w:bookmarkEnd w:id="237"/>
      <w:bookmarkEnd w:id="238"/>
      <w:bookmarkEnd w:id="239"/>
      <w:bookmarkEnd w:id="240"/>
    </w:p>
    <w:p>
      <w:pPr>
        <w:pStyle w:val="7"/>
        <w:spacing w:before="0"/>
        <w:rPr>
          <w:rFonts w:hint="default" w:ascii="Times New Roman" w:hAnsi="Times New Roman" w:eastAsia="仿宋_GB2312" w:cs="Times New Roman"/>
          <w:b/>
          <w:bCs/>
          <w:color w:val="auto"/>
          <w:spacing w:val="-6"/>
          <w:kern w:val="2"/>
          <w:sz w:val="32"/>
          <w:highlight w:val="none"/>
        </w:rPr>
      </w:pPr>
      <w:r>
        <w:rPr>
          <w:rFonts w:hint="default" w:ascii="Times New Roman" w:hAnsi="Times New Roman" w:eastAsia="仿宋_GB2312" w:cs="Times New Roman"/>
          <w:bCs/>
          <w:color w:val="auto"/>
          <w:kern w:val="2"/>
          <w:highlight w:val="none"/>
        </w:rPr>
        <w:t>3.4.1.1</w:t>
      </w:r>
      <w:r>
        <w:rPr>
          <w:rFonts w:hint="default" w:ascii="Times New Roman" w:hAnsi="Times New Roman" w:eastAsia="仿宋_GB2312" w:cs="Times New Roman"/>
          <w:b/>
          <w:bCs/>
          <w:color w:val="auto"/>
          <w:spacing w:val="-6"/>
          <w:kern w:val="2"/>
          <w:sz w:val="32"/>
          <w:highlight w:val="none"/>
        </w:rPr>
        <w:t>中卫市沙坡头区河南地区农村饮水安全巩固提升工程</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照《中卫市沙坡头区河南地区农村饮水安全巩固提升工程水资源论证报告》分析，本项目主要受水区涉及中卫市常乐镇、永康镇、宣和镇三个镇的生活、专业户饲养畜禽以及高铁商圈、常乐陶瓷产业园宣和冶金产业园等企业用水。</w:t>
      </w:r>
    </w:p>
    <w:p>
      <w:pPr>
        <w:ind w:firstLine="600"/>
        <w:jc w:val="both"/>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rPr>
        <w:t>项目提升改造采用地下水，规划年确定为2025年，规划需水量为546.97万m³/a，供水能力可达到631.06万m³/a。</w:t>
      </w:r>
    </w:p>
    <w:p>
      <w:pPr>
        <w:pStyle w:val="8"/>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3.4.1.2中卫市河北地区城乡供水工程</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照《中卫市河北地区城乡供水工程水资源论证报告》分析，本项目主要涉及沙坡头区河北的文昌镇、滨河镇、镇罗镇、柔远镇、东园镇和迎水桥镇共6镇、127个行政村的全部区域。供水对象包括上述6镇、127个行政村的城乡居民生活、规模化养殖、工业生产及生态环境用水。</w:t>
      </w:r>
    </w:p>
    <w:p>
      <w:pPr>
        <w:ind w:firstLine="600"/>
        <w:jc w:val="both"/>
        <w:rPr>
          <w:rFonts w:hint="default" w:ascii="Times New Roman" w:hAnsi="Times New Roman" w:eastAsia="仿宋_GB2312" w:cs="Times New Roman"/>
          <w:color w:val="auto"/>
          <w:szCs w:val="30"/>
          <w:highlight w:val="none"/>
        </w:rPr>
      </w:pPr>
      <w:r>
        <w:rPr>
          <w:rFonts w:hint="default" w:ascii="Times New Roman" w:hAnsi="Times New Roman" w:eastAsia="仿宋_GB2312" w:cs="Times New Roman"/>
          <w:color w:val="auto"/>
          <w:sz w:val="32"/>
          <w:szCs w:val="32"/>
          <w:highlight w:val="none"/>
        </w:rPr>
        <w:t>工程建成后，将利用黄河水和部分地下水为沙坡头区城区和河北地区城乡生活供水，规划年确定为2025年和2035年，2025年总取水量为2479万m³，其中黄河水1721万m³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地下水365万m³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再生水393万m³。2035年总取水量3063万m³，其中黄河水2228万m³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地下水供水量365万m³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再生水供水量470万m³。</w:t>
      </w:r>
    </w:p>
    <w:p>
      <w:pPr>
        <w:pStyle w:val="8"/>
        <w:rPr>
          <w:rFonts w:hint="default" w:ascii="Times New Roman" w:hAnsi="Times New Roman" w:eastAsia="仿宋_GB2312" w:cs="Times New Roman"/>
          <w:b/>
          <w:bCs/>
          <w:color w:val="auto"/>
          <w:kern w:val="2"/>
          <w:sz w:val="32"/>
          <w:szCs w:val="32"/>
          <w:highlight w:val="none"/>
          <w:lang w:val="en-US" w:eastAsia="zh-CN" w:bidi="ar-SA"/>
        </w:rPr>
      </w:pPr>
      <w:bookmarkStart w:id="242" w:name="_Toc12409"/>
      <w:bookmarkStart w:id="243" w:name="_Toc28619"/>
      <w:bookmarkStart w:id="244" w:name="_Toc12982"/>
      <w:bookmarkStart w:id="245" w:name="_Toc556"/>
      <w:bookmarkStart w:id="246" w:name="_Toc23435"/>
      <w:bookmarkStart w:id="247" w:name="_Toc2094"/>
      <w:bookmarkStart w:id="248" w:name="_Toc19862"/>
      <w:r>
        <w:rPr>
          <w:rFonts w:hint="default" w:ascii="Times New Roman" w:hAnsi="Times New Roman" w:eastAsia="仿宋_GB2312" w:cs="Times New Roman"/>
          <w:b/>
          <w:bCs/>
          <w:color w:val="auto"/>
          <w:kern w:val="2"/>
          <w:sz w:val="32"/>
          <w:szCs w:val="32"/>
          <w:highlight w:val="none"/>
          <w:lang w:val="en-US" w:eastAsia="zh-CN" w:bidi="ar-SA"/>
        </w:rPr>
        <w:t>3.4.2</w:t>
      </w:r>
      <w:bookmarkEnd w:id="242"/>
      <w:r>
        <w:rPr>
          <w:rFonts w:hint="default" w:ascii="Times New Roman" w:hAnsi="Times New Roman" w:eastAsia="仿宋_GB2312" w:cs="Times New Roman"/>
          <w:b/>
          <w:bCs/>
          <w:color w:val="auto"/>
          <w:kern w:val="2"/>
          <w:sz w:val="32"/>
          <w:szCs w:val="32"/>
          <w:highlight w:val="none"/>
          <w:lang w:val="en-US" w:eastAsia="zh-CN" w:bidi="ar-SA"/>
        </w:rPr>
        <w:t>中卫工业园区</w:t>
      </w:r>
      <w:bookmarkEnd w:id="243"/>
      <w:bookmarkEnd w:id="244"/>
      <w:bookmarkEnd w:id="245"/>
      <w:bookmarkEnd w:id="246"/>
      <w:bookmarkEnd w:id="247"/>
      <w:bookmarkEnd w:id="248"/>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沙坡头区工业重点为中卫工业园区，根据调研近三年中卫工业园区年均用水量2725.07万m³，其中工业1663.72万m³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生活107.61万m³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绿化953.74万m³，按照宁水资源发﹝2016﹞88号关于《中卫工业园区规划水资源论证报告》技术审査意见，批复到2020年工业园区取水规模为2950万m³（黄河原水2400万m³，再生水550万m³），但是，随着近几年企业入园批复的增多。</w:t>
      </w:r>
      <w:r>
        <w:rPr>
          <w:rFonts w:hint="eastAsia" w:cs="Times New Roman"/>
          <w:color w:val="auto"/>
          <w:sz w:val="32"/>
          <w:szCs w:val="32"/>
          <w:highlight w:val="none"/>
          <w:lang w:eastAsia="zh-CN"/>
        </w:rPr>
        <w:t>截至</w:t>
      </w:r>
      <w:r>
        <w:rPr>
          <w:rFonts w:hint="default" w:ascii="Times New Roman" w:hAnsi="Times New Roman" w:eastAsia="仿宋_GB2312" w:cs="Times New Roman"/>
          <w:color w:val="auto"/>
          <w:sz w:val="32"/>
          <w:szCs w:val="32"/>
          <w:highlight w:val="none"/>
        </w:rPr>
        <w:t>20</w:t>
      </w:r>
      <w:r>
        <w:rPr>
          <w:rFonts w:hint="default" w:ascii="Times New Roman" w:hAnsi="Times New Roman" w:eastAsia="仿宋_GB2312" w:cs="Times New Roman"/>
          <w:color w:val="auto"/>
          <w:sz w:val="32"/>
          <w:szCs w:val="32"/>
          <w:highlight w:val="none"/>
          <w:lang w:eastAsia="zh-CN"/>
        </w:rPr>
        <w:t>2</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年园区陆续批复水量已经达到3053.66万m³。生活取水量50.75万m³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工业取水量2640.52万m³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绿化取水量362.4万m³。</w:t>
      </w:r>
    </w:p>
    <w:p>
      <w:pPr>
        <w:ind w:firstLine="600"/>
        <w:jc w:val="both"/>
        <w:rPr>
          <w:rFonts w:hint="default" w:ascii="Times New Roman" w:hAnsi="Times New Roman" w:eastAsia="仿宋_GB2312" w:cs="Times New Roman"/>
          <w:color w:val="auto"/>
          <w:szCs w:val="30"/>
          <w:highlight w:val="none"/>
          <w:lang w:val="en-US" w:eastAsia="zh-CN"/>
        </w:rPr>
      </w:pPr>
      <w:r>
        <w:rPr>
          <w:rFonts w:hint="default" w:ascii="Times New Roman" w:hAnsi="Times New Roman" w:eastAsia="仿宋_GB2312" w:cs="Times New Roman"/>
          <w:color w:val="auto"/>
          <w:sz w:val="32"/>
          <w:szCs w:val="32"/>
          <w:highlight w:val="none"/>
        </w:rPr>
        <w:t>目前，工业园区总用水量未超批复指标，但绿化及生活用水量分别超取水指标。</w:t>
      </w:r>
      <w:r>
        <w:rPr>
          <w:rFonts w:hint="default" w:ascii="Times New Roman" w:hAnsi="Times New Roman" w:cs="Times New Roman"/>
          <w:color w:val="auto"/>
          <w:sz w:val="32"/>
          <w:szCs w:val="32"/>
          <w:highlight w:val="none"/>
          <w:lang w:eastAsia="zh-CN"/>
        </w:rPr>
        <w:t>详见表</w:t>
      </w:r>
      <w:r>
        <w:rPr>
          <w:rFonts w:hint="default" w:ascii="Times New Roman" w:hAnsi="Times New Roman" w:cs="Times New Roman"/>
          <w:color w:val="auto"/>
          <w:sz w:val="32"/>
          <w:szCs w:val="32"/>
          <w:highlight w:val="none"/>
          <w:lang w:val="en-US" w:eastAsia="zh-CN"/>
        </w:rPr>
        <w:t>3.4-1所示。</w:t>
      </w:r>
    </w:p>
    <w:p>
      <w:pPr>
        <w:pStyle w:val="22"/>
        <w:jc w:val="center"/>
        <w:rPr>
          <w:rFonts w:hint="default" w:ascii="Times New Roman" w:hAnsi="Times New Roman" w:eastAsia="方正小标宋_GBK" w:cs="Times New Roman"/>
          <w:b w:val="0"/>
          <w:bCs w:val="0"/>
          <w:color w:val="auto"/>
          <w:kern w:val="2"/>
          <w:sz w:val="32"/>
          <w:szCs w:val="32"/>
          <w:highlight w:val="none"/>
          <w:lang w:val="en-US" w:eastAsia="zh-CN" w:bidi="ar-SA"/>
        </w:rPr>
      </w:pPr>
      <w:r>
        <w:rPr>
          <w:rFonts w:hint="default" w:ascii="Times New Roman" w:hAnsi="Times New Roman" w:eastAsia="方正小标宋_GBK" w:cs="Times New Roman"/>
          <w:b w:val="0"/>
          <w:bCs w:val="0"/>
          <w:color w:val="auto"/>
          <w:kern w:val="2"/>
          <w:sz w:val="32"/>
          <w:szCs w:val="32"/>
          <w:highlight w:val="none"/>
          <w:lang w:val="en-US" w:eastAsia="zh-CN" w:bidi="ar-SA"/>
        </w:rPr>
        <w:t>表3.4-1  园区用水户现状用水量和批复水量统计表</w:t>
      </w:r>
    </w:p>
    <w:tbl>
      <w:tblPr>
        <w:tblStyle w:val="17"/>
        <w:tblW w:w="8871"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605"/>
        <w:gridCol w:w="1336"/>
        <w:gridCol w:w="1237"/>
        <w:gridCol w:w="1143"/>
        <w:gridCol w:w="1145"/>
        <w:gridCol w:w="1209"/>
        <w:gridCol w:w="1196"/>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520" w:hRule="atLeast"/>
        </w:trPr>
        <w:tc>
          <w:tcPr>
            <w:tcW w:w="1605" w:type="dxa"/>
            <w:vMerge w:val="restart"/>
            <w:tcBorders>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b/>
                <w:bCs/>
                <w:color w:val="auto"/>
                <w:sz w:val="22"/>
                <w:szCs w:val="32"/>
                <w:highlight w:val="none"/>
              </w:rPr>
            </w:pPr>
            <w:r>
              <w:rPr>
                <w:rFonts w:hint="default" w:ascii="Times New Roman" w:hAnsi="Times New Roman" w:eastAsia="仿宋_GB2312" w:cs="Times New Roman"/>
                <w:b/>
                <w:bCs/>
                <w:color w:val="auto"/>
                <w:kern w:val="2"/>
                <w:sz w:val="22"/>
                <w:szCs w:val="22"/>
                <w:highlight w:val="none"/>
                <w:lang w:val="en-US"/>
              </w:rPr>
              <w:t>用水户分类</w:t>
            </w:r>
          </w:p>
        </w:tc>
        <w:tc>
          <w:tcPr>
            <w:tcW w:w="1336" w:type="dxa"/>
            <w:vMerge w:val="restart"/>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b/>
                <w:bCs/>
                <w:color w:val="auto"/>
                <w:sz w:val="22"/>
                <w:szCs w:val="32"/>
                <w:highlight w:val="none"/>
              </w:rPr>
            </w:pPr>
            <w:r>
              <w:rPr>
                <w:rFonts w:hint="default" w:ascii="Times New Roman" w:hAnsi="Times New Roman" w:eastAsia="仿宋_GB2312" w:cs="Times New Roman"/>
                <w:b/>
                <w:bCs/>
                <w:color w:val="auto"/>
                <w:kern w:val="2"/>
                <w:sz w:val="22"/>
                <w:szCs w:val="22"/>
                <w:highlight w:val="none"/>
                <w:lang w:val="en-US"/>
              </w:rPr>
              <w:t>用途分类</w:t>
            </w:r>
          </w:p>
        </w:tc>
        <w:tc>
          <w:tcPr>
            <w:tcW w:w="4734" w:type="dxa"/>
            <w:gridSpan w:val="4"/>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eastAsia="仿宋_GB2312" w:cs="Times New Roman"/>
                <w:b/>
                <w:bCs/>
                <w:color w:val="auto"/>
                <w:kern w:val="2"/>
                <w:sz w:val="22"/>
                <w:szCs w:val="22"/>
                <w:highlight w:val="none"/>
                <w:lang w:val="en-US"/>
              </w:rPr>
              <w:t>现状用水量</w:t>
            </w:r>
          </w:p>
        </w:tc>
        <w:tc>
          <w:tcPr>
            <w:tcW w:w="1196" w:type="dxa"/>
            <w:vMerge w:val="restart"/>
            <w:tcBorders>
              <w:left w:val="single" w:color="000000" w:sz="4" w:space="0"/>
              <w:bottom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eastAsia="仿宋_GB2312" w:cs="Times New Roman"/>
                <w:b/>
                <w:bCs/>
                <w:color w:val="auto"/>
                <w:kern w:val="2"/>
                <w:sz w:val="22"/>
                <w:szCs w:val="22"/>
                <w:highlight w:val="none"/>
                <w:lang w:val="en-US"/>
              </w:rPr>
              <w:t>批复水量</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445" w:hRule="atLeast"/>
        </w:trPr>
        <w:tc>
          <w:tcPr>
            <w:tcW w:w="1605" w:type="dxa"/>
            <w:vMerge w:val="continue"/>
            <w:tcBorders>
              <w:top w:val="single" w:color="000000" w:sz="12" w:space="0"/>
              <w:bottom w:val="single" w:color="000000" w:sz="4" w:space="0"/>
              <w:right w:val="single" w:color="000000" w:sz="4" w:space="0"/>
            </w:tcBorders>
            <w:vAlign w:val="center"/>
          </w:tcPr>
          <w:p>
            <w:pPr>
              <w:pStyle w:val="24"/>
              <w:rPr>
                <w:rFonts w:hint="default" w:ascii="Times New Roman" w:hAnsi="Times New Roman" w:cs="Times New Roman"/>
                <w:color w:val="auto"/>
                <w:sz w:val="22"/>
                <w:szCs w:val="32"/>
                <w:highlight w:val="none"/>
              </w:rPr>
            </w:pPr>
          </w:p>
        </w:tc>
        <w:tc>
          <w:tcPr>
            <w:tcW w:w="1336" w:type="dxa"/>
            <w:vMerge w:val="continue"/>
            <w:tcBorders>
              <w:top w:val="single" w:color="000000" w:sz="12" w:space="0"/>
              <w:left w:val="single" w:color="000000" w:sz="4" w:space="0"/>
              <w:bottom w:val="single" w:color="000000" w:sz="4" w:space="0"/>
              <w:right w:val="single" w:color="000000" w:sz="4" w:space="0"/>
            </w:tcBorders>
            <w:vAlign w:val="center"/>
          </w:tcPr>
          <w:p>
            <w:pPr>
              <w:pStyle w:val="24"/>
              <w:rPr>
                <w:rFonts w:hint="default" w:ascii="Times New Roman" w:hAnsi="Times New Roman" w:cs="Times New Roman"/>
                <w:color w:val="auto"/>
                <w:sz w:val="22"/>
                <w:szCs w:val="32"/>
                <w:highlight w:val="none"/>
              </w:rPr>
            </w:pP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201</w:t>
            </w:r>
            <w:r>
              <w:rPr>
                <w:rFonts w:hint="default" w:ascii="Times New Roman" w:hAnsi="Times New Roman" w:eastAsia="仿宋_GB2312" w:cs="Times New Roman"/>
                <w:b/>
                <w:bCs/>
                <w:color w:val="auto"/>
                <w:kern w:val="2"/>
                <w:sz w:val="22"/>
                <w:szCs w:val="22"/>
                <w:highlight w:val="none"/>
                <w:lang w:val="en-US" w:eastAsia="zh-CN"/>
              </w:rPr>
              <w:t>8</w:t>
            </w:r>
            <w:r>
              <w:rPr>
                <w:rFonts w:hint="default" w:ascii="Times New Roman" w:hAnsi="Times New Roman" w:eastAsia="仿宋_GB2312" w:cs="Times New Roman"/>
                <w:b/>
                <w:bCs/>
                <w:color w:val="auto"/>
                <w:kern w:val="2"/>
                <w:sz w:val="22"/>
                <w:szCs w:val="22"/>
                <w:highlight w:val="none"/>
                <w:lang w:val="en-US"/>
              </w:rPr>
              <w:t>年</w:t>
            </w:r>
          </w:p>
        </w:tc>
        <w:tc>
          <w:tcPr>
            <w:tcW w:w="114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201</w:t>
            </w:r>
            <w:r>
              <w:rPr>
                <w:rFonts w:hint="default" w:ascii="Times New Roman" w:hAnsi="Times New Roman" w:eastAsia="仿宋_GB2312" w:cs="Times New Roman"/>
                <w:b/>
                <w:bCs/>
                <w:color w:val="auto"/>
                <w:kern w:val="2"/>
                <w:sz w:val="22"/>
                <w:szCs w:val="22"/>
                <w:highlight w:val="none"/>
                <w:lang w:val="en-US" w:eastAsia="zh-CN"/>
              </w:rPr>
              <w:t>9</w:t>
            </w:r>
            <w:r>
              <w:rPr>
                <w:rFonts w:hint="default" w:ascii="Times New Roman" w:hAnsi="Times New Roman" w:eastAsia="仿宋_GB2312" w:cs="Times New Roman"/>
                <w:b/>
                <w:bCs/>
                <w:color w:val="auto"/>
                <w:kern w:val="2"/>
                <w:sz w:val="22"/>
                <w:szCs w:val="22"/>
                <w:highlight w:val="none"/>
                <w:lang w:val="en-US"/>
              </w:rPr>
              <w:t>年</w:t>
            </w:r>
          </w:p>
        </w:tc>
        <w:tc>
          <w:tcPr>
            <w:tcW w:w="11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20</w:t>
            </w:r>
            <w:r>
              <w:rPr>
                <w:rFonts w:hint="default" w:ascii="Times New Roman" w:hAnsi="Times New Roman" w:eastAsia="仿宋_GB2312" w:cs="Times New Roman"/>
                <w:b/>
                <w:bCs/>
                <w:color w:val="auto"/>
                <w:kern w:val="2"/>
                <w:sz w:val="22"/>
                <w:szCs w:val="22"/>
                <w:highlight w:val="none"/>
                <w:lang w:val="en-US" w:eastAsia="zh-CN"/>
              </w:rPr>
              <w:t>20</w:t>
            </w:r>
            <w:r>
              <w:rPr>
                <w:rFonts w:hint="default" w:ascii="Times New Roman" w:hAnsi="Times New Roman" w:eastAsia="仿宋_GB2312" w:cs="Times New Roman"/>
                <w:b/>
                <w:bCs/>
                <w:color w:val="auto"/>
                <w:kern w:val="2"/>
                <w:sz w:val="22"/>
                <w:szCs w:val="22"/>
                <w:highlight w:val="none"/>
                <w:lang w:val="en-US"/>
              </w:rPr>
              <w:t>年</w:t>
            </w:r>
          </w:p>
        </w:tc>
        <w:tc>
          <w:tcPr>
            <w:tcW w:w="120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均值</w:t>
            </w:r>
          </w:p>
        </w:tc>
        <w:tc>
          <w:tcPr>
            <w:tcW w:w="1196" w:type="dxa"/>
            <w:vMerge w:val="continue"/>
            <w:tcBorders>
              <w:top w:val="single" w:color="000000" w:sz="12" w:space="0"/>
              <w:left w:val="single" w:color="000000" w:sz="4" w:space="0"/>
              <w:bottom w:val="single" w:color="000000" w:sz="4" w:space="0"/>
            </w:tcBorders>
            <w:vAlign w:val="center"/>
          </w:tcPr>
          <w:p>
            <w:pPr>
              <w:pStyle w:val="24"/>
              <w:rPr>
                <w:rFonts w:hint="default" w:ascii="Times New Roman" w:hAnsi="Times New Roman" w:cs="Times New Roman"/>
                <w:color w:val="auto"/>
                <w:sz w:val="22"/>
                <w:szCs w:val="32"/>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511" w:hRule="atLeast"/>
        </w:trPr>
        <w:tc>
          <w:tcPr>
            <w:tcW w:w="1605" w:type="dxa"/>
            <w:vMerge w:val="restart"/>
            <w:tcBorders>
              <w:top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已获得水资源论证批复用水户</w:t>
            </w:r>
          </w:p>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（62家）</w:t>
            </w:r>
          </w:p>
        </w:tc>
        <w:tc>
          <w:tcPr>
            <w:tcW w:w="133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工业</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1548.99</w:t>
            </w:r>
          </w:p>
        </w:tc>
        <w:tc>
          <w:tcPr>
            <w:tcW w:w="114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1615.29</w:t>
            </w:r>
          </w:p>
        </w:tc>
        <w:tc>
          <w:tcPr>
            <w:tcW w:w="11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1794.92</w:t>
            </w:r>
          </w:p>
        </w:tc>
        <w:tc>
          <w:tcPr>
            <w:tcW w:w="120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1718.26</w:t>
            </w:r>
          </w:p>
        </w:tc>
        <w:tc>
          <w:tcPr>
            <w:tcW w:w="1196" w:type="dxa"/>
            <w:tcBorders>
              <w:top w:val="single" w:color="000000" w:sz="4" w:space="0"/>
              <w:left w:val="single" w:color="000000" w:sz="4" w:space="0"/>
              <w:bottom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2640.52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511" w:hRule="atLeast"/>
        </w:trPr>
        <w:tc>
          <w:tcPr>
            <w:tcW w:w="1605" w:type="dxa"/>
            <w:vMerge w:val="continue"/>
            <w:tcBorders>
              <w:top w:val="single" w:color="000000" w:sz="4" w:space="0"/>
              <w:bottom w:val="single" w:color="000000" w:sz="4" w:space="0"/>
              <w:right w:val="single" w:color="000000" w:sz="4" w:space="0"/>
            </w:tcBorders>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33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生活</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lang w:val="en-US"/>
              </w:rPr>
            </w:pPr>
            <w:r>
              <w:rPr>
                <w:rFonts w:hint="default" w:ascii="Times New Roman" w:hAnsi="Times New Roman" w:cs="Times New Roman"/>
                <w:color w:val="auto"/>
                <w:sz w:val="22"/>
                <w:szCs w:val="32"/>
                <w:highlight w:val="none"/>
              </w:rPr>
              <w:t>90.9</w:t>
            </w:r>
            <w:r>
              <w:rPr>
                <w:rFonts w:hint="default" w:ascii="Times New Roman" w:hAnsi="Times New Roman" w:cs="Times New Roman"/>
                <w:color w:val="auto"/>
                <w:sz w:val="22"/>
                <w:szCs w:val="32"/>
                <w:highlight w:val="none"/>
                <w:lang w:val="en-US"/>
              </w:rPr>
              <w:t>0</w:t>
            </w:r>
          </w:p>
        </w:tc>
        <w:tc>
          <w:tcPr>
            <w:tcW w:w="114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95.18</w:t>
            </w:r>
          </w:p>
        </w:tc>
        <w:tc>
          <w:tcPr>
            <w:tcW w:w="11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102.74</w:t>
            </w:r>
          </w:p>
        </w:tc>
        <w:tc>
          <w:tcPr>
            <w:tcW w:w="120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98.68</w:t>
            </w:r>
          </w:p>
        </w:tc>
        <w:tc>
          <w:tcPr>
            <w:tcW w:w="1196" w:type="dxa"/>
            <w:tcBorders>
              <w:top w:val="single" w:color="000000" w:sz="4" w:space="0"/>
              <w:left w:val="single" w:color="000000" w:sz="4" w:space="0"/>
              <w:bottom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50.75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511" w:hRule="atLeast"/>
        </w:trPr>
        <w:tc>
          <w:tcPr>
            <w:tcW w:w="1605" w:type="dxa"/>
            <w:vMerge w:val="continue"/>
            <w:tcBorders>
              <w:top w:val="single" w:color="000000" w:sz="4" w:space="0"/>
              <w:bottom w:val="single" w:color="000000" w:sz="4" w:space="0"/>
              <w:right w:val="single" w:color="000000" w:sz="4" w:space="0"/>
            </w:tcBorders>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336"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绿化</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1337.06</w:t>
            </w:r>
          </w:p>
        </w:tc>
        <w:tc>
          <w:tcPr>
            <w:tcW w:w="1143"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823.64</w:t>
            </w:r>
          </w:p>
        </w:tc>
        <w:tc>
          <w:tcPr>
            <w:tcW w:w="11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900.52</w:t>
            </w:r>
          </w:p>
        </w:tc>
        <w:tc>
          <w:tcPr>
            <w:tcW w:w="120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953.74</w:t>
            </w:r>
          </w:p>
        </w:tc>
        <w:tc>
          <w:tcPr>
            <w:tcW w:w="1196" w:type="dxa"/>
            <w:tcBorders>
              <w:top w:val="single" w:color="000000" w:sz="4" w:space="0"/>
              <w:left w:val="single" w:color="000000" w:sz="4" w:space="0"/>
              <w:bottom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lang w:val="en-US"/>
              </w:rPr>
            </w:pPr>
            <w:r>
              <w:rPr>
                <w:rFonts w:hint="default" w:ascii="Times New Roman" w:hAnsi="Times New Roman" w:cs="Times New Roman"/>
                <w:color w:val="auto"/>
                <w:sz w:val="22"/>
                <w:szCs w:val="32"/>
                <w:highlight w:val="none"/>
              </w:rPr>
              <w:t>362.4</w:t>
            </w:r>
            <w:r>
              <w:rPr>
                <w:rFonts w:hint="default" w:ascii="Times New Roman" w:hAnsi="Times New Roman" w:cs="Times New Roman"/>
                <w:color w:val="auto"/>
                <w:sz w:val="22"/>
                <w:szCs w:val="32"/>
                <w:highlight w:val="none"/>
                <w:lang w:val="en-US"/>
              </w:rPr>
              <w:t>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577" w:hRule="atLeast"/>
        </w:trPr>
        <w:tc>
          <w:tcPr>
            <w:tcW w:w="1605" w:type="dxa"/>
            <w:vMerge w:val="continue"/>
            <w:tcBorders>
              <w:top w:val="single" w:color="000000" w:sz="4" w:space="0"/>
              <w:bottom w:val="single" w:color="auto" w:sz="12" w:space="0"/>
              <w:right w:val="single" w:color="000000" w:sz="4" w:space="0"/>
            </w:tcBorders>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336" w:type="dxa"/>
            <w:tcBorders>
              <w:top w:val="single" w:color="000000" w:sz="4" w:space="0"/>
              <w:left w:val="single" w:color="000000" w:sz="4" w:space="0"/>
              <w:bottom w:val="single" w:color="auto" w:sz="12" w:space="0"/>
              <w:right w:val="single" w:color="000000" w:sz="4" w:space="0"/>
            </w:tcBorders>
            <w:tcMar>
              <w:top w:w="15" w:type="dxa"/>
              <w:left w:w="15" w:type="dxa"/>
              <w:bottom w:w="0"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小计</w:t>
            </w:r>
          </w:p>
        </w:tc>
        <w:tc>
          <w:tcPr>
            <w:tcW w:w="1237" w:type="dxa"/>
            <w:tcBorders>
              <w:top w:val="single" w:color="000000" w:sz="4" w:space="0"/>
              <w:left w:val="single" w:color="000000" w:sz="4" w:space="0"/>
              <w:bottom w:val="single" w:color="auto" w:sz="12"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2976.95</w:t>
            </w:r>
          </w:p>
        </w:tc>
        <w:tc>
          <w:tcPr>
            <w:tcW w:w="1143" w:type="dxa"/>
            <w:tcBorders>
              <w:top w:val="single" w:color="000000" w:sz="4" w:space="0"/>
              <w:left w:val="single" w:color="000000" w:sz="4" w:space="0"/>
              <w:bottom w:val="single" w:color="auto" w:sz="12"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2534.11</w:t>
            </w:r>
          </w:p>
        </w:tc>
        <w:tc>
          <w:tcPr>
            <w:tcW w:w="1145" w:type="dxa"/>
            <w:tcBorders>
              <w:top w:val="single" w:color="000000" w:sz="4" w:space="0"/>
              <w:left w:val="single" w:color="000000" w:sz="4" w:space="0"/>
              <w:bottom w:val="single" w:color="auto" w:sz="12"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2798.18</w:t>
            </w:r>
          </w:p>
        </w:tc>
        <w:tc>
          <w:tcPr>
            <w:tcW w:w="1209" w:type="dxa"/>
            <w:tcBorders>
              <w:top w:val="single" w:color="000000" w:sz="4" w:space="0"/>
              <w:left w:val="single" w:color="000000" w:sz="4" w:space="0"/>
              <w:bottom w:val="single" w:color="auto" w:sz="12"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2703.08</w:t>
            </w:r>
          </w:p>
        </w:tc>
        <w:tc>
          <w:tcPr>
            <w:tcW w:w="1196" w:type="dxa"/>
            <w:tcBorders>
              <w:top w:val="single" w:color="000000" w:sz="4" w:space="0"/>
              <w:left w:val="single" w:color="000000" w:sz="4" w:space="0"/>
              <w:bottom w:val="single" w:color="auto" w:sz="12"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3053.66</w:t>
            </w:r>
          </w:p>
        </w:tc>
      </w:tr>
    </w:tbl>
    <w:p>
      <w:pPr>
        <w:pStyle w:val="22"/>
        <w:jc w:val="center"/>
        <w:rPr>
          <w:rFonts w:hint="default" w:ascii="Times New Roman" w:hAnsi="Times New Roman" w:eastAsia="方正小标宋_GBK" w:cs="Times New Roman"/>
          <w:b w:val="0"/>
          <w:bCs w:val="0"/>
          <w:color w:val="auto"/>
          <w:kern w:val="2"/>
          <w:sz w:val="32"/>
          <w:szCs w:val="32"/>
          <w:highlight w:val="none"/>
          <w:lang w:val="en-US" w:eastAsia="zh-CN" w:bidi="ar-SA"/>
        </w:rPr>
      </w:pPr>
      <w:r>
        <w:rPr>
          <w:rFonts w:hint="default" w:ascii="Times New Roman" w:hAnsi="Times New Roman" w:eastAsia="方正小标宋_GBK" w:cs="Times New Roman"/>
          <w:b w:val="0"/>
          <w:bCs w:val="0"/>
          <w:color w:val="auto"/>
          <w:kern w:val="2"/>
          <w:sz w:val="32"/>
          <w:szCs w:val="32"/>
          <w:highlight w:val="none"/>
          <w:lang w:val="en-US" w:eastAsia="zh-CN" w:bidi="ar-SA"/>
        </w:rPr>
        <w:t>续表3.4-1  园区用水户现状用水量和批复水量统计表</w:t>
      </w:r>
    </w:p>
    <w:tbl>
      <w:tblPr>
        <w:tblStyle w:val="17"/>
        <w:tblW w:w="8873" w:type="dxa"/>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607"/>
        <w:gridCol w:w="1335"/>
        <w:gridCol w:w="1239"/>
        <w:gridCol w:w="1142"/>
        <w:gridCol w:w="1145"/>
        <w:gridCol w:w="1207"/>
        <w:gridCol w:w="1198"/>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157" w:hRule="atLeast"/>
        </w:trPr>
        <w:tc>
          <w:tcPr>
            <w:tcW w:w="1607" w:type="dxa"/>
            <w:vMerge w:val="restart"/>
            <w:tcBorders>
              <w:top w:val="single" w:color="auto" w:sz="12"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用水户分类</w:t>
            </w:r>
          </w:p>
        </w:tc>
        <w:tc>
          <w:tcPr>
            <w:tcW w:w="1335" w:type="dxa"/>
            <w:vMerge w:val="restart"/>
            <w:tcBorders>
              <w:top w:val="single" w:color="auto" w:sz="12" w:space="0"/>
              <w:left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用途分类</w:t>
            </w:r>
          </w:p>
        </w:tc>
        <w:tc>
          <w:tcPr>
            <w:tcW w:w="4733" w:type="dxa"/>
            <w:gridSpan w:val="4"/>
            <w:tcBorders>
              <w:top w:val="single" w:color="auto" w:sz="12" w:space="0"/>
              <w:left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lang w:val="en-US"/>
              </w:rPr>
            </w:pPr>
            <w:r>
              <w:rPr>
                <w:rFonts w:hint="default" w:ascii="Times New Roman" w:hAnsi="Times New Roman" w:eastAsia="仿宋_GB2312" w:cs="Times New Roman"/>
                <w:b/>
                <w:bCs/>
                <w:color w:val="auto"/>
                <w:kern w:val="2"/>
                <w:sz w:val="22"/>
                <w:szCs w:val="22"/>
                <w:highlight w:val="none"/>
                <w:lang w:val="en-US"/>
              </w:rPr>
              <w:t>现状用水量</w:t>
            </w:r>
          </w:p>
        </w:tc>
        <w:tc>
          <w:tcPr>
            <w:tcW w:w="1198" w:type="dxa"/>
            <w:vMerge w:val="restart"/>
            <w:tcBorders>
              <w:top w:val="single" w:color="auto" w:sz="12" w:space="0"/>
              <w:lef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eastAsia="仿宋_GB2312" w:cs="Times New Roman"/>
                <w:b/>
                <w:bCs/>
                <w:color w:val="auto"/>
                <w:kern w:val="2"/>
                <w:sz w:val="22"/>
                <w:szCs w:val="22"/>
                <w:highlight w:val="none"/>
                <w:lang w:val="en-US"/>
              </w:rPr>
              <w:t>批复水量</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605" w:hRule="atLeast"/>
        </w:trPr>
        <w:tc>
          <w:tcPr>
            <w:tcW w:w="1607" w:type="dxa"/>
            <w:vMerge w:val="continue"/>
            <w:tcBorders>
              <w:right w:val="single" w:color="000000" w:sz="4" w:space="0"/>
            </w:tcBorders>
            <w:tcMar>
              <w:top w:w="15" w:type="dxa"/>
              <w:left w:w="15" w:type="dxa"/>
              <w:bottom w:w="0"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335" w:type="dxa"/>
            <w:vMerge w:val="continue"/>
            <w:tcBorders>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cs="Times New Roman"/>
                <w:b/>
                <w:bCs/>
                <w:color w:val="auto"/>
                <w:sz w:val="22"/>
                <w:szCs w:val="32"/>
                <w:highlight w:val="none"/>
              </w:rPr>
            </w:pPr>
            <w:r>
              <w:rPr>
                <w:rFonts w:hint="default" w:ascii="Times New Roman" w:hAnsi="Times New Roman" w:eastAsia="仿宋_GB2312" w:cs="Times New Roman"/>
                <w:b/>
                <w:bCs/>
                <w:color w:val="auto"/>
                <w:kern w:val="2"/>
                <w:sz w:val="22"/>
                <w:szCs w:val="22"/>
                <w:highlight w:val="none"/>
                <w:lang w:val="en-US"/>
              </w:rPr>
              <w:t>201</w:t>
            </w:r>
            <w:r>
              <w:rPr>
                <w:rFonts w:hint="default" w:ascii="Times New Roman" w:hAnsi="Times New Roman" w:eastAsia="仿宋_GB2312" w:cs="Times New Roman"/>
                <w:b/>
                <w:bCs/>
                <w:color w:val="auto"/>
                <w:kern w:val="2"/>
                <w:sz w:val="22"/>
                <w:szCs w:val="22"/>
                <w:highlight w:val="none"/>
                <w:lang w:val="en-US" w:eastAsia="zh-CN"/>
              </w:rPr>
              <w:t>8</w:t>
            </w:r>
            <w:r>
              <w:rPr>
                <w:rFonts w:hint="default" w:ascii="Times New Roman" w:hAnsi="Times New Roman" w:eastAsia="仿宋_GB2312" w:cs="Times New Roman"/>
                <w:b/>
                <w:bCs/>
                <w:color w:val="auto"/>
                <w:kern w:val="2"/>
                <w:sz w:val="22"/>
                <w:szCs w:val="22"/>
                <w:highlight w:val="none"/>
                <w:lang w:val="en-US"/>
              </w:rPr>
              <w:t>年</w:t>
            </w:r>
          </w:p>
        </w:tc>
        <w:tc>
          <w:tcPr>
            <w:tcW w:w="114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cs="Times New Roman"/>
                <w:b/>
                <w:bCs/>
                <w:color w:val="auto"/>
                <w:sz w:val="22"/>
                <w:szCs w:val="32"/>
                <w:highlight w:val="none"/>
              </w:rPr>
            </w:pPr>
            <w:r>
              <w:rPr>
                <w:rFonts w:hint="default" w:ascii="Times New Roman" w:hAnsi="Times New Roman" w:eastAsia="仿宋_GB2312" w:cs="Times New Roman"/>
                <w:b/>
                <w:bCs/>
                <w:color w:val="auto"/>
                <w:kern w:val="2"/>
                <w:sz w:val="22"/>
                <w:szCs w:val="22"/>
                <w:highlight w:val="none"/>
                <w:lang w:val="en-US"/>
              </w:rPr>
              <w:t>201</w:t>
            </w:r>
            <w:r>
              <w:rPr>
                <w:rFonts w:hint="default" w:ascii="Times New Roman" w:hAnsi="Times New Roman" w:eastAsia="仿宋_GB2312" w:cs="Times New Roman"/>
                <w:b/>
                <w:bCs/>
                <w:color w:val="auto"/>
                <w:kern w:val="2"/>
                <w:sz w:val="22"/>
                <w:szCs w:val="22"/>
                <w:highlight w:val="none"/>
                <w:lang w:val="en-US" w:eastAsia="zh-CN"/>
              </w:rPr>
              <w:t>9</w:t>
            </w:r>
            <w:r>
              <w:rPr>
                <w:rFonts w:hint="default" w:ascii="Times New Roman" w:hAnsi="Times New Roman" w:eastAsia="仿宋_GB2312" w:cs="Times New Roman"/>
                <w:b/>
                <w:bCs/>
                <w:color w:val="auto"/>
                <w:kern w:val="2"/>
                <w:sz w:val="22"/>
                <w:szCs w:val="22"/>
                <w:highlight w:val="none"/>
                <w:lang w:val="en-US"/>
              </w:rPr>
              <w:t>年</w:t>
            </w:r>
          </w:p>
        </w:tc>
        <w:tc>
          <w:tcPr>
            <w:tcW w:w="11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cs="Times New Roman"/>
                <w:b/>
                <w:bCs/>
                <w:color w:val="auto"/>
                <w:sz w:val="22"/>
                <w:szCs w:val="32"/>
                <w:highlight w:val="none"/>
              </w:rPr>
            </w:pPr>
            <w:r>
              <w:rPr>
                <w:rFonts w:hint="default" w:ascii="Times New Roman" w:hAnsi="Times New Roman" w:eastAsia="仿宋_GB2312" w:cs="Times New Roman"/>
                <w:b/>
                <w:bCs/>
                <w:color w:val="auto"/>
                <w:kern w:val="2"/>
                <w:sz w:val="22"/>
                <w:szCs w:val="22"/>
                <w:highlight w:val="none"/>
                <w:lang w:val="en-US"/>
              </w:rPr>
              <w:t>20</w:t>
            </w:r>
            <w:r>
              <w:rPr>
                <w:rFonts w:hint="default" w:ascii="Times New Roman" w:hAnsi="Times New Roman" w:eastAsia="仿宋_GB2312" w:cs="Times New Roman"/>
                <w:b/>
                <w:bCs/>
                <w:color w:val="auto"/>
                <w:kern w:val="2"/>
                <w:sz w:val="22"/>
                <w:szCs w:val="22"/>
                <w:highlight w:val="none"/>
                <w:lang w:val="en-US" w:eastAsia="zh-CN"/>
              </w:rPr>
              <w:t>20</w:t>
            </w:r>
            <w:r>
              <w:rPr>
                <w:rFonts w:hint="default" w:ascii="Times New Roman" w:hAnsi="Times New Roman" w:eastAsia="仿宋_GB2312" w:cs="Times New Roman"/>
                <w:b/>
                <w:bCs/>
                <w:color w:val="auto"/>
                <w:kern w:val="2"/>
                <w:sz w:val="22"/>
                <w:szCs w:val="22"/>
                <w:highlight w:val="none"/>
                <w:lang w:val="en-US"/>
              </w:rPr>
              <w:t>年</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cs="Times New Roman"/>
                <w:b/>
                <w:bCs/>
                <w:color w:val="auto"/>
                <w:sz w:val="22"/>
                <w:szCs w:val="32"/>
                <w:highlight w:val="none"/>
              </w:rPr>
            </w:pPr>
            <w:r>
              <w:rPr>
                <w:rFonts w:hint="default" w:ascii="Times New Roman" w:hAnsi="Times New Roman" w:eastAsia="仿宋_GB2312" w:cs="Times New Roman"/>
                <w:b/>
                <w:bCs/>
                <w:color w:val="auto"/>
                <w:kern w:val="2"/>
                <w:sz w:val="22"/>
                <w:szCs w:val="22"/>
                <w:highlight w:val="none"/>
                <w:lang w:val="en-US"/>
              </w:rPr>
              <w:t>均值</w:t>
            </w:r>
          </w:p>
        </w:tc>
        <w:tc>
          <w:tcPr>
            <w:tcW w:w="1198" w:type="dxa"/>
            <w:vMerge w:val="continue"/>
            <w:tcBorders>
              <w:left w:val="single" w:color="000000" w:sz="4" w:space="0"/>
              <w:bottom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605" w:hRule="atLeast"/>
        </w:trPr>
        <w:tc>
          <w:tcPr>
            <w:tcW w:w="1607" w:type="dxa"/>
            <w:vMerge w:val="restart"/>
            <w:tcBorders>
              <w:right w:val="single" w:color="000000" w:sz="4" w:space="0"/>
            </w:tcBorders>
            <w:tcMar>
              <w:top w:w="15" w:type="dxa"/>
              <w:left w:w="15" w:type="dxa"/>
              <w:bottom w:w="0"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其他用水户</w:t>
            </w:r>
          </w:p>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（37家）</w:t>
            </w:r>
          </w:p>
        </w:tc>
        <w:tc>
          <w:tcPr>
            <w:tcW w:w="13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工业</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4.54</w:t>
            </w:r>
          </w:p>
        </w:tc>
        <w:tc>
          <w:tcPr>
            <w:tcW w:w="114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9.35</w:t>
            </w:r>
          </w:p>
        </w:tc>
        <w:tc>
          <w:tcPr>
            <w:tcW w:w="11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18.07</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en-US" w:eastAsia="zh-CN" w:bidi="ar-SA"/>
              </w:rPr>
            </w:pPr>
            <w:r>
              <w:rPr>
                <w:rFonts w:hint="default" w:ascii="Times New Roman" w:hAnsi="Times New Roman" w:cs="Times New Roman"/>
                <w:color w:val="auto"/>
                <w:sz w:val="22"/>
                <w:szCs w:val="32"/>
                <w:highlight w:val="none"/>
              </w:rPr>
              <w:t>10.7</w:t>
            </w:r>
            <w:r>
              <w:rPr>
                <w:rFonts w:hint="default" w:ascii="Times New Roman" w:hAnsi="Times New Roman" w:cs="Times New Roman"/>
                <w:color w:val="auto"/>
                <w:sz w:val="22"/>
                <w:szCs w:val="32"/>
                <w:highlight w:val="none"/>
                <w:lang w:val="en-US"/>
              </w:rPr>
              <w:t>0</w:t>
            </w:r>
          </w:p>
        </w:tc>
        <w:tc>
          <w:tcPr>
            <w:tcW w:w="1198" w:type="dxa"/>
            <w:tcBorders>
              <w:top w:val="single" w:color="000000" w:sz="4" w:space="0"/>
              <w:left w:val="single" w:color="000000" w:sz="4" w:space="0"/>
              <w:bottom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605" w:hRule="atLeast"/>
        </w:trPr>
        <w:tc>
          <w:tcPr>
            <w:tcW w:w="1607" w:type="dxa"/>
            <w:vMerge w:val="continue"/>
            <w:tcBorders>
              <w:right w:val="single" w:color="000000" w:sz="4" w:space="0"/>
            </w:tcBorders>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3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生活</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5.79</w:t>
            </w:r>
          </w:p>
        </w:tc>
        <w:tc>
          <w:tcPr>
            <w:tcW w:w="114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10.84</w:t>
            </w:r>
          </w:p>
        </w:tc>
        <w:tc>
          <w:tcPr>
            <w:tcW w:w="11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17.39</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13.07</w:t>
            </w:r>
          </w:p>
        </w:tc>
        <w:tc>
          <w:tcPr>
            <w:tcW w:w="1198" w:type="dxa"/>
            <w:tcBorders>
              <w:top w:val="single" w:color="000000" w:sz="4" w:space="0"/>
              <w:left w:val="single" w:color="000000" w:sz="4" w:space="0"/>
              <w:bottom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616" w:hRule="atLeast"/>
        </w:trPr>
        <w:tc>
          <w:tcPr>
            <w:tcW w:w="1607" w:type="dxa"/>
            <w:vMerge w:val="continue"/>
            <w:tcBorders>
              <w:bottom w:val="single" w:color="000000" w:sz="4" w:space="0"/>
              <w:right w:val="single" w:color="000000" w:sz="4" w:space="0"/>
            </w:tcBorders>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3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小计</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10.33</w:t>
            </w:r>
          </w:p>
        </w:tc>
        <w:tc>
          <w:tcPr>
            <w:tcW w:w="114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20.19</w:t>
            </w:r>
          </w:p>
        </w:tc>
        <w:tc>
          <w:tcPr>
            <w:tcW w:w="11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r>
              <w:rPr>
                <w:rFonts w:hint="default" w:ascii="Times New Roman" w:hAnsi="Times New Roman" w:cs="Times New Roman"/>
                <w:color w:val="auto"/>
                <w:sz w:val="22"/>
                <w:szCs w:val="32"/>
                <w:highlight w:val="none"/>
              </w:rPr>
              <w:t>35.46</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lang w:val="en-US"/>
              </w:rPr>
            </w:pPr>
            <w:r>
              <w:rPr>
                <w:rFonts w:hint="default" w:ascii="Times New Roman" w:hAnsi="Times New Roman" w:cs="Times New Roman"/>
                <w:color w:val="auto"/>
                <w:sz w:val="22"/>
                <w:szCs w:val="32"/>
                <w:highlight w:val="none"/>
              </w:rPr>
              <w:t>22</w:t>
            </w:r>
            <w:r>
              <w:rPr>
                <w:rFonts w:hint="default" w:ascii="Times New Roman" w:hAnsi="Times New Roman" w:cs="Times New Roman"/>
                <w:color w:val="auto"/>
                <w:sz w:val="22"/>
                <w:szCs w:val="32"/>
                <w:highlight w:val="none"/>
                <w:lang w:val="en-US"/>
              </w:rPr>
              <w:t>.00</w:t>
            </w:r>
          </w:p>
        </w:tc>
        <w:tc>
          <w:tcPr>
            <w:tcW w:w="1198" w:type="dxa"/>
            <w:tcBorders>
              <w:top w:val="single" w:color="000000" w:sz="4" w:space="0"/>
              <w:left w:val="single" w:color="000000" w:sz="4" w:space="0"/>
              <w:bottom w:val="single" w:color="000000" w:sz="4" w:space="0"/>
            </w:tcBorders>
            <w:tcMar>
              <w:top w:w="15" w:type="dxa"/>
              <w:left w:w="15" w:type="dxa"/>
              <w:bottom w:w="0" w:type="dxa"/>
              <w:right w:w="15" w:type="dxa"/>
            </w:tcMar>
            <w:vAlign w:val="center"/>
          </w:tcPr>
          <w:p>
            <w:pPr>
              <w:pStyle w:val="24"/>
              <w:rPr>
                <w:rFonts w:hint="default" w:ascii="Times New Roman" w:hAnsi="Times New Roman" w:cs="Times New Roman"/>
                <w:color w:val="auto"/>
                <w:sz w:val="22"/>
                <w:szCs w:val="32"/>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616" w:hRule="atLeast"/>
        </w:trPr>
        <w:tc>
          <w:tcPr>
            <w:tcW w:w="1607" w:type="dxa"/>
            <w:vMerge w:val="restart"/>
            <w:tcBorders>
              <w:top w:val="single" w:color="000000" w:sz="4" w:space="0"/>
              <w:right w:val="single" w:color="000000" w:sz="4" w:space="0"/>
            </w:tcBorders>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合计</w:t>
            </w:r>
          </w:p>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（99家）</w:t>
            </w:r>
          </w:p>
        </w:tc>
        <w:tc>
          <w:tcPr>
            <w:tcW w:w="13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工业</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1553.54</w:t>
            </w:r>
          </w:p>
        </w:tc>
        <w:tc>
          <w:tcPr>
            <w:tcW w:w="114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1624.64</w:t>
            </w:r>
          </w:p>
        </w:tc>
        <w:tc>
          <w:tcPr>
            <w:tcW w:w="11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1812.99</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1663.72</w:t>
            </w:r>
          </w:p>
        </w:tc>
        <w:tc>
          <w:tcPr>
            <w:tcW w:w="1198" w:type="dxa"/>
            <w:tcBorders>
              <w:top w:val="single" w:color="000000" w:sz="4" w:space="0"/>
              <w:left w:val="single" w:color="000000" w:sz="4" w:space="0"/>
              <w:bottom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2640.52</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616" w:hRule="atLeast"/>
        </w:trPr>
        <w:tc>
          <w:tcPr>
            <w:tcW w:w="1607" w:type="dxa"/>
            <w:vMerge w:val="continue"/>
            <w:tcBorders>
              <w:right w:val="single" w:color="000000" w:sz="4" w:space="0"/>
            </w:tcBorders>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3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生活</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96.69</w:t>
            </w:r>
          </w:p>
        </w:tc>
        <w:tc>
          <w:tcPr>
            <w:tcW w:w="114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106.02</w:t>
            </w:r>
          </w:p>
        </w:tc>
        <w:tc>
          <w:tcPr>
            <w:tcW w:w="11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120.12</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107.61</w:t>
            </w:r>
          </w:p>
        </w:tc>
        <w:tc>
          <w:tcPr>
            <w:tcW w:w="1198" w:type="dxa"/>
            <w:tcBorders>
              <w:top w:val="single" w:color="000000" w:sz="4" w:space="0"/>
              <w:left w:val="single" w:color="000000" w:sz="4" w:space="0"/>
              <w:bottom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50.75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616" w:hRule="atLeast"/>
        </w:trPr>
        <w:tc>
          <w:tcPr>
            <w:tcW w:w="1607" w:type="dxa"/>
            <w:vMerge w:val="continue"/>
            <w:tcBorders>
              <w:right w:val="single" w:color="000000" w:sz="4" w:space="0"/>
            </w:tcBorders>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33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绿化</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1337.06</w:t>
            </w:r>
          </w:p>
        </w:tc>
        <w:tc>
          <w:tcPr>
            <w:tcW w:w="1142"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823.64</w:t>
            </w:r>
          </w:p>
        </w:tc>
        <w:tc>
          <w:tcPr>
            <w:tcW w:w="1145"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900.52</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953.74</w:t>
            </w:r>
          </w:p>
        </w:tc>
        <w:tc>
          <w:tcPr>
            <w:tcW w:w="1198" w:type="dxa"/>
            <w:tcBorders>
              <w:top w:val="single" w:color="000000" w:sz="4" w:space="0"/>
              <w:left w:val="single" w:color="000000" w:sz="4" w:space="0"/>
              <w:bottom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en-US" w:eastAsia="zh-CN" w:bidi="ar-SA"/>
              </w:rPr>
            </w:pPr>
            <w:r>
              <w:rPr>
                <w:rFonts w:hint="default" w:ascii="Times New Roman" w:hAnsi="Times New Roman" w:cs="Times New Roman"/>
                <w:color w:val="auto"/>
                <w:sz w:val="22"/>
                <w:szCs w:val="32"/>
                <w:highlight w:val="none"/>
              </w:rPr>
              <w:t>362.4</w:t>
            </w:r>
            <w:r>
              <w:rPr>
                <w:rFonts w:hint="default" w:ascii="Times New Roman" w:hAnsi="Times New Roman" w:cs="Times New Roman"/>
                <w:color w:val="auto"/>
                <w:sz w:val="22"/>
                <w:szCs w:val="32"/>
                <w:highlight w:val="none"/>
                <w:lang w:val="en-US"/>
              </w:rPr>
              <w:t>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616" w:hRule="atLeast"/>
        </w:trPr>
        <w:tc>
          <w:tcPr>
            <w:tcW w:w="1607" w:type="dxa"/>
            <w:vMerge w:val="continue"/>
            <w:tcBorders>
              <w:right w:val="single" w:color="000000" w:sz="4" w:space="0"/>
            </w:tcBorders>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335" w:type="dxa"/>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小计</w:t>
            </w:r>
          </w:p>
        </w:tc>
        <w:tc>
          <w:tcPr>
            <w:tcW w:w="1239" w:type="dxa"/>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2987.28</w:t>
            </w:r>
          </w:p>
        </w:tc>
        <w:tc>
          <w:tcPr>
            <w:tcW w:w="1142" w:type="dxa"/>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en-US" w:eastAsia="zh-CN" w:bidi="ar-SA"/>
              </w:rPr>
            </w:pPr>
            <w:r>
              <w:rPr>
                <w:rFonts w:hint="default" w:ascii="Times New Roman" w:hAnsi="Times New Roman" w:cs="Times New Roman"/>
                <w:color w:val="auto"/>
                <w:sz w:val="22"/>
                <w:szCs w:val="32"/>
                <w:highlight w:val="none"/>
              </w:rPr>
              <w:t>2554.3</w:t>
            </w:r>
            <w:r>
              <w:rPr>
                <w:rFonts w:hint="default" w:ascii="Times New Roman" w:hAnsi="Times New Roman" w:cs="Times New Roman"/>
                <w:color w:val="auto"/>
                <w:sz w:val="22"/>
                <w:szCs w:val="32"/>
                <w:highlight w:val="none"/>
                <w:lang w:val="en-US"/>
              </w:rPr>
              <w:t>0</w:t>
            </w:r>
          </w:p>
        </w:tc>
        <w:tc>
          <w:tcPr>
            <w:tcW w:w="1145" w:type="dxa"/>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2833.64</w:t>
            </w:r>
          </w:p>
        </w:tc>
        <w:tc>
          <w:tcPr>
            <w:tcW w:w="1207" w:type="dxa"/>
            <w:tcBorders>
              <w:top w:val="single" w:color="000000" w:sz="4" w:space="0"/>
              <w:left w:val="single" w:color="000000" w:sz="4" w:space="0"/>
              <w:righ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2725.07</w:t>
            </w:r>
          </w:p>
        </w:tc>
        <w:tc>
          <w:tcPr>
            <w:tcW w:w="1198" w:type="dxa"/>
            <w:tcBorders>
              <w:top w:val="single" w:color="000000" w:sz="4" w:space="0"/>
              <w:left w:val="single" w:color="000000" w:sz="4" w:space="0"/>
            </w:tcBorders>
            <w:tcMar>
              <w:top w:w="15" w:type="dxa"/>
              <w:left w:w="15" w:type="dxa"/>
              <w:bottom w:w="0" w:type="dxa"/>
              <w:right w:w="15" w:type="dxa"/>
            </w:tcMar>
            <w:vAlign w:val="center"/>
          </w:tcPr>
          <w:p>
            <w:pPr>
              <w:pStyle w:val="24"/>
              <w:ind w:left="0" w:leftChars="0" w:firstLine="0" w:firstLineChars="0"/>
              <w:rPr>
                <w:rFonts w:hint="default" w:ascii="Times New Roman" w:hAnsi="Times New Roman" w:eastAsia="宋体" w:cs="Times New Roman"/>
                <w:color w:val="auto"/>
                <w:kern w:val="28"/>
                <w:sz w:val="22"/>
                <w:szCs w:val="32"/>
                <w:highlight w:val="none"/>
                <w:lang w:val="zh-CN" w:eastAsia="zh-CN" w:bidi="ar-SA"/>
              </w:rPr>
            </w:pPr>
            <w:r>
              <w:rPr>
                <w:rFonts w:hint="default" w:ascii="Times New Roman" w:hAnsi="Times New Roman" w:cs="Times New Roman"/>
                <w:color w:val="auto"/>
                <w:sz w:val="22"/>
                <w:szCs w:val="32"/>
                <w:highlight w:val="none"/>
              </w:rPr>
              <w:t>3053.66</w:t>
            </w:r>
          </w:p>
        </w:tc>
      </w:tr>
    </w:tbl>
    <w:p>
      <w:pPr>
        <w:pStyle w:val="7"/>
        <w:spacing w:before="0"/>
        <w:rPr>
          <w:rFonts w:hint="default" w:ascii="Times New Roman" w:hAnsi="Times New Roman" w:eastAsia="仿宋_GB2312" w:cs="Times New Roman"/>
          <w:bCs/>
          <w:color w:val="auto"/>
          <w:kern w:val="2"/>
          <w:highlight w:val="none"/>
        </w:rPr>
      </w:pPr>
      <w:bookmarkStart w:id="249" w:name="_Toc23114"/>
      <w:bookmarkStart w:id="250" w:name="_Toc19625"/>
      <w:bookmarkStart w:id="251" w:name="_Toc9769"/>
      <w:bookmarkStart w:id="252" w:name="_Toc19228"/>
      <w:bookmarkStart w:id="253" w:name="_Toc17465"/>
      <w:bookmarkStart w:id="254" w:name="_Toc206"/>
      <w:bookmarkStart w:id="255" w:name="_Toc30623"/>
      <w:r>
        <w:rPr>
          <w:rFonts w:hint="default" w:ascii="Times New Roman" w:hAnsi="Times New Roman" w:eastAsia="仿宋_GB2312" w:cs="Times New Roman"/>
          <w:bCs/>
          <w:color w:val="auto"/>
          <w:kern w:val="2"/>
          <w:highlight w:val="none"/>
        </w:rPr>
        <w:t>3.4.3农业重点工程</w:t>
      </w:r>
      <w:bookmarkEnd w:id="249"/>
      <w:bookmarkEnd w:id="250"/>
      <w:bookmarkEnd w:id="251"/>
      <w:bookmarkEnd w:id="252"/>
      <w:bookmarkEnd w:id="253"/>
      <w:bookmarkEnd w:id="254"/>
      <w:bookmarkEnd w:id="255"/>
    </w:p>
    <w:p>
      <w:pPr>
        <w:pStyle w:val="8"/>
        <w:rPr>
          <w:rFonts w:hint="default" w:ascii="Times New Roman" w:hAnsi="Times New Roman" w:cs="Times New Roman"/>
          <w:color w:val="auto"/>
          <w:highlight w:val="none"/>
        </w:rPr>
      </w:pPr>
      <w:r>
        <w:rPr>
          <w:rFonts w:hint="default" w:ascii="Times New Roman" w:hAnsi="Times New Roman" w:cs="Times New Roman"/>
          <w:color w:val="auto"/>
          <w:highlight w:val="none"/>
        </w:rPr>
        <w:t>3.4.3.1</w:t>
      </w:r>
      <w:r>
        <w:rPr>
          <w:rFonts w:hint="default" w:ascii="Times New Roman" w:hAnsi="Times New Roman" w:eastAsia="仿宋_GB2312" w:cs="Times New Roman"/>
          <w:color w:val="auto"/>
          <w:szCs w:val="32"/>
          <w:highlight w:val="none"/>
        </w:rPr>
        <w:t>引黄灌区</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沙坡头区灌区有效灌溉面积58.22万亩，包括沙坡头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南北干渠灌域、七星渠自流灌域、固海扬水灌域。沙坡头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南北干渠灌域有效灌溉面积52.38万亩，其中引黄自流灌区控制灌溉面积29.66万亩</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扬黄灌区控制灌溉面积22.72万亩，由沙坡头区灌溉管理所负责管理运行；七星渠自流灌域永康、宣和两镇3.52万亩农田灌溉取用水由七星渠管理处负责供水，固海扬水灌域2.32万亩农田灌溉取用水由固海扬水管理处负责供水。</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南干渠自沙坡头堤坝南侧出水口取水，自西向东流</w:t>
      </w:r>
      <w:r>
        <w:rPr>
          <w:rFonts w:hint="default" w:ascii="Times New Roman" w:hAnsi="Times New Roman" w:eastAsia="仿宋_GB2312" w:cs="Times New Roman"/>
          <w:color w:val="auto"/>
          <w:spacing w:val="-6"/>
          <w:sz w:val="32"/>
          <w:szCs w:val="32"/>
          <w:highlight w:val="none"/>
        </w:rPr>
        <w:t>经常乐、永康、宣和三个乡镇，总长38km，灌溉面积26.01万亩。</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北干渠自沙坡头堤坝北侧出水口取水，自西向东流经迎水桥镇、东园镇、镇罗镇，至镇罗镇刘庄村处入跃进渠，总长47.28km，灌溉面积15.55万亩。于迎水桥镇迎水村段右岸分出美利渠中段支干渠，控制灌溉面积1.21万亩。于美利渠中段迎水桥镇牛滩村段右岸分出美一支干渠，控制灌溉面积1.47万亩；于迎水桥镇夹道村段右岸分出美二支干渠，控制灌溉面积2.95万亩；于迎水桥镇河滩村段右岸分出美三支干渠，控制灌溉面积3.48万亩。</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沙坡头区灌溉管理所负责沙坡头区南、北干渠及支干渠、骨干排水沟道、3个扬水灌溉泵站（碱碱湖扬水站、康乐泵站和角渠泵站）的灌溉管理工作，担负自流灌区9镇89个行政村16.89万亩农田的灌溉管理供水服务。</w:t>
      </w:r>
    </w:p>
    <w:p>
      <w:pPr>
        <w:pStyle w:val="8"/>
        <w:rPr>
          <w:rFonts w:hint="default" w:ascii="Times New Roman" w:hAnsi="Times New Roman" w:eastAsia="仿宋_GB2312" w:cs="Times New Roman"/>
          <w:color w:val="auto"/>
          <w:szCs w:val="32"/>
          <w:highlight w:val="none"/>
        </w:rPr>
      </w:pPr>
      <w:r>
        <w:rPr>
          <w:rFonts w:hint="default" w:ascii="Times New Roman" w:hAnsi="Times New Roman" w:cs="Times New Roman"/>
          <w:color w:val="auto"/>
          <w:highlight w:val="none"/>
        </w:rPr>
        <w:t>3.4.3.2</w:t>
      </w:r>
      <w:r>
        <w:rPr>
          <w:rFonts w:hint="default" w:ascii="Times New Roman" w:hAnsi="Times New Roman" w:eastAsia="仿宋_GB2312" w:cs="Times New Roman"/>
          <w:color w:val="auto"/>
          <w:szCs w:val="32"/>
          <w:highlight w:val="none"/>
        </w:rPr>
        <w:t>南山台子扬水片区</w:t>
      </w:r>
    </w:p>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沙坡头区南山台电灌站管理南山台扬水干渠、六个扬水泵站，下辖11个基层段、站（一护理段、二护理段、三护理段、四护理段、分水闸段，一泵站、二泵站、三泵站、三西泵站、枣林湾补水泵站、刘湾补水泵站）。担负沙坡头区永康、宣和两镇及永大线枣瓜间作高效节水灌溉共20.29万亩供水任务。20</w:t>
      </w:r>
      <w:r>
        <w:rPr>
          <w:rFonts w:hint="default"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rPr>
        <w:t>年用水量为6280.54万m³，未超南山台子扬水用水水权指标6300万m³。</w:t>
      </w:r>
    </w:p>
    <w:p>
      <w:pPr>
        <w:pStyle w:val="8"/>
        <w:rPr>
          <w:rFonts w:hint="default" w:ascii="Times New Roman" w:hAnsi="Times New Roman" w:cs="Times New Roman"/>
          <w:color w:val="auto"/>
          <w:highlight w:val="none"/>
        </w:rPr>
      </w:pPr>
      <w:r>
        <w:rPr>
          <w:rFonts w:hint="default" w:ascii="Times New Roman" w:hAnsi="Times New Roman" w:cs="Times New Roman"/>
          <w:color w:val="auto"/>
          <w:highlight w:val="none"/>
        </w:rPr>
        <w:t>3.4.3.3</w:t>
      </w:r>
      <w:r>
        <w:rPr>
          <w:rFonts w:hint="default" w:ascii="Times New Roman" w:hAnsi="Times New Roman" w:eastAsia="仿宋_GB2312" w:cs="Times New Roman"/>
          <w:color w:val="auto"/>
          <w:szCs w:val="32"/>
          <w:highlight w:val="none"/>
        </w:rPr>
        <w:t>香山兴仁地区</w:t>
      </w:r>
    </w:p>
    <w:bookmarkEnd w:id="241"/>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香山地区是中卫市水资源最匮乏的地区之一，区域生态环境脆弱，自然条件恶劣，资源型缺水、工程型缺水和水质型缺水并存，水资源是制约当地社会经济发展和生态恢复的主要因素。长期以来，该区域主要以旱作农田为主，大多种植</w:t>
      </w:r>
      <w:r>
        <w:rPr>
          <w:rFonts w:hint="eastAsia" w:cs="Times New Roman"/>
          <w:color w:val="auto"/>
          <w:sz w:val="32"/>
          <w:szCs w:val="32"/>
          <w:highlight w:val="none"/>
          <w:lang w:eastAsia="zh-CN"/>
        </w:rPr>
        <w:t>西瓜</w:t>
      </w:r>
      <w:r>
        <w:rPr>
          <w:rFonts w:hint="default" w:ascii="Times New Roman" w:hAnsi="Times New Roman" w:eastAsia="仿宋_GB2312" w:cs="Times New Roman"/>
          <w:color w:val="auto"/>
          <w:sz w:val="32"/>
          <w:szCs w:val="32"/>
          <w:highlight w:val="none"/>
        </w:rPr>
        <w:t>，农民生活、生产条件极为恶劣。</w:t>
      </w:r>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按照</w:t>
      </w:r>
      <w:r>
        <w:rPr>
          <w:rFonts w:hint="default" w:ascii="Times New Roman" w:hAnsi="Times New Roman" w:eastAsia="仿宋_GB2312" w:cs="Times New Roman"/>
          <w:color w:val="auto"/>
          <w:sz w:val="32"/>
          <w:szCs w:val="32"/>
          <w:highlight w:val="none"/>
          <w:lang w:val="en-US" w:eastAsia="zh-CN"/>
        </w:rPr>
        <w:t>原</w:t>
      </w:r>
      <w:r>
        <w:rPr>
          <w:rFonts w:hint="default" w:ascii="Times New Roman" w:hAnsi="Times New Roman" w:eastAsia="仿宋_GB2312" w:cs="Times New Roman"/>
          <w:color w:val="auto"/>
          <w:sz w:val="32"/>
          <w:szCs w:val="32"/>
          <w:highlight w:val="none"/>
        </w:rPr>
        <w:t>中共中卫市委员会办公室中卫市人民政府办公室印发《关于全面打响植绿增绿大会战推动高质量发展的实施方案的通知》（卫党办发﹝202</w:t>
      </w:r>
      <w:r>
        <w:rPr>
          <w:rFonts w:hint="default" w:ascii="Times New Roman" w:hAnsi="Times New Roman"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51号），打造生态修复区，在兴仁、香山、徐套、喊叫水、白马等环香山地区实施退化压砂地有序退出，间种、套种大果沙棘、金银花、钙果等生态功能强。因此，2020年提出中卫市压砂地生态保护暨种植结构调整供水方案，同时，响应了宁夏重点特色产业高质量发展用水保障方案中枸杞产业。</w:t>
      </w:r>
    </w:p>
    <w:p>
      <w:pPr>
        <w:ind w:firstLine="600"/>
        <w:jc w:val="both"/>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方案供水范围为沙坡头区兴仁香山地区</w:t>
      </w:r>
      <w:r>
        <w:rPr>
          <w:rFonts w:hint="default" w:ascii="Times New Roman" w:hAnsi="Times New Roman"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0.5万亩，规划中香山兴仁片区主要保留25万亩</w:t>
      </w:r>
      <w:r>
        <w:rPr>
          <w:rFonts w:hint="eastAsia" w:cs="Times New Roman"/>
          <w:color w:val="auto"/>
          <w:sz w:val="32"/>
          <w:szCs w:val="32"/>
          <w:highlight w:val="none"/>
          <w:lang w:eastAsia="zh-CN"/>
        </w:rPr>
        <w:t>西瓜</w:t>
      </w:r>
      <w:r>
        <w:rPr>
          <w:rFonts w:hint="default" w:ascii="Times New Roman" w:hAnsi="Times New Roman" w:eastAsia="仿宋_GB2312" w:cs="Times New Roman"/>
          <w:color w:val="auto"/>
          <w:sz w:val="32"/>
          <w:szCs w:val="32"/>
          <w:highlight w:val="none"/>
        </w:rPr>
        <w:t>和生态修复调整栽植</w:t>
      </w:r>
      <w:r>
        <w:rPr>
          <w:rFonts w:hint="default" w:ascii="Times New Roman" w:hAnsi="Times New Roman"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rPr>
        <w:t>5.5万亩生态经济林。补灌</w:t>
      </w:r>
      <w:r>
        <w:rPr>
          <w:rFonts w:hint="eastAsia" w:cs="Times New Roman"/>
          <w:color w:val="auto"/>
          <w:sz w:val="32"/>
          <w:szCs w:val="32"/>
          <w:highlight w:val="none"/>
          <w:lang w:eastAsia="zh-CN"/>
        </w:rPr>
        <w:t>西瓜</w:t>
      </w:r>
      <w:r>
        <w:rPr>
          <w:rFonts w:hint="default" w:ascii="Times New Roman" w:hAnsi="Times New Roman" w:eastAsia="仿宋_GB2312" w:cs="Times New Roman"/>
          <w:color w:val="auto"/>
          <w:sz w:val="32"/>
          <w:szCs w:val="32"/>
          <w:highlight w:val="none"/>
        </w:rPr>
        <w:t>25万亩，每亩用水量按30m³/亩计算，需用水量为750万m³；种植金银花10万亩，每亩用水量按60m³/亩计算，需用水量为600万m³；种植大果沙棘2万亩，每亩用水量按60m³/亩计算，需用水量为120万m³；种植欧李2万亩，每亩用水量按40m³/亩计算，需用水量为80万m³；种植文冠果10万亩，每亩用水量按20m³/亩计算，需用水量为200万m³；种植核桃1.5万亩，每亩用水量按60m³/亩计算，需用水量为90万m³</w:t>
      </w:r>
      <w:r>
        <w:rPr>
          <w:rFonts w:hint="default"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种植</w:t>
      </w:r>
      <w:r>
        <w:rPr>
          <w:rFonts w:hint="default" w:ascii="Times New Roman" w:hAnsi="Times New Roman" w:cs="Times New Roman"/>
          <w:color w:val="auto"/>
          <w:sz w:val="32"/>
          <w:szCs w:val="32"/>
          <w:highlight w:val="none"/>
          <w:lang w:eastAsia="zh-CN"/>
        </w:rPr>
        <w:t>枸杞</w:t>
      </w:r>
      <w:r>
        <w:rPr>
          <w:rFonts w:hint="default" w:ascii="Times New Roman" w:hAnsi="Times New Roman"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万亩，每亩用水量按</w:t>
      </w:r>
      <w:r>
        <w:rPr>
          <w:rFonts w:hint="default" w:ascii="Times New Roman" w:hAnsi="Times New Roman" w:cs="Times New Roman"/>
          <w:color w:val="auto"/>
          <w:sz w:val="32"/>
          <w:szCs w:val="32"/>
          <w:highlight w:val="none"/>
          <w:lang w:val="en-US" w:eastAsia="zh-CN"/>
        </w:rPr>
        <w:t>23</w:t>
      </w:r>
      <w:r>
        <w:rPr>
          <w:rFonts w:hint="default" w:ascii="Times New Roman" w:hAnsi="Times New Roman" w:eastAsia="仿宋_GB2312" w:cs="Times New Roman"/>
          <w:color w:val="auto"/>
          <w:sz w:val="32"/>
          <w:szCs w:val="32"/>
          <w:highlight w:val="none"/>
        </w:rPr>
        <w:t>0m³/亩计算，需用水量为</w:t>
      </w:r>
      <w:r>
        <w:rPr>
          <w:rFonts w:hint="default" w:ascii="Times New Roman" w:hAnsi="Times New Roman" w:cs="Times New Roman"/>
          <w:color w:val="auto"/>
          <w:sz w:val="32"/>
          <w:szCs w:val="32"/>
          <w:highlight w:val="none"/>
          <w:lang w:val="en-US" w:eastAsia="zh-CN"/>
        </w:rPr>
        <w:t>230</w:t>
      </w:r>
      <w:r>
        <w:rPr>
          <w:rFonts w:hint="default" w:ascii="Times New Roman" w:hAnsi="Times New Roman" w:eastAsia="仿宋_GB2312" w:cs="Times New Roman"/>
          <w:color w:val="auto"/>
          <w:sz w:val="32"/>
          <w:szCs w:val="32"/>
          <w:highlight w:val="none"/>
        </w:rPr>
        <w:t>0万m³，合计灌溉需水量4140万m³。</w:t>
      </w:r>
      <w:r>
        <w:rPr>
          <w:rFonts w:hint="default" w:ascii="Times New Roman" w:hAnsi="Times New Roman" w:cs="Times New Roman"/>
          <w:color w:val="auto"/>
          <w:sz w:val="32"/>
          <w:szCs w:val="32"/>
          <w:highlight w:val="none"/>
          <w:lang w:eastAsia="zh-CN"/>
        </w:rPr>
        <w:t>中卫市压砂地生态保护暨种植结构调整供水方案，详见表</w:t>
      </w:r>
      <w:r>
        <w:rPr>
          <w:rFonts w:hint="default" w:ascii="Times New Roman" w:hAnsi="Times New Roman" w:cs="Times New Roman"/>
          <w:color w:val="auto"/>
          <w:sz w:val="32"/>
          <w:szCs w:val="32"/>
          <w:highlight w:val="none"/>
          <w:lang w:val="en-US" w:eastAsia="zh-CN"/>
        </w:rPr>
        <w:t>3.4-2所示。</w:t>
      </w:r>
    </w:p>
    <w:p>
      <w:pPr>
        <w:pStyle w:val="22"/>
        <w:jc w:val="center"/>
        <w:rPr>
          <w:rFonts w:hint="default" w:ascii="Times New Roman" w:hAnsi="Times New Roman" w:eastAsia="仿宋_GB2312" w:cs="Times New Roman"/>
          <w:bCs/>
          <w:color w:val="auto"/>
          <w:szCs w:val="24"/>
          <w:highlight w:val="none"/>
          <w:lang w:eastAsia="zh-CN"/>
        </w:rPr>
      </w:pPr>
      <w:r>
        <w:rPr>
          <w:rFonts w:hint="default" w:ascii="Times New Roman" w:hAnsi="Times New Roman" w:eastAsia="方正小标宋_GBK" w:cs="Times New Roman"/>
          <w:b w:val="0"/>
          <w:bCs w:val="0"/>
          <w:color w:val="auto"/>
          <w:sz w:val="32"/>
          <w:szCs w:val="32"/>
          <w:highlight w:val="none"/>
        </w:rPr>
        <w:t>表3.4-2</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中卫市压砂地生态保护暨种植结构调整供水方案</w:t>
      </w:r>
    </w:p>
    <w:tbl>
      <w:tblPr>
        <w:tblStyle w:val="17"/>
        <w:tblW w:w="90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318"/>
        <w:gridCol w:w="1852"/>
        <w:gridCol w:w="1939"/>
        <w:gridCol w:w="1628"/>
        <w:gridCol w:w="12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jc w:val="center"/>
        </w:trPr>
        <w:tc>
          <w:tcPr>
            <w:tcW w:w="1118" w:type="dxa"/>
            <w:vAlign w:val="center"/>
          </w:tcPr>
          <w:p>
            <w:pPr>
              <w:pStyle w:val="24"/>
              <w:spacing w:after="0"/>
              <w:rPr>
                <w:rFonts w:hint="default" w:ascii="Times New Roman" w:hAnsi="Times New Roman" w:eastAsia="仿宋" w:cs="Times New Roman"/>
                <w:b/>
                <w:bCs/>
                <w:color w:val="auto"/>
                <w:sz w:val="22"/>
                <w:szCs w:val="32"/>
                <w:highlight w:val="none"/>
                <w:lang w:val="en-US"/>
              </w:rPr>
            </w:pPr>
            <w:r>
              <w:rPr>
                <w:rFonts w:hint="default" w:ascii="Times New Roman" w:hAnsi="Times New Roman" w:eastAsia="仿宋_GB2312" w:cs="Times New Roman"/>
                <w:b/>
                <w:bCs/>
                <w:color w:val="auto"/>
                <w:kern w:val="2"/>
                <w:sz w:val="22"/>
                <w:szCs w:val="22"/>
                <w:highlight w:val="none"/>
                <w:lang w:val="en-US"/>
              </w:rPr>
              <w:t>县区</w:t>
            </w:r>
          </w:p>
        </w:tc>
        <w:tc>
          <w:tcPr>
            <w:tcW w:w="1318" w:type="dxa"/>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种植作物</w:t>
            </w:r>
          </w:p>
        </w:tc>
        <w:tc>
          <w:tcPr>
            <w:tcW w:w="1852" w:type="dxa"/>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灌溉面积（万亩）</w:t>
            </w:r>
          </w:p>
        </w:tc>
        <w:tc>
          <w:tcPr>
            <w:tcW w:w="1939" w:type="dxa"/>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灌溉定额</w:t>
            </w:r>
          </w:p>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（m³/亩）</w:t>
            </w:r>
          </w:p>
        </w:tc>
        <w:tc>
          <w:tcPr>
            <w:tcW w:w="1628" w:type="dxa"/>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用水量</w:t>
            </w:r>
          </w:p>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（万m³）</w:t>
            </w:r>
          </w:p>
        </w:tc>
        <w:tc>
          <w:tcPr>
            <w:tcW w:w="1202" w:type="dxa"/>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18" w:type="dxa"/>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沙坡头区</w:t>
            </w:r>
          </w:p>
        </w:tc>
        <w:tc>
          <w:tcPr>
            <w:tcW w:w="1318" w:type="dxa"/>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硒砂瓜</w:t>
            </w:r>
          </w:p>
        </w:tc>
        <w:tc>
          <w:tcPr>
            <w:tcW w:w="1852"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25</w:t>
            </w:r>
          </w:p>
        </w:tc>
        <w:tc>
          <w:tcPr>
            <w:tcW w:w="1939"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30</w:t>
            </w:r>
          </w:p>
        </w:tc>
        <w:tc>
          <w:tcPr>
            <w:tcW w:w="1628"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750</w:t>
            </w:r>
          </w:p>
        </w:tc>
        <w:tc>
          <w:tcPr>
            <w:tcW w:w="1202" w:type="dxa"/>
            <w:vAlign w:val="center"/>
          </w:tcPr>
          <w:p>
            <w:pPr>
              <w:pStyle w:val="24"/>
              <w:spacing w:after="0"/>
              <w:rPr>
                <w:rFonts w:hint="default" w:ascii="Times New Roman" w:hAnsi="Times New Roman" w:eastAsia="仿宋" w:cs="Times New Roman"/>
                <w:color w:val="auto"/>
                <w:sz w:val="22"/>
                <w:szCs w:val="32"/>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1118" w:type="dxa"/>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沙坡头区</w:t>
            </w:r>
          </w:p>
        </w:tc>
        <w:tc>
          <w:tcPr>
            <w:tcW w:w="1318" w:type="dxa"/>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金银花</w:t>
            </w:r>
          </w:p>
        </w:tc>
        <w:tc>
          <w:tcPr>
            <w:tcW w:w="1852"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10</w:t>
            </w:r>
          </w:p>
        </w:tc>
        <w:tc>
          <w:tcPr>
            <w:tcW w:w="1939"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60</w:t>
            </w:r>
          </w:p>
        </w:tc>
        <w:tc>
          <w:tcPr>
            <w:tcW w:w="1628"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600</w:t>
            </w:r>
          </w:p>
        </w:tc>
        <w:tc>
          <w:tcPr>
            <w:tcW w:w="1202" w:type="dxa"/>
            <w:vAlign w:val="center"/>
          </w:tcPr>
          <w:p>
            <w:pPr>
              <w:pStyle w:val="24"/>
              <w:spacing w:after="0"/>
              <w:rPr>
                <w:rFonts w:hint="default" w:ascii="Times New Roman" w:hAnsi="Times New Roman" w:eastAsia="仿宋" w:cs="Times New Roman"/>
                <w:color w:val="auto"/>
                <w:sz w:val="22"/>
                <w:szCs w:val="32"/>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18" w:type="dxa"/>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沙坡头区</w:t>
            </w:r>
          </w:p>
        </w:tc>
        <w:tc>
          <w:tcPr>
            <w:tcW w:w="1318" w:type="dxa"/>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大果沙棘</w:t>
            </w:r>
          </w:p>
        </w:tc>
        <w:tc>
          <w:tcPr>
            <w:tcW w:w="1852"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2</w:t>
            </w:r>
          </w:p>
        </w:tc>
        <w:tc>
          <w:tcPr>
            <w:tcW w:w="1939"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60</w:t>
            </w:r>
          </w:p>
        </w:tc>
        <w:tc>
          <w:tcPr>
            <w:tcW w:w="1628"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120</w:t>
            </w:r>
          </w:p>
        </w:tc>
        <w:tc>
          <w:tcPr>
            <w:tcW w:w="1202" w:type="dxa"/>
            <w:vAlign w:val="center"/>
          </w:tcPr>
          <w:p>
            <w:pPr>
              <w:pStyle w:val="24"/>
              <w:spacing w:after="0"/>
              <w:rPr>
                <w:rFonts w:hint="default" w:ascii="Times New Roman" w:hAnsi="Times New Roman" w:eastAsia="仿宋" w:cs="Times New Roman"/>
                <w:color w:val="auto"/>
                <w:sz w:val="22"/>
                <w:szCs w:val="32"/>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18" w:type="dxa"/>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沙坡头区</w:t>
            </w:r>
          </w:p>
        </w:tc>
        <w:tc>
          <w:tcPr>
            <w:tcW w:w="1318" w:type="dxa"/>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欧李</w:t>
            </w:r>
          </w:p>
        </w:tc>
        <w:tc>
          <w:tcPr>
            <w:tcW w:w="1852"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2</w:t>
            </w:r>
          </w:p>
        </w:tc>
        <w:tc>
          <w:tcPr>
            <w:tcW w:w="1939"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40</w:t>
            </w:r>
          </w:p>
        </w:tc>
        <w:tc>
          <w:tcPr>
            <w:tcW w:w="1628"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80</w:t>
            </w:r>
          </w:p>
        </w:tc>
        <w:tc>
          <w:tcPr>
            <w:tcW w:w="1202" w:type="dxa"/>
            <w:vAlign w:val="center"/>
          </w:tcPr>
          <w:p>
            <w:pPr>
              <w:pStyle w:val="24"/>
              <w:spacing w:after="0"/>
              <w:rPr>
                <w:rFonts w:hint="default" w:ascii="Times New Roman" w:hAnsi="Times New Roman" w:eastAsia="仿宋" w:cs="Times New Roman"/>
                <w:color w:val="auto"/>
                <w:sz w:val="22"/>
                <w:szCs w:val="32"/>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18" w:type="dxa"/>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沙坡头区</w:t>
            </w:r>
          </w:p>
        </w:tc>
        <w:tc>
          <w:tcPr>
            <w:tcW w:w="1318" w:type="dxa"/>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文冠果</w:t>
            </w:r>
          </w:p>
        </w:tc>
        <w:tc>
          <w:tcPr>
            <w:tcW w:w="1852"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10</w:t>
            </w:r>
          </w:p>
        </w:tc>
        <w:tc>
          <w:tcPr>
            <w:tcW w:w="1939"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20</w:t>
            </w:r>
          </w:p>
        </w:tc>
        <w:tc>
          <w:tcPr>
            <w:tcW w:w="1628"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200</w:t>
            </w:r>
          </w:p>
        </w:tc>
        <w:tc>
          <w:tcPr>
            <w:tcW w:w="1202" w:type="dxa"/>
            <w:vAlign w:val="center"/>
          </w:tcPr>
          <w:p>
            <w:pPr>
              <w:pStyle w:val="24"/>
              <w:spacing w:after="0"/>
              <w:rPr>
                <w:rFonts w:hint="default" w:ascii="Times New Roman" w:hAnsi="Times New Roman" w:eastAsia="仿宋" w:cs="Times New Roman"/>
                <w:color w:val="auto"/>
                <w:sz w:val="22"/>
                <w:szCs w:val="32"/>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18" w:type="dxa"/>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沙坡头区</w:t>
            </w:r>
          </w:p>
        </w:tc>
        <w:tc>
          <w:tcPr>
            <w:tcW w:w="1318" w:type="dxa"/>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核桃</w:t>
            </w:r>
          </w:p>
        </w:tc>
        <w:tc>
          <w:tcPr>
            <w:tcW w:w="1852"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1.5</w:t>
            </w:r>
          </w:p>
        </w:tc>
        <w:tc>
          <w:tcPr>
            <w:tcW w:w="1939"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60</w:t>
            </w:r>
          </w:p>
        </w:tc>
        <w:tc>
          <w:tcPr>
            <w:tcW w:w="1628"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90</w:t>
            </w:r>
          </w:p>
        </w:tc>
        <w:tc>
          <w:tcPr>
            <w:tcW w:w="1202" w:type="dxa"/>
            <w:vAlign w:val="center"/>
          </w:tcPr>
          <w:p>
            <w:pPr>
              <w:pStyle w:val="24"/>
              <w:spacing w:after="0"/>
              <w:rPr>
                <w:rFonts w:hint="default" w:ascii="Times New Roman" w:hAnsi="Times New Roman" w:eastAsia="仿宋" w:cs="Times New Roman"/>
                <w:color w:val="auto"/>
                <w:sz w:val="22"/>
                <w:szCs w:val="32"/>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1118" w:type="dxa"/>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沙坡头区</w:t>
            </w:r>
          </w:p>
        </w:tc>
        <w:tc>
          <w:tcPr>
            <w:tcW w:w="1318" w:type="dxa"/>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枸杞</w:t>
            </w:r>
          </w:p>
        </w:tc>
        <w:tc>
          <w:tcPr>
            <w:tcW w:w="1852"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10</w:t>
            </w:r>
          </w:p>
        </w:tc>
        <w:tc>
          <w:tcPr>
            <w:tcW w:w="1939"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230</w:t>
            </w:r>
          </w:p>
        </w:tc>
        <w:tc>
          <w:tcPr>
            <w:tcW w:w="1628"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2300</w:t>
            </w:r>
          </w:p>
        </w:tc>
        <w:tc>
          <w:tcPr>
            <w:tcW w:w="1202" w:type="dxa"/>
            <w:vAlign w:val="center"/>
          </w:tcPr>
          <w:p>
            <w:pPr>
              <w:pStyle w:val="24"/>
              <w:spacing w:after="0"/>
              <w:rPr>
                <w:rFonts w:hint="default" w:ascii="Times New Roman" w:hAnsi="Times New Roman" w:eastAsia="仿宋" w:cs="Times New Roman"/>
                <w:color w:val="auto"/>
                <w:sz w:val="22"/>
                <w:szCs w:val="32"/>
                <w:highlight w:val="none"/>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2436" w:type="dxa"/>
            <w:gridSpan w:val="2"/>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小计</w:t>
            </w:r>
          </w:p>
        </w:tc>
        <w:tc>
          <w:tcPr>
            <w:tcW w:w="1852"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60.5</w:t>
            </w:r>
          </w:p>
        </w:tc>
        <w:tc>
          <w:tcPr>
            <w:tcW w:w="1939" w:type="dxa"/>
            <w:vAlign w:val="center"/>
          </w:tcPr>
          <w:p>
            <w:pPr>
              <w:pStyle w:val="24"/>
              <w:spacing w:after="0"/>
              <w:rPr>
                <w:rFonts w:hint="default" w:ascii="Times New Roman" w:hAnsi="Times New Roman" w:eastAsia="仿宋" w:cs="Times New Roman"/>
                <w:color w:val="auto"/>
                <w:sz w:val="22"/>
                <w:szCs w:val="32"/>
                <w:highlight w:val="none"/>
                <w:lang w:val="en-US"/>
              </w:rPr>
            </w:pPr>
          </w:p>
        </w:tc>
        <w:tc>
          <w:tcPr>
            <w:tcW w:w="1628"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4140</w:t>
            </w:r>
          </w:p>
        </w:tc>
        <w:tc>
          <w:tcPr>
            <w:tcW w:w="1202" w:type="dxa"/>
            <w:vAlign w:val="center"/>
          </w:tcPr>
          <w:p>
            <w:pPr>
              <w:pStyle w:val="24"/>
              <w:spacing w:after="0"/>
              <w:rPr>
                <w:rFonts w:hint="default" w:ascii="Times New Roman" w:hAnsi="Times New Roman" w:eastAsia="仿宋" w:cs="Times New Roman"/>
                <w:color w:val="auto"/>
                <w:sz w:val="22"/>
                <w:szCs w:val="32"/>
                <w:highlight w:val="none"/>
                <w:lang w:val="en-US"/>
              </w:rPr>
            </w:pP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600"/>
        <w:jc w:val="left"/>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项目主要利用已有工程，当地地下水、兴仁高效节水补灌工程和峡门供水工程。</w:t>
      </w:r>
    </w:p>
    <w:p>
      <w:pPr>
        <w:keepNext w:val="0"/>
        <w:keepLines w:val="0"/>
        <w:pageBreakBefore w:val="0"/>
        <w:widowControl w:val="0"/>
        <w:kinsoku/>
        <w:wordWrap/>
        <w:overflowPunct/>
        <w:topLinePunct w:val="0"/>
        <w:autoSpaceDE/>
        <w:autoSpaceDN/>
        <w:bidi w:val="0"/>
        <w:adjustRightInd w:val="0"/>
        <w:snapToGrid w:val="0"/>
        <w:spacing w:line="500" w:lineRule="exact"/>
        <w:ind w:firstLine="600" w:firstLineChars="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根据现场调研，</w:t>
      </w:r>
      <w:r>
        <w:rPr>
          <w:rFonts w:hint="default" w:ascii="Times New Roman" w:hAnsi="Times New Roman" w:eastAsia="仿宋_GB2312" w:cs="Times New Roman"/>
          <w:color w:val="auto"/>
          <w:sz w:val="32"/>
          <w:szCs w:val="32"/>
          <w:highlight w:val="none"/>
          <w:lang w:eastAsia="zh-CN"/>
        </w:rPr>
        <w:t>2</w:t>
      </w:r>
      <w:r>
        <w:rPr>
          <w:rFonts w:hint="default" w:ascii="Times New Roman" w:hAnsi="Times New Roman" w:eastAsia="仿宋_GB2312" w:cs="Times New Roman"/>
          <w:color w:val="auto"/>
          <w:sz w:val="32"/>
          <w:szCs w:val="32"/>
          <w:highlight w:val="none"/>
          <w:lang w:val="en-US" w:eastAsia="zh-CN"/>
        </w:rPr>
        <w:t>020年</w:t>
      </w:r>
      <w:r>
        <w:rPr>
          <w:rFonts w:hint="default" w:ascii="Times New Roman" w:hAnsi="Times New Roman" w:eastAsia="仿宋_GB2312" w:cs="Times New Roman"/>
          <w:color w:val="auto"/>
          <w:sz w:val="32"/>
          <w:szCs w:val="32"/>
          <w:highlight w:val="none"/>
        </w:rPr>
        <w:t>年底，两乡镇共有机井522眼，其中兴仁镇194眼、香山乡328眼。现状20</w:t>
      </w:r>
      <w:r>
        <w:rPr>
          <w:rFonts w:hint="default" w:ascii="Times New Roman" w:hAnsi="Times New Roman" w:eastAsia="仿宋_GB2312" w:cs="Times New Roman"/>
          <w:color w:val="auto"/>
          <w:sz w:val="32"/>
          <w:szCs w:val="32"/>
          <w:highlight w:val="none"/>
          <w:lang w:eastAsia="zh-CN"/>
        </w:rPr>
        <w:t>2</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年香山乡、兴仁镇地下水取水工程供水总量为1591.34万m³，黄河水757.83万m³，共计2349.17万m³。近三年实际用水量</w:t>
      </w:r>
      <w:r>
        <w:rPr>
          <w:rFonts w:hint="default"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详见表3.4-3</w:t>
      </w:r>
      <w:r>
        <w:rPr>
          <w:rFonts w:hint="default" w:ascii="Times New Roman" w:hAnsi="Times New Roman" w:cs="Times New Roman"/>
          <w:color w:val="auto"/>
          <w:sz w:val="32"/>
          <w:szCs w:val="32"/>
          <w:highlight w:val="none"/>
          <w:lang w:eastAsia="zh-CN"/>
        </w:rPr>
        <w:t>所示</w:t>
      </w:r>
      <w:r>
        <w:rPr>
          <w:rFonts w:hint="default" w:ascii="Times New Roman" w:hAnsi="Times New Roman" w:eastAsia="仿宋_GB2312" w:cs="Times New Roman"/>
          <w:color w:val="auto"/>
          <w:sz w:val="32"/>
          <w:szCs w:val="32"/>
          <w:highlight w:val="none"/>
        </w:rPr>
        <w:t>。</w:t>
      </w:r>
    </w:p>
    <w:p>
      <w:pPr>
        <w:pStyle w:val="22"/>
        <w:jc w:val="center"/>
        <w:rPr>
          <w:rFonts w:hint="default" w:ascii="Times New Roman" w:hAnsi="Times New Roman" w:eastAsia="仿宋_GB2312" w:cs="Times New Roman"/>
          <w:color w:val="auto"/>
          <w:szCs w:val="24"/>
          <w:highlight w:val="none"/>
          <w:lang w:val="en-US" w:eastAsia="zh-CN"/>
        </w:rPr>
      </w:pPr>
      <w:r>
        <w:rPr>
          <w:rFonts w:hint="default" w:ascii="Times New Roman" w:hAnsi="Times New Roman" w:eastAsia="方正小标宋_GBK" w:cs="Times New Roman"/>
          <w:b w:val="0"/>
          <w:bCs w:val="0"/>
          <w:color w:val="auto"/>
          <w:sz w:val="32"/>
          <w:szCs w:val="32"/>
          <w:highlight w:val="none"/>
        </w:rPr>
        <w:t>表3.4-3</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香山、兴仁201</w:t>
      </w:r>
      <w:r>
        <w:rPr>
          <w:rFonts w:hint="default" w:ascii="Times New Roman" w:hAnsi="Times New Roman" w:eastAsia="方正小标宋_GBK" w:cs="Times New Roman"/>
          <w:b w:val="0"/>
          <w:bCs w:val="0"/>
          <w:color w:val="auto"/>
          <w:sz w:val="32"/>
          <w:szCs w:val="32"/>
          <w:highlight w:val="none"/>
          <w:lang w:val="en-US" w:eastAsia="zh-CN"/>
        </w:rPr>
        <w:t>8-</w:t>
      </w:r>
      <w:r>
        <w:rPr>
          <w:rFonts w:hint="default" w:ascii="Times New Roman" w:hAnsi="Times New Roman" w:eastAsia="方正小标宋_GBK" w:cs="Times New Roman"/>
          <w:b w:val="0"/>
          <w:bCs w:val="0"/>
          <w:color w:val="auto"/>
          <w:sz w:val="32"/>
          <w:szCs w:val="32"/>
          <w:highlight w:val="none"/>
        </w:rPr>
        <w:t>20</w:t>
      </w:r>
      <w:r>
        <w:rPr>
          <w:rFonts w:hint="default" w:ascii="Times New Roman" w:hAnsi="Times New Roman" w:eastAsia="方正小标宋_GBK" w:cs="Times New Roman"/>
          <w:b w:val="0"/>
          <w:bCs w:val="0"/>
          <w:color w:val="auto"/>
          <w:sz w:val="32"/>
          <w:szCs w:val="32"/>
          <w:highlight w:val="none"/>
          <w:lang w:val="en-US" w:eastAsia="zh-CN"/>
        </w:rPr>
        <w:t>20</w:t>
      </w:r>
      <w:r>
        <w:rPr>
          <w:rFonts w:hint="default" w:ascii="Times New Roman" w:hAnsi="Times New Roman" w:eastAsia="方正小标宋_GBK" w:cs="Times New Roman"/>
          <w:b w:val="0"/>
          <w:bCs w:val="0"/>
          <w:color w:val="auto"/>
          <w:sz w:val="32"/>
          <w:szCs w:val="32"/>
          <w:highlight w:val="none"/>
        </w:rPr>
        <w:t>年供水量统计表</w:t>
      </w:r>
    </w:p>
    <w:p>
      <w:pPr>
        <w:pStyle w:val="22"/>
        <w:ind w:firstLine="7560" w:firstLineChars="3600"/>
        <w:jc w:val="left"/>
        <w:rPr>
          <w:rFonts w:hint="default" w:ascii="Times New Roman" w:hAnsi="Times New Roman" w:eastAsia="仿宋" w:cs="Times New Roman"/>
          <w:color w:val="auto"/>
          <w:highlight w:val="none"/>
        </w:rPr>
      </w:pPr>
      <w:r>
        <w:rPr>
          <w:rFonts w:hint="default" w:ascii="Times New Roman" w:hAnsi="Times New Roman" w:eastAsia="仿宋_GB2312" w:cs="Times New Roman"/>
          <w:b w:val="0"/>
          <w:bCs/>
          <w:color w:val="auto"/>
          <w:sz w:val="21"/>
          <w:szCs w:val="21"/>
          <w:highlight w:val="none"/>
        </w:rPr>
        <w:t>单位：万m³</w:t>
      </w:r>
    </w:p>
    <w:tbl>
      <w:tblPr>
        <w:tblStyle w:val="17"/>
        <w:tblW w:w="887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230"/>
        <w:gridCol w:w="1234"/>
        <w:gridCol w:w="1283"/>
        <w:gridCol w:w="1301"/>
        <w:gridCol w:w="1283"/>
        <w:gridCol w:w="1235"/>
        <w:gridCol w:w="130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7" w:hRule="exact"/>
        </w:trPr>
        <w:tc>
          <w:tcPr>
            <w:tcW w:w="1230" w:type="dxa"/>
            <w:vMerge w:val="restart"/>
            <w:tcMar>
              <w:top w:w="15" w:type="dxa"/>
              <w:left w:w="15" w:type="dxa"/>
              <w:right w:w="15" w:type="dxa"/>
            </w:tcMar>
            <w:vAlign w:val="center"/>
          </w:tcPr>
          <w:p>
            <w:pPr>
              <w:pStyle w:val="24"/>
              <w:rPr>
                <w:rFonts w:hint="default" w:ascii="Times New Roman" w:hAnsi="Times New Roman" w:eastAsia="仿宋" w:cs="Times New Roman"/>
                <w:b/>
                <w:bCs/>
                <w:color w:val="auto"/>
                <w:sz w:val="22"/>
                <w:szCs w:val="32"/>
                <w:highlight w:val="none"/>
              </w:rPr>
            </w:pPr>
            <w:r>
              <w:rPr>
                <w:rFonts w:hint="default" w:ascii="Times New Roman" w:hAnsi="Times New Roman" w:eastAsia="仿宋_GB2312" w:cs="Times New Roman"/>
                <w:b/>
                <w:color w:val="auto"/>
                <w:kern w:val="2"/>
                <w:sz w:val="22"/>
                <w:szCs w:val="22"/>
                <w:highlight w:val="none"/>
                <w:lang w:val="en-US"/>
              </w:rPr>
              <w:t>年份（年）</w:t>
            </w:r>
          </w:p>
        </w:tc>
        <w:tc>
          <w:tcPr>
            <w:tcW w:w="3818" w:type="dxa"/>
            <w:gridSpan w:val="3"/>
            <w:tcMar>
              <w:top w:w="15" w:type="dxa"/>
              <w:left w:w="15" w:type="dxa"/>
              <w:right w:w="15" w:type="dxa"/>
            </w:tcMar>
            <w:vAlign w:val="center"/>
          </w:tcPr>
          <w:p>
            <w:pPr>
              <w:pStyle w:val="24"/>
              <w:rPr>
                <w:rFonts w:hint="default" w:ascii="Times New Roman" w:hAnsi="Times New Roman" w:eastAsia="仿宋_GB2312" w:cs="Times New Roman"/>
                <w:b/>
                <w:color w:val="auto"/>
                <w:kern w:val="2"/>
                <w:sz w:val="22"/>
                <w:szCs w:val="22"/>
                <w:highlight w:val="none"/>
                <w:lang w:val="en-US"/>
              </w:rPr>
            </w:pPr>
            <w:r>
              <w:rPr>
                <w:rFonts w:hint="default" w:ascii="Times New Roman" w:hAnsi="Times New Roman" w:eastAsia="仿宋_GB2312" w:cs="Times New Roman"/>
                <w:b/>
                <w:color w:val="auto"/>
                <w:kern w:val="2"/>
                <w:sz w:val="22"/>
                <w:szCs w:val="22"/>
                <w:highlight w:val="none"/>
                <w:lang w:val="en-US"/>
              </w:rPr>
              <w:t>按供水水源划分</w:t>
            </w:r>
          </w:p>
        </w:tc>
        <w:tc>
          <w:tcPr>
            <w:tcW w:w="3823" w:type="dxa"/>
            <w:gridSpan w:val="3"/>
            <w:tcMar>
              <w:top w:w="15" w:type="dxa"/>
              <w:left w:w="15" w:type="dxa"/>
              <w:right w:w="15" w:type="dxa"/>
            </w:tcMar>
            <w:vAlign w:val="center"/>
          </w:tcPr>
          <w:p>
            <w:pPr>
              <w:pStyle w:val="24"/>
              <w:rPr>
                <w:rFonts w:hint="default" w:ascii="Times New Roman" w:hAnsi="Times New Roman" w:eastAsia="仿宋_GB2312" w:cs="Times New Roman"/>
                <w:b/>
                <w:color w:val="auto"/>
                <w:kern w:val="2"/>
                <w:sz w:val="22"/>
                <w:szCs w:val="22"/>
                <w:highlight w:val="none"/>
                <w:lang w:val="en-US"/>
              </w:rPr>
            </w:pPr>
            <w:r>
              <w:rPr>
                <w:rFonts w:hint="default" w:ascii="Times New Roman" w:hAnsi="Times New Roman" w:eastAsia="仿宋_GB2312" w:cs="Times New Roman"/>
                <w:b/>
                <w:color w:val="auto"/>
                <w:kern w:val="2"/>
                <w:sz w:val="22"/>
                <w:szCs w:val="22"/>
                <w:highlight w:val="none"/>
                <w:lang w:val="en-US"/>
              </w:rPr>
              <w:t>按供水类型划分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7" w:hRule="exact"/>
        </w:trPr>
        <w:tc>
          <w:tcPr>
            <w:tcW w:w="1230" w:type="dxa"/>
            <w:vMerge w:val="continue"/>
            <w:tcMar>
              <w:top w:w="15" w:type="dxa"/>
              <w:left w:w="15" w:type="dxa"/>
              <w:right w:w="15" w:type="dxa"/>
            </w:tcMar>
            <w:vAlign w:val="center"/>
          </w:tcPr>
          <w:p>
            <w:pPr>
              <w:pStyle w:val="24"/>
              <w:rPr>
                <w:rFonts w:hint="default" w:ascii="Times New Roman" w:hAnsi="Times New Roman" w:eastAsia="仿宋" w:cs="Times New Roman"/>
                <w:b/>
                <w:bCs/>
                <w:color w:val="auto"/>
                <w:sz w:val="22"/>
                <w:szCs w:val="32"/>
                <w:highlight w:val="none"/>
              </w:rPr>
            </w:pPr>
          </w:p>
        </w:tc>
        <w:tc>
          <w:tcPr>
            <w:tcW w:w="1234" w:type="dxa"/>
            <w:tcMar>
              <w:top w:w="15" w:type="dxa"/>
              <w:left w:w="15" w:type="dxa"/>
              <w:right w:w="15" w:type="dxa"/>
            </w:tcMar>
            <w:vAlign w:val="center"/>
          </w:tcPr>
          <w:p>
            <w:pPr>
              <w:pStyle w:val="24"/>
              <w:rPr>
                <w:rFonts w:hint="default" w:ascii="Times New Roman" w:hAnsi="Times New Roman" w:eastAsia="仿宋_GB2312" w:cs="Times New Roman"/>
                <w:b/>
                <w:color w:val="auto"/>
                <w:kern w:val="2"/>
                <w:sz w:val="22"/>
                <w:szCs w:val="22"/>
                <w:highlight w:val="none"/>
                <w:lang w:val="en-US"/>
              </w:rPr>
            </w:pPr>
            <w:r>
              <w:rPr>
                <w:rFonts w:hint="default" w:ascii="Times New Roman" w:hAnsi="Times New Roman" w:eastAsia="仿宋_GB2312" w:cs="Times New Roman"/>
                <w:b/>
                <w:color w:val="auto"/>
                <w:kern w:val="2"/>
                <w:sz w:val="22"/>
                <w:szCs w:val="22"/>
                <w:highlight w:val="none"/>
                <w:lang w:val="en-US"/>
              </w:rPr>
              <w:t>黄河水</w:t>
            </w:r>
          </w:p>
        </w:tc>
        <w:tc>
          <w:tcPr>
            <w:tcW w:w="1283" w:type="dxa"/>
            <w:tcMar>
              <w:top w:w="15" w:type="dxa"/>
              <w:left w:w="15" w:type="dxa"/>
              <w:right w:w="15" w:type="dxa"/>
            </w:tcMar>
            <w:vAlign w:val="center"/>
          </w:tcPr>
          <w:p>
            <w:pPr>
              <w:pStyle w:val="24"/>
              <w:rPr>
                <w:rFonts w:hint="default" w:ascii="Times New Roman" w:hAnsi="Times New Roman" w:eastAsia="仿宋_GB2312" w:cs="Times New Roman"/>
                <w:b/>
                <w:color w:val="auto"/>
                <w:kern w:val="2"/>
                <w:sz w:val="22"/>
                <w:szCs w:val="22"/>
                <w:highlight w:val="none"/>
                <w:lang w:val="en-US"/>
              </w:rPr>
            </w:pPr>
            <w:r>
              <w:rPr>
                <w:rFonts w:hint="default" w:ascii="Times New Roman" w:hAnsi="Times New Roman" w:eastAsia="仿宋_GB2312" w:cs="Times New Roman"/>
                <w:b/>
                <w:color w:val="auto"/>
                <w:kern w:val="2"/>
                <w:sz w:val="22"/>
                <w:szCs w:val="22"/>
                <w:highlight w:val="none"/>
                <w:lang w:val="en-US"/>
              </w:rPr>
              <w:t>地下水</w:t>
            </w:r>
          </w:p>
        </w:tc>
        <w:tc>
          <w:tcPr>
            <w:tcW w:w="1301" w:type="dxa"/>
            <w:tcMar>
              <w:top w:w="15" w:type="dxa"/>
              <w:left w:w="15" w:type="dxa"/>
              <w:right w:w="15" w:type="dxa"/>
            </w:tcMar>
            <w:vAlign w:val="center"/>
          </w:tcPr>
          <w:p>
            <w:pPr>
              <w:pStyle w:val="24"/>
              <w:rPr>
                <w:rFonts w:hint="default" w:ascii="Times New Roman" w:hAnsi="Times New Roman" w:eastAsia="仿宋_GB2312" w:cs="Times New Roman"/>
                <w:b/>
                <w:color w:val="auto"/>
                <w:kern w:val="2"/>
                <w:sz w:val="22"/>
                <w:szCs w:val="22"/>
                <w:highlight w:val="none"/>
                <w:lang w:val="en-US"/>
              </w:rPr>
            </w:pPr>
            <w:r>
              <w:rPr>
                <w:rFonts w:hint="default" w:ascii="Times New Roman" w:hAnsi="Times New Roman" w:eastAsia="仿宋_GB2312" w:cs="Times New Roman"/>
                <w:b/>
                <w:color w:val="auto"/>
                <w:kern w:val="2"/>
                <w:sz w:val="22"/>
                <w:szCs w:val="22"/>
                <w:highlight w:val="none"/>
                <w:lang w:val="en-US"/>
              </w:rPr>
              <w:t>合计</w:t>
            </w:r>
          </w:p>
        </w:tc>
        <w:tc>
          <w:tcPr>
            <w:tcW w:w="1283" w:type="dxa"/>
            <w:tcMar>
              <w:top w:w="15" w:type="dxa"/>
              <w:left w:w="15" w:type="dxa"/>
              <w:right w:w="15" w:type="dxa"/>
            </w:tcMar>
            <w:vAlign w:val="center"/>
          </w:tcPr>
          <w:p>
            <w:pPr>
              <w:pStyle w:val="24"/>
              <w:rPr>
                <w:rFonts w:hint="default" w:ascii="Times New Roman" w:hAnsi="Times New Roman" w:eastAsia="仿宋_GB2312" w:cs="Times New Roman"/>
                <w:b/>
                <w:color w:val="auto"/>
                <w:kern w:val="2"/>
                <w:sz w:val="22"/>
                <w:szCs w:val="22"/>
                <w:highlight w:val="none"/>
                <w:lang w:val="en-US"/>
              </w:rPr>
            </w:pPr>
            <w:r>
              <w:rPr>
                <w:rFonts w:hint="default" w:ascii="Times New Roman" w:hAnsi="Times New Roman" w:eastAsia="仿宋_GB2312" w:cs="Times New Roman"/>
                <w:b/>
                <w:color w:val="auto"/>
                <w:kern w:val="2"/>
                <w:sz w:val="22"/>
                <w:szCs w:val="22"/>
                <w:highlight w:val="none"/>
                <w:lang w:val="en-US"/>
              </w:rPr>
              <w:t>农业用水</w:t>
            </w:r>
          </w:p>
        </w:tc>
        <w:tc>
          <w:tcPr>
            <w:tcW w:w="1235" w:type="dxa"/>
            <w:tcMar>
              <w:top w:w="15" w:type="dxa"/>
              <w:left w:w="15" w:type="dxa"/>
              <w:right w:w="15" w:type="dxa"/>
            </w:tcMar>
            <w:vAlign w:val="center"/>
          </w:tcPr>
          <w:p>
            <w:pPr>
              <w:pStyle w:val="24"/>
              <w:rPr>
                <w:rFonts w:hint="default" w:ascii="Times New Roman" w:hAnsi="Times New Roman" w:eastAsia="仿宋_GB2312" w:cs="Times New Roman"/>
                <w:b/>
                <w:color w:val="auto"/>
                <w:kern w:val="2"/>
                <w:sz w:val="22"/>
                <w:szCs w:val="22"/>
                <w:highlight w:val="none"/>
                <w:lang w:val="en-US"/>
              </w:rPr>
            </w:pPr>
            <w:r>
              <w:rPr>
                <w:rFonts w:hint="default" w:ascii="Times New Roman" w:hAnsi="Times New Roman" w:eastAsia="仿宋_GB2312" w:cs="Times New Roman"/>
                <w:b/>
                <w:color w:val="auto"/>
                <w:kern w:val="2"/>
                <w:sz w:val="22"/>
                <w:szCs w:val="22"/>
                <w:highlight w:val="none"/>
                <w:lang w:val="en-US"/>
              </w:rPr>
              <w:t>生活用水</w:t>
            </w:r>
          </w:p>
        </w:tc>
        <w:tc>
          <w:tcPr>
            <w:tcW w:w="1305" w:type="dxa"/>
            <w:tcMar>
              <w:top w:w="15" w:type="dxa"/>
              <w:left w:w="15" w:type="dxa"/>
              <w:right w:w="15" w:type="dxa"/>
            </w:tcMar>
            <w:vAlign w:val="center"/>
          </w:tcPr>
          <w:p>
            <w:pPr>
              <w:pStyle w:val="24"/>
              <w:rPr>
                <w:rFonts w:hint="default" w:ascii="Times New Roman" w:hAnsi="Times New Roman" w:eastAsia="仿宋_GB2312" w:cs="Times New Roman"/>
                <w:b/>
                <w:color w:val="auto"/>
                <w:kern w:val="2"/>
                <w:sz w:val="22"/>
                <w:szCs w:val="22"/>
                <w:highlight w:val="none"/>
                <w:lang w:val="en-US"/>
              </w:rPr>
            </w:pPr>
            <w:r>
              <w:rPr>
                <w:rFonts w:hint="default" w:ascii="Times New Roman" w:hAnsi="Times New Roman" w:eastAsia="仿宋_GB2312" w:cs="Times New Roman"/>
                <w:b/>
                <w:color w:val="auto"/>
                <w:kern w:val="2"/>
                <w:sz w:val="22"/>
                <w:szCs w:val="22"/>
                <w:highlight w:val="none"/>
                <w:lang w:val="en-US"/>
              </w:rPr>
              <w:t>合计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7" w:hRule="exact"/>
        </w:trPr>
        <w:tc>
          <w:tcPr>
            <w:tcW w:w="1230"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eastAsia="zh-CN"/>
              </w:rPr>
            </w:pPr>
            <w:r>
              <w:rPr>
                <w:rFonts w:hint="default" w:ascii="Times New Roman" w:hAnsi="Times New Roman" w:eastAsia="仿宋" w:cs="Times New Roman"/>
                <w:color w:val="auto"/>
                <w:sz w:val="22"/>
                <w:szCs w:val="32"/>
                <w:highlight w:val="none"/>
                <w:lang w:val="en-US"/>
              </w:rPr>
              <w:t>201</w:t>
            </w:r>
            <w:r>
              <w:rPr>
                <w:rFonts w:hint="default" w:ascii="Times New Roman" w:hAnsi="Times New Roman" w:eastAsia="仿宋" w:cs="Times New Roman"/>
                <w:color w:val="auto"/>
                <w:sz w:val="22"/>
                <w:szCs w:val="32"/>
                <w:highlight w:val="none"/>
                <w:lang w:val="en-US" w:eastAsia="zh-CN"/>
              </w:rPr>
              <w:t>8</w:t>
            </w:r>
          </w:p>
        </w:tc>
        <w:tc>
          <w:tcPr>
            <w:tcW w:w="1234"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776.82</w:t>
            </w:r>
          </w:p>
        </w:tc>
        <w:tc>
          <w:tcPr>
            <w:tcW w:w="1283"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c>
          <w:tcPr>
            <w:tcW w:w="1301"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c>
          <w:tcPr>
            <w:tcW w:w="1283"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c>
          <w:tcPr>
            <w:tcW w:w="1235"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c>
          <w:tcPr>
            <w:tcW w:w="1305"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7" w:hRule="exact"/>
        </w:trPr>
        <w:tc>
          <w:tcPr>
            <w:tcW w:w="1230"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eastAsia="zh-CN"/>
              </w:rPr>
            </w:pPr>
            <w:r>
              <w:rPr>
                <w:rFonts w:hint="default" w:ascii="Times New Roman" w:hAnsi="Times New Roman" w:eastAsia="仿宋" w:cs="Times New Roman"/>
                <w:color w:val="auto"/>
                <w:sz w:val="22"/>
                <w:szCs w:val="32"/>
                <w:highlight w:val="none"/>
                <w:lang w:val="en-US"/>
              </w:rPr>
              <w:t>201</w:t>
            </w:r>
            <w:r>
              <w:rPr>
                <w:rFonts w:hint="default" w:ascii="Times New Roman" w:hAnsi="Times New Roman" w:eastAsia="仿宋" w:cs="Times New Roman"/>
                <w:color w:val="auto"/>
                <w:sz w:val="22"/>
                <w:szCs w:val="32"/>
                <w:highlight w:val="none"/>
                <w:lang w:val="en-US" w:eastAsia="zh-CN"/>
              </w:rPr>
              <w:t>9</w:t>
            </w:r>
          </w:p>
        </w:tc>
        <w:tc>
          <w:tcPr>
            <w:tcW w:w="1234"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766.13</w:t>
            </w:r>
          </w:p>
        </w:tc>
        <w:tc>
          <w:tcPr>
            <w:tcW w:w="1283"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c>
          <w:tcPr>
            <w:tcW w:w="1301"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c>
          <w:tcPr>
            <w:tcW w:w="1283"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c>
          <w:tcPr>
            <w:tcW w:w="1235"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c>
          <w:tcPr>
            <w:tcW w:w="1305"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7" w:hRule="exact"/>
        </w:trPr>
        <w:tc>
          <w:tcPr>
            <w:tcW w:w="1230"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rPr>
            </w:pPr>
            <w:r>
              <w:rPr>
                <w:rFonts w:hint="default" w:ascii="Times New Roman" w:hAnsi="Times New Roman" w:eastAsia="仿宋" w:cs="Times New Roman"/>
                <w:color w:val="auto"/>
                <w:sz w:val="22"/>
                <w:szCs w:val="32"/>
                <w:highlight w:val="none"/>
                <w:lang w:val="en-US"/>
              </w:rPr>
              <w:t>20</w:t>
            </w:r>
            <w:r>
              <w:rPr>
                <w:rFonts w:hint="default" w:ascii="Times New Roman" w:hAnsi="Times New Roman" w:eastAsia="仿宋" w:cs="Times New Roman"/>
                <w:color w:val="auto"/>
                <w:sz w:val="22"/>
                <w:szCs w:val="32"/>
                <w:highlight w:val="none"/>
                <w:lang w:val="en-US" w:eastAsia="zh-CN"/>
              </w:rPr>
              <w:t>20</w:t>
            </w:r>
          </w:p>
        </w:tc>
        <w:tc>
          <w:tcPr>
            <w:tcW w:w="1234"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757.83</w:t>
            </w:r>
          </w:p>
        </w:tc>
        <w:tc>
          <w:tcPr>
            <w:tcW w:w="1283"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1591.34</w:t>
            </w:r>
          </w:p>
        </w:tc>
        <w:tc>
          <w:tcPr>
            <w:tcW w:w="1301"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2349.17</w:t>
            </w:r>
          </w:p>
        </w:tc>
        <w:tc>
          <w:tcPr>
            <w:tcW w:w="1283"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2319.97</w:t>
            </w:r>
          </w:p>
        </w:tc>
        <w:tc>
          <w:tcPr>
            <w:tcW w:w="1235"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29.20</w:t>
            </w:r>
          </w:p>
        </w:tc>
        <w:tc>
          <w:tcPr>
            <w:tcW w:w="1305"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2349.17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545" w:hRule="exact"/>
        </w:trPr>
        <w:tc>
          <w:tcPr>
            <w:tcW w:w="1230"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_GB2312" w:cs="Times New Roman"/>
                <w:color w:val="auto"/>
                <w:kern w:val="2"/>
                <w:sz w:val="22"/>
                <w:szCs w:val="22"/>
                <w:highlight w:val="none"/>
                <w:lang w:val="en-US"/>
              </w:rPr>
              <w:t>平均值</w:t>
            </w:r>
          </w:p>
        </w:tc>
        <w:tc>
          <w:tcPr>
            <w:tcW w:w="1234"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766.93</w:t>
            </w:r>
          </w:p>
        </w:tc>
        <w:tc>
          <w:tcPr>
            <w:tcW w:w="1283"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c>
          <w:tcPr>
            <w:tcW w:w="1301"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c>
          <w:tcPr>
            <w:tcW w:w="1283"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c>
          <w:tcPr>
            <w:tcW w:w="1235"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c>
          <w:tcPr>
            <w:tcW w:w="1305"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rPr>
              <w:t>/</w:t>
            </w:r>
          </w:p>
        </w:tc>
      </w:tr>
    </w:tbl>
    <w:p>
      <w:pPr>
        <w:spacing w:line="240" w:lineRule="auto"/>
        <w:jc w:val="left"/>
        <w:rPr>
          <w:rFonts w:hint="default" w:ascii="Times New Roman" w:hAnsi="Times New Roman" w:eastAsia="仿宋_GB2312" w:cs="Times New Roman"/>
          <w:b/>
          <w:bCs/>
          <w:color w:val="auto"/>
          <w:sz w:val="21"/>
          <w:szCs w:val="21"/>
          <w:highlight w:val="none"/>
        </w:rPr>
      </w:pPr>
      <w:bookmarkStart w:id="256" w:name="_Toc2996"/>
      <w:bookmarkStart w:id="257" w:name="_Toc1412"/>
      <w:bookmarkStart w:id="258" w:name="_Toc7522"/>
      <w:bookmarkStart w:id="259" w:name="_Toc23051"/>
      <w:r>
        <w:rPr>
          <w:rFonts w:hint="default" w:ascii="Times New Roman" w:hAnsi="Times New Roman" w:eastAsia="仿宋_GB2312" w:cs="Times New Roman"/>
          <w:b/>
          <w:bCs/>
          <w:color w:val="auto"/>
          <w:sz w:val="21"/>
          <w:szCs w:val="21"/>
          <w:highlight w:val="none"/>
          <w:lang w:val="en-US" w:eastAsia="zh-CN"/>
        </w:rPr>
        <w:t>注释</w:t>
      </w:r>
      <w:r>
        <w:rPr>
          <w:rFonts w:hint="default" w:ascii="Times New Roman" w:hAnsi="Times New Roman" w:eastAsia="仿宋_GB2312" w:cs="Times New Roman"/>
          <w:b/>
          <w:bCs/>
          <w:color w:val="auto"/>
          <w:sz w:val="21"/>
          <w:szCs w:val="21"/>
          <w:highlight w:val="none"/>
        </w:rPr>
        <w:t>：该区域的地下水为苦咸水，按照《中卫市沙坡头区香山乡、兴仁镇水资源承载能力评价报告》分析确定，该区域矿化度在1</w:t>
      </w:r>
      <w:r>
        <w:rPr>
          <w:rFonts w:hint="default" w:ascii="Times New Roman" w:hAnsi="Times New Roman" w:eastAsia="仿宋_GB2312" w:cs="Times New Roman"/>
          <w:b/>
          <w:bCs/>
          <w:color w:val="auto"/>
          <w:sz w:val="21"/>
          <w:szCs w:val="21"/>
          <w:highlight w:val="none"/>
          <w:lang w:val="en-US" w:eastAsia="zh-CN"/>
        </w:rPr>
        <w:t>-</w:t>
      </w:r>
      <w:r>
        <w:rPr>
          <w:rFonts w:hint="default" w:ascii="Times New Roman" w:hAnsi="Times New Roman" w:eastAsia="仿宋_GB2312" w:cs="Times New Roman"/>
          <w:b/>
          <w:bCs/>
          <w:color w:val="auto"/>
          <w:sz w:val="21"/>
          <w:szCs w:val="21"/>
          <w:highlight w:val="none"/>
        </w:rPr>
        <w:t>2g/L地下水可开采量为790.6万</w:t>
      </w:r>
      <w:r>
        <w:rPr>
          <w:rFonts w:hint="default" w:ascii="Times New Roman" w:hAnsi="Times New Roman" w:eastAsia="仿宋_GB2312" w:cs="Times New Roman"/>
          <w:b/>
          <w:bCs/>
          <w:color w:val="auto"/>
          <w:sz w:val="21"/>
          <w:szCs w:val="21"/>
          <w:highlight w:val="none"/>
          <w:lang w:eastAsia="zh-CN"/>
        </w:rPr>
        <w:t>m³</w:t>
      </w:r>
      <w:r>
        <w:rPr>
          <w:rFonts w:hint="default" w:ascii="Times New Roman" w:hAnsi="Times New Roman" w:eastAsia="仿宋_GB2312" w:cs="Times New Roman"/>
          <w:b/>
          <w:bCs/>
          <w:color w:val="auto"/>
          <w:sz w:val="21"/>
          <w:szCs w:val="21"/>
          <w:highlight w:val="none"/>
        </w:rPr>
        <w:t>/a。</w:t>
      </w:r>
    </w:p>
    <w:p>
      <w:pPr>
        <w:spacing w:before="0" w:beforeLines="0"/>
        <w:ind w:firstLine="600"/>
        <w:jc w:val="both"/>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cs="Times New Roman"/>
          <w:color w:val="auto"/>
          <w:sz w:val="32"/>
          <w:szCs w:val="32"/>
          <w:highlight w:val="none"/>
          <w:lang w:val="en-US" w:eastAsia="zh-CN"/>
        </w:rPr>
        <w:t>结合</w:t>
      </w:r>
      <w:r>
        <w:rPr>
          <w:rFonts w:hint="default" w:ascii="Times New Roman" w:hAnsi="Times New Roman" w:eastAsia="仿宋_GB2312" w:cs="Times New Roman"/>
          <w:color w:val="auto"/>
          <w:sz w:val="32"/>
          <w:szCs w:val="32"/>
          <w:highlight w:val="none"/>
          <w:lang w:val="en-US" w:eastAsia="zh-CN"/>
        </w:rPr>
        <w:t>2021年宁夏水利水电勘测设计研究院有限公司编制完成的《</w:t>
      </w:r>
      <w:r>
        <w:rPr>
          <w:rFonts w:hint="default" w:ascii="Times New Roman" w:hAnsi="Times New Roman" w:eastAsia="仿宋_GB2312" w:cs="Times New Roman"/>
          <w:color w:val="auto"/>
          <w:sz w:val="32"/>
          <w:szCs w:val="32"/>
          <w:highlight w:val="none"/>
        </w:rPr>
        <w:t>中卫市黄河流域生态保护和高质量发展先行市建设沙坡头区兴仁片</w:t>
      </w:r>
      <w:r>
        <w:rPr>
          <w:rFonts w:hint="default" w:ascii="Times New Roman" w:hAnsi="Times New Roman" w:cs="Times New Roman"/>
          <w:color w:val="auto"/>
          <w:sz w:val="32"/>
          <w:szCs w:val="32"/>
          <w:highlight w:val="none"/>
          <w:lang w:val="en-US" w:eastAsia="zh-CN"/>
        </w:rPr>
        <w:t>香山</w:t>
      </w:r>
      <w:r>
        <w:rPr>
          <w:rFonts w:hint="default" w:ascii="Times New Roman" w:hAnsi="Times New Roman" w:eastAsia="仿宋_GB2312" w:cs="Times New Roman"/>
          <w:color w:val="auto"/>
          <w:sz w:val="32"/>
          <w:szCs w:val="32"/>
          <w:highlight w:val="none"/>
        </w:rPr>
        <w:t>区生态修复及灌区供水工程</w:t>
      </w:r>
      <w:r>
        <w:rPr>
          <w:rFonts w:hint="default" w:ascii="Times New Roman" w:hAnsi="Times New Roman" w:eastAsia="仿宋_GB2312" w:cs="Times New Roman"/>
          <w:color w:val="auto"/>
          <w:sz w:val="32"/>
          <w:szCs w:val="32"/>
          <w:highlight w:val="none"/>
          <w:lang w:val="en-US" w:eastAsia="zh-CN"/>
        </w:rPr>
        <w:t>》，该工程将进行水源替换，项目建成后，需采用黄河水4000万m³，基本与原文件需水量一致。</w:t>
      </w:r>
    </w:p>
    <w:p>
      <w:pPr>
        <w:pStyle w:val="7"/>
        <w:spacing w:before="0"/>
        <w:rPr>
          <w:rFonts w:hint="default" w:ascii="Times New Roman" w:hAnsi="Times New Roman" w:eastAsia="仿宋_GB2312" w:cs="Times New Roman"/>
          <w:bCs/>
          <w:color w:val="auto"/>
          <w:kern w:val="2"/>
          <w:highlight w:val="none"/>
          <w:lang w:val="en-US" w:eastAsia="zh-CN"/>
        </w:rPr>
      </w:pPr>
      <w:bookmarkStart w:id="260" w:name="_Toc11708"/>
      <w:bookmarkStart w:id="261" w:name="_Toc3732"/>
      <w:bookmarkStart w:id="262" w:name="_Toc16121"/>
      <w:bookmarkStart w:id="263" w:name="_Toc19690"/>
      <w:r>
        <w:rPr>
          <w:rFonts w:hint="default" w:ascii="Times New Roman" w:hAnsi="Times New Roman" w:eastAsia="仿宋_GB2312" w:cs="Times New Roman"/>
          <w:bCs/>
          <w:color w:val="auto"/>
          <w:kern w:val="2"/>
          <w:highlight w:val="none"/>
        </w:rPr>
        <w:t>3.4.4</w:t>
      </w:r>
      <w:r>
        <w:rPr>
          <w:rFonts w:hint="default" w:ascii="Times New Roman" w:hAnsi="Times New Roman" w:eastAsia="仿宋_GB2312" w:cs="Times New Roman"/>
          <w:bCs/>
          <w:color w:val="auto"/>
          <w:kern w:val="2"/>
          <w:highlight w:val="none"/>
          <w:lang w:val="en-US" w:eastAsia="zh-CN"/>
        </w:rPr>
        <w:t>保障</w:t>
      </w:r>
      <w:r>
        <w:rPr>
          <w:rFonts w:hint="default" w:ascii="Times New Roman" w:hAnsi="Times New Roman" w:eastAsia="仿宋_GB2312" w:cs="Times New Roman"/>
          <w:bCs/>
          <w:color w:val="auto"/>
          <w:kern w:val="2"/>
          <w:highlight w:val="none"/>
        </w:rPr>
        <w:t>重点特色产业高质量发展</w:t>
      </w:r>
      <w:bookmarkEnd w:id="256"/>
      <w:bookmarkEnd w:id="257"/>
      <w:bookmarkEnd w:id="258"/>
      <w:bookmarkEnd w:id="259"/>
      <w:bookmarkEnd w:id="260"/>
      <w:r>
        <w:rPr>
          <w:rFonts w:hint="default" w:ascii="Times New Roman" w:hAnsi="Times New Roman" w:eastAsia="仿宋_GB2312" w:cs="Times New Roman"/>
          <w:bCs/>
          <w:color w:val="auto"/>
          <w:kern w:val="2"/>
          <w:highlight w:val="none"/>
          <w:lang w:val="en-US" w:eastAsia="zh-CN"/>
        </w:rPr>
        <w:t>用水</w:t>
      </w:r>
      <w:bookmarkEnd w:id="261"/>
      <w:bookmarkEnd w:id="262"/>
      <w:bookmarkEnd w:id="263"/>
    </w:p>
    <w:bookmarkEnd w:id="216"/>
    <w:bookmarkEnd w:id="217"/>
    <w:bookmarkEnd w:id="218"/>
    <w:bookmarkEnd w:id="219"/>
    <w:bookmarkEnd w:id="220"/>
    <w:p>
      <w:pPr>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2020年8月《自治区党委办公厅人民政府办公厅关于建立自治区省级领导同志包抓重点特色产业工作机制的通知》（宁党办﹝2020﹞56号），对推动枸杞产业、葡萄酒产业、奶产业、肉牛和滩羊产业、电子信息产业、新型材料产业、绿色食品产业、</w:t>
      </w:r>
      <w:r>
        <w:rPr>
          <w:rFonts w:hint="default" w:ascii="Times New Roman" w:hAnsi="Times New Roman" w:eastAsia="仿宋_GB2312" w:cs="Times New Roman"/>
          <w:color w:val="auto"/>
          <w:spacing w:val="-11"/>
          <w:sz w:val="32"/>
          <w:szCs w:val="32"/>
          <w:highlight w:val="none"/>
        </w:rPr>
        <w:t>清洁能源产业、文化旅游产业等九大重点特色产业发展</w:t>
      </w:r>
      <w:r>
        <w:rPr>
          <w:rFonts w:hint="eastAsia" w:cs="Times New Roman"/>
          <w:color w:val="auto"/>
          <w:spacing w:val="-11"/>
          <w:sz w:val="32"/>
          <w:szCs w:val="32"/>
          <w:highlight w:val="none"/>
          <w:lang w:eastAsia="zh-CN"/>
        </w:rPr>
        <w:t>作</w:t>
      </w:r>
      <w:r>
        <w:rPr>
          <w:rFonts w:hint="default" w:ascii="Times New Roman" w:hAnsi="Times New Roman" w:eastAsia="仿宋_GB2312" w:cs="Times New Roman"/>
          <w:color w:val="auto"/>
          <w:spacing w:val="-11"/>
          <w:sz w:val="32"/>
          <w:szCs w:val="32"/>
          <w:highlight w:val="none"/>
        </w:rPr>
        <w:t>出了安排。</w:t>
      </w:r>
    </w:p>
    <w:p>
      <w:pPr>
        <w:pStyle w:val="10"/>
        <w:ind w:firstLine="600"/>
        <w:jc w:val="both"/>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本次水资源配置在优先保障生活用水的基础上，切实保障沙坡头区枸杞产业、葡萄酒产业、奶产业、肉牛和滩羊产业、电子信息产业、新型材料产业、绿色食品产业、文化旅游产业高质量发展用水需求，支撑重点特色产业优势做足、特色做亮、品牌做强，助力先行市建设，结合九大产业已有高质量发展“十四五”规划和实施方案，进行水资源合理配置。</w:t>
      </w:r>
    </w:p>
    <w:p>
      <w:pPr>
        <w:pStyle w:val="6"/>
        <w:rPr>
          <w:rFonts w:hint="default" w:ascii="Times New Roman" w:hAnsi="Times New Roman" w:eastAsia="楷体_GB2312" w:cs="Times New Roman"/>
          <w:color w:val="auto"/>
          <w:highlight w:val="none"/>
        </w:rPr>
      </w:pPr>
      <w:bookmarkStart w:id="264" w:name="_Toc11507"/>
      <w:bookmarkStart w:id="265" w:name="_Toc14984"/>
      <w:bookmarkStart w:id="266" w:name="_Toc25137"/>
      <w:bookmarkStart w:id="267" w:name="_Toc21146"/>
      <w:bookmarkStart w:id="268" w:name="_Toc6604"/>
      <w:bookmarkStart w:id="269" w:name="_Toc23252"/>
      <w:bookmarkStart w:id="270" w:name="_Toc10993"/>
      <w:r>
        <w:rPr>
          <w:rFonts w:hint="default" w:ascii="Times New Roman" w:hAnsi="Times New Roman" w:eastAsia="楷体_GB2312" w:cs="Times New Roman"/>
          <w:color w:val="auto"/>
          <w:highlight w:val="none"/>
        </w:rPr>
        <w:t>3.5水资源开发利用存在的问题</w:t>
      </w:r>
      <w:bookmarkEnd w:id="264"/>
      <w:bookmarkEnd w:id="265"/>
      <w:bookmarkEnd w:id="266"/>
      <w:bookmarkEnd w:id="267"/>
      <w:bookmarkEnd w:id="268"/>
      <w:bookmarkEnd w:id="269"/>
      <w:bookmarkEnd w:id="270"/>
    </w:p>
    <w:p>
      <w:pPr>
        <w:pStyle w:val="9"/>
        <w:outlineLvl w:val="2"/>
        <w:rPr>
          <w:rFonts w:hint="default" w:ascii="Times New Roman" w:hAnsi="Times New Roman" w:eastAsia="仿宋_GB2312" w:cs="Times New Roman"/>
          <w:b/>
          <w:bCs/>
          <w:color w:val="auto"/>
          <w:kern w:val="0"/>
          <w:szCs w:val="20"/>
          <w:highlight w:val="none"/>
          <w:lang w:val="en-US" w:eastAsia="zh-CN"/>
        </w:rPr>
      </w:pPr>
      <w:bookmarkStart w:id="271" w:name="_Toc10707"/>
      <w:r>
        <w:rPr>
          <w:rStyle w:val="26"/>
          <w:rFonts w:hint="default" w:ascii="Times New Roman" w:hAnsi="Times New Roman" w:cs="Times New Roman"/>
          <w:color w:val="auto"/>
          <w:highlight w:val="none"/>
        </w:rPr>
        <w:t>（1）现状超用水指标严重</w:t>
      </w:r>
      <w:bookmarkEnd w:id="271"/>
    </w:p>
    <w:p>
      <w:pPr>
        <w:rPr>
          <w:rFonts w:hint="default" w:ascii="Times New Roman" w:hAnsi="Times New Roman" w:cs="Times New Roman"/>
          <w:color w:val="auto"/>
          <w:szCs w:val="28"/>
          <w:highlight w:val="none"/>
        </w:rPr>
      </w:pPr>
      <w:r>
        <w:rPr>
          <w:rFonts w:hint="default" w:ascii="Times New Roman" w:hAnsi="Times New Roman" w:eastAsia="仿宋_GB2312" w:cs="Times New Roman"/>
          <w:color w:val="auto"/>
          <w:kern w:val="2"/>
          <w:szCs w:val="28"/>
          <w:highlight w:val="none"/>
        </w:rPr>
        <w:t>按照2020年取水量统计，2020年沙坡头区取水量为6.315亿m³，严重超</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自治区人民政府办公厅关于印发宁夏“十四五”用水权管控指标方案的通知</w:t>
      </w:r>
      <w:r>
        <w:rPr>
          <w:rFonts w:hint="default" w:ascii="Times New Roman" w:hAnsi="Times New Roman" w:eastAsia="仿宋_GB2312" w:cs="Times New Roman"/>
          <w:color w:val="auto"/>
          <w:sz w:val="32"/>
          <w:szCs w:val="32"/>
          <w:highlight w:val="none"/>
        </w:rPr>
        <w:t>》</w:t>
      </w:r>
      <w:r>
        <w:rPr>
          <w:rFonts w:hint="default" w:ascii="Times New Roman" w:hAnsi="Times New Roman" w:cs="Times New Roman"/>
          <w:color w:val="auto"/>
          <w:sz w:val="32"/>
          <w:szCs w:val="32"/>
          <w:highlight w:val="none"/>
          <w:lang w:eastAsia="zh-CN"/>
        </w:rPr>
        <w:t>（宁政办发</w:t>
      </w:r>
      <w:r>
        <w:rPr>
          <w:rFonts w:hint="default" w:ascii="Times New Roman" w:hAnsi="Times New Roman" w:eastAsia="仿宋_GB2312" w:cs="Times New Roman"/>
          <w:color w:val="auto"/>
          <w:sz w:val="32"/>
          <w:szCs w:val="32"/>
          <w:highlight w:val="none"/>
        </w:rPr>
        <w:t>﹝202</w:t>
      </w:r>
      <w:r>
        <w:rPr>
          <w:rFonts w:hint="default" w:ascii="Times New Roman" w:hAnsi="Times New Roman"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w:t>
      </w:r>
      <w:r>
        <w:rPr>
          <w:rFonts w:hint="default" w:ascii="Times New Roman" w:hAnsi="Times New Roman" w:cs="Times New Roman"/>
          <w:color w:val="auto"/>
          <w:sz w:val="32"/>
          <w:szCs w:val="32"/>
          <w:highlight w:val="none"/>
          <w:lang w:val="en-US" w:eastAsia="zh-CN"/>
        </w:rPr>
        <w:t>76号）</w:t>
      </w:r>
      <w:r>
        <w:rPr>
          <w:rFonts w:hint="default" w:ascii="Times New Roman" w:hAnsi="Times New Roman" w:eastAsia="仿宋_GB2312" w:cs="Times New Roman"/>
          <w:color w:val="auto"/>
          <w:kern w:val="2"/>
          <w:szCs w:val="28"/>
          <w:highlight w:val="none"/>
        </w:rPr>
        <w:t>分配给沙坡头区2025年取水指标为5.76亿m³。同时，2020年水利部针对该问题，下发了《水利部关于黄河流域水资源超载地区暂停新增取水许可的通知》水资管﹝2020﹞280号。</w:t>
      </w:r>
    </w:p>
    <w:p>
      <w:pPr>
        <w:pStyle w:val="9"/>
        <w:outlineLvl w:val="2"/>
        <w:rPr>
          <w:rFonts w:hint="default" w:ascii="Times New Roman" w:hAnsi="Times New Roman" w:eastAsia="仿宋_GB2312" w:cs="Times New Roman"/>
          <w:b/>
          <w:bCs/>
          <w:color w:val="auto"/>
          <w:kern w:val="0"/>
          <w:szCs w:val="20"/>
          <w:highlight w:val="none"/>
        </w:rPr>
      </w:pPr>
      <w:bookmarkStart w:id="272" w:name="_Toc579"/>
      <w:r>
        <w:rPr>
          <w:rStyle w:val="26"/>
          <w:rFonts w:hint="default" w:ascii="Times New Roman" w:hAnsi="Times New Roman" w:cs="Times New Roman"/>
          <w:color w:val="auto"/>
          <w:highlight w:val="none"/>
        </w:rPr>
        <w:t>（2）用水结构不合理，农业用水比重偏大</w:t>
      </w:r>
      <w:bookmarkEnd w:id="272"/>
    </w:p>
    <w:p>
      <w:pPr>
        <w:rPr>
          <w:rFonts w:hint="default" w:ascii="Times New Roman" w:hAnsi="Times New Roman" w:eastAsia="仿宋_GB2312" w:cs="Times New Roman"/>
          <w:color w:val="auto"/>
          <w:szCs w:val="28"/>
          <w:highlight w:val="none"/>
        </w:rPr>
      </w:pPr>
      <w:r>
        <w:rPr>
          <w:rFonts w:hint="default" w:ascii="Times New Roman" w:hAnsi="Times New Roman" w:eastAsia="仿宋_GB2312" w:cs="Times New Roman"/>
          <w:color w:val="auto"/>
          <w:szCs w:val="28"/>
          <w:highlight w:val="none"/>
        </w:rPr>
        <w:t>现状年沙坡头区农业用水占沙坡头区总用水量的93.3%，工业用水仅占总用水量的4.2%左右，远低于全国20%的平均水平，农业用水比重偏大，用水结构不合理将严重影响和制约沙坡头区经济社会的发展。</w:t>
      </w:r>
    </w:p>
    <w:p>
      <w:pPr>
        <w:pStyle w:val="9"/>
        <w:outlineLvl w:val="2"/>
        <w:rPr>
          <w:rFonts w:hint="default" w:ascii="Times New Roman" w:hAnsi="Times New Roman" w:cs="Times New Roman"/>
          <w:b/>
          <w:bCs/>
          <w:color w:val="auto"/>
          <w:highlight w:val="none"/>
        </w:rPr>
      </w:pPr>
      <w:bookmarkStart w:id="273" w:name="_Toc24928"/>
      <w:r>
        <w:rPr>
          <w:rStyle w:val="26"/>
          <w:rFonts w:hint="default" w:ascii="Times New Roman" w:hAnsi="Times New Roman" w:cs="Times New Roman"/>
          <w:color w:val="auto"/>
          <w:highlight w:val="none"/>
        </w:rPr>
        <w:t>（3）农业用水效率偏低</w:t>
      </w:r>
      <w:bookmarkEnd w:id="273"/>
    </w:p>
    <w:p>
      <w:pPr>
        <w:rPr>
          <w:rFonts w:hint="default" w:ascii="Times New Roman" w:hAnsi="Times New Roman" w:cs="Times New Roman"/>
          <w:b w:val="0"/>
          <w:color w:val="auto"/>
          <w:sz w:val="28"/>
          <w:highlight w:val="none"/>
        </w:rPr>
      </w:pPr>
      <w:r>
        <w:rPr>
          <w:rFonts w:hint="default" w:ascii="Times New Roman" w:hAnsi="Times New Roman" w:eastAsia="仿宋_GB2312" w:cs="Times New Roman"/>
          <w:color w:val="auto"/>
          <w:kern w:val="2"/>
          <w:szCs w:val="28"/>
          <w:highlight w:val="none"/>
        </w:rPr>
        <w:t>根据上述用水效率与红线指</w:t>
      </w:r>
      <w:r>
        <w:rPr>
          <w:rFonts w:hint="default" w:ascii="Times New Roman" w:hAnsi="Times New Roman" w:eastAsia="仿宋_GB2312" w:cs="Times New Roman"/>
          <w:color w:val="auto"/>
          <w:kern w:val="2"/>
          <w:szCs w:val="32"/>
          <w:highlight w:val="none"/>
        </w:rPr>
        <w:t>标对比分析，沙坡头区2020年灌溉水</w:t>
      </w:r>
      <w:r>
        <w:rPr>
          <w:rFonts w:hint="default" w:ascii="Times New Roman" w:hAnsi="Times New Roman" w:eastAsia="仿宋_GB2312" w:cs="Times New Roman"/>
          <w:color w:val="auto"/>
          <w:kern w:val="2"/>
          <w:szCs w:val="28"/>
          <w:highlight w:val="none"/>
        </w:rPr>
        <w:t>有效利用系数为0.525，低于全区平均水平0.5</w:t>
      </w:r>
      <w:r>
        <w:rPr>
          <w:rFonts w:hint="default" w:ascii="Times New Roman" w:hAnsi="Times New Roman" w:cs="Times New Roman"/>
          <w:color w:val="auto"/>
          <w:kern w:val="2"/>
          <w:szCs w:val="28"/>
          <w:highlight w:val="none"/>
          <w:lang w:val="en-US" w:eastAsia="zh-CN"/>
        </w:rPr>
        <w:t>51</w:t>
      </w:r>
      <w:r>
        <w:rPr>
          <w:rFonts w:hint="default" w:ascii="Times New Roman" w:hAnsi="Times New Roman" w:eastAsia="仿宋_GB2312" w:cs="Times New Roman"/>
          <w:color w:val="auto"/>
          <w:kern w:val="2"/>
          <w:szCs w:val="28"/>
          <w:highlight w:val="none"/>
        </w:rPr>
        <w:t>，低于2025年控制指标0.6，灌溉水有效利用系数有待提高。</w:t>
      </w:r>
    </w:p>
    <w:p>
      <w:pPr>
        <w:pStyle w:val="9"/>
        <w:outlineLvl w:val="2"/>
        <w:rPr>
          <w:rFonts w:hint="default" w:ascii="Times New Roman" w:hAnsi="Times New Roman" w:eastAsia="仿宋_GB2312" w:cs="Times New Roman"/>
          <w:b/>
          <w:bCs/>
          <w:color w:val="auto"/>
          <w:kern w:val="0"/>
          <w:szCs w:val="20"/>
          <w:highlight w:val="none"/>
          <w:lang w:val="en-US" w:eastAsia="zh-CN"/>
        </w:rPr>
      </w:pPr>
      <w:bookmarkStart w:id="274" w:name="_Toc5038"/>
      <w:r>
        <w:rPr>
          <w:rStyle w:val="26"/>
          <w:rFonts w:hint="default" w:ascii="Times New Roman" w:hAnsi="Times New Roman" w:cs="Times New Roman"/>
          <w:color w:val="auto"/>
          <w:highlight w:val="none"/>
        </w:rPr>
        <w:t>（4）水利工程建设投入不足，农业水资源利用效率低</w:t>
      </w:r>
      <w:bookmarkEnd w:id="274"/>
    </w:p>
    <w:p>
      <w:pPr>
        <w:rPr>
          <w:rFonts w:hint="default" w:ascii="Times New Roman" w:hAnsi="Times New Roman" w:eastAsia="仿宋_GB2312" w:cs="Times New Roman"/>
          <w:color w:val="auto"/>
          <w:kern w:val="2"/>
          <w:szCs w:val="28"/>
          <w:highlight w:val="none"/>
        </w:rPr>
      </w:pPr>
      <w:r>
        <w:rPr>
          <w:rFonts w:hint="default" w:ascii="Times New Roman" w:hAnsi="Times New Roman" w:eastAsia="仿宋_GB2312" w:cs="Times New Roman"/>
          <w:color w:val="auto"/>
          <w:kern w:val="2"/>
          <w:szCs w:val="28"/>
          <w:highlight w:val="none"/>
        </w:rPr>
        <w:t>沙坡头区水利工程主要为引黄灌区的灌、排设施，其设施较久远，由于长期以来水利投入偏低，引、排水工程均存在老化和不配套现象，加上管理上和群众生产用水习惯等原因，引水量较大，渠系渗漏和田间渗漏量大，农业水资源利用效率低。</w:t>
      </w:r>
    </w:p>
    <w:p>
      <w:pPr>
        <w:pStyle w:val="9"/>
        <w:outlineLvl w:val="2"/>
        <w:rPr>
          <w:rFonts w:hint="default" w:ascii="Times New Roman" w:hAnsi="Times New Roman" w:eastAsia="仿宋_GB2312" w:cs="Times New Roman"/>
          <w:b/>
          <w:bCs/>
          <w:color w:val="auto"/>
          <w:kern w:val="0"/>
          <w:szCs w:val="20"/>
          <w:highlight w:val="none"/>
          <w:lang w:val="en-US" w:eastAsia="zh-CN"/>
        </w:rPr>
      </w:pPr>
      <w:bookmarkStart w:id="275" w:name="_Toc13053"/>
      <w:r>
        <w:rPr>
          <w:rStyle w:val="26"/>
          <w:rFonts w:hint="default" w:ascii="Times New Roman" w:hAnsi="Times New Roman" w:cs="Times New Roman"/>
          <w:color w:val="auto"/>
          <w:highlight w:val="none"/>
        </w:rPr>
        <w:t>（5）水资源调控手段与管理能力需要加强</w:t>
      </w:r>
      <w:bookmarkEnd w:id="275"/>
    </w:p>
    <w:p>
      <w:pPr>
        <w:rPr>
          <w:rFonts w:hint="default" w:ascii="Times New Roman" w:hAnsi="Times New Roman" w:eastAsia="仿宋_GB2312" w:cs="Times New Roman"/>
          <w:color w:val="auto"/>
          <w:kern w:val="2"/>
          <w:szCs w:val="32"/>
          <w:highlight w:val="none"/>
        </w:rPr>
      </w:pPr>
      <w:r>
        <w:rPr>
          <w:rFonts w:hint="default" w:ascii="Times New Roman" w:hAnsi="Times New Roman" w:eastAsia="仿宋_GB2312" w:cs="Times New Roman"/>
          <w:color w:val="auto"/>
          <w:kern w:val="0"/>
          <w:szCs w:val="20"/>
          <w:highlight w:val="none"/>
        </w:rPr>
        <w:t>目前水资源和管理依赖行政手段，水价、水资源税和排污费等经济调控手段标准相对较低，经济调控措施未得到</w:t>
      </w:r>
      <w:r>
        <w:rPr>
          <w:rFonts w:hint="default" w:ascii="Times New Roman" w:hAnsi="Times New Roman" w:eastAsia="仿宋_GB2312" w:cs="Times New Roman"/>
          <w:color w:val="auto"/>
          <w:kern w:val="0"/>
          <w:szCs w:val="20"/>
          <w:highlight w:val="none"/>
          <w:lang w:eastAsia="zh-CN"/>
        </w:rPr>
        <w:t>充分</w:t>
      </w:r>
      <w:r>
        <w:rPr>
          <w:rFonts w:hint="default" w:ascii="Times New Roman" w:hAnsi="Times New Roman" w:eastAsia="仿宋_GB2312" w:cs="Times New Roman"/>
          <w:color w:val="auto"/>
          <w:kern w:val="0"/>
          <w:szCs w:val="20"/>
          <w:highlight w:val="none"/>
        </w:rPr>
        <w:t>发挥。此外，现有的水管理</w:t>
      </w:r>
      <w:r>
        <w:rPr>
          <w:rFonts w:hint="default" w:ascii="Times New Roman" w:hAnsi="Times New Roman" w:cs="Times New Roman"/>
          <w:color w:val="auto"/>
          <w:kern w:val="0"/>
          <w:szCs w:val="20"/>
          <w:highlight w:val="none"/>
          <w:lang w:val="en-US" w:eastAsia="zh-CN"/>
        </w:rPr>
        <w:t>方式</w:t>
      </w:r>
      <w:r>
        <w:rPr>
          <w:rFonts w:hint="default" w:ascii="Times New Roman" w:hAnsi="Times New Roman" w:eastAsia="仿宋_GB2312" w:cs="Times New Roman"/>
          <w:color w:val="auto"/>
          <w:kern w:val="0"/>
          <w:szCs w:val="20"/>
          <w:highlight w:val="none"/>
        </w:rPr>
        <w:t>与水平相对落后，农业上突出体现为：</w:t>
      </w:r>
      <w:r>
        <w:rPr>
          <w:rFonts w:hint="default" w:ascii="Times New Roman" w:hAnsi="Times New Roman" w:eastAsia="仿宋_GB2312" w:cs="Times New Roman"/>
          <w:color w:val="auto"/>
          <w:kern w:val="0"/>
          <w:szCs w:val="20"/>
          <w:highlight w:val="none"/>
          <w:lang w:eastAsia="zh-CN"/>
        </w:rPr>
        <w:t>引黄自流灌区</w:t>
      </w:r>
      <w:r>
        <w:rPr>
          <w:rFonts w:hint="default" w:ascii="Times New Roman" w:hAnsi="Times New Roman" w:eastAsia="仿宋_GB2312" w:cs="Times New Roman"/>
          <w:color w:val="auto"/>
          <w:kern w:val="0"/>
          <w:szCs w:val="20"/>
          <w:highlight w:val="none"/>
        </w:rPr>
        <w:t>支斗渠以下量水设施严重不足，</w:t>
      </w:r>
      <w:r>
        <w:rPr>
          <w:rFonts w:hint="default" w:ascii="Times New Roman" w:hAnsi="Times New Roman" w:eastAsia="仿宋_GB2312" w:cs="Times New Roman"/>
          <w:color w:val="auto"/>
          <w:kern w:val="0"/>
          <w:szCs w:val="20"/>
          <w:highlight w:val="none"/>
          <w:lang w:eastAsia="zh-CN"/>
        </w:rPr>
        <w:t>引黄灌区农业</w:t>
      </w:r>
      <w:r>
        <w:rPr>
          <w:rFonts w:hint="default" w:ascii="Times New Roman" w:hAnsi="Times New Roman" w:eastAsia="仿宋_GB2312" w:cs="Times New Roman"/>
          <w:color w:val="auto"/>
          <w:kern w:val="0"/>
          <w:szCs w:val="20"/>
          <w:highlight w:val="none"/>
        </w:rPr>
        <w:t>水价</w:t>
      </w:r>
      <w:r>
        <w:rPr>
          <w:rFonts w:hint="default" w:ascii="Times New Roman" w:hAnsi="Times New Roman" w:eastAsia="仿宋_GB2312" w:cs="Times New Roman"/>
          <w:color w:val="auto"/>
          <w:kern w:val="0"/>
          <w:szCs w:val="20"/>
          <w:highlight w:val="none"/>
          <w:lang w:eastAsia="zh-CN"/>
        </w:rPr>
        <w:t>综合改革没有完全到位，水价</w:t>
      </w:r>
      <w:r>
        <w:rPr>
          <w:rFonts w:hint="default" w:ascii="Times New Roman" w:hAnsi="Times New Roman" w:eastAsia="仿宋_GB2312" w:cs="Times New Roman"/>
          <w:color w:val="auto"/>
          <w:kern w:val="0"/>
          <w:szCs w:val="20"/>
          <w:highlight w:val="none"/>
        </w:rPr>
        <w:t>较低，</w:t>
      </w:r>
      <w:r>
        <w:rPr>
          <w:rFonts w:hint="default" w:ascii="Times New Roman" w:hAnsi="Times New Roman" w:eastAsia="仿宋_GB2312" w:cs="Times New Roman"/>
          <w:color w:val="auto"/>
          <w:kern w:val="0"/>
          <w:szCs w:val="20"/>
          <w:highlight w:val="none"/>
          <w:lang w:eastAsia="zh-CN"/>
        </w:rPr>
        <w:t>群众节</w:t>
      </w:r>
      <w:r>
        <w:rPr>
          <w:rFonts w:hint="default" w:ascii="Times New Roman" w:hAnsi="Times New Roman" w:eastAsia="仿宋_GB2312" w:cs="Times New Roman"/>
          <w:color w:val="auto"/>
          <w:kern w:val="2"/>
          <w:szCs w:val="32"/>
          <w:highlight w:val="none"/>
          <w:lang w:eastAsia="zh-CN"/>
        </w:rPr>
        <w:t>约用水意识不强</w:t>
      </w:r>
      <w:r>
        <w:rPr>
          <w:rFonts w:hint="default" w:ascii="Times New Roman" w:hAnsi="Times New Roman" w:eastAsia="仿宋_GB2312" w:cs="Times New Roman"/>
          <w:color w:val="auto"/>
          <w:kern w:val="2"/>
          <w:szCs w:val="32"/>
          <w:highlight w:val="none"/>
        </w:rPr>
        <w:t>。</w:t>
      </w:r>
    </w:p>
    <w:p>
      <w:pPr>
        <w:pStyle w:val="5"/>
        <w:bidi w:val="0"/>
        <w:rPr>
          <w:rFonts w:hint="default" w:ascii="Times New Roman" w:hAnsi="Times New Roman" w:cs="Times New Roman"/>
          <w:color w:val="auto"/>
          <w:highlight w:val="none"/>
          <w:lang w:val="en-US" w:eastAsia="zh-CN"/>
        </w:rPr>
      </w:pPr>
      <w:bookmarkStart w:id="276" w:name="_Toc725"/>
      <w:bookmarkStart w:id="277" w:name="_Toc20374"/>
      <w:bookmarkStart w:id="278" w:name="_Toc12502"/>
      <w:bookmarkStart w:id="279" w:name="_Toc6048"/>
      <w:bookmarkStart w:id="280" w:name="_Toc3058"/>
      <w:bookmarkStart w:id="281" w:name="_Toc32670"/>
      <w:bookmarkStart w:id="282" w:name="_Toc14702"/>
      <w:bookmarkStart w:id="283" w:name="_Toc28791"/>
      <w:bookmarkStart w:id="284" w:name="_Toc16997"/>
      <w:bookmarkStart w:id="285" w:name="_Toc23469"/>
    </w:p>
    <w:p>
      <w:pPr>
        <w:pStyle w:val="5"/>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第四章  经济社会发展布局与水资源需求</w:t>
      </w:r>
      <w:bookmarkEnd w:id="276"/>
      <w:bookmarkEnd w:id="277"/>
    </w:p>
    <w:p>
      <w:pPr>
        <w:pStyle w:val="6"/>
        <w:rPr>
          <w:rFonts w:hint="default" w:ascii="Times New Roman" w:hAnsi="Times New Roman" w:cs="Times New Roman"/>
          <w:color w:val="auto"/>
          <w:highlight w:val="none"/>
        </w:rPr>
      </w:pPr>
      <w:bookmarkStart w:id="286" w:name="_Toc22707"/>
      <w:bookmarkStart w:id="287" w:name="_Toc5726"/>
    </w:p>
    <w:p>
      <w:pPr>
        <w:pStyle w:val="6"/>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4.1经济发展布局</w:t>
      </w:r>
      <w:bookmarkEnd w:id="278"/>
      <w:bookmarkEnd w:id="279"/>
      <w:bookmarkEnd w:id="280"/>
      <w:bookmarkEnd w:id="281"/>
      <w:bookmarkEnd w:id="282"/>
      <w:bookmarkEnd w:id="286"/>
      <w:bookmarkEnd w:id="287"/>
    </w:p>
    <w:p>
      <w:pPr>
        <w:rPr>
          <w:rFonts w:hint="default" w:ascii="Times New Roman" w:hAnsi="Times New Roman" w:cs="Times New Roman"/>
          <w:color w:val="auto"/>
          <w:kern w:val="0"/>
          <w:sz w:val="32"/>
          <w:szCs w:val="20"/>
          <w:highlight w:val="none"/>
        </w:rPr>
      </w:pPr>
      <w:r>
        <w:rPr>
          <w:rFonts w:hint="default" w:ascii="Times New Roman" w:hAnsi="Times New Roman" w:eastAsia="仿宋_GB2312" w:cs="Times New Roman"/>
          <w:color w:val="auto"/>
          <w:kern w:val="0"/>
          <w:sz w:val="32"/>
          <w:szCs w:val="20"/>
          <w:highlight w:val="none"/>
        </w:rPr>
        <w:t>“十四五”时期，统筹推进“五位一体”总体布局，协调推进“四个全面”战略布局，坚定不移贯彻新发展理念，坚持稳中求进工作总基调，以推动高质量发展为主题，以深化供给侧结构性改革为主线，以改革创新为根本动力，以满足人民日益增长的美好生活需要为根本目的，坚决守好促进民族团结、维护政治安全、改善生态环境“三条生命线”，主动融入</w:t>
      </w:r>
      <w:r>
        <w:rPr>
          <w:rFonts w:hint="eastAsia" w:cs="Times New Roman"/>
          <w:color w:val="auto"/>
          <w:kern w:val="0"/>
          <w:sz w:val="32"/>
          <w:szCs w:val="20"/>
          <w:highlight w:val="none"/>
          <w:lang w:eastAsia="zh-CN"/>
        </w:rPr>
        <w:t>以</w:t>
      </w:r>
      <w:r>
        <w:rPr>
          <w:rFonts w:hint="default" w:ascii="Times New Roman" w:hAnsi="Times New Roman" w:eastAsia="仿宋_GB2312" w:cs="Times New Roman"/>
          <w:color w:val="auto"/>
          <w:kern w:val="0"/>
          <w:sz w:val="32"/>
          <w:szCs w:val="20"/>
          <w:highlight w:val="none"/>
        </w:rPr>
        <w:t>国内大循环为主体、国内国际双循环相互促进的新发展格局，推进治理体系和治理能力现代化，抢抓宁夏建设黄河流域生态保护和高质量发展先行区机遇，以“一带两廊”发展布局为统领，重点推动工业转型、乡村振兴、全域旅游发展，探索富有地域特色的高质量发展新路子，确保社会主义现代化建设新征程开好局起好步，全力打造黄河流域生态保护和高质量发展示范区、黄河流域乡村振兴先行区和国家全域旅游示范区，努力建设好经济繁荣民族团结环境优美人民富裕的美丽新中卫。</w:t>
      </w:r>
    </w:p>
    <w:p>
      <w:pPr>
        <w:pStyle w:val="6"/>
        <w:spacing w:before="120" w:beforeLines="50"/>
        <w:rPr>
          <w:rFonts w:hint="default" w:ascii="Times New Roman" w:hAnsi="Times New Roman" w:eastAsia="楷体_GB2312" w:cs="Times New Roman"/>
          <w:color w:val="auto"/>
          <w:highlight w:val="none"/>
        </w:rPr>
      </w:pPr>
      <w:bookmarkStart w:id="288" w:name="_Toc25545"/>
      <w:bookmarkStart w:id="289" w:name="_Toc8074"/>
      <w:bookmarkStart w:id="290" w:name="_Toc10605"/>
      <w:bookmarkStart w:id="291" w:name="_Toc27663"/>
      <w:bookmarkStart w:id="292" w:name="_Toc13630"/>
      <w:bookmarkStart w:id="293" w:name="_Toc23259"/>
      <w:bookmarkStart w:id="294" w:name="_Toc2718"/>
      <w:r>
        <w:rPr>
          <w:rFonts w:hint="default" w:ascii="Times New Roman" w:hAnsi="Times New Roman" w:eastAsia="楷体_GB2312" w:cs="Times New Roman"/>
          <w:color w:val="auto"/>
          <w:highlight w:val="none"/>
        </w:rPr>
        <w:t>4.2国民经济发展趋势</w:t>
      </w:r>
      <w:bookmarkEnd w:id="283"/>
      <w:bookmarkEnd w:id="284"/>
      <w:bookmarkEnd w:id="285"/>
      <w:bookmarkEnd w:id="288"/>
      <w:bookmarkEnd w:id="289"/>
      <w:bookmarkEnd w:id="290"/>
      <w:bookmarkEnd w:id="291"/>
      <w:bookmarkEnd w:id="292"/>
      <w:bookmarkEnd w:id="293"/>
      <w:bookmarkEnd w:id="294"/>
    </w:p>
    <w:p>
      <w:pPr>
        <w:pStyle w:val="7"/>
        <w:spacing w:before="0"/>
        <w:rPr>
          <w:rFonts w:hint="default" w:ascii="Times New Roman" w:hAnsi="Times New Roman" w:eastAsia="仿宋_GB2312" w:cs="Times New Roman"/>
          <w:bCs/>
          <w:color w:val="auto"/>
          <w:kern w:val="2"/>
          <w:highlight w:val="none"/>
        </w:rPr>
      </w:pPr>
      <w:bookmarkStart w:id="295" w:name="_Toc265"/>
      <w:bookmarkStart w:id="296" w:name="_Toc31336"/>
      <w:bookmarkStart w:id="297" w:name="_Toc4384"/>
      <w:bookmarkStart w:id="298" w:name="_Toc4977"/>
      <w:bookmarkStart w:id="299" w:name="_Toc3402"/>
      <w:bookmarkStart w:id="300" w:name="_Toc30032"/>
      <w:bookmarkStart w:id="301" w:name="_Toc3333"/>
      <w:bookmarkStart w:id="302" w:name="_Toc22169"/>
      <w:r>
        <w:rPr>
          <w:rFonts w:hint="default" w:ascii="Times New Roman" w:hAnsi="Times New Roman" w:eastAsia="仿宋_GB2312" w:cs="Times New Roman"/>
          <w:bCs/>
          <w:color w:val="auto"/>
          <w:kern w:val="2"/>
          <w:highlight w:val="none"/>
        </w:rPr>
        <w:t>4.2.1人口及城市化率</w:t>
      </w:r>
      <w:bookmarkEnd w:id="295"/>
      <w:bookmarkEnd w:id="296"/>
      <w:bookmarkEnd w:id="297"/>
      <w:bookmarkEnd w:id="298"/>
      <w:bookmarkEnd w:id="299"/>
      <w:bookmarkEnd w:id="300"/>
      <w:bookmarkEnd w:id="301"/>
      <w:bookmarkEnd w:id="302"/>
    </w:p>
    <w:p>
      <w:pPr>
        <w:pStyle w:val="8"/>
        <w:rPr>
          <w:rFonts w:hint="default" w:ascii="Times New Roman" w:hAnsi="Times New Roman" w:eastAsia="仿宋_GB2312" w:cs="Times New Roman"/>
          <w:b w:val="0"/>
          <w:bCs w:val="0"/>
          <w:color w:val="auto"/>
          <w:szCs w:val="32"/>
          <w:highlight w:val="none"/>
        </w:rPr>
      </w:pPr>
      <w:r>
        <w:rPr>
          <w:rFonts w:hint="default" w:ascii="Times New Roman" w:hAnsi="Times New Roman" w:eastAsia="仿宋_GB2312" w:cs="Times New Roman"/>
          <w:color w:val="auto"/>
          <w:highlight w:val="none"/>
        </w:rPr>
        <w:t>4.2.1.1人口现状及城市化率变化趋势分析</w:t>
      </w:r>
    </w:p>
    <w:p>
      <w:pPr>
        <w:rPr>
          <w:rFonts w:hint="default" w:ascii="Times New Roman" w:hAnsi="Times New Roman" w:eastAsia="仿宋_GB2312" w:cs="Times New Roman"/>
          <w:color w:val="auto"/>
          <w:kern w:val="0"/>
          <w:sz w:val="32"/>
          <w:szCs w:val="20"/>
          <w:highlight w:val="none"/>
        </w:rPr>
      </w:pPr>
      <w:r>
        <w:rPr>
          <w:rFonts w:hint="default" w:ascii="Times New Roman" w:hAnsi="Times New Roman" w:eastAsia="仿宋_GB2312" w:cs="Times New Roman"/>
          <w:color w:val="auto"/>
          <w:kern w:val="0"/>
          <w:sz w:val="32"/>
          <w:szCs w:val="20"/>
          <w:highlight w:val="none"/>
        </w:rPr>
        <w:t>根据《2011</w:t>
      </w:r>
      <w:r>
        <w:rPr>
          <w:rFonts w:hint="default" w:ascii="Times New Roman" w:hAnsi="Times New Roman" w:eastAsia="仿宋_GB2312" w:cs="Times New Roman"/>
          <w:color w:val="auto"/>
          <w:kern w:val="0"/>
          <w:sz w:val="32"/>
          <w:szCs w:val="20"/>
          <w:highlight w:val="none"/>
          <w:lang w:val="en-US" w:eastAsia="zh-CN"/>
        </w:rPr>
        <w:t>-</w:t>
      </w:r>
      <w:r>
        <w:rPr>
          <w:rFonts w:hint="default" w:ascii="Times New Roman" w:hAnsi="Times New Roman" w:eastAsia="仿宋_GB2312" w:cs="Times New Roman"/>
          <w:color w:val="auto"/>
          <w:kern w:val="0"/>
          <w:sz w:val="32"/>
          <w:szCs w:val="20"/>
          <w:highlight w:val="none"/>
        </w:rPr>
        <w:t>2020年中卫市统计年鉴》分析，近5年自然增长率为6.94‰，近10年自然增长率为6.94‰，基本平稳。2020年末沙坡头区总人口41.68万人，城镇人口23.19万人，城镇化率56%，详见表4.2-1</w:t>
      </w:r>
      <w:r>
        <w:rPr>
          <w:rFonts w:hint="default" w:ascii="Times New Roman" w:hAnsi="Times New Roman" w:cs="Times New Roman"/>
          <w:color w:val="auto"/>
          <w:kern w:val="0"/>
          <w:sz w:val="32"/>
          <w:szCs w:val="20"/>
          <w:highlight w:val="none"/>
          <w:lang w:eastAsia="zh-CN"/>
        </w:rPr>
        <w:t>所示</w:t>
      </w:r>
      <w:r>
        <w:rPr>
          <w:rFonts w:hint="default" w:ascii="Times New Roman" w:hAnsi="Times New Roman" w:eastAsia="仿宋_GB2312" w:cs="Times New Roman"/>
          <w:color w:val="auto"/>
          <w:kern w:val="0"/>
          <w:sz w:val="32"/>
          <w:szCs w:val="20"/>
          <w:highlight w:val="none"/>
        </w:rPr>
        <w:t>，变化趋势见图4.2-1所示。</w:t>
      </w:r>
    </w:p>
    <w:p>
      <w:pPr>
        <w:pStyle w:val="22"/>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表4.2-1</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2011</w:t>
      </w:r>
      <w:r>
        <w:rPr>
          <w:rFonts w:hint="default" w:ascii="Times New Roman" w:hAnsi="Times New Roman" w:eastAsia="方正小标宋_GBK" w:cs="Times New Roman"/>
          <w:b w:val="0"/>
          <w:bCs w:val="0"/>
          <w:color w:val="auto"/>
          <w:sz w:val="32"/>
          <w:szCs w:val="32"/>
          <w:highlight w:val="none"/>
          <w:lang w:val="en-US" w:eastAsia="zh-CN"/>
        </w:rPr>
        <w:t>-</w:t>
      </w:r>
      <w:r>
        <w:rPr>
          <w:rFonts w:hint="default" w:ascii="Times New Roman" w:hAnsi="Times New Roman" w:eastAsia="方正小标宋_GBK" w:cs="Times New Roman"/>
          <w:b w:val="0"/>
          <w:bCs w:val="0"/>
          <w:color w:val="auto"/>
          <w:sz w:val="32"/>
          <w:szCs w:val="32"/>
          <w:highlight w:val="none"/>
        </w:rPr>
        <w:t>2020年沙坡头区人口信息统计表</w:t>
      </w:r>
      <w:r>
        <w:rPr>
          <w:rFonts w:hint="default" w:ascii="Times New Roman" w:hAnsi="Times New Roman" w:eastAsia="仿宋_GB2312" w:cs="Times New Roman"/>
          <w:bCs/>
          <w:color w:val="auto"/>
          <w:szCs w:val="24"/>
          <w:highlight w:val="none"/>
        </w:rPr>
        <w:t xml:space="preserve">     </w:t>
      </w:r>
    </w:p>
    <w:p>
      <w:pPr>
        <w:pStyle w:val="22"/>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lang w:val="en-US" w:eastAsia="zh-CN"/>
        </w:rPr>
        <w:t xml:space="preserve">                                                                      </w:t>
      </w:r>
      <w:r>
        <w:rPr>
          <w:rFonts w:hint="default" w:ascii="Times New Roman" w:hAnsi="Times New Roman" w:eastAsia="仿宋_GB2312" w:cs="Times New Roman"/>
          <w:b w:val="0"/>
          <w:bCs w:val="0"/>
          <w:color w:val="auto"/>
          <w:sz w:val="21"/>
          <w:szCs w:val="21"/>
          <w:highlight w:val="none"/>
        </w:rPr>
        <w:t>单位：人、%、‰</w:t>
      </w:r>
    </w:p>
    <w:tbl>
      <w:tblPr>
        <w:tblStyle w:val="18"/>
        <w:tblW w:w="901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501"/>
        <w:gridCol w:w="1503"/>
        <w:gridCol w:w="1503"/>
        <w:gridCol w:w="1504"/>
        <w:gridCol w:w="15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jc w:val="center"/>
        </w:trPr>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b/>
                <w:bCs/>
                <w:color w:val="auto"/>
                <w:sz w:val="24"/>
                <w:szCs w:val="36"/>
                <w:highlight w:val="none"/>
                <w:vertAlign w:val="baseline"/>
              </w:rPr>
            </w:pPr>
            <w:r>
              <w:rPr>
                <w:rFonts w:hint="default" w:ascii="Times New Roman" w:hAnsi="Times New Roman" w:eastAsia="仿宋_GB2312" w:cs="Times New Roman"/>
                <w:b/>
                <w:bCs/>
                <w:color w:val="auto"/>
                <w:kern w:val="2"/>
                <w:sz w:val="24"/>
                <w:szCs w:val="24"/>
                <w:highlight w:val="none"/>
                <w:lang w:val="en-US"/>
              </w:rPr>
              <w:t>年份</w:t>
            </w:r>
          </w:p>
        </w:tc>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b/>
                <w:bCs/>
                <w:color w:val="auto"/>
                <w:sz w:val="24"/>
                <w:szCs w:val="36"/>
                <w:highlight w:val="none"/>
                <w:vertAlign w:val="baseline"/>
              </w:rPr>
            </w:pPr>
            <w:r>
              <w:rPr>
                <w:rFonts w:hint="default" w:ascii="Times New Roman" w:hAnsi="Times New Roman" w:eastAsia="仿宋_GB2312" w:cs="Times New Roman"/>
                <w:b/>
                <w:bCs/>
                <w:color w:val="auto"/>
                <w:kern w:val="2"/>
                <w:sz w:val="24"/>
                <w:szCs w:val="24"/>
                <w:highlight w:val="none"/>
                <w:lang w:val="en-US"/>
              </w:rPr>
              <w:t>人口</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b/>
                <w:bCs/>
                <w:color w:val="auto"/>
                <w:sz w:val="24"/>
                <w:szCs w:val="36"/>
                <w:highlight w:val="none"/>
                <w:vertAlign w:val="baseline"/>
              </w:rPr>
            </w:pPr>
            <w:r>
              <w:rPr>
                <w:rFonts w:hint="default" w:ascii="Times New Roman" w:hAnsi="Times New Roman" w:eastAsia="仿宋_GB2312" w:cs="Times New Roman"/>
                <w:b/>
                <w:bCs/>
                <w:color w:val="auto"/>
                <w:kern w:val="2"/>
                <w:sz w:val="24"/>
                <w:szCs w:val="24"/>
                <w:highlight w:val="none"/>
                <w:lang w:val="en-US"/>
              </w:rPr>
              <w:t>农业人口</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b/>
                <w:bCs/>
                <w:color w:val="auto"/>
                <w:sz w:val="24"/>
                <w:szCs w:val="36"/>
                <w:highlight w:val="none"/>
                <w:vertAlign w:val="baseline"/>
              </w:rPr>
            </w:pPr>
            <w:r>
              <w:rPr>
                <w:rFonts w:hint="default" w:ascii="Times New Roman" w:hAnsi="Times New Roman" w:eastAsia="仿宋_GB2312" w:cs="Times New Roman"/>
                <w:b/>
                <w:bCs/>
                <w:color w:val="auto"/>
                <w:kern w:val="2"/>
                <w:sz w:val="24"/>
                <w:szCs w:val="24"/>
                <w:highlight w:val="none"/>
                <w:lang w:val="en-US"/>
              </w:rPr>
              <w:t>城镇人口</w:t>
            </w:r>
          </w:p>
        </w:tc>
        <w:tc>
          <w:tcPr>
            <w:tcW w:w="1504"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b/>
                <w:bCs/>
                <w:color w:val="auto"/>
                <w:sz w:val="24"/>
                <w:szCs w:val="36"/>
                <w:highlight w:val="none"/>
                <w:vertAlign w:val="baseline"/>
              </w:rPr>
            </w:pPr>
            <w:r>
              <w:rPr>
                <w:rFonts w:hint="default" w:ascii="Times New Roman" w:hAnsi="Times New Roman" w:eastAsia="仿宋_GB2312" w:cs="Times New Roman"/>
                <w:b/>
                <w:bCs/>
                <w:color w:val="auto"/>
                <w:kern w:val="2"/>
                <w:sz w:val="24"/>
                <w:szCs w:val="24"/>
                <w:highlight w:val="none"/>
                <w:lang w:val="en-US"/>
              </w:rPr>
              <w:t>城镇化率</w:t>
            </w:r>
          </w:p>
        </w:tc>
        <w:tc>
          <w:tcPr>
            <w:tcW w:w="1506"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b/>
                <w:bCs/>
                <w:color w:val="auto"/>
                <w:sz w:val="24"/>
                <w:szCs w:val="36"/>
                <w:highlight w:val="none"/>
                <w:vertAlign w:val="baseline"/>
              </w:rPr>
            </w:pPr>
            <w:r>
              <w:rPr>
                <w:rFonts w:hint="default" w:ascii="Times New Roman" w:hAnsi="Times New Roman" w:eastAsia="仿宋_GB2312" w:cs="Times New Roman"/>
                <w:b/>
                <w:bCs/>
                <w:color w:val="auto"/>
                <w:kern w:val="2"/>
                <w:sz w:val="24"/>
                <w:szCs w:val="24"/>
                <w:highlight w:val="none"/>
                <w:lang w:val="en-US"/>
              </w:rPr>
              <w:t>自然增长率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jc w:val="center"/>
        </w:trPr>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2011</w:t>
            </w:r>
          </w:p>
        </w:tc>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395899</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255840</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140059</w:t>
            </w:r>
          </w:p>
        </w:tc>
        <w:tc>
          <w:tcPr>
            <w:tcW w:w="1504"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35%</w:t>
            </w:r>
          </w:p>
        </w:tc>
        <w:tc>
          <w:tcPr>
            <w:tcW w:w="1506"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5.78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jc w:val="center"/>
        </w:trPr>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2012</w:t>
            </w:r>
          </w:p>
        </w:tc>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397175</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244490</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152685</w:t>
            </w:r>
          </w:p>
        </w:tc>
        <w:tc>
          <w:tcPr>
            <w:tcW w:w="1504"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38%</w:t>
            </w:r>
          </w:p>
        </w:tc>
        <w:tc>
          <w:tcPr>
            <w:tcW w:w="1506"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7.01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jc w:val="center"/>
        </w:trPr>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2013</w:t>
            </w:r>
          </w:p>
        </w:tc>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403274</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250567</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152707</w:t>
            </w:r>
          </w:p>
        </w:tc>
        <w:tc>
          <w:tcPr>
            <w:tcW w:w="1504"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38%</w:t>
            </w:r>
          </w:p>
        </w:tc>
        <w:tc>
          <w:tcPr>
            <w:tcW w:w="1506"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7.51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jc w:val="center"/>
        </w:trPr>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2014</w:t>
            </w:r>
          </w:p>
        </w:tc>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405386</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250359</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155027</w:t>
            </w:r>
          </w:p>
        </w:tc>
        <w:tc>
          <w:tcPr>
            <w:tcW w:w="1504"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38%</w:t>
            </w:r>
          </w:p>
        </w:tc>
        <w:tc>
          <w:tcPr>
            <w:tcW w:w="1506"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8.14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jc w:val="center"/>
        </w:trPr>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2015</w:t>
            </w:r>
          </w:p>
        </w:tc>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406426</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251443</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154983</w:t>
            </w:r>
          </w:p>
        </w:tc>
        <w:tc>
          <w:tcPr>
            <w:tcW w:w="1504"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38%</w:t>
            </w:r>
          </w:p>
        </w:tc>
        <w:tc>
          <w:tcPr>
            <w:tcW w:w="1506"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6.72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jc w:val="center"/>
        </w:trPr>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2016</w:t>
            </w:r>
          </w:p>
        </w:tc>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405420</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226950</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178470</w:t>
            </w:r>
          </w:p>
        </w:tc>
        <w:tc>
          <w:tcPr>
            <w:tcW w:w="1504"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44%</w:t>
            </w:r>
          </w:p>
        </w:tc>
        <w:tc>
          <w:tcPr>
            <w:tcW w:w="1506"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6.13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jc w:val="center"/>
        </w:trPr>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2017</w:t>
            </w:r>
          </w:p>
        </w:tc>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409269</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228713</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180556</w:t>
            </w:r>
          </w:p>
        </w:tc>
        <w:tc>
          <w:tcPr>
            <w:tcW w:w="1504"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44%</w:t>
            </w:r>
          </w:p>
        </w:tc>
        <w:tc>
          <w:tcPr>
            <w:tcW w:w="1506"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6.89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jc w:val="center"/>
        </w:trPr>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2018</w:t>
            </w:r>
          </w:p>
        </w:tc>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412547</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233252</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179295</w:t>
            </w:r>
          </w:p>
        </w:tc>
        <w:tc>
          <w:tcPr>
            <w:tcW w:w="1504"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43%</w:t>
            </w:r>
          </w:p>
        </w:tc>
        <w:tc>
          <w:tcPr>
            <w:tcW w:w="1506"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7.28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jc w:val="center"/>
        </w:trPr>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2019</w:t>
            </w:r>
          </w:p>
        </w:tc>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414200</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179000</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235200</w:t>
            </w:r>
          </w:p>
        </w:tc>
        <w:tc>
          <w:tcPr>
            <w:tcW w:w="1504"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57%</w:t>
            </w:r>
          </w:p>
        </w:tc>
        <w:tc>
          <w:tcPr>
            <w:tcW w:w="1506"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7.68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jc w:val="center"/>
        </w:trPr>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2020</w:t>
            </w:r>
          </w:p>
        </w:tc>
        <w:tc>
          <w:tcPr>
            <w:tcW w:w="1501"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416800</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184900</w:t>
            </w:r>
          </w:p>
        </w:tc>
        <w:tc>
          <w:tcPr>
            <w:tcW w:w="1503"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231900</w:t>
            </w:r>
          </w:p>
        </w:tc>
        <w:tc>
          <w:tcPr>
            <w:tcW w:w="1504"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56%</w:t>
            </w:r>
          </w:p>
        </w:tc>
        <w:tc>
          <w:tcPr>
            <w:tcW w:w="1506" w:type="dxa"/>
            <w:vAlign w:val="center"/>
          </w:tcPr>
          <w:p>
            <w:pPr>
              <w:pStyle w:val="24"/>
              <w:keepNext w:val="0"/>
              <w:keepLines w:val="0"/>
              <w:pageBreakBefore w:val="0"/>
              <w:widowControl w:val="0"/>
              <w:kinsoku/>
              <w:wordWrap/>
              <w:overflowPunct/>
              <w:autoSpaceDE/>
              <w:autoSpaceDN/>
              <w:bidi w:val="0"/>
              <w:adjustRightInd w:val="0"/>
              <w:snapToGrid w:val="0"/>
              <w:spacing w:after="0"/>
              <w:ind w:left="0" w:leftChars="0" w:firstLine="0" w:firstLineChars="0"/>
              <w:textAlignment w:val="auto"/>
              <w:rPr>
                <w:rFonts w:hint="default" w:ascii="Times New Roman" w:hAnsi="Times New Roman" w:cs="Times New Roman"/>
                <w:color w:val="auto"/>
                <w:sz w:val="24"/>
                <w:szCs w:val="36"/>
                <w:highlight w:val="none"/>
                <w:vertAlign w:val="baseline"/>
              </w:rPr>
            </w:pPr>
            <w:r>
              <w:rPr>
                <w:rFonts w:hint="default" w:ascii="Times New Roman" w:hAnsi="Times New Roman" w:eastAsia="仿宋" w:cs="Times New Roman"/>
                <w:color w:val="auto"/>
                <w:sz w:val="24"/>
                <w:szCs w:val="36"/>
                <w:highlight w:val="none"/>
              </w:rPr>
              <w:t>6.24</w:t>
            </w:r>
          </w:p>
        </w:tc>
      </w:tr>
    </w:tbl>
    <w:p>
      <w:pPr>
        <w:pStyle w:val="22"/>
        <w:keepNext w:val="0"/>
        <w:keepLines w:val="0"/>
        <w:pageBreakBefore w:val="0"/>
        <w:widowControl w:val="0"/>
        <w:kinsoku/>
        <w:wordWrap/>
        <w:overflowPunct/>
        <w:autoSpaceDE/>
        <w:autoSpaceDN/>
        <w:bidi w:val="0"/>
        <w:adjustRightInd w:val="0"/>
        <w:snapToGrid w:val="0"/>
        <w:textAlignment w:val="auto"/>
        <w:rPr>
          <w:rFonts w:hint="default" w:ascii="Times New Roman" w:hAnsi="Times New Roman" w:eastAsia="仿宋_GB2312" w:cs="Times New Roman"/>
          <w:bCs/>
          <w:color w:val="auto"/>
          <w:szCs w:val="24"/>
          <w:highlight w:val="none"/>
        </w:rPr>
      </w:pPr>
      <w:r>
        <w:rPr>
          <w:rFonts w:hint="default" w:ascii="Times New Roman" w:hAnsi="Times New Roman" w:cs="Times New Roman"/>
          <w:color w:val="auto"/>
          <w:highlight w:val="none"/>
        </w:rPr>
        <w:drawing>
          <wp:inline distT="0" distB="0" distL="114300" distR="114300">
            <wp:extent cx="5499100" cy="3399790"/>
            <wp:effectExtent l="0" t="0" r="6350" b="10160"/>
            <wp:docPr id="7" name="图片 4"/>
            <wp:cNvGraphicFramePr/>
            <a:graphic xmlns:a="http://schemas.openxmlformats.org/drawingml/2006/main">
              <a:graphicData uri="http://schemas.openxmlformats.org/drawingml/2006/picture">
                <pic:pic xmlns:pic="http://schemas.openxmlformats.org/drawingml/2006/picture">
                  <pic:nvPicPr>
                    <pic:cNvPr id="7" name="图片 4"/>
                    <pic:cNvPicPr/>
                  </pic:nvPicPr>
                  <pic:blipFill>
                    <a:blip r:embed="rId18"/>
                    <a:srcRect t="26779"/>
                    <a:stretch>
                      <a:fillRect/>
                    </a:stretch>
                  </pic:blipFill>
                  <pic:spPr>
                    <a:xfrm>
                      <a:off x="0" y="0"/>
                      <a:ext cx="5499100" cy="3399790"/>
                    </a:xfrm>
                    <a:prstGeom prst="rect">
                      <a:avLst/>
                    </a:prstGeom>
                    <a:noFill/>
                    <a:ln>
                      <a:noFill/>
                    </a:ln>
                  </pic:spPr>
                </pic:pic>
              </a:graphicData>
            </a:graphic>
          </wp:inline>
        </w:drawing>
      </w:r>
    </w:p>
    <w:p>
      <w:pPr>
        <w:pStyle w:val="22"/>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图4.2-1  2011</w:t>
      </w:r>
      <w:r>
        <w:rPr>
          <w:rFonts w:hint="default"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rPr>
        <w:t>2020年沙坡头区人口变化趋势图</w:t>
      </w:r>
    </w:p>
    <w:p>
      <w:pPr>
        <w:pStyle w:val="8"/>
        <w:rPr>
          <w:rFonts w:hint="default" w:ascii="Times New Roman" w:hAnsi="Times New Roman" w:eastAsia="仿宋_GB2312" w:cs="Times New Roman"/>
          <w:color w:val="auto"/>
          <w:highlight w:val="none"/>
        </w:rPr>
      </w:pPr>
      <w:bookmarkStart w:id="303" w:name="_Toc35737471"/>
      <w:bookmarkStart w:id="304" w:name="_Toc35707084"/>
      <w:bookmarkStart w:id="305" w:name="_Toc35737350"/>
      <w:bookmarkStart w:id="306" w:name="_Toc37839811"/>
      <w:r>
        <w:rPr>
          <w:rFonts w:hint="default" w:ascii="Times New Roman" w:hAnsi="Times New Roman" w:eastAsia="仿宋_GB2312" w:cs="Times New Roman"/>
          <w:color w:val="auto"/>
          <w:highlight w:val="none"/>
          <w:lang w:eastAsia="zh-CN"/>
        </w:rPr>
        <w:t>4</w:t>
      </w:r>
      <w:r>
        <w:rPr>
          <w:rFonts w:hint="default" w:ascii="Times New Roman" w:hAnsi="Times New Roman" w:eastAsia="仿宋_GB2312" w:cs="Times New Roman"/>
          <w:color w:val="auto"/>
          <w:highlight w:val="none"/>
          <w:lang w:val="en-US" w:eastAsia="zh-CN"/>
        </w:rPr>
        <w:t>.2.1.2</w:t>
      </w:r>
      <w:r>
        <w:rPr>
          <w:rFonts w:hint="default" w:ascii="Times New Roman" w:hAnsi="Times New Roman" w:eastAsia="仿宋_GB2312" w:cs="Times New Roman"/>
          <w:color w:val="auto"/>
          <w:highlight w:val="none"/>
        </w:rPr>
        <w:t>变化特征</w:t>
      </w:r>
      <w:bookmarkEnd w:id="303"/>
      <w:bookmarkEnd w:id="304"/>
      <w:bookmarkEnd w:id="305"/>
      <w:bookmarkEnd w:id="306"/>
    </w:p>
    <w:p>
      <w:pPr>
        <w:rPr>
          <w:rFonts w:hint="default" w:ascii="Times New Roman" w:hAnsi="Times New Roman" w:eastAsia="仿宋_GB2312" w:cs="Times New Roman"/>
          <w:color w:val="auto"/>
          <w:kern w:val="0"/>
          <w:sz w:val="32"/>
          <w:szCs w:val="20"/>
          <w:highlight w:val="none"/>
        </w:rPr>
      </w:pPr>
      <w:r>
        <w:rPr>
          <w:rFonts w:hint="default" w:ascii="Times New Roman" w:hAnsi="Times New Roman" w:eastAsia="仿宋_GB2312" w:cs="Times New Roman"/>
          <w:color w:val="auto"/>
          <w:kern w:val="0"/>
          <w:sz w:val="32"/>
          <w:szCs w:val="20"/>
          <w:highlight w:val="none"/>
        </w:rPr>
        <w:t>沙坡头区近年来的人口自然增长率总体呈下降趋势。人口自然增长率从8.96‰，下降至6.94‰，人口增速呈明显的下降趋势，近期更为明显。随着人口增速下降，老龄化程度逐步提高。</w:t>
      </w:r>
    </w:p>
    <w:p>
      <w:pPr>
        <w:pStyle w:val="8"/>
        <w:rPr>
          <w:rFonts w:hint="default" w:ascii="Times New Roman" w:hAnsi="Times New Roman" w:eastAsia="仿宋_GB2312" w:cs="Times New Roman"/>
          <w:color w:val="auto"/>
          <w:highlight w:val="none"/>
          <w:lang w:eastAsia="zh-CN"/>
        </w:rPr>
      </w:pPr>
      <w:bookmarkStart w:id="307" w:name="_Toc16057"/>
      <w:bookmarkStart w:id="308" w:name="_Toc17194"/>
      <w:bookmarkStart w:id="309" w:name="_Toc26212"/>
      <w:bookmarkStart w:id="310" w:name="_Toc11844"/>
      <w:bookmarkStart w:id="311" w:name="_Toc25325"/>
      <w:bookmarkStart w:id="312" w:name="_Toc16561"/>
      <w:bookmarkStart w:id="313" w:name="_Toc18110"/>
      <w:bookmarkStart w:id="314" w:name="_Toc15404"/>
      <w:r>
        <w:rPr>
          <w:rFonts w:hint="default" w:ascii="Times New Roman" w:hAnsi="Times New Roman" w:eastAsia="仿宋_GB2312" w:cs="Times New Roman"/>
          <w:color w:val="auto"/>
          <w:highlight w:val="none"/>
          <w:lang w:eastAsia="zh-CN"/>
        </w:rPr>
        <w:t>4.2.2变化趋势分析</w:t>
      </w:r>
      <w:bookmarkEnd w:id="307"/>
      <w:bookmarkEnd w:id="308"/>
      <w:bookmarkEnd w:id="309"/>
    </w:p>
    <w:p>
      <w:pPr>
        <w:pStyle w:val="8"/>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eastAsia="zh-CN"/>
        </w:rPr>
        <w:t>4</w:t>
      </w:r>
      <w:r>
        <w:rPr>
          <w:rFonts w:hint="default" w:ascii="Times New Roman" w:hAnsi="Times New Roman" w:eastAsia="仿宋_GB2312" w:cs="Times New Roman"/>
          <w:color w:val="auto"/>
          <w:highlight w:val="none"/>
          <w:lang w:val="en-US" w:eastAsia="zh-CN"/>
        </w:rPr>
        <w:t>.2.2.1</w:t>
      </w:r>
      <w:r>
        <w:rPr>
          <w:rFonts w:hint="default" w:ascii="Times New Roman" w:hAnsi="Times New Roman" w:eastAsia="仿宋_GB2312" w:cs="Times New Roman"/>
          <w:color w:val="auto"/>
          <w:highlight w:val="none"/>
          <w:lang w:eastAsia="zh-CN"/>
        </w:rPr>
        <w:t>灌溉面积及种植结构</w:t>
      </w:r>
    </w:p>
    <w:p>
      <w:pPr>
        <w:rPr>
          <w:rFonts w:hint="default" w:ascii="Times New Roman" w:hAnsi="Times New Roman" w:eastAsia="仿宋_GB2312" w:cs="Times New Roman"/>
          <w:color w:val="auto"/>
          <w:kern w:val="0"/>
          <w:sz w:val="32"/>
          <w:szCs w:val="20"/>
          <w:highlight w:val="none"/>
        </w:rPr>
      </w:pPr>
      <w:r>
        <w:rPr>
          <w:rFonts w:hint="default" w:ascii="Times New Roman" w:hAnsi="Times New Roman" w:eastAsia="仿宋_GB2312" w:cs="Times New Roman"/>
          <w:color w:val="auto"/>
          <w:kern w:val="0"/>
          <w:sz w:val="32"/>
          <w:szCs w:val="20"/>
          <w:highlight w:val="none"/>
        </w:rPr>
        <w:t>沙坡头区的灌溉面积较为稳定，2020年沙坡头区灌溉面积为91.52万亩（含香山兴仁30.5万亩及拉水点灌面积），其中水稻灌溉面积7.35万亩，高效节水灌溉面积42.56万亩（含香山兴仁13.6万亩）。按照近三年实际统计数据分析，水稻、果树及林地呈上升趋势，玉米</w:t>
      </w:r>
      <w:r>
        <w:rPr>
          <w:rFonts w:hint="default" w:ascii="Times New Roman" w:hAnsi="Times New Roman" w:cs="Times New Roman"/>
          <w:color w:val="auto"/>
          <w:kern w:val="0"/>
          <w:sz w:val="32"/>
          <w:szCs w:val="20"/>
          <w:highlight w:val="none"/>
          <w:lang w:eastAsia="zh-CN"/>
        </w:rPr>
        <w:t>、</w:t>
      </w:r>
      <w:r>
        <w:rPr>
          <w:rFonts w:hint="default" w:ascii="Times New Roman" w:hAnsi="Times New Roman" w:eastAsia="仿宋_GB2312" w:cs="Times New Roman"/>
          <w:color w:val="auto"/>
          <w:kern w:val="0"/>
          <w:sz w:val="32"/>
          <w:szCs w:val="20"/>
          <w:highlight w:val="none"/>
        </w:rPr>
        <w:t>枸杞和蔬菜</w:t>
      </w:r>
      <w:r>
        <w:rPr>
          <w:rFonts w:hint="default" w:ascii="Times New Roman" w:hAnsi="Times New Roman" w:cs="Times New Roman"/>
          <w:color w:val="auto"/>
          <w:kern w:val="0"/>
          <w:sz w:val="32"/>
          <w:szCs w:val="20"/>
          <w:highlight w:val="none"/>
          <w:lang w:eastAsia="zh-CN"/>
        </w:rPr>
        <w:t>基本稳定。</w:t>
      </w:r>
    </w:p>
    <w:p>
      <w:pPr>
        <w:rPr>
          <w:rFonts w:hint="default" w:ascii="Times New Roman" w:hAnsi="Times New Roman" w:eastAsia="仿宋_GB2312" w:cs="Times New Roman"/>
          <w:color w:val="auto"/>
          <w:kern w:val="0"/>
          <w:sz w:val="32"/>
          <w:szCs w:val="20"/>
          <w:highlight w:val="none"/>
          <w:lang w:val="en-US"/>
        </w:rPr>
      </w:pPr>
      <w:r>
        <w:rPr>
          <w:rFonts w:hint="default" w:ascii="Times New Roman" w:hAnsi="Times New Roman" w:cs="Times New Roman"/>
          <w:color w:val="auto"/>
          <w:kern w:val="0"/>
          <w:sz w:val="32"/>
          <w:szCs w:val="20"/>
          <w:highlight w:val="none"/>
          <w:lang w:val="en-US" w:eastAsia="zh-CN"/>
        </w:rPr>
        <w:t>2018年沙坡头区不同灌区种植结构统计表，详见表4.2-2所示；2019年沙坡头区不同灌区种植结构统计表，详见表4.2-3所</w:t>
      </w:r>
      <w:r>
        <w:rPr>
          <w:rFonts w:hint="default" w:ascii="Times New Roman" w:hAnsi="Times New Roman" w:cs="Times New Roman"/>
          <w:color w:val="auto"/>
          <w:spacing w:val="-6"/>
          <w:kern w:val="0"/>
          <w:sz w:val="32"/>
          <w:szCs w:val="20"/>
          <w:highlight w:val="none"/>
          <w:lang w:val="en-US" w:eastAsia="zh-CN"/>
        </w:rPr>
        <w:t>示；2020年沙坡头区不同灌区种植结构统计表，详见表4.2-4所示。</w:t>
      </w:r>
    </w:p>
    <w:p>
      <w:pPr>
        <w:pStyle w:val="27"/>
        <w:spacing w:line="560" w:lineRule="exact"/>
        <w:ind w:firstLine="0" w:firstLineChars="0"/>
        <w:rPr>
          <w:rFonts w:hint="default" w:ascii="Times New Roman" w:hAnsi="Times New Roman" w:eastAsia="仿宋_GB2312" w:cs="Times New Roman"/>
          <w:color w:val="auto"/>
          <w:kern w:val="2"/>
          <w:sz w:val="32"/>
          <w:szCs w:val="32"/>
          <w:highlight w:val="none"/>
          <w:lang w:val="en-US"/>
        </w:rPr>
      </w:pPr>
    </w:p>
    <w:p>
      <w:pPr>
        <w:pStyle w:val="27"/>
        <w:spacing w:line="560" w:lineRule="exact"/>
        <w:ind w:firstLine="600"/>
        <w:rPr>
          <w:rFonts w:hint="default" w:ascii="Times New Roman" w:hAnsi="Times New Roman" w:eastAsia="仿宋_GB2312" w:cs="Times New Roman"/>
          <w:color w:val="auto"/>
          <w:kern w:val="2"/>
          <w:sz w:val="32"/>
          <w:szCs w:val="32"/>
          <w:highlight w:val="none"/>
        </w:rPr>
        <w:sectPr>
          <w:headerReference r:id="rId8" w:type="default"/>
          <w:footerReference r:id="rId9" w:type="default"/>
          <w:pgSz w:w="11906" w:h="16838"/>
          <w:pgMar w:top="2098" w:right="1474" w:bottom="1984" w:left="1587" w:header="851" w:footer="1417" w:gutter="0"/>
          <w:pgNumType w:fmt="numberInDash"/>
          <w:cols w:space="720" w:num="1"/>
          <w:rtlGutter w:val="0"/>
          <w:docGrid w:linePitch="312" w:charSpace="0"/>
        </w:sectPr>
      </w:pPr>
    </w:p>
    <w:p>
      <w:pPr>
        <w:pStyle w:val="22"/>
        <w:jc w:val="center"/>
        <w:rPr>
          <w:rFonts w:hint="default" w:ascii="Times New Roman" w:hAnsi="Times New Roman" w:eastAsia="仿宋" w:cs="Times New Roman"/>
          <w:color w:val="auto"/>
          <w:highlight w:val="none"/>
        </w:rPr>
      </w:pPr>
      <w:r>
        <w:rPr>
          <w:rFonts w:hint="default" w:ascii="Times New Roman" w:hAnsi="Times New Roman" w:eastAsia="方正小标宋_GBK" w:cs="Times New Roman"/>
          <w:b w:val="0"/>
          <w:bCs/>
          <w:color w:val="auto"/>
          <w:sz w:val="32"/>
          <w:szCs w:val="32"/>
          <w:highlight w:val="none"/>
          <w:lang w:val="en-US" w:eastAsia="zh-CN"/>
        </w:rPr>
        <w:t xml:space="preserve"> </w:t>
      </w:r>
      <w:r>
        <w:rPr>
          <w:rFonts w:hint="default" w:ascii="Times New Roman" w:hAnsi="Times New Roman" w:eastAsia="方正小标宋_GBK" w:cs="Times New Roman"/>
          <w:b w:val="0"/>
          <w:bCs/>
          <w:color w:val="auto"/>
          <w:sz w:val="32"/>
          <w:szCs w:val="32"/>
          <w:highlight w:val="none"/>
        </w:rPr>
        <w:t>表4.2-</w:t>
      </w:r>
      <w:r>
        <w:rPr>
          <w:rFonts w:hint="default" w:ascii="Times New Roman" w:hAnsi="Times New Roman" w:eastAsia="方正小标宋_GBK" w:cs="Times New Roman"/>
          <w:b w:val="0"/>
          <w:bCs/>
          <w:color w:val="auto"/>
          <w:sz w:val="32"/>
          <w:szCs w:val="32"/>
          <w:highlight w:val="none"/>
          <w:lang w:val="en-US" w:eastAsia="zh-CN"/>
        </w:rPr>
        <w:t xml:space="preserve">2  </w:t>
      </w:r>
      <w:r>
        <w:rPr>
          <w:rFonts w:hint="default" w:ascii="Times New Roman" w:hAnsi="Times New Roman" w:eastAsia="方正小标宋_GBK" w:cs="Times New Roman"/>
          <w:b w:val="0"/>
          <w:bCs/>
          <w:color w:val="auto"/>
          <w:sz w:val="32"/>
          <w:szCs w:val="32"/>
          <w:highlight w:val="none"/>
        </w:rPr>
        <w:t>2018年不同灌区种植结构统计表</w:t>
      </w:r>
    </w:p>
    <w:p>
      <w:pPr>
        <w:pStyle w:val="22"/>
        <w:ind w:firstLine="12810" w:firstLineChars="6100"/>
        <w:jc w:val="left"/>
        <w:rPr>
          <w:rFonts w:hint="default" w:ascii="Times New Roman" w:hAnsi="Times New Roman" w:eastAsia="仿宋_GB2312" w:cs="Times New Roman"/>
          <w:b w:val="0"/>
          <w:bCs/>
          <w:color w:val="auto"/>
          <w:sz w:val="21"/>
          <w:szCs w:val="21"/>
          <w:highlight w:val="none"/>
        </w:rPr>
      </w:pPr>
      <w:r>
        <w:rPr>
          <w:rFonts w:hint="default" w:ascii="Times New Roman" w:hAnsi="Times New Roman" w:eastAsia="仿宋_GB2312" w:cs="Times New Roman"/>
          <w:b w:val="0"/>
          <w:bCs/>
          <w:color w:val="auto"/>
          <w:sz w:val="21"/>
          <w:szCs w:val="21"/>
          <w:highlight w:val="none"/>
        </w:rPr>
        <w:t>单位：亩</w:t>
      </w:r>
    </w:p>
    <w:tbl>
      <w:tblPr>
        <w:tblStyle w:val="17"/>
        <w:tblW w:w="13854"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2054"/>
        <w:gridCol w:w="1295"/>
        <w:gridCol w:w="1295"/>
        <w:gridCol w:w="1297"/>
        <w:gridCol w:w="1297"/>
        <w:gridCol w:w="1297"/>
        <w:gridCol w:w="1297"/>
        <w:gridCol w:w="1426"/>
        <w:gridCol w:w="1298"/>
        <w:gridCol w:w="1298"/>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49" w:hRule="atLeast"/>
          <w:jc w:val="center"/>
        </w:trPr>
        <w:tc>
          <w:tcPr>
            <w:tcW w:w="2054"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_GB2312" w:cs="Times New Roman"/>
                <w:b/>
                <w:bCs/>
                <w:color w:val="auto"/>
                <w:kern w:val="2"/>
                <w:szCs w:val="21"/>
                <w:highlight w:val="none"/>
                <w:lang w:val="en-US" w:eastAsia="zh-CN"/>
              </w:rPr>
              <w:t>灌域</w:t>
            </w:r>
            <w:r>
              <w:rPr>
                <w:rFonts w:hint="default" w:ascii="Times New Roman" w:hAnsi="Times New Roman" w:eastAsia="仿宋_GB2312" w:cs="Times New Roman"/>
                <w:b/>
                <w:bCs/>
                <w:color w:val="auto"/>
                <w:kern w:val="2"/>
                <w:szCs w:val="21"/>
                <w:highlight w:val="none"/>
                <w:lang w:val="en-US"/>
              </w:rPr>
              <w:t>名称</w:t>
            </w:r>
          </w:p>
        </w:tc>
        <w:tc>
          <w:tcPr>
            <w:tcW w:w="129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水稻</w:t>
            </w:r>
          </w:p>
        </w:tc>
        <w:tc>
          <w:tcPr>
            <w:tcW w:w="129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玉米</w:t>
            </w:r>
          </w:p>
        </w:tc>
        <w:tc>
          <w:tcPr>
            <w:tcW w:w="1297"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小麦</w:t>
            </w:r>
          </w:p>
        </w:tc>
        <w:tc>
          <w:tcPr>
            <w:tcW w:w="1297"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枸杞</w:t>
            </w:r>
          </w:p>
        </w:tc>
        <w:tc>
          <w:tcPr>
            <w:tcW w:w="1297"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蔬菜</w:t>
            </w:r>
          </w:p>
        </w:tc>
        <w:tc>
          <w:tcPr>
            <w:tcW w:w="1297"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果树</w:t>
            </w:r>
          </w:p>
        </w:tc>
        <w:tc>
          <w:tcPr>
            <w:tcW w:w="1426"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林地</w:t>
            </w:r>
          </w:p>
        </w:tc>
        <w:tc>
          <w:tcPr>
            <w:tcW w:w="1298"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其他</w:t>
            </w:r>
          </w:p>
        </w:tc>
        <w:tc>
          <w:tcPr>
            <w:tcW w:w="1298"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灌溉面积</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28" w:hRule="atLeast"/>
          <w:jc w:val="center"/>
        </w:trPr>
        <w:tc>
          <w:tcPr>
            <w:tcW w:w="205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美利渠</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39727</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47014</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10581</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3335</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23401</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3169</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3288</w:t>
            </w:r>
          </w:p>
        </w:tc>
        <w:tc>
          <w:tcPr>
            <w:tcW w:w="12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1541</w:t>
            </w:r>
          </w:p>
        </w:tc>
        <w:tc>
          <w:tcPr>
            <w:tcW w:w="1298"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132056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28" w:hRule="atLeast"/>
          <w:jc w:val="center"/>
        </w:trPr>
        <w:tc>
          <w:tcPr>
            <w:tcW w:w="205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北支干渠</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13221</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78552</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800</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3060</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40000</w:t>
            </w:r>
          </w:p>
        </w:tc>
        <w:tc>
          <w:tcPr>
            <w:tcW w:w="12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8"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135633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28" w:hRule="atLeast"/>
          <w:jc w:val="center"/>
        </w:trPr>
        <w:tc>
          <w:tcPr>
            <w:tcW w:w="205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七星渠</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6600</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15600</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2631</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5500</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2235</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600</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2000</w:t>
            </w:r>
          </w:p>
        </w:tc>
        <w:tc>
          <w:tcPr>
            <w:tcW w:w="1298"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35166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28" w:hRule="atLeast"/>
          <w:jc w:val="center"/>
        </w:trPr>
        <w:tc>
          <w:tcPr>
            <w:tcW w:w="205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羚羊角渠</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149</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8587</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30</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298</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8"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9064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28" w:hRule="atLeast"/>
          <w:jc w:val="center"/>
        </w:trPr>
        <w:tc>
          <w:tcPr>
            <w:tcW w:w="205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羚羊寿渠</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6274</w:t>
            </w:r>
          </w:p>
        </w:tc>
        <w:tc>
          <w:tcPr>
            <w:tcW w:w="1295" w:type="dxa"/>
            <w:tcBorders>
              <w:top w:val="nil"/>
              <w:left w:val="nil"/>
              <w:bottom w:val="nil"/>
              <w:right w:val="nil"/>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20076</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230</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390</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325</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1593</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8"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28888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28" w:hRule="atLeast"/>
          <w:jc w:val="center"/>
        </w:trPr>
        <w:tc>
          <w:tcPr>
            <w:tcW w:w="205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南山台子扬水</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81791</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2168</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123688</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11291</w:t>
            </w:r>
          </w:p>
        </w:tc>
        <w:tc>
          <w:tcPr>
            <w:tcW w:w="1298"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201345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28" w:hRule="atLeast"/>
          <w:jc w:val="center"/>
        </w:trPr>
        <w:tc>
          <w:tcPr>
            <w:tcW w:w="205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固海扬水</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6000</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17205</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8"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23205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28" w:hRule="atLeast"/>
          <w:jc w:val="center"/>
        </w:trPr>
        <w:tc>
          <w:tcPr>
            <w:tcW w:w="205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马滩渠</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2500</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4000</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1300</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300</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900</w:t>
            </w:r>
          </w:p>
        </w:tc>
        <w:tc>
          <w:tcPr>
            <w:tcW w:w="1298"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9000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28" w:hRule="atLeast"/>
          <w:jc w:val="center"/>
        </w:trPr>
        <w:tc>
          <w:tcPr>
            <w:tcW w:w="205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碱碱湖扬水干渠</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500</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5000</w:t>
            </w: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2330</w:t>
            </w:r>
          </w:p>
        </w:tc>
        <w:tc>
          <w:tcPr>
            <w:tcW w:w="1298"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7830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28" w:hRule="atLeast"/>
          <w:jc w:val="center"/>
        </w:trPr>
        <w:tc>
          <w:tcPr>
            <w:tcW w:w="205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峡门水库供水</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24000</w:t>
            </w: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251500</w:t>
            </w:r>
          </w:p>
        </w:tc>
        <w:tc>
          <w:tcPr>
            <w:tcW w:w="1298"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275500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28" w:hRule="atLeast"/>
          <w:jc w:val="center"/>
        </w:trPr>
        <w:tc>
          <w:tcPr>
            <w:tcW w:w="205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兴仁香山补灌工程</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29500</w:t>
            </w:r>
          </w:p>
        </w:tc>
        <w:tc>
          <w:tcPr>
            <w:tcW w:w="1298"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29500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28" w:hRule="atLeast"/>
          <w:jc w:val="center"/>
        </w:trPr>
        <w:tc>
          <w:tcPr>
            <w:tcW w:w="205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其他</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4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28000</w:t>
            </w:r>
          </w:p>
        </w:tc>
        <w:tc>
          <w:tcPr>
            <w:tcW w:w="1298"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28000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9" w:hRule="atLeast"/>
          <w:jc w:val="center"/>
        </w:trPr>
        <w:tc>
          <w:tcPr>
            <w:tcW w:w="2054"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小计</w:t>
            </w:r>
          </w:p>
        </w:tc>
        <w:tc>
          <w:tcPr>
            <w:tcW w:w="129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68471</w:t>
            </w:r>
          </w:p>
        </w:tc>
        <w:tc>
          <w:tcPr>
            <w:tcW w:w="129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262120</w:t>
            </w:r>
          </w:p>
        </w:tc>
        <w:tc>
          <w:tcPr>
            <w:tcW w:w="129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16940</w:t>
            </w:r>
          </w:p>
        </w:tc>
        <w:tc>
          <w:tcPr>
            <w:tcW w:w="129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34623</w:t>
            </w:r>
          </w:p>
        </w:tc>
        <w:tc>
          <w:tcPr>
            <w:tcW w:w="129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29021</w:t>
            </w:r>
          </w:p>
        </w:tc>
        <w:tc>
          <w:tcPr>
            <w:tcW w:w="129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151255</w:t>
            </w:r>
          </w:p>
        </w:tc>
        <w:tc>
          <w:tcPr>
            <w:tcW w:w="1426"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43288</w:t>
            </w:r>
          </w:p>
        </w:tc>
        <w:tc>
          <w:tcPr>
            <w:tcW w:w="1298"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327062</w:t>
            </w:r>
          </w:p>
        </w:tc>
        <w:tc>
          <w:tcPr>
            <w:tcW w:w="1298"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915187</w:t>
            </w:r>
          </w:p>
        </w:tc>
      </w:tr>
    </w:tbl>
    <w:p>
      <w:pPr>
        <w:pStyle w:val="24"/>
        <w:ind w:firstLine="422" w:firstLineChars="200"/>
        <w:jc w:val="both"/>
        <w:rPr>
          <w:rFonts w:hint="default" w:ascii="Times New Roman" w:hAnsi="Times New Roman" w:eastAsia="仿宋_GB2312" w:cs="Times New Roman"/>
          <w:b/>
          <w:bCs/>
          <w:color w:val="auto"/>
          <w:kern w:val="2"/>
          <w:sz w:val="24"/>
          <w:szCs w:val="24"/>
          <w:highlight w:val="none"/>
          <w:lang w:val="en-US" w:eastAsia="zh-CN"/>
        </w:rPr>
      </w:pPr>
      <w:r>
        <w:rPr>
          <w:rFonts w:hint="default" w:ascii="Times New Roman" w:hAnsi="Times New Roman" w:eastAsia="仿宋_GB2312" w:cs="Times New Roman"/>
          <w:b/>
          <w:bCs/>
          <w:color w:val="auto"/>
          <w:kern w:val="2"/>
          <w:sz w:val="21"/>
          <w:szCs w:val="21"/>
          <w:highlight w:val="none"/>
          <w:lang w:val="en-US" w:eastAsia="zh-CN"/>
        </w:rPr>
        <w:t>注释：数据主要来源于中卫市扬黄管理部门。</w:t>
      </w:r>
    </w:p>
    <w:p>
      <w:pPr>
        <w:pStyle w:val="22"/>
        <w:jc w:val="center"/>
        <w:rPr>
          <w:rFonts w:hint="default" w:ascii="Times New Roman" w:hAnsi="Times New Roman" w:eastAsia="仿宋" w:cs="Times New Roman"/>
          <w:color w:val="auto"/>
          <w:highlight w:val="none"/>
          <w:lang w:val="en-US" w:eastAsia="zh-CN"/>
        </w:rPr>
      </w:pPr>
      <w:r>
        <w:rPr>
          <w:rFonts w:hint="default" w:ascii="Times New Roman" w:hAnsi="Times New Roman" w:eastAsia="方正小标宋_GBK" w:cs="Times New Roman"/>
          <w:b w:val="0"/>
          <w:bCs/>
          <w:color w:val="auto"/>
          <w:sz w:val="32"/>
          <w:szCs w:val="32"/>
          <w:highlight w:val="none"/>
        </w:rPr>
        <w:t>表4.2-</w:t>
      </w:r>
      <w:r>
        <w:rPr>
          <w:rFonts w:hint="default" w:ascii="Times New Roman" w:hAnsi="Times New Roman" w:eastAsia="方正小标宋_GBK" w:cs="Times New Roman"/>
          <w:b w:val="0"/>
          <w:bCs/>
          <w:color w:val="auto"/>
          <w:sz w:val="32"/>
          <w:szCs w:val="32"/>
          <w:highlight w:val="none"/>
          <w:lang w:val="en-US" w:eastAsia="zh-CN"/>
        </w:rPr>
        <w:t xml:space="preserve">3  </w:t>
      </w:r>
      <w:r>
        <w:rPr>
          <w:rFonts w:hint="default" w:ascii="Times New Roman" w:hAnsi="Times New Roman" w:eastAsia="方正小标宋_GBK" w:cs="Times New Roman"/>
          <w:b w:val="0"/>
          <w:bCs/>
          <w:color w:val="auto"/>
          <w:sz w:val="32"/>
          <w:szCs w:val="32"/>
          <w:highlight w:val="none"/>
        </w:rPr>
        <w:t>2019年不同灌区种植结构统计表</w:t>
      </w:r>
    </w:p>
    <w:p>
      <w:pPr>
        <w:pStyle w:val="22"/>
        <w:ind w:firstLine="12810" w:firstLineChars="6100"/>
        <w:jc w:val="left"/>
        <w:rPr>
          <w:rFonts w:hint="default" w:ascii="Times New Roman" w:hAnsi="Times New Roman" w:eastAsia="仿宋_GB2312" w:cs="Times New Roman"/>
          <w:b w:val="0"/>
          <w:bCs/>
          <w:color w:val="auto"/>
          <w:sz w:val="21"/>
          <w:szCs w:val="21"/>
          <w:highlight w:val="none"/>
        </w:rPr>
      </w:pPr>
      <w:r>
        <w:rPr>
          <w:rFonts w:hint="default" w:ascii="Times New Roman" w:hAnsi="Times New Roman" w:eastAsia="仿宋_GB2312" w:cs="Times New Roman"/>
          <w:b w:val="0"/>
          <w:bCs/>
          <w:color w:val="auto"/>
          <w:sz w:val="21"/>
          <w:szCs w:val="21"/>
          <w:highlight w:val="none"/>
        </w:rPr>
        <w:t>单位：亩</w:t>
      </w:r>
    </w:p>
    <w:tbl>
      <w:tblPr>
        <w:tblStyle w:val="17"/>
        <w:tblW w:w="13832" w:type="dxa"/>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2051"/>
        <w:gridCol w:w="1293"/>
        <w:gridCol w:w="1293"/>
        <w:gridCol w:w="1295"/>
        <w:gridCol w:w="1295"/>
        <w:gridCol w:w="1295"/>
        <w:gridCol w:w="1295"/>
        <w:gridCol w:w="1423"/>
        <w:gridCol w:w="1296"/>
        <w:gridCol w:w="1296"/>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2" w:hRule="atLeast"/>
        </w:trPr>
        <w:tc>
          <w:tcPr>
            <w:tcW w:w="2051"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_GB2312" w:cs="Times New Roman"/>
                <w:b/>
                <w:bCs/>
                <w:color w:val="auto"/>
                <w:kern w:val="2"/>
                <w:szCs w:val="21"/>
                <w:highlight w:val="none"/>
                <w:lang w:val="en-US" w:eastAsia="zh-CN"/>
              </w:rPr>
              <w:t>灌域</w:t>
            </w:r>
            <w:r>
              <w:rPr>
                <w:rFonts w:hint="default" w:ascii="Times New Roman" w:hAnsi="Times New Roman" w:eastAsia="仿宋" w:cs="Times New Roman"/>
                <w:b/>
                <w:bCs/>
                <w:color w:val="auto"/>
                <w:highlight w:val="none"/>
                <w:lang w:val="en-US"/>
              </w:rPr>
              <w:t>名称</w:t>
            </w:r>
          </w:p>
        </w:tc>
        <w:tc>
          <w:tcPr>
            <w:tcW w:w="1293"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lang w:val="en-US"/>
              </w:rPr>
              <w:t>水稻</w:t>
            </w:r>
          </w:p>
        </w:tc>
        <w:tc>
          <w:tcPr>
            <w:tcW w:w="1293"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lang w:val="en-US"/>
              </w:rPr>
              <w:t>玉米</w:t>
            </w:r>
          </w:p>
        </w:tc>
        <w:tc>
          <w:tcPr>
            <w:tcW w:w="129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lang w:val="en-US"/>
              </w:rPr>
              <w:t>小麦</w:t>
            </w:r>
          </w:p>
        </w:tc>
        <w:tc>
          <w:tcPr>
            <w:tcW w:w="129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lang w:val="en-US"/>
              </w:rPr>
              <w:t>枸杞</w:t>
            </w:r>
          </w:p>
        </w:tc>
        <w:tc>
          <w:tcPr>
            <w:tcW w:w="129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lang w:val="en-US"/>
              </w:rPr>
              <w:t>蔬菜</w:t>
            </w:r>
          </w:p>
        </w:tc>
        <w:tc>
          <w:tcPr>
            <w:tcW w:w="129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lang w:val="en-US"/>
              </w:rPr>
              <w:t>果树</w:t>
            </w:r>
          </w:p>
        </w:tc>
        <w:tc>
          <w:tcPr>
            <w:tcW w:w="1423"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lang w:val="en-US"/>
              </w:rPr>
              <w:t>林地</w:t>
            </w:r>
          </w:p>
        </w:tc>
        <w:tc>
          <w:tcPr>
            <w:tcW w:w="1296"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lang w:val="en-US"/>
              </w:rPr>
              <w:t>其他</w:t>
            </w:r>
          </w:p>
        </w:tc>
        <w:tc>
          <w:tcPr>
            <w:tcW w:w="1296"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lang w:val="en-US"/>
              </w:rPr>
              <w:t>灌溉面积</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6" w:hRule="atLeast"/>
        </w:trPr>
        <w:tc>
          <w:tcPr>
            <w:tcW w:w="205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美利渠</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35012</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57271</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2538</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1895</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22056</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4631</w:t>
            </w:r>
          </w:p>
        </w:tc>
        <w:tc>
          <w:tcPr>
            <w:tcW w:w="14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2593</w:t>
            </w:r>
          </w:p>
        </w:tc>
        <w:tc>
          <w:tcPr>
            <w:tcW w:w="12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1489</w:t>
            </w:r>
          </w:p>
        </w:tc>
        <w:tc>
          <w:tcPr>
            <w:tcW w:w="1296"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127485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6" w:hRule="atLeast"/>
        </w:trPr>
        <w:tc>
          <w:tcPr>
            <w:tcW w:w="205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北支干渠</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10910</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78172</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4035</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4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40000</w:t>
            </w:r>
          </w:p>
        </w:tc>
        <w:tc>
          <w:tcPr>
            <w:tcW w:w="12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6"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133117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6" w:hRule="atLeast"/>
        </w:trPr>
        <w:tc>
          <w:tcPr>
            <w:tcW w:w="205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七星渠</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6600</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15600</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2631</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5500</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2235</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600</w:t>
            </w:r>
          </w:p>
        </w:tc>
        <w:tc>
          <w:tcPr>
            <w:tcW w:w="14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2000</w:t>
            </w:r>
          </w:p>
        </w:tc>
        <w:tc>
          <w:tcPr>
            <w:tcW w:w="1296"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35166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6" w:hRule="atLeast"/>
        </w:trPr>
        <w:tc>
          <w:tcPr>
            <w:tcW w:w="205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羚羊角渠</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99</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8667</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298</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4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6"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9064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6" w:hRule="atLeast"/>
        </w:trPr>
        <w:tc>
          <w:tcPr>
            <w:tcW w:w="205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羚羊寿渠</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5156</w:t>
            </w:r>
          </w:p>
        </w:tc>
        <w:tc>
          <w:tcPr>
            <w:tcW w:w="1293" w:type="dxa"/>
            <w:tcBorders>
              <w:top w:val="nil"/>
              <w:left w:val="nil"/>
              <w:bottom w:val="nil"/>
              <w:right w:val="nil"/>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22576</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175</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10</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857</w:t>
            </w:r>
          </w:p>
        </w:tc>
        <w:tc>
          <w:tcPr>
            <w:tcW w:w="14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6"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28774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6" w:hRule="atLeast"/>
        </w:trPr>
        <w:tc>
          <w:tcPr>
            <w:tcW w:w="205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南山台子扬水</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57380</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2168</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41551</w:t>
            </w:r>
          </w:p>
        </w:tc>
        <w:tc>
          <w:tcPr>
            <w:tcW w:w="14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100000</w:t>
            </w:r>
          </w:p>
        </w:tc>
        <w:tc>
          <w:tcPr>
            <w:tcW w:w="12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6"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201099</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6" w:hRule="atLeast"/>
        </w:trPr>
        <w:tc>
          <w:tcPr>
            <w:tcW w:w="205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固海扬水</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6000</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17205</w:t>
            </w:r>
          </w:p>
        </w:tc>
        <w:tc>
          <w:tcPr>
            <w:tcW w:w="14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6"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23205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6" w:hRule="atLeast"/>
        </w:trPr>
        <w:tc>
          <w:tcPr>
            <w:tcW w:w="205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马滩渠</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5000</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4000</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1300</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300</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2800</w:t>
            </w:r>
          </w:p>
        </w:tc>
        <w:tc>
          <w:tcPr>
            <w:tcW w:w="14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3047</w:t>
            </w:r>
          </w:p>
        </w:tc>
        <w:tc>
          <w:tcPr>
            <w:tcW w:w="1296"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16447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6" w:hRule="atLeast"/>
        </w:trPr>
        <w:tc>
          <w:tcPr>
            <w:tcW w:w="205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碱碱湖扬水干渠</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500</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5000</w:t>
            </w:r>
          </w:p>
        </w:tc>
        <w:tc>
          <w:tcPr>
            <w:tcW w:w="14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2330</w:t>
            </w:r>
          </w:p>
        </w:tc>
        <w:tc>
          <w:tcPr>
            <w:tcW w:w="1296"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7830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6" w:hRule="atLeast"/>
        </w:trPr>
        <w:tc>
          <w:tcPr>
            <w:tcW w:w="205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峡门水库供水</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24000</w:t>
            </w: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4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251500</w:t>
            </w:r>
          </w:p>
        </w:tc>
        <w:tc>
          <w:tcPr>
            <w:tcW w:w="1296"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275500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6" w:hRule="atLeast"/>
        </w:trPr>
        <w:tc>
          <w:tcPr>
            <w:tcW w:w="205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兴仁香山补灌工程</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4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29500</w:t>
            </w:r>
          </w:p>
        </w:tc>
        <w:tc>
          <w:tcPr>
            <w:tcW w:w="1296"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29500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6" w:hRule="atLeast"/>
        </w:trPr>
        <w:tc>
          <w:tcPr>
            <w:tcW w:w="205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其他</w:t>
            </w: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42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28000</w:t>
            </w:r>
          </w:p>
        </w:tc>
        <w:tc>
          <w:tcPr>
            <w:tcW w:w="1296"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28000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0" w:hRule="atLeast"/>
        </w:trPr>
        <w:tc>
          <w:tcPr>
            <w:tcW w:w="2051"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小计</w:t>
            </w:r>
          </w:p>
        </w:tc>
        <w:tc>
          <w:tcPr>
            <w:tcW w:w="1293"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62777</w:t>
            </w:r>
          </w:p>
        </w:tc>
        <w:tc>
          <w:tcPr>
            <w:tcW w:w="1293"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250166</w:t>
            </w:r>
          </w:p>
        </w:tc>
        <w:tc>
          <w:tcPr>
            <w:tcW w:w="129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8637</w:t>
            </w:r>
          </w:p>
        </w:tc>
        <w:tc>
          <w:tcPr>
            <w:tcW w:w="129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32168</w:t>
            </w:r>
          </w:p>
        </w:tc>
        <w:tc>
          <w:tcPr>
            <w:tcW w:w="129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28336</w:t>
            </w:r>
          </w:p>
        </w:tc>
        <w:tc>
          <w:tcPr>
            <w:tcW w:w="129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72644</w:t>
            </w:r>
          </w:p>
        </w:tc>
        <w:tc>
          <w:tcPr>
            <w:tcW w:w="1423"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142593</w:t>
            </w:r>
          </w:p>
        </w:tc>
        <w:tc>
          <w:tcPr>
            <w:tcW w:w="1296"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317866</w:t>
            </w:r>
          </w:p>
        </w:tc>
        <w:tc>
          <w:tcPr>
            <w:tcW w:w="1296"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915187</w:t>
            </w:r>
          </w:p>
        </w:tc>
      </w:tr>
    </w:tbl>
    <w:p>
      <w:pPr>
        <w:pStyle w:val="24"/>
        <w:ind w:firstLine="422" w:firstLineChars="200"/>
        <w:jc w:val="both"/>
        <w:rPr>
          <w:rFonts w:hint="default" w:ascii="Times New Roman" w:hAnsi="Times New Roman" w:eastAsia="仿宋_GB2312" w:cs="Times New Roman"/>
          <w:b/>
          <w:bCs/>
          <w:color w:val="auto"/>
          <w:kern w:val="2"/>
          <w:sz w:val="24"/>
          <w:szCs w:val="24"/>
          <w:highlight w:val="none"/>
          <w:lang w:val="en-US" w:eastAsia="zh-CN"/>
        </w:rPr>
      </w:pPr>
      <w:r>
        <w:rPr>
          <w:rFonts w:hint="default" w:ascii="Times New Roman" w:hAnsi="Times New Roman" w:eastAsia="仿宋_GB2312" w:cs="Times New Roman"/>
          <w:b/>
          <w:bCs/>
          <w:color w:val="auto"/>
          <w:kern w:val="2"/>
          <w:sz w:val="21"/>
          <w:szCs w:val="21"/>
          <w:highlight w:val="none"/>
          <w:lang w:val="en-US" w:eastAsia="zh-CN"/>
        </w:rPr>
        <w:t>注释：数据主要来源于中卫市扬黄管理部门。</w:t>
      </w:r>
    </w:p>
    <w:p>
      <w:pPr>
        <w:pStyle w:val="22"/>
        <w:jc w:val="center"/>
        <w:rPr>
          <w:rFonts w:hint="default" w:ascii="Times New Roman" w:hAnsi="Times New Roman" w:eastAsia="仿宋" w:cs="Times New Roman"/>
          <w:color w:val="auto"/>
          <w:highlight w:val="none"/>
        </w:rPr>
      </w:pPr>
      <w:r>
        <w:rPr>
          <w:rFonts w:hint="default" w:ascii="Times New Roman" w:hAnsi="Times New Roman" w:eastAsia="方正小标宋_GBK" w:cs="Times New Roman"/>
          <w:b w:val="0"/>
          <w:bCs/>
          <w:color w:val="auto"/>
          <w:sz w:val="32"/>
          <w:szCs w:val="32"/>
          <w:highlight w:val="none"/>
        </w:rPr>
        <w:t>表4.2-</w:t>
      </w:r>
      <w:r>
        <w:rPr>
          <w:rFonts w:hint="default" w:ascii="Times New Roman" w:hAnsi="Times New Roman" w:eastAsia="方正小标宋_GBK" w:cs="Times New Roman"/>
          <w:b w:val="0"/>
          <w:bCs/>
          <w:color w:val="auto"/>
          <w:sz w:val="32"/>
          <w:szCs w:val="32"/>
          <w:highlight w:val="none"/>
          <w:lang w:val="en-US" w:eastAsia="zh-CN"/>
        </w:rPr>
        <w:t xml:space="preserve">4  </w:t>
      </w:r>
      <w:r>
        <w:rPr>
          <w:rFonts w:hint="default" w:ascii="Times New Roman" w:hAnsi="Times New Roman" w:eastAsia="方正小标宋_GBK" w:cs="Times New Roman"/>
          <w:b w:val="0"/>
          <w:bCs/>
          <w:color w:val="auto"/>
          <w:sz w:val="32"/>
          <w:szCs w:val="32"/>
          <w:highlight w:val="none"/>
        </w:rPr>
        <w:t>2020年不同灌区种植结构统计表</w:t>
      </w:r>
    </w:p>
    <w:p>
      <w:pPr>
        <w:pStyle w:val="22"/>
        <w:jc w:val="center"/>
        <w:rPr>
          <w:rFonts w:hint="default" w:ascii="Times New Roman" w:hAnsi="Times New Roman" w:eastAsia="仿宋_GB2312" w:cs="Times New Roman"/>
          <w:b w:val="0"/>
          <w:bCs/>
          <w:color w:val="auto"/>
          <w:sz w:val="21"/>
          <w:szCs w:val="21"/>
          <w:highlight w:val="none"/>
        </w:rPr>
      </w:pPr>
      <w:r>
        <w:rPr>
          <w:rFonts w:hint="default" w:ascii="Times New Roman" w:hAnsi="Times New Roman" w:eastAsia="仿宋_GB2312" w:cs="Times New Roman"/>
          <w:b w:val="0"/>
          <w:bCs/>
          <w:color w:val="auto"/>
          <w:sz w:val="21"/>
          <w:szCs w:val="21"/>
          <w:highlight w:val="none"/>
          <w:lang w:val="en-US" w:eastAsia="zh-CN"/>
        </w:rPr>
        <w:t xml:space="preserve">                                                                                                                        </w:t>
      </w:r>
      <w:r>
        <w:rPr>
          <w:rFonts w:hint="default" w:ascii="Times New Roman" w:hAnsi="Times New Roman" w:eastAsia="仿宋_GB2312" w:cs="Times New Roman"/>
          <w:b w:val="0"/>
          <w:bCs/>
          <w:color w:val="auto"/>
          <w:sz w:val="21"/>
          <w:szCs w:val="21"/>
          <w:highlight w:val="none"/>
        </w:rPr>
        <w:t>单位：亩</w:t>
      </w:r>
    </w:p>
    <w:tbl>
      <w:tblPr>
        <w:tblStyle w:val="17"/>
        <w:tblW w:w="13777" w:type="dxa"/>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2043"/>
        <w:gridCol w:w="1288"/>
        <w:gridCol w:w="1288"/>
        <w:gridCol w:w="1290"/>
        <w:gridCol w:w="1290"/>
        <w:gridCol w:w="1290"/>
        <w:gridCol w:w="1290"/>
        <w:gridCol w:w="1417"/>
        <w:gridCol w:w="1290"/>
        <w:gridCol w:w="1291"/>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80" w:hRule="atLeast"/>
        </w:trPr>
        <w:tc>
          <w:tcPr>
            <w:tcW w:w="2043"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eastAsia="zh-CN"/>
              </w:rPr>
              <w:t>灌域</w:t>
            </w:r>
            <w:r>
              <w:rPr>
                <w:rFonts w:hint="default" w:ascii="Times New Roman" w:hAnsi="Times New Roman" w:eastAsia="仿宋_GB2312" w:cs="Times New Roman"/>
                <w:b/>
                <w:bCs/>
                <w:color w:val="auto"/>
                <w:kern w:val="2"/>
                <w:szCs w:val="21"/>
                <w:highlight w:val="none"/>
                <w:lang w:val="en-US"/>
              </w:rPr>
              <w:t>名称</w:t>
            </w:r>
          </w:p>
        </w:tc>
        <w:tc>
          <w:tcPr>
            <w:tcW w:w="1288"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水稻</w:t>
            </w:r>
          </w:p>
        </w:tc>
        <w:tc>
          <w:tcPr>
            <w:tcW w:w="1288"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玉米</w:t>
            </w:r>
          </w:p>
        </w:tc>
        <w:tc>
          <w:tcPr>
            <w:tcW w:w="1290"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小麦</w:t>
            </w:r>
          </w:p>
        </w:tc>
        <w:tc>
          <w:tcPr>
            <w:tcW w:w="1290"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枸杞</w:t>
            </w:r>
          </w:p>
        </w:tc>
        <w:tc>
          <w:tcPr>
            <w:tcW w:w="1290"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蔬菜</w:t>
            </w:r>
          </w:p>
        </w:tc>
        <w:tc>
          <w:tcPr>
            <w:tcW w:w="1290"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果树</w:t>
            </w:r>
          </w:p>
        </w:tc>
        <w:tc>
          <w:tcPr>
            <w:tcW w:w="1417"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林地</w:t>
            </w:r>
          </w:p>
        </w:tc>
        <w:tc>
          <w:tcPr>
            <w:tcW w:w="1290"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其他</w:t>
            </w:r>
          </w:p>
        </w:tc>
        <w:tc>
          <w:tcPr>
            <w:tcW w:w="1291"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灌溉面积</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1" w:hRule="atLeast"/>
        </w:trPr>
        <w:tc>
          <w:tcPr>
            <w:tcW w:w="2043"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美利渠</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32000</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26632</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21300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6000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19299</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3200</w:t>
            </w:r>
          </w:p>
        </w:tc>
        <w:tc>
          <w:tcPr>
            <w:tcW w:w="14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17865</w:t>
            </w: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126296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1" w:hRule="atLeast"/>
        </w:trPr>
        <w:tc>
          <w:tcPr>
            <w:tcW w:w="2043"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北支干渠</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24000</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4000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2466</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4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100000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200</w:t>
            </w: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130666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1" w:hRule="atLeast"/>
        </w:trPr>
        <w:tc>
          <w:tcPr>
            <w:tcW w:w="2043"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七星渠</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4000</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25766</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500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2500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600</w:t>
            </w:r>
          </w:p>
        </w:tc>
        <w:tc>
          <w:tcPr>
            <w:tcW w:w="14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1800</w:t>
            </w: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35166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1" w:hRule="atLeast"/>
        </w:trPr>
        <w:tc>
          <w:tcPr>
            <w:tcW w:w="2043"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羚羊角渠</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99</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8933</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4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9032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1" w:hRule="atLeast"/>
        </w:trPr>
        <w:tc>
          <w:tcPr>
            <w:tcW w:w="2043"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羚羊寿渠</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8401</w:t>
            </w:r>
          </w:p>
        </w:tc>
        <w:tc>
          <w:tcPr>
            <w:tcW w:w="1288" w:type="dxa"/>
            <w:tcBorders>
              <w:top w:val="nil"/>
              <w:left w:val="nil"/>
              <w:bottom w:val="nil"/>
              <w:right w:val="nil"/>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5867</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729</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800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10313</w:t>
            </w:r>
          </w:p>
        </w:tc>
        <w:tc>
          <w:tcPr>
            <w:tcW w:w="14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4500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30610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1" w:hRule="atLeast"/>
        </w:trPr>
        <w:tc>
          <w:tcPr>
            <w:tcW w:w="2043"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南山台子扬水</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97013</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2271</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103651</w:t>
            </w:r>
          </w:p>
        </w:tc>
        <w:tc>
          <w:tcPr>
            <w:tcW w:w="14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202935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1" w:hRule="atLeast"/>
        </w:trPr>
        <w:tc>
          <w:tcPr>
            <w:tcW w:w="2043"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固海扬水</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6000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17205</w:t>
            </w:r>
          </w:p>
        </w:tc>
        <w:tc>
          <w:tcPr>
            <w:tcW w:w="14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23205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1" w:hRule="atLeast"/>
        </w:trPr>
        <w:tc>
          <w:tcPr>
            <w:tcW w:w="2043"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马滩渠</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5000</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5000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500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2800</w:t>
            </w:r>
          </w:p>
        </w:tc>
        <w:tc>
          <w:tcPr>
            <w:tcW w:w="14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3147</w:t>
            </w: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16447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1" w:hRule="atLeast"/>
        </w:trPr>
        <w:tc>
          <w:tcPr>
            <w:tcW w:w="2043"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碱碱湖扬水干渠</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500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5000</w:t>
            </w:r>
          </w:p>
        </w:tc>
        <w:tc>
          <w:tcPr>
            <w:tcW w:w="14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2330</w:t>
            </w: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7830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1" w:hRule="atLeast"/>
        </w:trPr>
        <w:tc>
          <w:tcPr>
            <w:tcW w:w="2043"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峡门水库供水</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24000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4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251500</w:t>
            </w: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275500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1" w:hRule="atLeast"/>
        </w:trPr>
        <w:tc>
          <w:tcPr>
            <w:tcW w:w="2043"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兴仁香山补灌工程</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4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29500</w:t>
            </w: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29500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31" w:hRule="atLeast"/>
        </w:trPr>
        <w:tc>
          <w:tcPr>
            <w:tcW w:w="2043"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其他</w:t>
            </w: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4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28000</w:t>
            </w: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28000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1" w:hRule="atLeast"/>
        </w:trPr>
        <w:tc>
          <w:tcPr>
            <w:tcW w:w="2043"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小计</w:t>
            </w:r>
          </w:p>
        </w:tc>
        <w:tc>
          <w:tcPr>
            <w:tcW w:w="1288"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73500</w:t>
            </w:r>
          </w:p>
        </w:tc>
        <w:tc>
          <w:tcPr>
            <w:tcW w:w="1288"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179711</w:t>
            </w:r>
          </w:p>
        </w:tc>
        <w:tc>
          <w:tcPr>
            <w:tcW w:w="1290"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25300</w:t>
            </w:r>
          </w:p>
        </w:tc>
        <w:tc>
          <w:tcPr>
            <w:tcW w:w="1290"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30000</w:t>
            </w:r>
          </w:p>
        </w:tc>
        <w:tc>
          <w:tcPr>
            <w:tcW w:w="1290"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25065</w:t>
            </w:r>
          </w:p>
        </w:tc>
        <w:tc>
          <w:tcPr>
            <w:tcW w:w="1290"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142769</w:t>
            </w:r>
          </w:p>
        </w:tc>
        <w:tc>
          <w:tcPr>
            <w:tcW w:w="141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104500</w:t>
            </w:r>
          </w:p>
        </w:tc>
        <w:tc>
          <w:tcPr>
            <w:tcW w:w="1290"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306342</w:t>
            </w:r>
          </w:p>
        </w:tc>
        <w:tc>
          <w:tcPr>
            <w:tcW w:w="1291"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915187</w:t>
            </w:r>
          </w:p>
        </w:tc>
      </w:tr>
    </w:tbl>
    <w:p>
      <w:pPr>
        <w:pStyle w:val="24"/>
        <w:ind w:firstLine="422" w:firstLineChars="200"/>
        <w:jc w:val="both"/>
        <w:rPr>
          <w:rFonts w:hint="default" w:ascii="Times New Roman" w:hAnsi="Times New Roman" w:eastAsia="仿宋_GB2312" w:cs="Times New Roman"/>
          <w:b/>
          <w:bCs/>
          <w:color w:val="auto"/>
          <w:kern w:val="2"/>
          <w:sz w:val="24"/>
          <w:szCs w:val="24"/>
          <w:highlight w:val="none"/>
          <w:lang w:val="en-US" w:eastAsia="zh-CN"/>
        </w:rPr>
      </w:pPr>
      <w:r>
        <w:rPr>
          <w:rFonts w:hint="default" w:ascii="Times New Roman" w:hAnsi="Times New Roman" w:eastAsia="仿宋_GB2312" w:cs="Times New Roman"/>
          <w:b/>
          <w:bCs/>
          <w:color w:val="auto"/>
          <w:kern w:val="2"/>
          <w:sz w:val="21"/>
          <w:szCs w:val="21"/>
          <w:highlight w:val="none"/>
          <w:lang w:val="en-US" w:eastAsia="zh-CN"/>
        </w:rPr>
        <w:t>注释：数据主要来源于中卫市扬黄管理部门。</w:t>
      </w:r>
    </w:p>
    <w:p>
      <w:pPr>
        <w:widowControl/>
        <w:spacing w:line="336" w:lineRule="auto"/>
        <w:ind w:firstLine="600"/>
        <w:jc w:val="left"/>
        <w:rPr>
          <w:rFonts w:hint="default" w:ascii="Times New Roman" w:hAnsi="Times New Roman" w:cs="Times New Roman"/>
          <w:color w:val="auto"/>
          <w:highlight w:val="none"/>
        </w:rPr>
        <w:sectPr>
          <w:pgSz w:w="16838" w:h="11906" w:orient="landscape"/>
          <w:pgMar w:top="2098" w:right="1474" w:bottom="1984" w:left="1587" w:header="851" w:footer="1417" w:gutter="0"/>
          <w:pgNumType w:fmt="numberInDash"/>
          <w:cols w:space="720" w:num="1"/>
          <w:rtlGutter w:val="0"/>
          <w:docGrid w:linePitch="312" w:charSpace="0"/>
        </w:sectPr>
      </w:pPr>
    </w:p>
    <w:p>
      <w:pPr>
        <w:pStyle w:val="8"/>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eastAsia="zh-CN"/>
        </w:rPr>
        <w:t>4</w:t>
      </w:r>
      <w:r>
        <w:rPr>
          <w:rFonts w:hint="default" w:ascii="Times New Roman" w:hAnsi="Times New Roman" w:eastAsia="仿宋_GB2312" w:cs="Times New Roman"/>
          <w:color w:val="auto"/>
          <w:highlight w:val="none"/>
          <w:lang w:val="en-US" w:eastAsia="zh-CN"/>
        </w:rPr>
        <w:t>.2.2.2</w:t>
      </w:r>
      <w:r>
        <w:rPr>
          <w:rFonts w:hint="default" w:ascii="Times New Roman" w:hAnsi="Times New Roman" w:eastAsia="仿宋_GB2312" w:cs="Times New Roman"/>
          <w:color w:val="auto"/>
          <w:highlight w:val="none"/>
        </w:rPr>
        <w:t>农业灌溉用水效率</w:t>
      </w:r>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近年来，随着引黄灌区工程设施的不断完善、高效节灌的大力推广和管理水平的提高，沙坡头区灌溉用水效率逐年提高，按照灌区农作物灌溉用水、洗盐压盐以及生态环境维系用水全口径计算，灌溉水有效利用系数由2016年的0.475提高到2020年的0.525</w:t>
      </w:r>
      <w:r>
        <w:rPr>
          <w:rFonts w:hint="default" w:ascii="Times New Roman" w:hAnsi="Times New Roman" w:cs="Times New Roman"/>
          <w:color w:val="auto"/>
          <w:sz w:val="32"/>
          <w:szCs w:val="32"/>
          <w:highlight w:val="none"/>
          <w:lang w:eastAsia="zh-CN"/>
        </w:rPr>
        <w:t>。详</w:t>
      </w:r>
      <w:r>
        <w:rPr>
          <w:rFonts w:hint="default" w:ascii="Times New Roman" w:hAnsi="Times New Roman" w:eastAsia="仿宋_GB2312" w:cs="Times New Roman"/>
          <w:color w:val="auto"/>
          <w:sz w:val="32"/>
          <w:szCs w:val="32"/>
          <w:highlight w:val="none"/>
        </w:rPr>
        <w:t>见表4.2-</w:t>
      </w:r>
      <w:r>
        <w:rPr>
          <w:rFonts w:hint="default" w:ascii="Times New Roman" w:hAnsi="Times New Roman" w:eastAsia="仿宋_GB2312" w:cs="Times New Roman"/>
          <w:color w:val="auto"/>
          <w:sz w:val="32"/>
          <w:szCs w:val="32"/>
          <w:highlight w:val="none"/>
          <w:lang w:val="en-US" w:eastAsia="zh-CN"/>
        </w:rPr>
        <w:t>5</w:t>
      </w:r>
      <w:r>
        <w:rPr>
          <w:rFonts w:hint="default" w:ascii="Times New Roman" w:hAnsi="Times New Roman" w:cs="Times New Roman"/>
          <w:color w:val="auto"/>
          <w:sz w:val="32"/>
          <w:szCs w:val="32"/>
          <w:highlight w:val="none"/>
          <w:lang w:val="en-US" w:eastAsia="zh-CN"/>
        </w:rPr>
        <w:t>所示</w:t>
      </w:r>
      <w:r>
        <w:rPr>
          <w:rFonts w:hint="default" w:ascii="Times New Roman" w:hAnsi="Times New Roman" w:eastAsia="仿宋_GB2312" w:cs="Times New Roman"/>
          <w:color w:val="auto"/>
          <w:sz w:val="32"/>
          <w:szCs w:val="32"/>
          <w:highlight w:val="none"/>
        </w:rPr>
        <w:t>。</w:t>
      </w:r>
    </w:p>
    <w:p>
      <w:pPr>
        <w:pStyle w:val="22"/>
        <w:jc w:val="center"/>
        <w:rPr>
          <w:rFonts w:hint="default" w:ascii="Times New Roman" w:hAnsi="Times New Roman" w:eastAsia="方正小标宋_GBK" w:cs="Times New Roman"/>
          <w:b w:val="0"/>
          <w:bCs/>
          <w:color w:val="auto"/>
          <w:sz w:val="32"/>
          <w:szCs w:val="32"/>
          <w:highlight w:val="none"/>
        </w:rPr>
      </w:pPr>
      <w:r>
        <w:rPr>
          <w:rFonts w:hint="default" w:ascii="Times New Roman" w:hAnsi="Times New Roman" w:eastAsia="方正小标宋_GBK" w:cs="Times New Roman"/>
          <w:b w:val="0"/>
          <w:bCs/>
          <w:color w:val="auto"/>
          <w:sz w:val="32"/>
          <w:szCs w:val="32"/>
          <w:highlight w:val="none"/>
        </w:rPr>
        <w:t>表4.2-</w:t>
      </w:r>
      <w:r>
        <w:rPr>
          <w:rFonts w:hint="default" w:ascii="Times New Roman" w:hAnsi="Times New Roman" w:eastAsia="方正小标宋_GBK" w:cs="Times New Roman"/>
          <w:b w:val="0"/>
          <w:bCs/>
          <w:color w:val="auto"/>
          <w:sz w:val="32"/>
          <w:szCs w:val="32"/>
          <w:highlight w:val="none"/>
          <w:lang w:val="en-US" w:eastAsia="zh-CN"/>
        </w:rPr>
        <w:t xml:space="preserve">5  </w:t>
      </w:r>
      <w:r>
        <w:rPr>
          <w:rFonts w:hint="default" w:ascii="Times New Roman" w:hAnsi="Times New Roman" w:eastAsia="方正小标宋_GBK" w:cs="Times New Roman"/>
          <w:b w:val="0"/>
          <w:bCs/>
          <w:color w:val="auto"/>
          <w:sz w:val="32"/>
          <w:szCs w:val="32"/>
          <w:highlight w:val="none"/>
        </w:rPr>
        <w:t>2016</w:t>
      </w:r>
      <w:r>
        <w:rPr>
          <w:rFonts w:hint="default" w:ascii="Times New Roman" w:hAnsi="Times New Roman" w:eastAsia="方正小标宋_GBK" w:cs="Times New Roman"/>
          <w:b w:val="0"/>
          <w:bCs/>
          <w:color w:val="auto"/>
          <w:sz w:val="32"/>
          <w:szCs w:val="32"/>
          <w:highlight w:val="none"/>
          <w:lang w:val="en-US" w:eastAsia="zh-CN"/>
        </w:rPr>
        <w:t>-</w:t>
      </w:r>
      <w:r>
        <w:rPr>
          <w:rFonts w:hint="default" w:ascii="Times New Roman" w:hAnsi="Times New Roman" w:eastAsia="方正小标宋_GBK" w:cs="Times New Roman"/>
          <w:b w:val="0"/>
          <w:bCs/>
          <w:color w:val="auto"/>
          <w:sz w:val="32"/>
          <w:szCs w:val="32"/>
          <w:highlight w:val="none"/>
        </w:rPr>
        <w:t>2020年宁夏灌溉水有效利用系数变化</w:t>
      </w:r>
    </w:p>
    <w:tbl>
      <w:tblPr>
        <w:tblStyle w:val="17"/>
        <w:tblW w:w="9057" w:type="dxa"/>
        <w:jc w:val="center"/>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1617"/>
        <w:gridCol w:w="1488"/>
        <w:gridCol w:w="1488"/>
        <w:gridCol w:w="1488"/>
        <w:gridCol w:w="1488"/>
        <w:gridCol w:w="1488"/>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80" w:hRule="atLeast"/>
          <w:jc w:val="center"/>
        </w:trPr>
        <w:tc>
          <w:tcPr>
            <w:tcW w:w="1617" w:type="dxa"/>
            <w:vAlign w:val="center"/>
          </w:tcPr>
          <w:p>
            <w:pPr>
              <w:pStyle w:val="24"/>
              <w:rPr>
                <w:rFonts w:hint="default" w:ascii="Times New Roman" w:hAnsi="Times New Roman" w:eastAsia="仿宋" w:cs="Times New Roman"/>
                <w:b/>
                <w:bCs/>
                <w:color w:val="auto"/>
                <w:sz w:val="22"/>
                <w:szCs w:val="32"/>
                <w:highlight w:val="none"/>
              </w:rPr>
            </w:pPr>
            <w:r>
              <w:rPr>
                <w:rFonts w:hint="default" w:ascii="Times New Roman" w:hAnsi="Times New Roman" w:eastAsia="仿宋_GB2312" w:cs="Times New Roman"/>
                <w:b/>
                <w:bCs/>
                <w:color w:val="auto"/>
                <w:kern w:val="2"/>
                <w:sz w:val="22"/>
                <w:szCs w:val="22"/>
                <w:highlight w:val="none"/>
                <w:lang w:val="en-US"/>
              </w:rPr>
              <w:t>行政分区</w:t>
            </w:r>
          </w:p>
        </w:tc>
        <w:tc>
          <w:tcPr>
            <w:tcW w:w="1488"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2016</w:t>
            </w:r>
          </w:p>
        </w:tc>
        <w:tc>
          <w:tcPr>
            <w:tcW w:w="1488"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2017</w:t>
            </w:r>
          </w:p>
        </w:tc>
        <w:tc>
          <w:tcPr>
            <w:tcW w:w="1488"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2018</w:t>
            </w:r>
          </w:p>
        </w:tc>
        <w:tc>
          <w:tcPr>
            <w:tcW w:w="1488"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2019年</w:t>
            </w:r>
          </w:p>
        </w:tc>
        <w:tc>
          <w:tcPr>
            <w:tcW w:w="1488"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2020年</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80" w:hRule="atLeast"/>
          <w:jc w:val="center"/>
        </w:trPr>
        <w:tc>
          <w:tcPr>
            <w:tcW w:w="1617"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全区</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0.511</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0.524</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0.535</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0.543</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0.551</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80" w:hRule="atLeast"/>
          <w:jc w:val="center"/>
        </w:trPr>
        <w:tc>
          <w:tcPr>
            <w:tcW w:w="1617"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中卫市</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0.5</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0.508</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0.526</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0.535</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0.539</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80" w:hRule="atLeast"/>
          <w:jc w:val="center"/>
        </w:trPr>
        <w:tc>
          <w:tcPr>
            <w:tcW w:w="1617"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沙坡头区</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0.475</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0.484</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0.506</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0.516</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0.525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Ex>
        <w:trPr>
          <w:trHeight w:val="680" w:hRule="atLeast"/>
          <w:jc w:val="center"/>
        </w:trPr>
        <w:tc>
          <w:tcPr>
            <w:tcW w:w="1617"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其中中卫各渠</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0.465</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0.474</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0.477</w:t>
            </w:r>
          </w:p>
        </w:tc>
        <w:tc>
          <w:tcPr>
            <w:tcW w:w="148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0.4945</w:t>
            </w:r>
          </w:p>
        </w:tc>
      </w:tr>
    </w:tbl>
    <w:p>
      <w:pPr>
        <w:pStyle w:val="7"/>
        <w:spacing w:before="0"/>
        <w:rPr>
          <w:rFonts w:hint="default" w:ascii="Times New Roman" w:hAnsi="Times New Roman" w:eastAsia="仿宋_GB2312" w:cs="Times New Roman"/>
          <w:bCs/>
          <w:color w:val="auto"/>
          <w:kern w:val="2"/>
          <w:highlight w:val="none"/>
        </w:rPr>
      </w:pPr>
      <w:bookmarkStart w:id="315" w:name="_Toc4027"/>
      <w:bookmarkStart w:id="316" w:name="_Toc13797"/>
      <w:bookmarkStart w:id="317" w:name="_Toc22351"/>
      <w:r>
        <w:rPr>
          <w:rFonts w:hint="default" w:ascii="Times New Roman" w:hAnsi="Times New Roman" w:eastAsia="仿宋_GB2312" w:cs="Times New Roman"/>
          <w:bCs/>
          <w:color w:val="auto"/>
          <w:kern w:val="2"/>
          <w:highlight w:val="none"/>
        </w:rPr>
        <w:t>4.2.</w:t>
      </w:r>
      <w:r>
        <w:rPr>
          <w:rFonts w:hint="default" w:ascii="Times New Roman" w:hAnsi="Times New Roman" w:eastAsia="仿宋_GB2312" w:cs="Times New Roman"/>
          <w:bCs/>
          <w:color w:val="auto"/>
          <w:kern w:val="2"/>
          <w:highlight w:val="none"/>
          <w:lang w:val="en-US" w:eastAsia="zh-CN"/>
        </w:rPr>
        <w:t>3</w:t>
      </w:r>
      <w:r>
        <w:rPr>
          <w:rFonts w:hint="default" w:ascii="Times New Roman" w:hAnsi="Times New Roman" w:eastAsia="仿宋_GB2312" w:cs="Times New Roman"/>
          <w:bCs/>
          <w:color w:val="auto"/>
          <w:kern w:val="2"/>
          <w:highlight w:val="none"/>
        </w:rPr>
        <w:t>经济</w:t>
      </w:r>
      <w:bookmarkEnd w:id="310"/>
      <w:bookmarkEnd w:id="311"/>
      <w:bookmarkEnd w:id="312"/>
      <w:bookmarkEnd w:id="313"/>
      <w:bookmarkEnd w:id="314"/>
      <w:bookmarkEnd w:id="315"/>
      <w:bookmarkEnd w:id="316"/>
      <w:bookmarkEnd w:id="317"/>
    </w:p>
    <w:p>
      <w:pPr>
        <w:pStyle w:val="8"/>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4.2.3.1现状经济变化趋势分析</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2020年，沙坡头区GDP总量为194.52亿元，其中工业增加值为62.59亿元，一产、二产、三产占比为15.2%、39.7%、45.1%，人均GDP为4.67万元，低于宁夏平均值5.4万元。沙坡头区GDP较小，2020年经济增速为1.5%，低于宁夏平均增速6.5%，低于全国平均增速6.1%。近10年沙坡头区</w:t>
      </w:r>
      <w:r>
        <w:rPr>
          <w:rFonts w:hint="default" w:ascii="Times New Roman" w:hAnsi="Times New Roman" w:cs="Times New Roman"/>
          <w:color w:val="auto"/>
          <w:kern w:val="2"/>
          <w:sz w:val="32"/>
          <w:szCs w:val="32"/>
          <w:highlight w:val="none"/>
          <w:lang w:eastAsia="zh-CN"/>
        </w:rPr>
        <w:t>三产统计表、三产指数统计表</w:t>
      </w:r>
      <w:r>
        <w:rPr>
          <w:rFonts w:hint="default" w:ascii="Times New Roman" w:hAnsi="Times New Roman" w:eastAsia="仿宋_GB2312" w:cs="Times New Roman"/>
          <w:color w:val="auto"/>
          <w:kern w:val="2"/>
          <w:sz w:val="32"/>
          <w:szCs w:val="32"/>
          <w:highlight w:val="none"/>
        </w:rPr>
        <w:t>，详见表4.2-</w:t>
      </w:r>
      <w:r>
        <w:rPr>
          <w:rFonts w:hint="default" w:ascii="Times New Roman" w:hAnsi="Times New Roman" w:eastAsia="仿宋_GB2312" w:cs="Times New Roman"/>
          <w:color w:val="auto"/>
          <w:kern w:val="2"/>
          <w:sz w:val="32"/>
          <w:szCs w:val="32"/>
          <w:highlight w:val="none"/>
          <w:lang w:val="en-US" w:eastAsia="zh-CN"/>
        </w:rPr>
        <w:t>6</w:t>
      </w:r>
      <w:r>
        <w:rPr>
          <w:rFonts w:hint="default" w:ascii="Times New Roman" w:hAnsi="Times New Roman" w:cs="Times New Roman"/>
          <w:color w:val="auto"/>
          <w:kern w:val="2"/>
          <w:sz w:val="32"/>
          <w:szCs w:val="32"/>
          <w:highlight w:val="none"/>
          <w:lang w:val="en-US" w:eastAsia="zh-CN"/>
        </w:rPr>
        <w:t>、4.2</w:t>
      </w:r>
      <w:r>
        <w:rPr>
          <w:rFonts w:hint="default" w:ascii="Times New Roman" w:hAnsi="Times New Roman" w:eastAsia="仿宋_GB2312" w:cs="Times New Roman"/>
          <w:color w:val="auto"/>
          <w:kern w:val="2"/>
          <w:sz w:val="32"/>
          <w:szCs w:val="32"/>
          <w:highlight w:val="none"/>
        </w:rPr>
        <w:t>-</w:t>
      </w:r>
      <w:r>
        <w:rPr>
          <w:rFonts w:hint="default" w:ascii="Times New Roman" w:hAnsi="Times New Roman" w:eastAsia="仿宋_GB2312" w:cs="Times New Roman"/>
          <w:color w:val="auto"/>
          <w:kern w:val="2"/>
          <w:sz w:val="32"/>
          <w:szCs w:val="32"/>
          <w:highlight w:val="none"/>
          <w:lang w:val="en-US" w:eastAsia="zh-CN"/>
        </w:rPr>
        <w:t>7</w:t>
      </w:r>
      <w:r>
        <w:rPr>
          <w:rFonts w:hint="default" w:ascii="Times New Roman" w:hAnsi="Times New Roman" w:cs="Times New Roman"/>
          <w:color w:val="auto"/>
          <w:kern w:val="2"/>
          <w:sz w:val="32"/>
          <w:szCs w:val="32"/>
          <w:highlight w:val="none"/>
          <w:lang w:val="en-US" w:eastAsia="zh-CN"/>
        </w:rPr>
        <w:t>所示</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近10年沙坡头区</w:t>
      </w:r>
      <w:r>
        <w:rPr>
          <w:rFonts w:hint="default" w:ascii="Times New Roman" w:hAnsi="Times New Roman" w:eastAsia="仿宋_GB2312" w:cs="Times New Roman"/>
          <w:bCs w:val="0"/>
          <w:color w:val="auto"/>
          <w:szCs w:val="32"/>
          <w:highlight w:val="none"/>
        </w:rPr>
        <w:t>三产万元产值变化趋势</w:t>
      </w:r>
      <w:r>
        <w:rPr>
          <w:rFonts w:hint="default" w:ascii="Times New Roman" w:hAnsi="Times New Roman" w:cs="Times New Roman"/>
          <w:color w:val="auto"/>
          <w:kern w:val="2"/>
          <w:sz w:val="32"/>
          <w:szCs w:val="32"/>
          <w:highlight w:val="none"/>
          <w:lang w:eastAsia="zh-CN"/>
        </w:rPr>
        <w:t>，详见</w:t>
      </w:r>
      <w:r>
        <w:rPr>
          <w:rFonts w:hint="default" w:ascii="Times New Roman" w:hAnsi="Times New Roman" w:eastAsia="仿宋_GB2312" w:cs="Times New Roman"/>
          <w:color w:val="auto"/>
          <w:kern w:val="2"/>
          <w:sz w:val="32"/>
          <w:szCs w:val="32"/>
          <w:highlight w:val="none"/>
        </w:rPr>
        <w:t>图4.2-</w:t>
      </w:r>
      <w:r>
        <w:rPr>
          <w:rFonts w:hint="default" w:ascii="Times New Roman" w:hAnsi="Times New Roman" w:cs="Times New Roman"/>
          <w:color w:val="auto"/>
          <w:kern w:val="2"/>
          <w:sz w:val="32"/>
          <w:szCs w:val="32"/>
          <w:highlight w:val="none"/>
          <w:lang w:val="en-US" w:eastAsia="zh-CN"/>
        </w:rPr>
        <w:t>3</w:t>
      </w:r>
      <w:r>
        <w:rPr>
          <w:rFonts w:hint="default" w:ascii="Times New Roman" w:hAnsi="Times New Roman" w:eastAsia="仿宋_GB2312" w:cs="Times New Roman"/>
          <w:color w:val="auto"/>
          <w:kern w:val="2"/>
          <w:sz w:val="32"/>
          <w:szCs w:val="32"/>
          <w:highlight w:val="none"/>
        </w:rPr>
        <w:t>所示。</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中卫市工业主要聚集在中卫工业园区，根据已有资料统计，近三年中卫市工业园区工业增加值</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详见表4.2-</w:t>
      </w:r>
      <w:r>
        <w:rPr>
          <w:rFonts w:hint="default" w:ascii="Times New Roman" w:hAnsi="Times New Roman" w:eastAsia="仿宋_GB2312" w:cs="Times New Roman"/>
          <w:color w:val="auto"/>
          <w:kern w:val="2"/>
          <w:sz w:val="32"/>
          <w:szCs w:val="32"/>
          <w:highlight w:val="none"/>
          <w:lang w:val="en-US" w:eastAsia="zh-CN"/>
        </w:rPr>
        <w:t>8</w:t>
      </w:r>
      <w:r>
        <w:rPr>
          <w:rFonts w:hint="default" w:ascii="Times New Roman" w:hAnsi="Times New Roman" w:eastAsia="仿宋_GB2312" w:cs="Times New Roman"/>
          <w:color w:val="auto"/>
          <w:kern w:val="2"/>
          <w:sz w:val="32"/>
          <w:szCs w:val="32"/>
          <w:highlight w:val="none"/>
        </w:rPr>
        <w:t>所示。</w:t>
      </w:r>
    </w:p>
    <w:p>
      <w:pPr>
        <w:pStyle w:val="22"/>
        <w:jc w:val="center"/>
        <w:rPr>
          <w:rFonts w:hint="default" w:ascii="Times New Roman" w:hAnsi="Times New Roman" w:eastAsia="仿宋_GB2312" w:cs="Times New Roman"/>
          <w:b/>
          <w:bCs/>
          <w:color w:val="auto"/>
          <w:szCs w:val="24"/>
          <w:highlight w:val="none"/>
        </w:rPr>
      </w:pPr>
      <w:bookmarkStart w:id="318" w:name="_Toc7496"/>
      <w:r>
        <w:rPr>
          <w:rFonts w:hint="default" w:ascii="Times New Roman" w:hAnsi="Times New Roman" w:eastAsia="方正小标宋_GBK" w:cs="Times New Roman"/>
          <w:b w:val="0"/>
          <w:bCs/>
          <w:color w:val="auto"/>
          <w:sz w:val="32"/>
          <w:szCs w:val="32"/>
          <w:highlight w:val="none"/>
        </w:rPr>
        <w:t>表4.2-</w:t>
      </w:r>
      <w:r>
        <w:rPr>
          <w:rFonts w:hint="default" w:ascii="Times New Roman" w:hAnsi="Times New Roman" w:eastAsia="方正小标宋_GBK" w:cs="Times New Roman"/>
          <w:b w:val="0"/>
          <w:bCs/>
          <w:color w:val="auto"/>
          <w:sz w:val="32"/>
          <w:szCs w:val="32"/>
          <w:highlight w:val="none"/>
          <w:lang w:val="en-US" w:eastAsia="zh-CN"/>
        </w:rPr>
        <w:t xml:space="preserve">6  </w:t>
      </w:r>
      <w:r>
        <w:rPr>
          <w:rFonts w:hint="default" w:ascii="Times New Roman" w:hAnsi="Times New Roman" w:eastAsia="方正小标宋_GBK" w:cs="Times New Roman"/>
          <w:b w:val="0"/>
          <w:bCs/>
          <w:color w:val="auto"/>
          <w:sz w:val="32"/>
          <w:szCs w:val="32"/>
          <w:highlight w:val="none"/>
        </w:rPr>
        <w:t>2011</w:t>
      </w:r>
      <w:r>
        <w:rPr>
          <w:rFonts w:hint="default" w:ascii="Times New Roman" w:hAnsi="Times New Roman" w:eastAsia="方正小标宋_GBK" w:cs="Times New Roman"/>
          <w:b w:val="0"/>
          <w:bCs/>
          <w:color w:val="auto"/>
          <w:sz w:val="32"/>
          <w:szCs w:val="32"/>
          <w:highlight w:val="none"/>
          <w:lang w:val="en-US" w:eastAsia="zh-CN"/>
        </w:rPr>
        <w:t>-</w:t>
      </w:r>
      <w:r>
        <w:rPr>
          <w:rFonts w:hint="default" w:ascii="Times New Roman" w:hAnsi="Times New Roman" w:eastAsia="方正小标宋_GBK" w:cs="Times New Roman"/>
          <w:b w:val="0"/>
          <w:bCs/>
          <w:color w:val="auto"/>
          <w:sz w:val="32"/>
          <w:szCs w:val="32"/>
          <w:highlight w:val="none"/>
        </w:rPr>
        <w:t>2020年沙坡头区三产统计表</w:t>
      </w:r>
    </w:p>
    <w:p>
      <w:pPr>
        <w:pStyle w:val="22"/>
        <w:ind w:firstLine="7770" w:firstLineChars="3700"/>
        <w:jc w:val="left"/>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单位：万元</w:t>
      </w:r>
    </w:p>
    <w:tbl>
      <w:tblPr>
        <w:tblStyle w:val="17"/>
        <w:tblW w:w="8871"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647"/>
        <w:gridCol w:w="1374"/>
        <w:gridCol w:w="966"/>
        <w:gridCol w:w="966"/>
        <w:gridCol w:w="969"/>
        <w:gridCol w:w="1157"/>
        <w:gridCol w:w="969"/>
        <w:gridCol w:w="1823"/>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61" w:hRule="atLeast"/>
          <w:jc w:val="center"/>
        </w:trPr>
        <w:tc>
          <w:tcPr>
            <w:tcW w:w="647" w:type="dxa"/>
            <w:vMerge w:val="restart"/>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年份</w:t>
            </w:r>
          </w:p>
        </w:tc>
        <w:tc>
          <w:tcPr>
            <w:tcW w:w="1374"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地区生产总值</w:t>
            </w:r>
          </w:p>
        </w:tc>
        <w:tc>
          <w:tcPr>
            <w:tcW w:w="966"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第一产业</w:t>
            </w:r>
          </w:p>
        </w:tc>
        <w:tc>
          <w:tcPr>
            <w:tcW w:w="3092" w:type="dxa"/>
            <w:gridSpan w:val="3"/>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第二产业</w:t>
            </w:r>
          </w:p>
        </w:tc>
        <w:tc>
          <w:tcPr>
            <w:tcW w:w="969"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第三产业</w:t>
            </w:r>
          </w:p>
        </w:tc>
        <w:tc>
          <w:tcPr>
            <w:tcW w:w="1823" w:type="dxa"/>
            <w:vMerge w:val="restart"/>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人均地区生产总值</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56" w:hRule="atLeast"/>
          <w:jc w:val="center"/>
        </w:trPr>
        <w:tc>
          <w:tcPr>
            <w:tcW w:w="647"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sz w:val="22"/>
                <w:szCs w:val="32"/>
                <w:highlight w:val="none"/>
              </w:rPr>
            </w:pPr>
          </w:p>
        </w:tc>
        <w:tc>
          <w:tcPr>
            <w:tcW w:w="137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sz w:val="22"/>
                <w:szCs w:val="32"/>
                <w:highlight w:val="none"/>
              </w:rPr>
            </w:pPr>
          </w:p>
        </w:tc>
        <w:tc>
          <w:tcPr>
            <w:tcW w:w="9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sz w:val="22"/>
                <w:szCs w:val="32"/>
                <w:highlight w:val="none"/>
              </w:rPr>
            </w:pP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第二产业</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其中工业</w:t>
            </w:r>
          </w:p>
        </w:tc>
        <w:tc>
          <w:tcPr>
            <w:tcW w:w="11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其中建筑业</w:t>
            </w:r>
          </w:p>
        </w:tc>
        <w:tc>
          <w:tcPr>
            <w:tcW w:w="96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p>
        </w:tc>
        <w:tc>
          <w:tcPr>
            <w:tcW w:w="1823"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94" w:hRule="atLeast"/>
          <w:jc w:val="center"/>
        </w:trPr>
        <w:tc>
          <w:tcPr>
            <w:tcW w:w="647"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cs="Times New Roman"/>
                <w:b/>
                <w:bCs/>
                <w:color w:val="auto"/>
                <w:sz w:val="22"/>
                <w:szCs w:val="32"/>
                <w:highlight w:val="none"/>
              </w:rPr>
              <w:t>2011</w:t>
            </w:r>
          </w:p>
        </w:tc>
        <w:tc>
          <w:tcPr>
            <w:tcW w:w="13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1044698</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166055</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420868</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351823</w:t>
            </w:r>
          </w:p>
        </w:tc>
        <w:tc>
          <w:tcPr>
            <w:tcW w:w="11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69045</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457775</w:t>
            </w:r>
          </w:p>
        </w:tc>
        <w:tc>
          <w:tcPr>
            <w:tcW w:w="182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27415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94" w:hRule="atLeast"/>
          <w:jc w:val="center"/>
        </w:trPr>
        <w:tc>
          <w:tcPr>
            <w:tcW w:w="647"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cs="Times New Roman"/>
                <w:b/>
                <w:bCs/>
                <w:color w:val="auto"/>
                <w:sz w:val="22"/>
                <w:szCs w:val="32"/>
                <w:highlight w:val="none"/>
              </w:rPr>
              <w:t>2012</w:t>
            </w:r>
          </w:p>
        </w:tc>
        <w:tc>
          <w:tcPr>
            <w:tcW w:w="13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1183085</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174645</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479129</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393029</w:t>
            </w:r>
          </w:p>
        </w:tc>
        <w:tc>
          <w:tcPr>
            <w:tcW w:w="11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86100</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529311</w:t>
            </w:r>
          </w:p>
        </w:tc>
        <w:tc>
          <w:tcPr>
            <w:tcW w:w="182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30722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94" w:hRule="atLeast"/>
          <w:jc w:val="center"/>
        </w:trPr>
        <w:tc>
          <w:tcPr>
            <w:tcW w:w="647"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cs="Times New Roman"/>
                <w:b/>
                <w:bCs/>
                <w:color w:val="auto"/>
                <w:sz w:val="22"/>
                <w:szCs w:val="32"/>
                <w:highlight w:val="none"/>
              </w:rPr>
              <w:t>2013</w:t>
            </w:r>
          </w:p>
        </w:tc>
        <w:tc>
          <w:tcPr>
            <w:tcW w:w="13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1350668</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193765</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532098</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426821</w:t>
            </w:r>
          </w:p>
        </w:tc>
        <w:tc>
          <w:tcPr>
            <w:tcW w:w="11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105277</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624805</w:t>
            </w:r>
          </w:p>
        </w:tc>
        <w:tc>
          <w:tcPr>
            <w:tcW w:w="182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34423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94" w:hRule="atLeast"/>
          <w:jc w:val="center"/>
        </w:trPr>
        <w:tc>
          <w:tcPr>
            <w:tcW w:w="647"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cs="Times New Roman"/>
                <w:b/>
                <w:bCs/>
                <w:color w:val="auto"/>
                <w:sz w:val="22"/>
                <w:szCs w:val="32"/>
                <w:highlight w:val="none"/>
              </w:rPr>
              <w:t>2014</w:t>
            </w:r>
          </w:p>
        </w:tc>
        <w:tc>
          <w:tcPr>
            <w:tcW w:w="13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1376176</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191532</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564380</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459021</w:t>
            </w:r>
          </w:p>
        </w:tc>
        <w:tc>
          <w:tcPr>
            <w:tcW w:w="11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106425</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620263</w:t>
            </w:r>
          </w:p>
        </w:tc>
        <w:tc>
          <w:tcPr>
            <w:tcW w:w="182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34495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94" w:hRule="atLeast"/>
          <w:jc w:val="center"/>
        </w:trPr>
        <w:tc>
          <w:tcPr>
            <w:tcW w:w="647"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cs="Times New Roman"/>
                <w:b/>
                <w:bCs/>
                <w:color w:val="auto"/>
                <w:sz w:val="22"/>
                <w:szCs w:val="32"/>
                <w:highlight w:val="none"/>
              </w:rPr>
              <w:t>2015</w:t>
            </w:r>
          </w:p>
        </w:tc>
        <w:tc>
          <w:tcPr>
            <w:tcW w:w="13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1462079</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232593</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559595</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462757</w:t>
            </w:r>
          </w:p>
        </w:tc>
        <w:tc>
          <w:tcPr>
            <w:tcW w:w="11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96945</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669891</w:t>
            </w:r>
          </w:p>
        </w:tc>
        <w:tc>
          <w:tcPr>
            <w:tcW w:w="182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36394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94" w:hRule="atLeast"/>
          <w:jc w:val="center"/>
        </w:trPr>
        <w:tc>
          <w:tcPr>
            <w:tcW w:w="647"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cs="Times New Roman"/>
                <w:b/>
                <w:bCs/>
                <w:color w:val="auto"/>
                <w:sz w:val="22"/>
                <w:szCs w:val="32"/>
                <w:highlight w:val="none"/>
              </w:rPr>
              <w:t>2016</w:t>
            </w:r>
          </w:p>
        </w:tc>
        <w:tc>
          <w:tcPr>
            <w:tcW w:w="13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1557157</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230133</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583466</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477740</w:t>
            </w:r>
          </w:p>
        </w:tc>
        <w:tc>
          <w:tcPr>
            <w:tcW w:w="11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105855</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743558</w:t>
            </w:r>
          </w:p>
        </w:tc>
        <w:tc>
          <w:tcPr>
            <w:tcW w:w="182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38480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94" w:hRule="atLeast"/>
          <w:jc w:val="center"/>
        </w:trPr>
        <w:tc>
          <w:tcPr>
            <w:tcW w:w="647"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cs="Times New Roman"/>
                <w:b/>
                <w:bCs/>
                <w:color w:val="auto"/>
                <w:sz w:val="22"/>
                <w:szCs w:val="32"/>
                <w:highlight w:val="none"/>
              </w:rPr>
              <w:t>2017</w:t>
            </w:r>
          </w:p>
        </w:tc>
        <w:tc>
          <w:tcPr>
            <w:tcW w:w="13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1716929</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232124</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663713</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533407</w:t>
            </w:r>
          </w:p>
        </w:tc>
        <w:tc>
          <w:tcPr>
            <w:tcW w:w="11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130464</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821091</w:t>
            </w:r>
          </w:p>
        </w:tc>
        <w:tc>
          <w:tcPr>
            <w:tcW w:w="182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42041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94" w:hRule="atLeast"/>
          <w:jc w:val="center"/>
        </w:trPr>
        <w:tc>
          <w:tcPr>
            <w:tcW w:w="647"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cs="Times New Roman"/>
                <w:b/>
                <w:bCs/>
                <w:color w:val="auto"/>
                <w:sz w:val="22"/>
                <w:szCs w:val="32"/>
                <w:highlight w:val="none"/>
              </w:rPr>
              <w:t>2018</w:t>
            </w:r>
          </w:p>
        </w:tc>
        <w:tc>
          <w:tcPr>
            <w:tcW w:w="13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1876911</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254045</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720537</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589484</w:t>
            </w:r>
          </w:p>
        </w:tc>
        <w:tc>
          <w:tcPr>
            <w:tcW w:w="11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131230</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902328</w:t>
            </w:r>
          </w:p>
        </w:tc>
        <w:tc>
          <w:tcPr>
            <w:tcW w:w="182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45593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94" w:hRule="atLeast"/>
          <w:jc w:val="center"/>
        </w:trPr>
        <w:tc>
          <w:tcPr>
            <w:tcW w:w="647"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cs="Times New Roman"/>
                <w:b/>
                <w:bCs/>
                <w:color w:val="auto"/>
                <w:sz w:val="22"/>
                <w:szCs w:val="32"/>
                <w:highlight w:val="none"/>
              </w:rPr>
              <w:t>2019</w:t>
            </w:r>
          </w:p>
        </w:tc>
        <w:tc>
          <w:tcPr>
            <w:tcW w:w="13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1901200</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259600</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785300</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606500</w:t>
            </w:r>
          </w:p>
        </w:tc>
        <w:tc>
          <w:tcPr>
            <w:tcW w:w="11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w:t>
            </w:r>
          </w:p>
        </w:tc>
        <w:tc>
          <w:tcPr>
            <w:tcW w:w="9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856300</w:t>
            </w:r>
          </w:p>
        </w:tc>
        <w:tc>
          <w:tcPr>
            <w:tcW w:w="182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45982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25" w:hRule="atLeast"/>
          <w:jc w:val="center"/>
        </w:trPr>
        <w:tc>
          <w:tcPr>
            <w:tcW w:w="647"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cs="Times New Roman"/>
                <w:b/>
                <w:bCs/>
                <w:color w:val="auto"/>
                <w:sz w:val="22"/>
                <w:szCs w:val="32"/>
                <w:highlight w:val="none"/>
              </w:rPr>
              <w:t>2020</w:t>
            </w:r>
          </w:p>
        </w:tc>
        <w:tc>
          <w:tcPr>
            <w:tcW w:w="1374"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1945200</w:t>
            </w:r>
          </w:p>
        </w:tc>
        <w:tc>
          <w:tcPr>
            <w:tcW w:w="966"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295700</w:t>
            </w:r>
          </w:p>
        </w:tc>
        <w:tc>
          <w:tcPr>
            <w:tcW w:w="966"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772300</w:t>
            </w:r>
          </w:p>
        </w:tc>
        <w:tc>
          <w:tcPr>
            <w:tcW w:w="96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625877</w:t>
            </w:r>
          </w:p>
        </w:tc>
        <w:tc>
          <w:tcPr>
            <w:tcW w:w="115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　</w:t>
            </w:r>
          </w:p>
        </w:tc>
        <w:tc>
          <w:tcPr>
            <w:tcW w:w="96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877200</w:t>
            </w:r>
          </w:p>
        </w:tc>
        <w:tc>
          <w:tcPr>
            <w:tcW w:w="1823"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cs="Times New Roman"/>
                <w:color w:val="auto"/>
                <w:sz w:val="22"/>
                <w:szCs w:val="32"/>
                <w:highlight w:val="none"/>
              </w:rPr>
              <w:t>46670</w:t>
            </w:r>
          </w:p>
        </w:tc>
      </w:tr>
    </w:tbl>
    <w:p>
      <w:pPr>
        <w:pStyle w:val="22"/>
        <w:keepNext w:val="0"/>
        <w:keepLines w:val="0"/>
        <w:pageBreakBefore w:val="0"/>
        <w:widowControl w:val="0"/>
        <w:kinsoku/>
        <w:wordWrap/>
        <w:overflowPunct/>
        <w:topLinePunct w:val="0"/>
        <w:autoSpaceDE/>
        <w:autoSpaceDN/>
        <w:bidi w:val="0"/>
        <w:adjustRightInd w:val="0"/>
        <w:snapToGrid w:val="0"/>
        <w:spacing w:line="300" w:lineRule="exact"/>
        <w:jc w:val="center"/>
        <w:textAlignment w:val="auto"/>
        <w:rPr>
          <w:rFonts w:hint="default" w:ascii="Times New Roman" w:hAnsi="Times New Roman" w:eastAsia="方正小标宋_GBK" w:cs="Times New Roman"/>
          <w:b w:val="0"/>
          <w:bCs/>
          <w:color w:val="auto"/>
          <w:sz w:val="32"/>
          <w:szCs w:val="32"/>
          <w:highlight w:val="none"/>
        </w:rPr>
      </w:pPr>
    </w:p>
    <w:p>
      <w:pPr>
        <w:pStyle w:val="22"/>
        <w:jc w:val="center"/>
        <w:rPr>
          <w:rFonts w:hint="default" w:ascii="Times New Roman" w:hAnsi="Times New Roman" w:eastAsia="方正小标宋_GBK" w:cs="Times New Roman"/>
          <w:b w:val="0"/>
          <w:bCs/>
          <w:color w:val="auto"/>
          <w:sz w:val="32"/>
          <w:szCs w:val="32"/>
          <w:highlight w:val="none"/>
          <w:lang w:eastAsia="zh-CN"/>
        </w:rPr>
      </w:pPr>
      <w:r>
        <w:rPr>
          <w:rFonts w:hint="default" w:ascii="Times New Roman" w:hAnsi="Times New Roman" w:eastAsia="方正小标宋_GBK" w:cs="Times New Roman"/>
          <w:b w:val="0"/>
          <w:bCs/>
          <w:color w:val="auto"/>
          <w:sz w:val="32"/>
          <w:szCs w:val="32"/>
          <w:highlight w:val="none"/>
        </w:rPr>
        <w:t>表4.2-</w:t>
      </w:r>
      <w:r>
        <w:rPr>
          <w:rFonts w:hint="default" w:ascii="Times New Roman" w:hAnsi="Times New Roman" w:eastAsia="方正小标宋_GBK" w:cs="Times New Roman"/>
          <w:b w:val="0"/>
          <w:bCs/>
          <w:color w:val="auto"/>
          <w:sz w:val="32"/>
          <w:szCs w:val="32"/>
          <w:highlight w:val="none"/>
          <w:lang w:val="en-US" w:eastAsia="zh-CN"/>
        </w:rPr>
        <w:t xml:space="preserve">7  </w:t>
      </w:r>
      <w:r>
        <w:rPr>
          <w:rFonts w:hint="default" w:ascii="Times New Roman" w:hAnsi="Times New Roman" w:eastAsia="方正小标宋_GBK" w:cs="Times New Roman"/>
          <w:b w:val="0"/>
          <w:bCs/>
          <w:color w:val="auto"/>
          <w:sz w:val="32"/>
          <w:szCs w:val="32"/>
          <w:highlight w:val="none"/>
        </w:rPr>
        <w:t>2011</w:t>
      </w:r>
      <w:r>
        <w:rPr>
          <w:rFonts w:hint="default" w:ascii="Times New Roman" w:hAnsi="Times New Roman" w:eastAsia="方正小标宋_GBK" w:cs="Times New Roman"/>
          <w:b w:val="0"/>
          <w:bCs/>
          <w:color w:val="auto"/>
          <w:sz w:val="32"/>
          <w:szCs w:val="32"/>
          <w:highlight w:val="none"/>
          <w:lang w:val="en-US" w:eastAsia="zh-CN"/>
        </w:rPr>
        <w:t>-</w:t>
      </w:r>
      <w:r>
        <w:rPr>
          <w:rFonts w:hint="default" w:ascii="Times New Roman" w:hAnsi="Times New Roman" w:eastAsia="方正小标宋_GBK" w:cs="Times New Roman"/>
          <w:b w:val="0"/>
          <w:bCs/>
          <w:color w:val="auto"/>
          <w:sz w:val="32"/>
          <w:szCs w:val="32"/>
          <w:highlight w:val="none"/>
        </w:rPr>
        <w:t>2020年沙坡头区三产指数统计表</w:t>
      </w:r>
    </w:p>
    <w:tbl>
      <w:tblPr>
        <w:tblStyle w:val="17"/>
        <w:tblW w:w="8937" w:type="dxa"/>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602"/>
        <w:gridCol w:w="569"/>
        <w:gridCol w:w="513"/>
        <w:gridCol w:w="586"/>
        <w:gridCol w:w="1196"/>
        <w:gridCol w:w="1037"/>
        <w:gridCol w:w="1037"/>
        <w:gridCol w:w="1037"/>
        <w:gridCol w:w="1291"/>
        <w:gridCol w:w="1069"/>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60" w:hRule="atLeast"/>
        </w:trPr>
        <w:tc>
          <w:tcPr>
            <w:tcW w:w="602" w:type="dxa"/>
            <w:vMerge w:val="restart"/>
            <w:tcBorders>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年份</w:t>
            </w:r>
          </w:p>
        </w:tc>
        <w:tc>
          <w:tcPr>
            <w:tcW w:w="1668" w:type="dxa"/>
            <w:gridSpan w:val="3"/>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构成（%）</w:t>
            </w:r>
          </w:p>
        </w:tc>
        <w:tc>
          <w:tcPr>
            <w:tcW w:w="6667" w:type="dxa"/>
            <w:gridSpan w:val="6"/>
            <w:tcBorders>
              <w:left w:val="single" w:color="000000" w:sz="4" w:space="0"/>
              <w:bottom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指数（比上年增长率%）</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44" w:hRule="atLeast"/>
        </w:trPr>
        <w:tc>
          <w:tcPr>
            <w:tcW w:w="602"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p>
        </w:tc>
        <w:tc>
          <w:tcPr>
            <w:tcW w:w="1668" w:type="dxa"/>
            <w:gridSpan w:val="3"/>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p>
        </w:tc>
        <w:tc>
          <w:tcPr>
            <w:tcW w:w="119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地区</w:t>
            </w:r>
          </w:p>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生产总值</w:t>
            </w:r>
          </w:p>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（亿元）</w:t>
            </w:r>
          </w:p>
        </w:tc>
        <w:tc>
          <w:tcPr>
            <w:tcW w:w="103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第一产业</w:t>
            </w:r>
          </w:p>
        </w:tc>
        <w:tc>
          <w:tcPr>
            <w:tcW w:w="336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第二产业</w:t>
            </w:r>
          </w:p>
        </w:tc>
        <w:tc>
          <w:tcPr>
            <w:tcW w:w="1069" w:type="dxa"/>
            <w:vMerge w:val="restart"/>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第三产业</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46" w:hRule="atLeast"/>
        </w:trPr>
        <w:tc>
          <w:tcPr>
            <w:tcW w:w="602"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668" w:type="dxa"/>
            <w:gridSpan w:val="3"/>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19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03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第二产业</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其中工业</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其中建筑业</w:t>
            </w:r>
          </w:p>
        </w:tc>
        <w:tc>
          <w:tcPr>
            <w:tcW w:w="1069"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17" w:hRule="atLeast"/>
        </w:trPr>
        <w:tc>
          <w:tcPr>
            <w:tcW w:w="60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bidi="ar"/>
              </w:rPr>
              <w:t>2011</w:t>
            </w:r>
          </w:p>
        </w:tc>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15.9</w:t>
            </w: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40.3</w:t>
            </w:r>
          </w:p>
        </w:tc>
        <w:tc>
          <w:tcPr>
            <w:tcW w:w="5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43.8</w:t>
            </w:r>
          </w:p>
        </w:tc>
        <w:tc>
          <w:tcPr>
            <w:tcW w:w="1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10.8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5.0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16.3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18.8</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4.6</w:t>
            </w:r>
          </w:p>
        </w:tc>
        <w:tc>
          <w:tcPr>
            <w:tcW w:w="106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8.0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17" w:hRule="atLeast"/>
        </w:trPr>
        <w:tc>
          <w:tcPr>
            <w:tcW w:w="60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bidi="ar"/>
              </w:rPr>
              <w:t>2012</w:t>
            </w:r>
          </w:p>
        </w:tc>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14.8</w:t>
            </w: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40.5</w:t>
            </w:r>
          </w:p>
        </w:tc>
        <w:tc>
          <w:tcPr>
            <w:tcW w:w="5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44.7</w:t>
            </w:r>
          </w:p>
        </w:tc>
        <w:tc>
          <w:tcPr>
            <w:tcW w:w="1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12.2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3.5</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16.2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14.9</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23.5</w:t>
            </w:r>
          </w:p>
        </w:tc>
        <w:tc>
          <w:tcPr>
            <w:tcW w:w="106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11.5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17" w:hRule="atLeast"/>
        </w:trPr>
        <w:tc>
          <w:tcPr>
            <w:tcW w:w="60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bidi="ar"/>
              </w:rPr>
              <w:t>2013</w:t>
            </w:r>
          </w:p>
        </w:tc>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14.3</w:t>
            </w: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39.4</w:t>
            </w:r>
          </w:p>
        </w:tc>
        <w:tc>
          <w:tcPr>
            <w:tcW w:w="5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46.3</w:t>
            </w:r>
          </w:p>
        </w:tc>
        <w:tc>
          <w:tcPr>
            <w:tcW w:w="1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10.6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4.4</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14.3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12.8</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21.7</w:t>
            </w:r>
          </w:p>
        </w:tc>
        <w:tc>
          <w:tcPr>
            <w:tcW w:w="106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9.1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17" w:hRule="atLeast"/>
        </w:trPr>
        <w:tc>
          <w:tcPr>
            <w:tcW w:w="60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bidi="ar"/>
              </w:rPr>
              <w:t>2014</w:t>
            </w:r>
          </w:p>
        </w:tc>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13.9</w:t>
            </w: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41.0</w:t>
            </w:r>
          </w:p>
        </w:tc>
        <w:tc>
          <w:tcPr>
            <w:tcW w:w="5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45.1</w:t>
            </w:r>
          </w:p>
        </w:tc>
        <w:tc>
          <w:tcPr>
            <w:tcW w:w="1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5.7</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6.2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9.7</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11.8</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1.0</w:t>
            </w:r>
          </w:p>
        </w:tc>
        <w:tc>
          <w:tcPr>
            <w:tcW w:w="106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17" w:hRule="atLeast"/>
        </w:trPr>
        <w:tc>
          <w:tcPr>
            <w:tcW w:w="60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bidi="ar"/>
              </w:rPr>
              <w:t>2015</w:t>
            </w:r>
          </w:p>
        </w:tc>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15.9</w:t>
            </w: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38.3</w:t>
            </w:r>
          </w:p>
        </w:tc>
        <w:tc>
          <w:tcPr>
            <w:tcW w:w="5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45.8</w:t>
            </w:r>
          </w:p>
        </w:tc>
        <w:tc>
          <w:tcPr>
            <w:tcW w:w="1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5.6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5.0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5.2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5.4</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3.5</w:t>
            </w:r>
          </w:p>
        </w:tc>
        <w:tc>
          <w:tcPr>
            <w:tcW w:w="106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6.3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17" w:hRule="atLeast"/>
        </w:trPr>
        <w:tc>
          <w:tcPr>
            <w:tcW w:w="60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bidi="ar"/>
              </w:rPr>
              <w:t>2016</w:t>
            </w:r>
          </w:p>
        </w:tc>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14.8</w:t>
            </w: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37.5</w:t>
            </w:r>
          </w:p>
        </w:tc>
        <w:tc>
          <w:tcPr>
            <w:tcW w:w="5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47.7</w:t>
            </w:r>
          </w:p>
        </w:tc>
        <w:tc>
          <w:tcPr>
            <w:tcW w:w="1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7.0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5.0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5.1</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4.2</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9.7</w:t>
            </w:r>
          </w:p>
        </w:tc>
        <w:tc>
          <w:tcPr>
            <w:tcW w:w="106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9.3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17" w:hRule="atLeast"/>
        </w:trPr>
        <w:tc>
          <w:tcPr>
            <w:tcW w:w="60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lang w:val="en-US" w:bidi="ar"/>
              </w:rPr>
              <w:t>2017</w:t>
            </w:r>
          </w:p>
        </w:tc>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13.5</w:t>
            </w: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38.7</w:t>
            </w:r>
          </w:p>
        </w:tc>
        <w:tc>
          <w:tcPr>
            <w:tcW w:w="5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47.8</w:t>
            </w:r>
          </w:p>
        </w:tc>
        <w:tc>
          <w:tcPr>
            <w:tcW w:w="1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7.9</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4.0</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10.3</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9.3</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14.6</w:t>
            </w:r>
          </w:p>
        </w:tc>
        <w:tc>
          <w:tcPr>
            <w:tcW w:w="106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bidi="ar"/>
              </w:rPr>
              <w:t>7.4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17" w:hRule="atLeast"/>
        </w:trPr>
        <w:tc>
          <w:tcPr>
            <w:tcW w:w="60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b/>
                <w:bCs/>
                <w:color w:val="auto"/>
                <w:highlight w:val="none"/>
                <w:lang w:val="en-US" w:bidi="ar"/>
              </w:rPr>
            </w:pPr>
            <w:r>
              <w:rPr>
                <w:rFonts w:hint="default" w:ascii="Times New Roman" w:hAnsi="Times New Roman" w:cs="Times New Roman"/>
                <w:b/>
                <w:bCs/>
                <w:color w:val="auto"/>
                <w:highlight w:val="none"/>
                <w:lang w:val="en-US" w:bidi="ar"/>
              </w:rPr>
              <w:t>2018</w:t>
            </w:r>
          </w:p>
        </w:tc>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13.5</w:t>
            </w: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38.4</w:t>
            </w:r>
          </w:p>
        </w:tc>
        <w:tc>
          <w:tcPr>
            <w:tcW w:w="5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48.1</w:t>
            </w:r>
          </w:p>
        </w:tc>
        <w:tc>
          <w:tcPr>
            <w:tcW w:w="1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6.4</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4.2</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6.5</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4.2</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15.4</w:t>
            </w:r>
          </w:p>
        </w:tc>
        <w:tc>
          <w:tcPr>
            <w:tcW w:w="106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7.1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17" w:hRule="atLeast"/>
        </w:trPr>
        <w:tc>
          <w:tcPr>
            <w:tcW w:w="60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b/>
                <w:bCs/>
                <w:color w:val="auto"/>
                <w:highlight w:val="none"/>
                <w:lang w:val="en-US" w:bidi="ar"/>
              </w:rPr>
            </w:pPr>
            <w:r>
              <w:rPr>
                <w:rFonts w:hint="default" w:ascii="Times New Roman" w:hAnsi="Times New Roman" w:cs="Times New Roman"/>
                <w:b/>
                <w:bCs/>
                <w:color w:val="auto"/>
                <w:highlight w:val="none"/>
                <w:lang w:val="en-US" w:bidi="ar"/>
              </w:rPr>
              <w:t>2019</w:t>
            </w:r>
          </w:p>
        </w:tc>
        <w:tc>
          <w:tcPr>
            <w:tcW w:w="5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13.7</w:t>
            </w:r>
          </w:p>
        </w:tc>
        <w:tc>
          <w:tcPr>
            <w:tcW w:w="5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41.3</w:t>
            </w:r>
          </w:p>
        </w:tc>
        <w:tc>
          <w:tcPr>
            <w:tcW w:w="5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45.0</w:t>
            </w:r>
          </w:p>
        </w:tc>
        <w:tc>
          <w:tcPr>
            <w:tcW w:w="11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5.8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3.6</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5.8</w:t>
            </w:r>
          </w:p>
        </w:tc>
        <w:tc>
          <w:tcPr>
            <w:tcW w:w="10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w:t>
            </w:r>
          </w:p>
        </w:tc>
        <w:tc>
          <w:tcPr>
            <w:tcW w:w="106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6.7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41" w:hRule="atLeast"/>
        </w:trPr>
        <w:tc>
          <w:tcPr>
            <w:tcW w:w="602"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b/>
                <w:bCs/>
                <w:color w:val="auto"/>
                <w:highlight w:val="none"/>
                <w:lang w:val="en-US" w:bidi="ar"/>
              </w:rPr>
            </w:pPr>
            <w:r>
              <w:rPr>
                <w:rFonts w:hint="default" w:ascii="Times New Roman" w:hAnsi="Times New Roman" w:cs="Times New Roman"/>
                <w:b/>
                <w:bCs/>
                <w:color w:val="auto"/>
                <w:highlight w:val="none"/>
                <w:lang w:val="en-US" w:bidi="ar"/>
              </w:rPr>
              <w:t>2020</w:t>
            </w:r>
          </w:p>
        </w:tc>
        <w:tc>
          <w:tcPr>
            <w:tcW w:w="56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15.2</w:t>
            </w:r>
          </w:p>
        </w:tc>
        <w:tc>
          <w:tcPr>
            <w:tcW w:w="513"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39.7</w:t>
            </w:r>
          </w:p>
        </w:tc>
        <w:tc>
          <w:tcPr>
            <w:tcW w:w="586"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45.1</w:t>
            </w:r>
          </w:p>
        </w:tc>
        <w:tc>
          <w:tcPr>
            <w:tcW w:w="1196"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1.5</w:t>
            </w:r>
          </w:p>
        </w:tc>
        <w:tc>
          <w:tcPr>
            <w:tcW w:w="103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4.9</w:t>
            </w:r>
          </w:p>
        </w:tc>
        <w:tc>
          <w:tcPr>
            <w:tcW w:w="103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0.3</w:t>
            </w:r>
          </w:p>
        </w:tc>
        <w:tc>
          <w:tcPr>
            <w:tcW w:w="103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w:t>
            </w:r>
          </w:p>
        </w:tc>
        <w:tc>
          <w:tcPr>
            <w:tcW w:w="1291"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w:t>
            </w:r>
          </w:p>
        </w:tc>
        <w:tc>
          <w:tcPr>
            <w:tcW w:w="1069"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cs="Times New Roman"/>
                <w:color w:val="auto"/>
                <w:highlight w:val="none"/>
                <w:lang w:val="en-US" w:bidi="ar"/>
              </w:rPr>
            </w:pPr>
            <w:r>
              <w:rPr>
                <w:rFonts w:hint="default" w:ascii="Times New Roman" w:hAnsi="Times New Roman" w:cs="Times New Roman"/>
                <w:color w:val="auto"/>
                <w:highlight w:val="none"/>
                <w:lang w:val="en-US" w:bidi="ar"/>
              </w:rPr>
              <w:t>1.4</w:t>
            </w:r>
          </w:p>
        </w:tc>
      </w:tr>
    </w:tbl>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color w:val="auto"/>
          <w:sz w:val="32"/>
          <w:szCs w:val="32"/>
          <w:highlight w:val="none"/>
        </w:rPr>
        <w:t>表4.2-</w:t>
      </w:r>
      <w:r>
        <w:rPr>
          <w:rFonts w:hint="default" w:ascii="Times New Roman" w:hAnsi="Times New Roman" w:eastAsia="方正小标宋_GBK" w:cs="Times New Roman"/>
          <w:b w:val="0"/>
          <w:bCs/>
          <w:color w:val="auto"/>
          <w:sz w:val="32"/>
          <w:szCs w:val="32"/>
          <w:highlight w:val="none"/>
          <w:lang w:val="en-US" w:eastAsia="zh-CN"/>
        </w:rPr>
        <w:t xml:space="preserve">8  </w:t>
      </w:r>
      <w:r>
        <w:rPr>
          <w:rFonts w:hint="default" w:ascii="Times New Roman" w:hAnsi="Times New Roman" w:eastAsia="方正小标宋_GBK" w:cs="Times New Roman"/>
          <w:b w:val="0"/>
          <w:bCs/>
          <w:color w:val="auto"/>
          <w:sz w:val="32"/>
          <w:szCs w:val="32"/>
          <w:highlight w:val="none"/>
        </w:rPr>
        <w:t>201</w:t>
      </w:r>
      <w:r>
        <w:rPr>
          <w:rFonts w:hint="default" w:ascii="Times New Roman" w:hAnsi="Times New Roman" w:eastAsia="方正小标宋_GBK" w:cs="Times New Roman"/>
          <w:b w:val="0"/>
          <w:bCs/>
          <w:color w:val="auto"/>
          <w:sz w:val="32"/>
          <w:szCs w:val="32"/>
          <w:highlight w:val="none"/>
          <w:lang w:eastAsia="zh-CN"/>
        </w:rPr>
        <w:t>8</w:t>
      </w:r>
      <w:r>
        <w:rPr>
          <w:rFonts w:hint="default" w:ascii="Times New Roman" w:hAnsi="Times New Roman" w:eastAsia="方正小标宋_GBK" w:cs="Times New Roman"/>
          <w:b w:val="0"/>
          <w:bCs/>
          <w:color w:val="auto"/>
          <w:sz w:val="32"/>
          <w:szCs w:val="32"/>
          <w:highlight w:val="none"/>
          <w:lang w:val="en-US" w:eastAsia="zh-CN"/>
        </w:rPr>
        <w:t>-</w:t>
      </w:r>
      <w:r>
        <w:rPr>
          <w:rFonts w:hint="default" w:ascii="Times New Roman" w:hAnsi="Times New Roman" w:eastAsia="方正小标宋_GBK" w:cs="Times New Roman"/>
          <w:b w:val="0"/>
          <w:bCs/>
          <w:color w:val="auto"/>
          <w:sz w:val="32"/>
          <w:szCs w:val="32"/>
          <w:highlight w:val="none"/>
        </w:rPr>
        <w:t>20</w:t>
      </w:r>
      <w:r>
        <w:rPr>
          <w:rFonts w:hint="default" w:ascii="Times New Roman" w:hAnsi="Times New Roman" w:eastAsia="方正小标宋_GBK" w:cs="Times New Roman"/>
          <w:b w:val="0"/>
          <w:bCs/>
          <w:color w:val="auto"/>
          <w:sz w:val="32"/>
          <w:szCs w:val="32"/>
          <w:highlight w:val="none"/>
          <w:lang w:eastAsia="zh-CN"/>
        </w:rPr>
        <w:t>2</w:t>
      </w:r>
      <w:r>
        <w:rPr>
          <w:rFonts w:hint="default" w:ascii="Times New Roman" w:hAnsi="Times New Roman" w:eastAsia="方正小标宋_GBK" w:cs="Times New Roman"/>
          <w:b w:val="0"/>
          <w:bCs/>
          <w:color w:val="auto"/>
          <w:sz w:val="32"/>
          <w:szCs w:val="32"/>
          <w:highlight w:val="none"/>
          <w:lang w:val="en-US" w:eastAsia="zh-CN"/>
        </w:rPr>
        <w:t>0</w:t>
      </w:r>
      <w:r>
        <w:rPr>
          <w:rFonts w:hint="default" w:ascii="Times New Roman" w:hAnsi="Times New Roman" w:eastAsia="方正小标宋_GBK" w:cs="Times New Roman"/>
          <w:b w:val="0"/>
          <w:bCs/>
          <w:color w:val="auto"/>
          <w:sz w:val="32"/>
          <w:szCs w:val="32"/>
          <w:highlight w:val="none"/>
        </w:rPr>
        <w:t>年中卫工业园区工业增加值统计表</w:t>
      </w:r>
    </w:p>
    <w:p>
      <w:pPr>
        <w:pStyle w:val="22"/>
        <w:ind w:firstLine="7560" w:firstLineChars="3600"/>
        <w:jc w:val="left"/>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单位：万元</w:t>
      </w:r>
    </w:p>
    <w:tbl>
      <w:tblPr>
        <w:tblStyle w:val="17"/>
        <w:tblW w:w="8873"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2360"/>
        <w:gridCol w:w="1461"/>
        <w:gridCol w:w="2883"/>
        <w:gridCol w:w="2169"/>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181" w:hRule="atLeast"/>
          <w:jc w:val="center"/>
        </w:trPr>
        <w:tc>
          <w:tcPr>
            <w:tcW w:w="2360" w:type="dxa"/>
            <w:vMerge w:val="restart"/>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年份</w:t>
            </w:r>
          </w:p>
        </w:tc>
        <w:tc>
          <w:tcPr>
            <w:tcW w:w="4344" w:type="dxa"/>
            <w:gridSpan w:val="2"/>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工业增加值</w:t>
            </w:r>
          </w:p>
        </w:tc>
        <w:tc>
          <w:tcPr>
            <w:tcW w:w="2169" w:type="dxa"/>
            <w:vMerge w:val="restart"/>
            <w:tcBorders>
              <w:lef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占比（%）</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167" w:hRule="atLeast"/>
          <w:jc w:val="center"/>
        </w:trPr>
        <w:tc>
          <w:tcPr>
            <w:tcW w:w="2360"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p>
        </w:tc>
        <w:tc>
          <w:tcPr>
            <w:tcW w:w="146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沙坡头区</w:t>
            </w:r>
          </w:p>
        </w:tc>
        <w:tc>
          <w:tcPr>
            <w:tcW w:w="288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其中中卫工业园区</w:t>
            </w:r>
          </w:p>
        </w:tc>
        <w:tc>
          <w:tcPr>
            <w:tcW w:w="2169" w:type="dxa"/>
            <w:vMerge w:val="continue"/>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167" w:hRule="atLeast"/>
          <w:jc w:val="center"/>
        </w:trPr>
        <w:tc>
          <w:tcPr>
            <w:tcW w:w="2360" w:type="dxa"/>
            <w:tcBorders>
              <w:top w:val="single" w:color="000000" w:sz="4" w:space="0"/>
              <w:bottom w:val="single" w:color="auto" w:sz="2" w:space="0"/>
              <w:right w:val="single" w:color="auto" w:sz="2" w:space="0"/>
            </w:tcBorders>
            <w:tcMar>
              <w:top w:w="15" w:type="dxa"/>
              <w:left w:w="15" w:type="dxa"/>
              <w:right w:w="15" w:type="dxa"/>
            </w:tcMar>
            <w:vAlign w:val="center"/>
          </w:tcPr>
          <w:p>
            <w:pPr>
              <w:pStyle w:val="24"/>
              <w:rPr>
                <w:rFonts w:hint="default" w:ascii="Times New Roman" w:hAnsi="Times New Roman" w:eastAsia="仿宋" w:cs="Times New Roman"/>
                <w:b/>
                <w:bCs/>
                <w:color w:val="auto"/>
                <w:sz w:val="24"/>
                <w:szCs w:val="36"/>
                <w:highlight w:val="none"/>
                <w:lang w:eastAsia="zh-CN"/>
              </w:rPr>
            </w:pPr>
            <w:r>
              <w:rPr>
                <w:rFonts w:hint="default" w:ascii="Times New Roman" w:hAnsi="Times New Roman" w:eastAsia="仿宋" w:cs="Times New Roman"/>
                <w:b/>
                <w:bCs/>
                <w:color w:val="auto"/>
                <w:sz w:val="24"/>
                <w:szCs w:val="36"/>
                <w:highlight w:val="none"/>
                <w:lang w:val="en-US"/>
              </w:rPr>
              <w:t>201</w:t>
            </w:r>
            <w:r>
              <w:rPr>
                <w:rFonts w:hint="default" w:ascii="Times New Roman" w:hAnsi="Times New Roman" w:eastAsia="仿宋" w:cs="Times New Roman"/>
                <w:b/>
                <w:bCs/>
                <w:color w:val="auto"/>
                <w:sz w:val="24"/>
                <w:szCs w:val="36"/>
                <w:highlight w:val="none"/>
                <w:lang w:val="en-US" w:eastAsia="zh-CN"/>
              </w:rPr>
              <w:t>8</w:t>
            </w:r>
          </w:p>
        </w:tc>
        <w:tc>
          <w:tcPr>
            <w:tcW w:w="1461" w:type="dxa"/>
            <w:tcBorders>
              <w:top w:val="single" w:color="000000" w:sz="4" w:space="0"/>
              <w:left w:val="single" w:color="auto" w:sz="2" w:space="0"/>
              <w:bottom w:val="single" w:color="auto" w:sz="2" w:space="0"/>
              <w:right w:val="single" w:color="auto" w:sz="2"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rPr>
              <w:t>533407</w:t>
            </w:r>
          </w:p>
        </w:tc>
        <w:tc>
          <w:tcPr>
            <w:tcW w:w="2883" w:type="dxa"/>
            <w:tcBorders>
              <w:top w:val="single" w:color="000000" w:sz="4" w:space="0"/>
              <w:left w:val="single" w:color="auto" w:sz="2" w:space="0"/>
              <w:bottom w:val="single" w:color="auto" w:sz="2" w:space="0"/>
              <w:right w:val="single" w:color="auto" w:sz="2"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rPr>
              <w:t>329244</w:t>
            </w:r>
          </w:p>
        </w:tc>
        <w:tc>
          <w:tcPr>
            <w:tcW w:w="2169" w:type="dxa"/>
            <w:tcBorders>
              <w:top w:val="single" w:color="000000" w:sz="4" w:space="0"/>
              <w:left w:val="single" w:color="auto" w:sz="2" w:space="0"/>
              <w:bottom w:val="single" w:color="auto" w:sz="2"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rPr>
              <w:t>62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167" w:hRule="atLeast"/>
          <w:jc w:val="center"/>
        </w:trPr>
        <w:tc>
          <w:tcPr>
            <w:tcW w:w="2360" w:type="dxa"/>
            <w:tcBorders>
              <w:top w:val="single" w:color="auto" w:sz="2" w:space="0"/>
              <w:bottom w:val="single" w:color="auto" w:sz="2" w:space="0"/>
              <w:right w:val="single" w:color="auto" w:sz="2" w:space="0"/>
            </w:tcBorders>
            <w:tcMar>
              <w:top w:w="15" w:type="dxa"/>
              <w:left w:w="15" w:type="dxa"/>
              <w:right w:w="15" w:type="dxa"/>
            </w:tcMar>
            <w:vAlign w:val="center"/>
          </w:tcPr>
          <w:p>
            <w:pPr>
              <w:pStyle w:val="24"/>
              <w:rPr>
                <w:rFonts w:hint="default" w:ascii="Times New Roman" w:hAnsi="Times New Roman" w:eastAsia="仿宋" w:cs="Times New Roman"/>
                <w:b/>
                <w:bCs/>
                <w:color w:val="auto"/>
                <w:sz w:val="24"/>
                <w:szCs w:val="36"/>
                <w:highlight w:val="none"/>
                <w:lang w:eastAsia="zh-CN"/>
              </w:rPr>
            </w:pPr>
            <w:r>
              <w:rPr>
                <w:rFonts w:hint="default" w:ascii="Times New Roman" w:hAnsi="Times New Roman" w:eastAsia="仿宋" w:cs="Times New Roman"/>
                <w:b/>
                <w:bCs/>
                <w:color w:val="auto"/>
                <w:sz w:val="24"/>
                <w:szCs w:val="36"/>
                <w:highlight w:val="none"/>
                <w:lang w:val="en-US"/>
              </w:rPr>
              <w:t>201</w:t>
            </w:r>
            <w:r>
              <w:rPr>
                <w:rFonts w:hint="default" w:ascii="Times New Roman" w:hAnsi="Times New Roman" w:eastAsia="仿宋" w:cs="Times New Roman"/>
                <w:b/>
                <w:bCs/>
                <w:color w:val="auto"/>
                <w:sz w:val="24"/>
                <w:szCs w:val="36"/>
                <w:highlight w:val="none"/>
                <w:lang w:val="en-US" w:eastAsia="zh-CN"/>
              </w:rPr>
              <w:t>9</w:t>
            </w:r>
          </w:p>
        </w:tc>
        <w:tc>
          <w:tcPr>
            <w:tcW w:w="1461" w:type="dxa"/>
            <w:tcBorders>
              <w:top w:val="single" w:color="auto" w:sz="2" w:space="0"/>
              <w:left w:val="single" w:color="auto" w:sz="2" w:space="0"/>
              <w:bottom w:val="single" w:color="auto" w:sz="2" w:space="0"/>
              <w:right w:val="single" w:color="auto" w:sz="2"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rPr>
              <w:t>589484</w:t>
            </w:r>
          </w:p>
        </w:tc>
        <w:tc>
          <w:tcPr>
            <w:tcW w:w="2883" w:type="dxa"/>
            <w:tcBorders>
              <w:top w:val="single" w:color="auto" w:sz="2" w:space="0"/>
              <w:left w:val="single" w:color="auto" w:sz="2" w:space="0"/>
              <w:bottom w:val="single" w:color="auto" w:sz="2" w:space="0"/>
              <w:right w:val="single" w:color="auto" w:sz="2"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rPr>
              <w:t>358094</w:t>
            </w:r>
          </w:p>
        </w:tc>
        <w:tc>
          <w:tcPr>
            <w:tcW w:w="2169" w:type="dxa"/>
            <w:tcBorders>
              <w:top w:val="single" w:color="auto" w:sz="2" w:space="0"/>
              <w:left w:val="single" w:color="auto" w:sz="2" w:space="0"/>
              <w:bottom w:val="single" w:color="auto" w:sz="2"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rPr>
              <w:t>61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195" w:hRule="atLeast"/>
          <w:jc w:val="center"/>
        </w:trPr>
        <w:tc>
          <w:tcPr>
            <w:tcW w:w="2360" w:type="dxa"/>
            <w:tcBorders>
              <w:top w:val="single" w:color="auto" w:sz="2" w:space="0"/>
              <w:right w:val="single" w:color="auto" w:sz="2" w:space="0"/>
            </w:tcBorders>
            <w:tcMar>
              <w:top w:w="15" w:type="dxa"/>
              <w:left w:w="15" w:type="dxa"/>
              <w:right w:w="15" w:type="dxa"/>
            </w:tcMar>
            <w:vAlign w:val="center"/>
          </w:tcPr>
          <w:p>
            <w:pPr>
              <w:pStyle w:val="24"/>
              <w:rPr>
                <w:rFonts w:hint="default" w:ascii="Times New Roman" w:hAnsi="Times New Roman" w:eastAsia="仿宋" w:cs="Times New Roman"/>
                <w:b/>
                <w:bCs/>
                <w:color w:val="auto"/>
                <w:sz w:val="24"/>
                <w:szCs w:val="36"/>
                <w:highlight w:val="none"/>
                <w:lang w:val="en-US" w:eastAsia="zh-CN"/>
              </w:rPr>
            </w:pPr>
            <w:r>
              <w:rPr>
                <w:rFonts w:hint="default" w:ascii="Times New Roman" w:hAnsi="Times New Roman" w:eastAsia="仿宋" w:cs="Times New Roman"/>
                <w:b/>
                <w:bCs/>
                <w:color w:val="auto"/>
                <w:sz w:val="24"/>
                <w:szCs w:val="36"/>
                <w:highlight w:val="none"/>
                <w:lang w:val="en-US"/>
              </w:rPr>
              <w:t>20</w:t>
            </w:r>
            <w:r>
              <w:rPr>
                <w:rFonts w:hint="default" w:ascii="Times New Roman" w:hAnsi="Times New Roman" w:eastAsia="仿宋" w:cs="Times New Roman"/>
                <w:b/>
                <w:bCs/>
                <w:color w:val="auto"/>
                <w:sz w:val="24"/>
                <w:szCs w:val="36"/>
                <w:highlight w:val="none"/>
                <w:lang w:val="en-US" w:eastAsia="zh-CN"/>
              </w:rPr>
              <w:t>20</w:t>
            </w:r>
          </w:p>
        </w:tc>
        <w:tc>
          <w:tcPr>
            <w:tcW w:w="1461" w:type="dxa"/>
            <w:tcBorders>
              <w:top w:val="single" w:color="auto" w:sz="2" w:space="0"/>
              <w:left w:val="single" w:color="auto" w:sz="2" w:space="0"/>
              <w:right w:val="single" w:color="auto" w:sz="2"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rPr>
              <w:t>606500</w:t>
            </w:r>
          </w:p>
        </w:tc>
        <w:tc>
          <w:tcPr>
            <w:tcW w:w="2883" w:type="dxa"/>
            <w:tcBorders>
              <w:top w:val="single" w:color="auto" w:sz="2" w:space="0"/>
              <w:left w:val="single" w:color="auto" w:sz="2" w:space="0"/>
              <w:right w:val="single" w:color="auto" w:sz="2"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rPr>
              <w:t>362732</w:t>
            </w:r>
          </w:p>
        </w:tc>
        <w:tc>
          <w:tcPr>
            <w:tcW w:w="2169" w:type="dxa"/>
            <w:tcBorders>
              <w:top w:val="single" w:color="auto" w:sz="2" w:space="0"/>
              <w:left w:val="single" w:color="auto" w:sz="2"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rPr>
              <w:t>60</w:t>
            </w:r>
          </w:p>
        </w:tc>
      </w:tr>
    </w:tbl>
    <w:p>
      <w:pPr>
        <w:pStyle w:val="22"/>
        <w:rPr>
          <w:rFonts w:hint="default" w:ascii="Times New Roman" w:hAnsi="Times New Roman" w:eastAsia="仿宋_GB2312" w:cs="Times New Roman"/>
          <w:bCs/>
          <w:color w:val="auto"/>
          <w:szCs w:val="24"/>
          <w:highlight w:val="none"/>
        </w:rPr>
      </w:pPr>
      <w:r>
        <w:rPr>
          <w:rFonts w:hint="default" w:ascii="Times New Roman" w:hAnsi="Times New Roman" w:cs="Times New Roman"/>
          <w:color w:val="auto"/>
          <w:highlight w:val="none"/>
        </w:rPr>
        <w:drawing>
          <wp:inline distT="0" distB="0" distL="114300" distR="114300">
            <wp:extent cx="5321935" cy="2863850"/>
            <wp:effectExtent l="9525" t="9525" r="21590" b="2222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rcRect t="10088"/>
                    <a:stretch>
                      <a:fillRect/>
                    </a:stretch>
                  </pic:blipFill>
                  <pic:spPr>
                    <a:xfrm>
                      <a:off x="0" y="0"/>
                      <a:ext cx="5321935" cy="286385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22"/>
        <w:rPr>
          <w:rFonts w:hint="default" w:ascii="Times New Roman" w:hAnsi="Times New Roman" w:eastAsia="仿宋" w:cs="Times New Roman"/>
          <w:color w:val="auto"/>
          <w:highlight w:val="none"/>
        </w:rPr>
      </w:pPr>
      <w:r>
        <w:rPr>
          <w:rFonts w:hint="default" w:ascii="Times New Roman" w:hAnsi="Times New Roman" w:eastAsia="仿宋_GB2312" w:cs="Times New Roman"/>
          <w:bCs/>
          <w:color w:val="auto"/>
          <w:szCs w:val="24"/>
          <w:highlight w:val="none"/>
        </w:rPr>
        <w:t>图</w:t>
      </w:r>
      <w:r>
        <w:rPr>
          <w:rFonts w:hint="default" w:ascii="Times New Roman" w:hAnsi="Times New Roman" w:eastAsia="仿宋" w:cs="Times New Roman"/>
          <w:color w:val="auto"/>
          <w:highlight w:val="none"/>
        </w:rPr>
        <w:t xml:space="preserve">4.2-2    </w:t>
      </w:r>
      <w:r>
        <w:rPr>
          <w:rFonts w:hint="default" w:ascii="Times New Roman" w:hAnsi="Times New Roman" w:eastAsia="仿宋_GB2312" w:cs="Times New Roman"/>
          <w:bCs/>
          <w:color w:val="auto"/>
          <w:szCs w:val="24"/>
          <w:highlight w:val="none"/>
        </w:rPr>
        <w:t>20</w:t>
      </w:r>
      <w:r>
        <w:rPr>
          <w:rFonts w:hint="default" w:ascii="Times New Roman" w:hAnsi="Times New Roman" w:eastAsia="仿宋_GB2312" w:cs="Times New Roman"/>
          <w:bCs/>
          <w:color w:val="auto"/>
          <w:szCs w:val="24"/>
          <w:highlight w:val="none"/>
          <w:lang w:val="en-US" w:eastAsia="zh-CN"/>
        </w:rPr>
        <w:t>20</w:t>
      </w:r>
      <w:r>
        <w:rPr>
          <w:rFonts w:hint="default" w:ascii="Times New Roman" w:hAnsi="Times New Roman" w:eastAsia="仿宋_GB2312" w:cs="Times New Roman"/>
          <w:bCs/>
          <w:color w:val="auto"/>
          <w:szCs w:val="24"/>
          <w:highlight w:val="none"/>
        </w:rPr>
        <w:t>年三产占比图</w:t>
      </w:r>
    </w:p>
    <w:p>
      <w:pPr>
        <w:pStyle w:val="22"/>
        <w:rPr>
          <w:rFonts w:hint="default" w:ascii="Times New Roman" w:hAnsi="Times New Roman" w:eastAsia="仿宋_GB2312" w:cs="Times New Roman"/>
          <w:bCs/>
          <w:color w:val="auto"/>
          <w:szCs w:val="24"/>
          <w:highlight w:val="none"/>
        </w:rPr>
      </w:pPr>
      <w:r>
        <w:rPr>
          <w:rFonts w:hint="default" w:ascii="Times New Roman" w:hAnsi="Times New Roman" w:cs="Times New Roman"/>
          <w:color w:val="auto"/>
          <w:highlight w:val="none"/>
        </w:rPr>
        <w:drawing>
          <wp:inline distT="0" distB="0" distL="114300" distR="114300">
            <wp:extent cx="5280660" cy="2758440"/>
            <wp:effectExtent l="9525" t="9525" r="24765" b="1333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0"/>
                    <a:srcRect t="9726"/>
                    <a:stretch>
                      <a:fillRect/>
                    </a:stretch>
                  </pic:blipFill>
                  <pic:spPr>
                    <a:xfrm>
                      <a:off x="0" y="0"/>
                      <a:ext cx="5280660" cy="275844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22"/>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图</w:t>
      </w:r>
      <w:r>
        <w:rPr>
          <w:rFonts w:hint="default" w:ascii="Times New Roman" w:hAnsi="Times New Roman" w:eastAsia="仿宋_GB2312" w:cs="Times New Roman"/>
          <w:color w:val="auto"/>
          <w:sz w:val="32"/>
          <w:szCs w:val="32"/>
          <w:highlight w:val="none"/>
        </w:rPr>
        <w:t xml:space="preserve">4.2-3   </w:t>
      </w:r>
      <w:r>
        <w:rPr>
          <w:rFonts w:hint="default" w:ascii="Times New Roman" w:hAnsi="Times New Roman" w:eastAsia="仿宋_GB2312" w:cs="Times New Roman"/>
          <w:bCs/>
          <w:color w:val="auto"/>
          <w:sz w:val="32"/>
          <w:szCs w:val="32"/>
          <w:highlight w:val="none"/>
        </w:rPr>
        <w:t>2011</w:t>
      </w:r>
      <w:r>
        <w:rPr>
          <w:rFonts w:hint="default" w:ascii="Times New Roman" w:hAnsi="Times New Roman" w:eastAsia="仿宋_GB2312" w:cs="Times New Roman"/>
          <w:bCs/>
          <w:color w:val="auto"/>
          <w:sz w:val="32"/>
          <w:szCs w:val="32"/>
          <w:highlight w:val="none"/>
          <w:lang w:val="en-US" w:eastAsia="zh-CN"/>
        </w:rPr>
        <w:t>-</w:t>
      </w:r>
      <w:r>
        <w:rPr>
          <w:rFonts w:hint="default" w:ascii="Times New Roman" w:hAnsi="Times New Roman" w:eastAsia="仿宋_GB2312" w:cs="Times New Roman"/>
          <w:bCs/>
          <w:color w:val="auto"/>
          <w:sz w:val="32"/>
          <w:szCs w:val="32"/>
          <w:highlight w:val="none"/>
        </w:rPr>
        <w:t>2020年沙坡头区三产万元产值变化趋势图</w:t>
      </w:r>
    </w:p>
    <w:p>
      <w:pPr>
        <w:pStyle w:val="8"/>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eastAsia="zh-CN"/>
        </w:rPr>
        <w:t>4</w:t>
      </w:r>
      <w:r>
        <w:rPr>
          <w:rFonts w:hint="default" w:ascii="Times New Roman" w:hAnsi="Times New Roman" w:eastAsia="仿宋_GB2312" w:cs="Times New Roman"/>
          <w:color w:val="auto"/>
          <w:highlight w:val="none"/>
          <w:lang w:val="en-US" w:eastAsia="zh-CN"/>
        </w:rPr>
        <w:t>.2.3.2</w:t>
      </w:r>
      <w:r>
        <w:rPr>
          <w:rFonts w:hint="default" w:ascii="Times New Roman" w:hAnsi="Times New Roman" w:eastAsia="仿宋_GB2312" w:cs="Times New Roman"/>
          <w:color w:val="auto"/>
          <w:highlight w:val="none"/>
        </w:rPr>
        <w:t>变化特征</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沙坡头区的经济发展总体呈增长趋势，但近几年增长趋势趋于平稳，但工业增加值仍有较明显的增长趋势。根据数据统计，该地区的工业主要为中卫工业园区，按照近三年统计数据分析，中卫工业园区的工业增加值占沙坡头区的60%。</w:t>
      </w:r>
    </w:p>
    <w:bookmarkEnd w:id="318"/>
    <w:p>
      <w:pPr>
        <w:pStyle w:val="8"/>
        <w:rPr>
          <w:rFonts w:hint="default" w:ascii="Times New Roman" w:hAnsi="Times New Roman" w:eastAsia="仿宋_GB2312" w:cs="Times New Roman"/>
          <w:color w:val="auto"/>
          <w:highlight w:val="none"/>
          <w:lang w:eastAsia="zh-CN"/>
        </w:rPr>
      </w:pPr>
      <w:bookmarkStart w:id="319" w:name="_Toc18879"/>
      <w:bookmarkStart w:id="320" w:name="_Toc26880"/>
      <w:bookmarkStart w:id="321" w:name="_Toc16678"/>
      <w:bookmarkStart w:id="322" w:name="_Toc15594"/>
      <w:bookmarkStart w:id="323" w:name="_Toc12836"/>
      <w:bookmarkStart w:id="324" w:name="_Toc7919"/>
      <w:bookmarkStart w:id="325" w:name="_Toc9837"/>
      <w:bookmarkStart w:id="326" w:name="_Toc15498"/>
      <w:bookmarkStart w:id="327" w:name="_Toc31490"/>
      <w:r>
        <w:rPr>
          <w:rFonts w:hint="default" w:ascii="Times New Roman" w:hAnsi="Times New Roman" w:eastAsia="仿宋_GB2312" w:cs="Times New Roman"/>
          <w:color w:val="auto"/>
          <w:highlight w:val="none"/>
          <w:lang w:eastAsia="zh-CN"/>
        </w:rPr>
        <w:t>4.2.</w:t>
      </w: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eastAsia="zh-CN"/>
        </w:rPr>
        <w:t>农业</w:t>
      </w:r>
      <w:bookmarkEnd w:id="319"/>
      <w:bookmarkEnd w:id="320"/>
      <w:bookmarkEnd w:id="321"/>
      <w:bookmarkEnd w:id="322"/>
      <w:bookmarkEnd w:id="323"/>
      <w:bookmarkEnd w:id="324"/>
      <w:bookmarkEnd w:id="325"/>
      <w:bookmarkEnd w:id="326"/>
      <w:bookmarkEnd w:id="327"/>
    </w:p>
    <w:p>
      <w:pPr>
        <w:pStyle w:val="8"/>
        <w:rPr>
          <w:rFonts w:hint="default" w:ascii="Times New Roman" w:hAnsi="Times New Roman" w:cs="Times New Roman"/>
          <w:color w:val="auto"/>
          <w:highlight w:val="none"/>
        </w:rPr>
      </w:pPr>
      <w:r>
        <w:rPr>
          <w:rFonts w:hint="default" w:ascii="Times New Roman" w:hAnsi="Times New Roman" w:cs="Times New Roman"/>
          <w:color w:val="auto"/>
          <w:highlight w:val="none"/>
        </w:rPr>
        <w:t>4.2.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.1</w:t>
      </w:r>
      <w:r>
        <w:rPr>
          <w:rFonts w:hint="default" w:ascii="Times New Roman" w:hAnsi="Times New Roman" w:eastAsia="仿宋_GB2312" w:cs="Times New Roman"/>
          <w:color w:val="auto"/>
          <w:szCs w:val="32"/>
          <w:highlight w:val="none"/>
        </w:rPr>
        <w:t>农业发展现状</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近年来，沙坡头区始终围绕“建基地、培龙头、兴科技、拓市场、创品牌、增效益”的发展思路，牢牢把握农业增产、农民增收这一主线，加快现代农业发展步伐，积极推进农业产业结构调整，重点培育发展优质粮食、苹果、设施蔬菜、</w:t>
      </w:r>
      <w:bookmarkStart w:id="921" w:name="_GoBack"/>
      <w:bookmarkEnd w:id="921"/>
      <w:r>
        <w:rPr>
          <w:rFonts w:hint="default" w:ascii="Times New Roman" w:hAnsi="Times New Roman" w:eastAsia="仿宋_GB2312" w:cs="Times New Roman"/>
          <w:color w:val="auto"/>
          <w:kern w:val="2"/>
          <w:sz w:val="32"/>
          <w:szCs w:val="32"/>
          <w:highlight w:val="none"/>
        </w:rPr>
        <w:t>牛羊肉等具有较强市场竞争力和发展潜力的特色产业。</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根据2020年中卫经济要情手册，2020年沙坡头区农业播种面积103.08万亩，其中粮食播种面积27.58万亩，蔬菜种植12.41万亩，瓜类种植面积42.40万亩。</w:t>
      </w:r>
      <w:bookmarkStart w:id="328" w:name="_Hlk45615598"/>
    </w:p>
    <w:bookmarkEnd w:id="328"/>
    <w:p>
      <w:pPr>
        <w:pStyle w:val="8"/>
        <w:keepNext/>
        <w:keepLines/>
        <w:pageBreakBefore w:val="0"/>
        <w:widowControl w:val="0"/>
        <w:kinsoku/>
        <w:wordWrap/>
        <w:overflowPunct/>
        <w:topLinePunct w:val="0"/>
        <w:autoSpaceDE/>
        <w:autoSpaceDN/>
        <w:bidi w:val="0"/>
        <w:adjustRightInd w:val="0"/>
        <w:snapToGrid w:val="0"/>
        <w:spacing w:before="0" w:beforeLines="0" w:line="560" w:lineRule="exact"/>
        <w:ind w:firstLine="600"/>
        <w:textAlignment w:val="auto"/>
        <w:rPr>
          <w:rFonts w:hint="default" w:ascii="Times New Roman" w:hAnsi="Times New Roman" w:eastAsia="仿宋_GB2312" w:cs="Times New Roman"/>
          <w:b/>
          <w:bCs/>
          <w:color w:val="auto"/>
          <w:szCs w:val="32"/>
          <w:highlight w:val="none"/>
        </w:rPr>
      </w:pPr>
      <w:r>
        <w:rPr>
          <w:rFonts w:hint="default" w:ascii="Times New Roman" w:hAnsi="Times New Roman" w:eastAsia="仿宋_GB2312" w:cs="Times New Roman"/>
          <w:b/>
          <w:bCs/>
          <w:color w:val="auto"/>
          <w:szCs w:val="32"/>
          <w:highlight w:val="none"/>
        </w:rPr>
        <w:t>4.2.</w:t>
      </w:r>
      <w:r>
        <w:rPr>
          <w:rFonts w:hint="default" w:ascii="Times New Roman" w:hAnsi="Times New Roman" w:eastAsia="仿宋_GB2312" w:cs="Times New Roman"/>
          <w:b/>
          <w:bCs/>
          <w:color w:val="auto"/>
          <w:szCs w:val="32"/>
          <w:highlight w:val="none"/>
          <w:lang w:val="en-US" w:eastAsia="zh-CN"/>
        </w:rPr>
        <w:t>4</w:t>
      </w:r>
      <w:r>
        <w:rPr>
          <w:rFonts w:hint="default" w:ascii="Times New Roman" w:hAnsi="Times New Roman" w:eastAsia="仿宋_GB2312" w:cs="Times New Roman"/>
          <w:b/>
          <w:bCs/>
          <w:color w:val="auto"/>
          <w:szCs w:val="32"/>
          <w:highlight w:val="none"/>
        </w:rPr>
        <w:t>.</w:t>
      </w:r>
      <w:r>
        <w:rPr>
          <w:rFonts w:hint="default" w:ascii="Times New Roman" w:hAnsi="Times New Roman" w:eastAsia="仿宋_GB2312" w:cs="Times New Roman"/>
          <w:b/>
          <w:bCs/>
          <w:color w:val="auto"/>
          <w:szCs w:val="32"/>
          <w:highlight w:val="none"/>
          <w:lang w:val="en-US" w:eastAsia="zh-CN"/>
        </w:rPr>
        <w:t>2</w:t>
      </w:r>
      <w:r>
        <w:rPr>
          <w:rFonts w:hint="default" w:ascii="Times New Roman" w:hAnsi="Times New Roman" w:eastAsia="仿宋_GB2312" w:cs="Times New Roman"/>
          <w:color w:val="auto"/>
          <w:szCs w:val="32"/>
          <w:highlight w:val="none"/>
        </w:rPr>
        <w:t>规划年预测</w:t>
      </w:r>
    </w:p>
    <w:p>
      <w:pPr>
        <w:pStyle w:val="9"/>
        <w:rPr>
          <w:rFonts w:hint="default" w:ascii="Times New Roman" w:hAnsi="Times New Roman" w:cs="Times New Roman"/>
          <w:color w:val="auto"/>
          <w:highlight w:val="none"/>
        </w:rPr>
      </w:pPr>
      <w:r>
        <w:rPr>
          <w:rFonts w:hint="default" w:ascii="Times New Roman" w:hAnsi="Times New Roman" w:cs="Times New Roman"/>
          <w:color w:val="auto"/>
          <w:highlight w:val="none"/>
        </w:rPr>
        <w:t>（1）灌溉面积及种植结构</w:t>
      </w:r>
    </w:p>
    <w:p>
      <w:pPr>
        <w:spacing w:line="560" w:lineRule="exact"/>
        <w:ind w:firstLine="600"/>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rPr>
        <w:t>根据《</w:t>
      </w:r>
      <w:r>
        <w:rPr>
          <w:rFonts w:hint="default" w:ascii="Times New Roman" w:hAnsi="Times New Roman" w:eastAsia="仿宋_GB2312" w:cs="Times New Roman"/>
          <w:color w:val="auto"/>
          <w:sz w:val="32"/>
          <w:szCs w:val="32"/>
          <w:highlight w:val="none"/>
          <w:lang w:val="en-US" w:eastAsia="zh-CN"/>
        </w:rPr>
        <w:t>自治区人民政府办公厅关于印发宁夏“十四五”用水权管控指标方案的通知</w:t>
      </w:r>
      <w:r>
        <w:rPr>
          <w:rFonts w:hint="default" w:ascii="Times New Roman" w:hAnsi="Times New Roman" w:eastAsia="仿宋_GB2312" w:cs="Times New Roman"/>
          <w:color w:val="auto"/>
          <w:sz w:val="32"/>
          <w:szCs w:val="32"/>
          <w:highlight w:val="none"/>
        </w:rPr>
        <w:t>》</w:t>
      </w:r>
      <w:r>
        <w:rPr>
          <w:rFonts w:hint="default" w:ascii="Times New Roman" w:hAnsi="Times New Roman" w:cs="Times New Roman"/>
          <w:color w:val="auto"/>
          <w:sz w:val="32"/>
          <w:szCs w:val="32"/>
          <w:highlight w:val="none"/>
          <w:lang w:eastAsia="zh-CN"/>
        </w:rPr>
        <w:t>宁政办发</w:t>
      </w:r>
      <w:r>
        <w:rPr>
          <w:rFonts w:hint="default" w:ascii="Times New Roman" w:hAnsi="Times New Roman" w:eastAsia="仿宋_GB2312" w:cs="Times New Roman"/>
          <w:color w:val="auto"/>
          <w:sz w:val="32"/>
          <w:szCs w:val="32"/>
          <w:highlight w:val="none"/>
        </w:rPr>
        <w:t>﹝202</w:t>
      </w:r>
      <w:r>
        <w:rPr>
          <w:rFonts w:hint="default" w:ascii="Times New Roman" w:hAnsi="Times New Roman"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w:t>
      </w:r>
      <w:r>
        <w:rPr>
          <w:rFonts w:hint="default" w:ascii="Times New Roman" w:hAnsi="Times New Roman" w:cs="Times New Roman"/>
          <w:color w:val="auto"/>
          <w:sz w:val="32"/>
          <w:szCs w:val="32"/>
          <w:highlight w:val="none"/>
          <w:lang w:val="en-US" w:eastAsia="zh-CN"/>
        </w:rPr>
        <w:t>76号</w:t>
      </w:r>
      <w:r>
        <w:rPr>
          <w:rFonts w:hint="default" w:ascii="Times New Roman" w:hAnsi="Times New Roman" w:eastAsia="仿宋_GB2312" w:cs="Times New Roman"/>
          <w:color w:val="auto"/>
          <w:sz w:val="32"/>
          <w:szCs w:val="32"/>
          <w:highlight w:val="none"/>
        </w:rPr>
        <w:t>，在常态下，宁夏灌区规模控制在1000万亩左右，除自流灌区边缘贺兰山东麓开发区开发25万亩葡萄用地外，不得新开垦灌溉面积，扬水灌区除已批复的同心下马关及预旺10万亩，中宁喊叫水25万亩，沙坡头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兴仁香山20万亩，</w:t>
      </w:r>
      <w:r>
        <w:rPr>
          <w:rFonts w:hint="default" w:ascii="Times New Roman" w:hAnsi="Times New Roman" w:cs="Times New Roman"/>
          <w:color w:val="auto"/>
          <w:sz w:val="32"/>
          <w:szCs w:val="32"/>
          <w:highlight w:val="none"/>
          <w:lang w:eastAsia="zh-CN"/>
        </w:rPr>
        <w:t>海原</w:t>
      </w:r>
      <w:r>
        <w:rPr>
          <w:rFonts w:hint="default" w:ascii="Times New Roman" w:hAnsi="Times New Roman" w:eastAsia="仿宋_GB2312" w:cs="Times New Roman"/>
          <w:color w:val="auto"/>
          <w:sz w:val="32"/>
          <w:szCs w:val="32"/>
          <w:highlight w:val="none"/>
        </w:rPr>
        <w:t>西安乡10万亩、三塘5万亩、红寺堡巴庄子2.3万亩，共计70余万亩外不再新开发灌溉面积。本次新增灌溉面积20万亩，根据中卫市压砂地生态保护暨种植结构调整供水方案，调整和改善香山兴仁片区灌溉面积50.5万亩，含新增灌溉面积20万亩，改善灌溉面积30.5万亩。规划2025年，香山兴仁片区全部采用高效节水灌溉方式，解决当地生态及农民的基本农业生产需求。</w:t>
      </w:r>
    </w:p>
    <w:p>
      <w:pPr>
        <w:pStyle w:val="9"/>
        <w:rPr>
          <w:rFonts w:hint="default" w:ascii="Times New Roman" w:hAnsi="Times New Roman" w:cs="Times New Roman"/>
          <w:color w:val="auto"/>
          <w:highlight w:val="none"/>
        </w:rPr>
      </w:pPr>
      <w:r>
        <w:rPr>
          <w:rFonts w:hint="default" w:ascii="Times New Roman" w:hAnsi="Times New Roman" w:cs="Times New Roman"/>
          <w:color w:val="auto"/>
          <w:highlight w:val="none"/>
        </w:rPr>
        <w:t>（2）种植结构调整原则</w:t>
      </w:r>
    </w:p>
    <w:p>
      <w:pPr>
        <w:keepNext w:val="0"/>
        <w:keepLines w:val="0"/>
        <w:pageBreakBefore w:val="0"/>
        <w:widowControl/>
        <w:kinsoku/>
        <w:wordWrap/>
        <w:overflowPunct/>
        <w:topLinePunct w:val="0"/>
        <w:autoSpaceDE/>
        <w:autoSpaceDN/>
        <w:bidi w:val="0"/>
        <w:adjustRightInd/>
        <w:snapToGrid/>
        <w:ind w:firstLine="600"/>
        <w:textAlignment w:val="auto"/>
        <w:rPr>
          <w:rFonts w:hint="default" w:ascii="Times New Roman" w:hAnsi="Times New Roman" w:cs="Times New Roman"/>
          <w:b w:val="0"/>
          <w:bCs w:val="0"/>
          <w:color w:val="auto"/>
          <w:sz w:val="32"/>
          <w:szCs w:val="32"/>
          <w:highlight w:val="none"/>
        </w:rPr>
      </w:pPr>
      <w:r>
        <w:rPr>
          <w:rFonts w:hint="default" w:ascii="Times New Roman" w:hAnsi="Times New Roman" w:cs="Times New Roman"/>
          <w:b w:val="0"/>
          <w:bCs w:val="0"/>
          <w:color w:val="auto"/>
          <w:sz w:val="32"/>
          <w:szCs w:val="32"/>
          <w:highlight w:val="none"/>
        </w:rPr>
        <w:t>①</w:t>
      </w:r>
      <w:r>
        <w:rPr>
          <w:rFonts w:hint="default" w:ascii="Times New Roman" w:hAnsi="Times New Roman" w:eastAsia="仿宋_GB2312" w:cs="Times New Roman"/>
          <w:b w:val="0"/>
          <w:bCs w:val="0"/>
          <w:color w:val="auto"/>
          <w:sz w:val="32"/>
          <w:szCs w:val="32"/>
          <w:highlight w:val="none"/>
        </w:rPr>
        <w:t>水稻灌溉面积</w:t>
      </w:r>
    </w:p>
    <w:p>
      <w:pPr>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根据自治区</w:t>
      </w:r>
      <w:r>
        <w:rPr>
          <w:rFonts w:hint="default" w:ascii="Times New Roman" w:hAnsi="Times New Roman" w:cs="Times New Roman"/>
          <w:color w:val="auto"/>
          <w:sz w:val="32"/>
          <w:szCs w:val="32"/>
          <w:highlight w:val="none"/>
          <w:lang w:val="en-US" w:eastAsia="zh-CN"/>
        </w:rPr>
        <w:t>发改委发布的</w:t>
      </w:r>
      <w:r>
        <w:rPr>
          <w:rFonts w:hint="default" w:ascii="Times New Roman" w:hAnsi="Times New Roman" w:eastAsia="仿宋_GB2312" w:cs="Times New Roman"/>
          <w:color w:val="auto"/>
          <w:sz w:val="32"/>
          <w:szCs w:val="32"/>
          <w:highlight w:val="none"/>
        </w:rPr>
        <w:t>《宁夏以水定</w:t>
      </w:r>
      <w:r>
        <w:rPr>
          <w:rFonts w:hint="default" w:ascii="Times New Roman" w:hAnsi="Times New Roman" w:cs="Times New Roman"/>
          <w:color w:val="auto"/>
          <w:sz w:val="32"/>
          <w:szCs w:val="32"/>
          <w:highlight w:val="none"/>
          <w:lang w:eastAsia="zh-CN"/>
        </w:rPr>
        <w:t>地</w:t>
      </w:r>
      <w:r>
        <w:rPr>
          <w:rFonts w:hint="default" w:ascii="Times New Roman" w:hAnsi="Times New Roman" w:eastAsia="仿宋_GB2312" w:cs="Times New Roman"/>
          <w:color w:val="auto"/>
          <w:sz w:val="32"/>
          <w:szCs w:val="32"/>
          <w:highlight w:val="none"/>
        </w:rPr>
        <w:t>实施方案》，沙坡头区水稻面积控制在1万亩，本次直接采用建议值1万亩。</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考虑美利渠承担着工业生产用水和农业灌溉用水两项工程任务，同时，考虑工业用水主要为中卫工业园区给照壁山水库供水，目前工业供用水情况紧张，因此，水稻压减面积主要集中在美利渠灌域，同时，本次规划1万亩均分布在美利渠。</w:t>
      </w:r>
    </w:p>
    <w:p>
      <w:pPr>
        <w:keepNext w:val="0"/>
        <w:keepLines w:val="0"/>
        <w:pageBreakBefore w:val="0"/>
        <w:widowControl/>
        <w:kinsoku/>
        <w:wordWrap/>
        <w:overflowPunct/>
        <w:topLinePunct w:val="0"/>
        <w:autoSpaceDE/>
        <w:autoSpaceDN/>
        <w:bidi w:val="0"/>
        <w:adjustRightInd/>
        <w:snapToGrid/>
        <w:ind w:firstLine="6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②枸杞灌溉面积</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自治区林业和草原局编制的《宁夏现代枸杞产业高质量发展“十四五”规划（2021-2025年）》和宁夏水利厅编制的《宁夏重点特色产业高质量发展用水保障方案》，到2025年沙坡头区规划种植枸杞面积达到13万亩，考虑现状水稻与枸杞调整以及香山兴仁片区的水资源状况，本次规划沙坡头区枸杞灌溉面积为11万亩。</w:t>
      </w:r>
    </w:p>
    <w:p>
      <w:pPr>
        <w:keepNext w:val="0"/>
        <w:keepLines w:val="0"/>
        <w:pageBreakBefore w:val="0"/>
        <w:widowControl/>
        <w:kinsoku/>
        <w:wordWrap/>
        <w:overflowPunct/>
        <w:topLinePunct w:val="0"/>
        <w:autoSpaceDE/>
        <w:autoSpaceDN/>
        <w:bidi w:val="0"/>
        <w:adjustRightInd/>
        <w:snapToGrid/>
        <w:ind w:firstLine="6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③葡萄灌溉面积</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宁夏贺兰山东麓葡萄产业园区管委会编制的《中国（宁夏）贺兰山东麓葡萄酒产业高质量发展规划（2021—2030年）》，和宁夏水利厅编制的《宁夏重点特色产业高质量发展用水保障方案》，到2025年沙坡头区规划种植葡萄面积0.2万亩，考虑现状葡萄主要集中在碱碱湖扬水干渠的其他作物中，沙坡头区规划年无新增，维持现状0.2万亩葡萄种植。</w:t>
      </w:r>
    </w:p>
    <w:p>
      <w:pPr>
        <w:keepNext w:val="0"/>
        <w:keepLines w:val="0"/>
        <w:pageBreakBefore w:val="0"/>
        <w:widowControl/>
        <w:kinsoku/>
        <w:wordWrap/>
        <w:overflowPunct/>
        <w:topLinePunct w:val="0"/>
        <w:autoSpaceDE/>
        <w:autoSpaceDN/>
        <w:bidi w:val="0"/>
        <w:adjustRightInd/>
        <w:snapToGrid/>
        <w:ind w:firstLine="600"/>
        <w:textAlignment w:val="auto"/>
        <w:rPr>
          <w:rFonts w:hint="default" w:ascii="Times New Roman" w:hAnsi="Times New Roman" w:eastAsia="仿宋_GB2312" w:cs="Times New Roman"/>
          <w:b w:val="0"/>
          <w:bCs w:val="0"/>
          <w:color w:val="auto"/>
          <w:sz w:val="32"/>
          <w:szCs w:val="32"/>
          <w:highlight w:val="none"/>
        </w:rPr>
      </w:pPr>
      <w:r>
        <w:rPr>
          <w:rFonts w:hint="default" w:ascii="Times New Roman" w:hAnsi="Times New Roman" w:eastAsia="仿宋_GB2312" w:cs="Times New Roman"/>
          <w:b w:val="0"/>
          <w:bCs w:val="0"/>
          <w:color w:val="auto"/>
          <w:sz w:val="32"/>
          <w:szCs w:val="32"/>
          <w:highlight w:val="none"/>
        </w:rPr>
        <w:t>④蔬菜灌溉面积</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考虑蔬菜为高耗水作物，结合2020年第3期《中卫市人民政府公报》以沙坡头区为重点区域，创建功能农业种植基地4.2万亩，其中标准化基地1.5万亩，富硒蔬菜基地2.7万亩。创建富硒蔬菜产业示范园2个，借助粤港澳大湾区授牌</w:t>
      </w:r>
      <w:r>
        <w:rPr>
          <w:rFonts w:hint="default" w:ascii="Times New Roman" w:hAnsi="Times New Roman" w:cs="Times New Roman"/>
          <w:color w:val="auto"/>
          <w:kern w:val="2"/>
          <w:sz w:val="32"/>
          <w:szCs w:val="32"/>
          <w:highlight w:val="none"/>
          <w:lang w:val="en-US" w:eastAsia="zh-CN"/>
        </w:rPr>
        <w:t>中卫市</w:t>
      </w:r>
      <w:r>
        <w:rPr>
          <w:rFonts w:hint="default" w:ascii="Times New Roman" w:hAnsi="Times New Roman" w:eastAsia="仿宋_GB2312" w:cs="Times New Roman"/>
          <w:color w:val="auto"/>
          <w:kern w:val="2"/>
          <w:sz w:val="32"/>
          <w:szCs w:val="32"/>
          <w:highlight w:val="none"/>
        </w:rPr>
        <w:t>“菜篮子”生产基地的渠道优势，围绕设施果菜、拱棚韭菜、速冻蔬菜三大品类，开展新品种、新技术推广，培育“沙坡头牌”蔬菜，提升市场竞争力和知名度，通过优化设施结构，示范应用秸秆生物反应堆、蚯蚓生物等技术，带动全市蔬菜产业提质增效。</w:t>
      </w:r>
    </w:p>
    <w:p>
      <w:pPr>
        <w:pStyle w:val="27"/>
        <w:spacing w:line="560" w:lineRule="exact"/>
        <w:ind w:firstLine="600"/>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按照集中连片原则，按照现状种植分布情况，本次蔬菜仅保留美利渠和部分地下水两部分原有蔬菜的灌溉面积。</w:t>
      </w:r>
    </w:p>
    <w:p>
      <w:pPr>
        <w:pStyle w:val="27"/>
        <w:spacing w:line="560" w:lineRule="exact"/>
        <w:ind w:firstLine="600"/>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val="en-US" w:eastAsia="zh-CN"/>
        </w:rPr>
        <w:t>规划年沙坡头区不同灌区种植结构统计表，详见表4.2-9所示；规划年沙坡头区农业灌溉面积统计表，详见表4.2-10所示。</w:t>
      </w:r>
    </w:p>
    <w:p>
      <w:pPr>
        <w:pStyle w:val="27"/>
        <w:spacing w:line="560" w:lineRule="exact"/>
        <w:ind w:firstLine="600"/>
        <w:rPr>
          <w:rFonts w:hint="default" w:ascii="Times New Roman" w:hAnsi="Times New Roman" w:eastAsia="仿宋_GB2312" w:cs="Times New Roman"/>
          <w:color w:val="auto"/>
          <w:kern w:val="2"/>
          <w:sz w:val="32"/>
          <w:szCs w:val="32"/>
          <w:highlight w:val="none"/>
        </w:rPr>
      </w:pPr>
    </w:p>
    <w:p>
      <w:pPr>
        <w:ind w:firstLine="600"/>
        <w:rPr>
          <w:rFonts w:hint="default" w:ascii="Times New Roman" w:hAnsi="Times New Roman" w:cs="Times New Roman"/>
          <w:color w:val="auto"/>
          <w:highlight w:val="none"/>
        </w:rPr>
      </w:pPr>
    </w:p>
    <w:p>
      <w:pPr>
        <w:ind w:firstLine="600"/>
        <w:rPr>
          <w:rFonts w:hint="default" w:ascii="Times New Roman" w:hAnsi="Times New Roman" w:cs="Times New Roman"/>
          <w:color w:val="auto"/>
          <w:highlight w:val="none"/>
        </w:rPr>
        <w:sectPr>
          <w:headerReference r:id="rId10" w:type="default"/>
          <w:footerReference r:id="rId11" w:type="default"/>
          <w:pgSz w:w="11906" w:h="16838"/>
          <w:pgMar w:top="2098" w:right="1474" w:bottom="1984" w:left="1587" w:header="851" w:footer="1247" w:gutter="0"/>
          <w:pgNumType w:fmt="numberInDash"/>
          <w:cols w:space="720" w:num="1"/>
          <w:rtlGutter w:val="0"/>
          <w:docGrid w:linePitch="312" w:charSpace="0"/>
        </w:sectPr>
      </w:pPr>
    </w:p>
    <w:p>
      <w:pPr>
        <w:pStyle w:val="22"/>
        <w:jc w:val="center"/>
        <w:rPr>
          <w:rFonts w:hint="default" w:ascii="Times New Roman" w:hAnsi="Times New Roman" w:eastAsia="仿宋" w:cs="Times New Roman"/>
          <w:color w:val="auto"/>
          <w:highlight w:val="none"/>
        </w:rPr>
      </w:pPr>
      <w:r>
        <w:rPr>
          <w:rFonts w:hint="default" w:ascii="Times New Roman" w:hAnsi="Times New Roman" w:eastAsia="方正小标宋_GBK" w:cs="Times New Roman"/>
          <w:b w:val="0"/>
          <w:bCs w:val="0"/>
          <w:color w:val="auto"/>
          <w:sz w:val="32"/>
          <w:szCs w:val="32"/>
          <w:highlight w:val="none"/>
        </w:rPr>
        <w:t>表4.2-9</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规划年不同灌区种植结构统计表</w:t>
      </w:r>
    </w:p>
    <w:p>
      <w:pPr>
        <w:pStyle w:val="22"/>
        <w:ind w:firstLine="12810" w:firstLineChars="6100"/>
        <w:jc w:val="left"/>
        <w:rPr>
          <w:rFonts w:hint="default" w:ascii="Times New Roman" w:hAnsi="Times New Roman" w:eastAsia="仿宋"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单位：亩</w:t>
      </w:r>
    </w:p>
    <w:tbl>
      <w:tblPr>
        <w:tblStyle w:val="17"/>
        <w:tblW w:w="14033"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1829"/>
        <w:gridCol w:w="989"/>
        <w:gridCol w:w="1051"/>
        <w:gridCol w:w="989"/>
        <w:gridCol w:w="989"/>
        <w:gridCol w:w="989"/>
        <w:gridCol w:w="989"/>
        <w:gridCol w:w="1084"/>
        <w:gridCol w:w="989"/>
        <w:gridCol w:w="989"/>
        <w:gridCol w:w="1573"/>
        <w:gridCol w:w="1573"/>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09" w:hRule="atLeast"/>
          <w:jc w:val="center"/>
        </w:trPr>
        <w:tc>
          <w:tcPr>
            <w:tcW w:w="1829"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_GB2312" w:cs="Times New Roman"/>
                <w:b/>
                <w:bCs/>
                <w:color w:val="auto"/>
                <w:kern w:val="2"/>
                <w:szCs w:val="21"/>
                <w:highlight w:val="none"/>
                <w:lang w:val="en-US"/>
              </w:rPr>
              <w:t>名称</w:t>
            </w:r>
          </w:p>
        </w:tc>
        <w:tc>
          <w:tcPr>
            <w:tcW w:w="98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bidi="ar"/>
              </w:rPr>
              <w:t>水稻</w:t>
            </w:r>
          </w:p>
        </w:tc>
        <w:tc>
          <w:tcPr>
            <w:tcW w:w="1051"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bidi="ar"/>
              </w:rPr>
              <w:t>玉米</w:t>
            </w:r>
          </w:p>
        </w:tc>
        <w:tc>
          <w:tcPr>
            <w:tcW w:w="98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bidi="ar"/>
              </w:rPr>
              <w:t>小麦</w:t>
            </w:r>
          </w:p>
        </w:tc>
        <w:tc>
          <w:tcPr>
            <w:tcW w:w="98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bidi="ar"/>
              </w:rPr>
              <w:t>枸杞</w:t>
            </w:r>
          </w:p>
        </w:tc>
        <w:tc>
          <w:tcPr>
            <w:tcW w:w="98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bidi="ar"/>
              </w:rPr>
              <w:t>蔬菜</w:t>
            </w:r>
          </w:p>
        </w:tc>
        <w:tc>
          <w:tcPr>
            <w:tcW w:w="98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bidi="ar"/>
              </w:rPr>
              <w:t>果树</w:t>
            </w:r>
          </w:p>
        </w:tc>
        <w:tc>
          <w:tcPr>
            <w:tcW w:w="1084"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bidi="ar"/>
              </w:rPr>
              <w:t>林地</w:t>
            </w:r>
          </w:p>
        </w:tc>
        <w:tc>
          <w:tcPr>
            <w:tcW w:w="98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bidi="ar"/>
              </w:rPr>
              <w:t>葡萄种植</w:t>
            </w:r>
          </w:p>
        </w:tc>
        <w:tc>
          <w:tcPr>
            <w:tcW w:w="98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bidi="ar"/>
              </w:rPr>
              <w:t>硒砂瓜</w:t>
            </w:r>
          </w:p>
        </w:tc>
        <w:tc>
          <w:tcPr>
            <w:tcW w:w="1573"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bidi="ar"/>
              </w:rPr>
              <w:t>其他</w:t>
            </w:r>
          </w:p>
        </w:tc>
        <w:tc>
          <w:tcPr>
            <w:tcW w:w="1573"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bidi="ar"/>
              </w:rPr>
              <w:t>灌溉面积</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7" w:hRule="atLeast"/>
          <w:jc w:val="center"/>
        </w:trPr>
        <w:tc>
          <w:tcPr>
            <w:tcW w:w="1829"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美利渠</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bidi="ar"/>
              </w:rPr>
              <w:t>10000</w:t>
            </w:r>
          </w:p>
        </w:tc>
        <w:tc>
          <w:tcPr>
            <w:tcW w:w="10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bidi="ar"/>
              </w:rPr>
              <w:t>57989</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bidi="ar"/>
              </w:rPr>
              <w:t>2538</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bidi="ar"/>
              </w:rPr>
              <w:t>25000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bidi="ar"/>
              </w:rPr>
              <w:t>22056</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bidi="ar"/>
              </w:rPr>
              <w:t>4631</w:t>
            </w:r>
          </w:p>
        </w:tc>
        <w:tc>
          <w:tcPr>
            <w:tcW w:w="10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bidi="ar"/>
              </w:rPr>
              <w:t>2593</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600"/>
              <w:rPr>
                <w:rFonts w:hint="default" w:ascii="Times New Roman" w:hAnsi="Times New Roman" w:eastAsia="仿宋" w:cs="Times New Roman"/>
                <w:color w:val="auto"/>
                <w:highlight w:val="none"/>
                <w:lang w:val="en-US"/>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600"/>
              <w:rPr>
                <w:rFonts w:hint="default" w:ascii="Times New Roman" w:hAnsi="Times New Roman" w:eastAsia="仿宋" w:cs="Times New Roman"/>
                <w:color w:val="auto"/>
                <w:highlight w:val="none"/>
                <w:lang w:val="en-US"/>
              </w:rPr>
            </w:pPr>
          </w:p>
        </w:tc>
        <w:tc>
          <w:tcPr>
            <w:tcW w:w="15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bidi="ar"/>
              </w:rPr>
              <w:t>1489</w:t>
            </w:r>
          </w:p>
        </w:tc>
        <w:tc>
          <w:tcPr>
            <w:tcW w:w="157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bidi="ar"/>
              </w:rPr>
              <w:t>126296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7" w:hRule="atLeast"/>
          <w:jc w:val="center"/>
        </w:trPr>
        <w:tc>
          <w:tcPr>
            <w:tcW w:w="1829"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北支干渠</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600"/>
              <w:rPr>
                <w:rFonts w:hint="default" w:ascii="Times New Roman" w:hAnsi="Times New Roman" w:eastAsia="仿宋" w:cs="Times New Roman"/>
                <w:color w:val="auto"/>
                <w:highlight w:val="none"/>
                <w:lang w:val="en-US"/>
              </w:rPr>
            </w:pPr>
          </w:p>
        </w:tc>
        <w:tc>
          <w:tcPr>
            <w:tcW w:w="10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68867</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1799</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20000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0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40000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130666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7" w:hRule="atLeast"/>
          <w:jc w:val="center"/>
        </w:trPr>
        <w:tc>
          <w:tcPr>
            <w:tcW w:w="1829"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七星渠</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600"/>
              <w:rPr>
                <w:rFonts w:hint="default" w:ascii="Times New Roman" w:hAnsi="Times New Roman" w:eastAsia="仿宋" w:cs="Times New Roman"/>
                <w:color w:val="auto"/>
                <w:highlight w:val="none"/>
                <w:lang w:val="en-US"/>
              </w:rPr>
            </w:pPr>
          </w:p>
        </w:tc>
        <w:tc>
          <w:tcPr>
            <w:tcW w:w="10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13335</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9231</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10000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600</w:t>
            </w:r>
          </w:p>
        </w:tc>
        <w:tc>
          <w:tcPr>
            <w:tcW w:w="10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2000</w:t>
            </w:r>
          </w:p>
        </w:tc>
        <w:tc>
          <w:tcPr>
            <w:tcW w:w="157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35166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7" w:hRule="atLeast"/>
          <w:jc w:val="center"/>
        </w:trPr>
        <w:tc>
          <w:tcPr>
            <w:tcW w:w="1829"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羚羊角渠</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600"/>
              <w:rPr>
                <w:rFonts w:hint="default" w:ascii="Times New Roman" w:hAnsi="Times New Roman" w:eastAsia="仿宋" w:cs="Times New Roman"/>
                <w:color w:val="auto"/>
                <w:highlight w:val="none"/>
                <w:lang w:val="en-US"/>
              </w:rPr>
            </w:pPr>
          </w:p>
        </w:tc>
        <w:tc>
          <w:tcPr>
            <w:tcW w:w="10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8433</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99</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500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0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9032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7" w:hRule="atLeast"/>
          <w:jc w:val="center"/>
        </w:trPr>
        <w:tc>
          <w:tcPr>
            <w:tcW w:w="1829"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羚羊寿渠</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600"/>
              <w:rPr>
                <w:rFonts w:hint="default" w:ascii="Times New Roman" w:hAnsi="Times New Roman" w:eastAsia="仿宋" w:cs="Times New Roman"/>
                <w:color w:val="auto"/>
                <w:highlight w:val="none"/>
                <w:lang w:val="en-US"/>
              </w:rPr>
            </w:pPr>
          </w:p>
        </w:tc>
        <w:tc>
          <w:tcPr>
            <w:tcW w:w="10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23997</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5156</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600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857</w:t>
            </w:r>
          </w:p>
        </w:tc>
        <w:tc>
          <w:tcPr>
            <w:tcW w:w="10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30610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7" w:hRule="atLeast"/>
          <w:jc w:val="center"/>
        </w:trPr>
        <w:tc>
          <w:tcPr>
            <w:tcW w:w="1829"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南山台子扬水</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600"/>
              <w:rPr>
                <w:rFonts w:hint="default" w:ascii="Times New Roman" w:hAnsi="Times New Roman" w:eastAsia="仿宋" w:cs="Times New Roman"/>
                <w:color w:val="auto"/>
                <w:highlight w:val="none"/>
                <w:lang w:val="en-US"/>
              </w:rPr>
            </w:pPr>
          </w:p>
        </w:tc>
        <w:tc>
          <w:tcPr>
            <w:tcW w:w="10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49216</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2168</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10000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41551</w:t>
            </w:r>
          </w:p>
        </w:tc>
        <w:tc>
          <w:tcPr>
            <w:tcW w:w="10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100000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202935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7" w:hRule="atLeast"/>
          <w:jc w:val="center"/>
        </w:trPr>
        <w:tc>
          <w:tcPr>
            <w:tcW w:w="1829"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固海扬水</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600"/>
              <w:rPr>
                <w:rFonts w:hint="default" w:ascii="Times New Roman" w:hAnsi="Times New Roman" w:eastAsia="仿宋" w:cs="Times New Roman"/>
                <w:color w:val="auto"/>
                <w:highlight w:val="none"/>
                <w:lang w:val="en-US"/>
              </w:rPr>
            </w:pPr>
          </w:p>
        </w:tc>
        <w:tc>
          <w:tcPr>
            <w:tcW w:w="10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2900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3100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17205</w:t>
            </w:r>
          </w:p>
        </w:tc>
        <w:tc>
          <w:tcPr>
            <w:tcW w:w="10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23205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7" w:hRule="atLeast"/>
          <w:jc w:val="center"/>
        </w:trPr>
        <w:tc>
          <w:tcPr>
            <w:tcW w:w="1829"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eastAsia="zh-CN"/>
              </w:rPr>
              <w:t>马滩渠等引黄</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600"/>
              <w:rPr>
                <w:rFonts w:hint="default" w:ascii="Times New Roman" w:hAnsi="Times New Roman" w:eastAsia="仿宋" w:cs="Times New Roman"/>
                <w:color w:val="auto"/>
                <w:highlight w:val="none"/>
                <w:lang w:val="en-US"/>
              </w:rPr>
            </w:pPr>
          </w:p>
        </w:tc>
        <w:tc>
          <w:tcPr>
            <w:tcW w:w="10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4000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6300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300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2800</w:t>
            </w:r>
          </w:p>
        </w:tc>
        <w:tc>
          <w:tcPr>
            <w:tcW w:w="10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3047</w:t>
            </w:r>
          </w:p>
        </w:tc>
        <w:tc>
          <w:tcPr>
            <w:tcW w:w="157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16447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7" w:hRule="atLeast"/>
          <w:jc w:val="center"/>
        </w:trPr>
        <w:tc>
          <w:tcPr>
            <w:tcW w:w="1829"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碱碱湖扬水干渠</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600"/>
              <w:rPr>
                <w:rFonts w:hint="default" w:ascii="Times New Roman" w:hAnsi="Times New Roman" w:eastAsia="仿宋" w:cs="Times New Roman"/>
                <w:color w:val="auto"/>
                <w:highlight w:val="none"/>
                <w:lang w:val="en-US"/>
              </w:rPr>
            </w:pPr>
          </w:p>
        </w:tc>
        <w:tc>
          <w:tcPr>
            <w:tcW w:w="10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830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5000</w:t>
            </w:r>
          </w:p>
        </w:tc>
        <w:tc>
          <w:tcPr>
            <w:tcW w:w="10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2000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0</w:t>
            </w:r>
          </w:p>
        </w:tc>
        <w:tc>
          <w:tcPr>
            <w:tcW w:w="157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7830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7" w:hRule="atLeast"/>
          <w:jc w:val="center"/>
        </w:trPr>
        <w:tc>
          <w:tcPr>
            <w:tcW w:w="1829"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峡门水库供水</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600"/>
              <w:rPr>
                <w:rFonts w:hint="default" w:ascii="Times New Roman" w:hAnsi="Times New Roman" w:eastAsia="仿宋" w:cs="Times New Roman"/>
                <w:color w:val="auto"/>
                <w:highlight w:val="none"/>
                <w:lang w:val="en-US"/>
              </w:rPr>
            </w:pPr>
          </w:p>
        </w:tc>
        <w:tc>
          <w:tcPr>
            <w:tcW w:w="10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40000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144500</w:t>
            </w:r>
          </w:p>
        </w:tc>
        <w:tc>
          <w:tcPr>
            <w:tcW w:w="10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41000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250000</w:t>
            </w:r>
          </w:p>
        </w:tc>
        <w:tc>
          <w:tcPr>
            <w:tcW w:w="15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475500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7" w:hRule="atLeast"/>
          <w:jc w:val="center"/>
        </w:trPr>
        <w:tc>
          <w:tcPr>
            <w:tcW w:w="1829"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兴仁香山补灌工程</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600"/>
              <w:rPr>
                <w:rFonts w:hint="default" w:ascii="Times New Roman" w:hAnsi="Times New Roman" w:eastAsia="仿宋" w:cs="Times New Roman"/>
                <w:color w:val="auto"/>
                <w:highlight w:val="none"/>
                <w:lang w:val="en-US"/>
              </w:rPr>
            </w:pPr>
          </w:p>
        </w:tc>
        <w:tc>
          <w:tcPr>
            <w:tcW w:w="10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8100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14267</w:t>
            </w:r>
          </w:p>
        </w:tc>
        <w:tc>
          <w:tcPr>
            <w:tcW w:w="10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7133</w:t>
            </w:r>
          </w:p>
        </w:tc>
        <w:tc>
          <w:tcPr>
            <w:tcW w:w="15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0</w:t>
            </w:r>
          </w:p>
        </w:tc>
        <w:tc>
          <w:tcPr>
            <w:tcW w:w="157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29500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7" w:hRule="atLeast"/>
          <w:jc w:val="center"/>
        </w:trPr>
        <w:tc>
          <w:tcPr>
            <w:tcW w:w="1829"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其他</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600"/>
              <w:rPr>
                <w:rFonts w:hint="default" w:ascii="Times New Roman" w:hAnsi="Times New Roman" w:eastAsia="仿宋" w:cs="Times New Roman"/>
                <w:color w:val="auto"/>
                <w:highlight w:val="none"/>
                <w:lang w:val="en-US"/>
              </w:rPr>
            </w:pPr>
          </w:p>
        </w:tc>
        <w:tc>
          <w:tcPr>
            <w:tcW w:w="10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1100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500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22600</w:t>
            </w: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0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9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3800</w:t>
            </w:r>
          </w:p>
        </w:tc>
        <w:tc>
          <w:tcPr>
            <w:tcW w:w="15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p>
        </w:tc>
        <w:tc>
          <w:tcPr>
            <w:tcW w:w="1573"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28000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30" w:hRule="atLeast"/>
          <w:jc w:val="center"/>
        </w:trPr>
        <w:tc>
          <w:tcPr>
            <w:tcW w:w="1829"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合计</w:t>
            </w:r>
          </w:p>
        </w:tc>
        <w:tc>
          <w:tcPr>
            <w:tcW w:w="98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10000</w:t>
            </w:r>
          </w:p>
        </w:tc>
        <w:tc>
          <w:tcPr>
            <w:tcW w:w="1051"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238767</w:t>
            </w:r>
          </w:p>
        </w:tc>
        <w:tc>
          <w:tcPr>
            <w:tcW w:w="98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27291</w:t>
            </w:r>
          </w:p>
        </w:tc>
        <w:tc>
          <w:tcPr>
            <w:tcW w:w="98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110000</w:t>
            </w:r>
          </w:p>
        </w:tc>
        <w:tc>
          <w:tcPr>
            <w:tcW w:w="98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44656</w:t>
            </w:r>
          </w:p>
        </w:tc>
        <w:tc>
          <w:tcPr>
            <w:tcW w:w="98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231411</w:t>
            </w:r>
          </w:p>
        </w:tc>
        <w:tc>
          <w:tcPr>
            <w:tcW w:w="1084"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183593</w:t>
            </w:r>
          </w:p>
        </w:tc>
        <w:tc>
          <w:tcPr>
            <w:tcW w:w="98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2000</w:t>
            </w:r>
          </w:p>
        </w:tc>
        <w:tc>
          <w:tcPr>
            <w:tcW w:w="98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260933</w:t>
            </w:r>
          </w:p>
        </w:tc>
        <w:tc>
          <w:tcPr>
            <w:tcW w:w="1573"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6536</w:t>
            </w:r>
          </w:p>
        </w:tc>
        <w:tc>
          <w:tcPr>
            <w:tcW w:w="1573"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1115187</w:t>
            </w:r>
          </w:p>
        </w:tc>
      </w:tr>
    </w:tbl>
    <w:p>
      <w:pPr>
        <w:pStyle w:val="6"/>
        <w:outlineLvl w:val="9"/>
        <w:rPr>
          <w:rFonts w:hint="default" w:ascii="Times New Roman" w:hAnsi="Times New Roman" w:cs="Times New Roman"/>
          <w:color w:val="auto"/>
          <w:highlight w:val="none"/>
        </w:rPr>
        <w:sectPr>
          <w:pgSz w:w="16838" w:h="11906" w:orient="landscape"/>
          <w:pgMar w:top="2098" w:right="1474" w:bottom="1984" w:left="1587" w:header="851" w:footer="992" w:gutter="0"/>
          <w:pgNumType w:fmt="numberInDash"/>
          <w:cols w:space="720" w:num="1"/>
          <w:rtlGutter w:val="0"/>
          <w:docGrid w:linePitch="312" w:charSpace="0"/>
        </w:sectPr>
      </w:pPr>
    </w:p>
    <w:p>
      <w:pPr>
        <w:pStyle w:val="22"/>
        <w:jc w:val="center"/>
        <w:rPr>
          <w:rFonts w:hint="default" w:ascii="Times New Roman" w:hAnsi="Times New Roman" w:eastAsia="仿宋" w:cs="Times New Roman"/>
          <w:color w:val="auto"/>
          <w:kern w:val="0"/>
          <w:highlight w:val="none"/>
          <w:lang w:val="en-US" w:eastAsia="zh-CN"/>
        </w:rPr>
      </w:pPr>
      <w:r>
        <w:rPr>
          <w:rFonts w:hint="default" w:ascii="Times New Roman" w:hAnsi="Times New Roman" w:eastAsia="方正小标宋_GBK" w:cs="Times New Roman"/>
          <w:b w:val="0"/>
          <w:bCs w:val="0"/>
          <w:color w:val="auto"/>
          <w:sz w:val="32"/>
          <w:szCs w:val="32"/>
          <w:highlight w:val="none"/>
        </w:rPr>
        <w:t>表4.2-10</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规划年沙坡头区农业灌溉面积统计表</w:t>
      </w:r>
    </w:p>
    <w:p>
      <w:pPr>
        <w:pStyle w:val="22"/>
        <w:ind w:firstLine="7980" w:firstLineChars="3800"/>
        <w:jc w:val="left"/>
        <w:rPr>
          <w:rFonts w:hint="default" w:ascii="Times New Roman" w:hAnsi="Times New Roman" w:eastAsia="仿宋" w:cs="Times New Roman"/>
          <w:b w:val="0"/>
          <w:bCs w:val="0"/>
          <w:i w:val="0"/>
          <w:iCs w:val="0"/>
          <w:color w:val="auto"/>
          <w:kern w:val="0"/>
          <w:sz w:val="21"/>
          <w:szCs w:val="21"/>
          <w:highlight w:val="none"/>
        </w:rPr>
      </w:pPr>
      <w:r>
        <w:rPr>
          <w:rFonts w:hint="default" w:ascii="Times New Roman" w:hAnsi="Times New Roman" w:eastAsia="仿宋_GB2312" w:cs="Times New Roman"/>
          <w:b w:val="0"/>
          <w:bCs w:val="0"/>
          <w:i w:val="0"/>
          <w:iCs w:val="0"/>
          <w:color w:val="auto"/>
          <w:sz w:val="21"/>
          <w:szCs w:val="21"/>
          <w:highlight w:val="none"/>
        </w:rPr>
        <w:t>单位：亩</w:t>
      </w:r>
    </w:p>
    <w:tbl>
      <w:tblPr>
        <w:tblStyle w:val="17"/>
        <w:tblW w:w="8871"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2082"/>
        <w:gridCol w:w="1207"/>
        <w:gridCol w:w="922"/>
        <w:gridCol w:w="1199"/>
        <w:gridCol w:w="1110"/>
        <w:gridCol w:w="1241"/>
        <w:gridCol w:w="1110"/>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082" w:type="dxa"/>
            <w:vMerge w:val="restart"/>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渠道名称</w:t>
            </w:r>
          </w:p>
        </w:tc>
        <w:tc>
          <w:tcPr>
            <w:tcW w:w="1207"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合计</w:t>
            </w:r>
          </w:p>
        </w:tc>
        <w:tc>
          <w:tcPr>
            <w:tcW w:w="922"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水稻</w:t>
            </w:r>
          </w:p>
        </w:tc>
        <w:tc>
          <w:tcPr>
            <w:tcW w:w="1199"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旱作</w:t>
            </w:r>
          </w:p>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农作物</w:t>
            </w:r>
          </w:p>
        </w:tc>
        <w:tc>
          <w:tcPr>
            <w:tcW w:w="1110"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经果林</w:t>
            </w:r>
          </w:p>
        </w:tc>
        <w:tc>
          <w:tcPr>
            <w:tcW w:w="1241"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生态林地</w:t>
            </w:r>
          </w:p>
        </w:tc>
        <w:tc>
          <w:tcPr>
            <w:tcW w:w="1110" w:type="dxa"/>
            <w:vMerge w:val="restart"/>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牧草</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61" w:hRule="atLeast"/>
          <w:jc w:val="center"/>
        </w:trPr>
        <w:tc>
          <w:tcPr>
            <w:tcW w:w="2082"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p>
        </w:tc>
        <w:tc>
          <w:tcPr>
            <w:tcW w:w="120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p>
        </w:tc>
        <w:tc>
          <w:tcPr>
            <w:tcW w:w="92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p>
        </w:tc>
        <w:tc>
          <w:tcPr>
            <w:tcW w:w="119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p>
        </w:tc>
        <w:tc>
          <w:tcPr>
            <w:tcW w:w="11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p>
        </w:tc>
        <w:tc>
          <w:tcPr>
            <w:tcW w:w="12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p>
        </w:tc>
        <w:tc>
          <w:tcPr>
            <w:tcW w:w="1110"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08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美利渠</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126296</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10000</w:t>
            </w:r>
          </w:p>
        </w:tc>
        <w:tc>
          <w:tcPr>
            <w:tcW w:w="11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40580</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44128</w:t>
            </w:r>
          </w:p>
        </w:tc>
        <w:tc>
          <w:tcPr>
            <w:tcW w:w="12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2593</w:t>
            </w:r>
          </w:p>
        </w:tc>
        <w:tc>
          <w:tcPr>
            <w:tcW w:w="111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28995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08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北支干渠</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130666</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19016</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37217</w:t>
            </w:r>
          </w:p>
        </w:tc>
        <w:tc>
          <w:tcPr>
            <w:tcW w:w="12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40000</w:t>
            </w:r>
          </w:p>
        </w:tc>
        <w:tc>
          <w:tcPr>
            <w:tcW w:w="111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34434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08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七星渠</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35166</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14565</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13934</w:t>
            </w:r>
          </w:p>
        </w:tc>
        <w:tc>
          <w:tcPr>
            <w:tcW w:w="12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1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6668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08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羚羊角渠</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9032</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2207</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2608</w:t>
            </w:r>
          </w:p>
        </w:tc>
        <w:tc>
          <w:tcPr>
            <w:tcW w:w="12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1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4217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08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羚羊寿渠</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30610</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11155</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7456</w:t>
            </w:r>
          </w:p>
        </w:tc>
        <w:tc>
          <w:tcPr>
            <w:tcW w:w="12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1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11999</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08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南山台子扬水</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202935</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14472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63855</w:t>
            </w:r>
          </w:p>
        </w:tc>
        <w:tc>
          <w:tcPr>
            <w:tcW w:w="12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100000</w:t>
            </w:r>
          </w:p>
        </w:tc>
        <w:tc>
          <w:tcPr>
            <w:tcW w:w="111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24608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08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固海扬水</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23205</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725</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21030</w:t>
            </w:r>
          </w:p>
        </w:tc>
        <w:tc>
          <w:tcPr>
            <w:tcW w:w="12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1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1450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08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eastAsia="zh-CN"/>
              </w:rPr>
              <w:t>马滩渠等引黄</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16447</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10347</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4100</w:t>
            </w:r>
          </w:p>
        </w:tc>
        <w:tc>
          <w:tcPr>
            <w:tcW w:w="12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1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2000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08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碱碱湖扬水干渠</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7830</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2208</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5208</w:t>
            </w:r>
          </w:p>
        </w:tc>
        <w:tc>
          <w:tcPr>
            <w:tcW w:w="12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1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415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08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峡门水库供水</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475500</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250000</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180000</w:t>
            </w:r>
          </w:p>
        </w:tc>
        <w:tc>
          <w:tcPr>
            <w:tcW w:w="12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45500</w:t>
            </w:r>
          </w:p>
        </w:tc>
        <w:tc>
          <w:tcPr>
            <w:tcW w:w="111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08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兴仁香山补灌工程</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29500</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9158</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16292</w:t>
            </w:r>
          </w:p>
        </w:tc>
        <w:tc>
          <w:tcPr>
            <w:tcW w:w="12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p>
        </w:tc>
        <w:tc>
          <w:tcPr>
            <w:tcW w:w="111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4050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08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其他</w:t>
            </w:r>
          </w:p>
        </w:tc>
        <w:tc>
          <w:tcPr>
            <w:tcW w:w="12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28000</w:t>
            </w:r>
          </w:p>
        </w:tc>
        <w:tc>
          <w:tcPr>
            <w:tcW w:w="9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26675</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775</w:t>
            </w:r>
          </w:p>
        </w:tc>
        <w:tc>
          <w:tcPr>
            <w:tcW w:w="12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0</w:t>
            </w:r>
          </w:p>
        </w:tc>
        <w:tc>
          <w:tcPr>
            <w:tcW w:w="111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550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082"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小计</w:t>
            </w:r>
          </w:p>
        </w:tc>
        <w:tc>
          <w:tcPr>
            <w:tcW w:w="120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1115187</w:t>
            </w:r>
          </w:p>
        </w:tc>
        <w:tc>
          <w:tcPr>
            <w:tcW w:w="922"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10000</w:t>
            </w:r>
          </w:p>
        </w:tc>
        <w:tc>
          <w:tcPr>
            <w:tcW w:w="119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401108</w:t>
            </w:r>
          </w:p>
        </w:tc>
        <w:tc>
          <w:tcPr>
            <w:tcW w:w="1110"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396603</w:t>
            </w:r>
          </w:p>
        </w:tc>
        <w:tc>
          <w:tcPr>
            <w:tcW w:w="1241"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188093</w:t>
            </w:r>
          </w:p>
        </w:tc>
        <w:tc>
          <w:tcPr>
            <w:tcW w:w="1110"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bidi="ar"/>
              </w:rPr>
              <w:t>119384</w:t>
            </w:r>
          </w:p>
        </w:tc>
      </w:tr>
    </w:tbl>
    <w:p>
      <w:pPr>
        <w:pStyle w:val="9"/>
        <w:rPr>
          <w:rFonts w:hint="default" w:ascii="Times New Roman" w:hAnsi="Times New Roman" w:cs="Times New Roman"/>
          <w:color w:val="auto"/>
          <w:highlight w:val="none"/>
        </w:rPr>
      </w:pPr>
      <w:r>
        <w:rPr>
          <w:rFonts w:hint="default" w:ascii="Times New Roman" w:hAnsi="Times New Roman" w:cs="Times New Roman"/>
          <w:color w:val="auto"/>
          <w:highlight w:val="none"/>
        </w:rPr>
        <w:t>（3）高效节灌率</w:t>
      </w:r>
    </w:p>
    <w:p>
      <w:pPr>
        <w:ind w:firstLine="600"/>
        <w:rPr>
          <w:rFonts w:hint="default" w:ascii="Times New Roman" w:hAnsi="Times New Roman" w:eastAsia="仿宋_GB2312" w:cs="Times New Roman"/>
          <w:color w:val="auto"/>
          <w:szCs w:val="30"/>
          <w:highlight w:val="none"/>
        </w:rPr>
      </w:pPr>
      <w:r>
        <w:rPr>
          <w:rFonts w:hint="default" w:ascii="Times New Roman" w:hAnsi="Times New Roman" w:eastAsia="仿宋_GB2312" w:cs="Times New Roman"/>
          <w:color w:val="auto"/>
          <w:szCs w:val="30"/>
          <w:highlight w:val="none"/>
        </w:rPr>
        <w:t>按照农业农村厅以及水务局统计的数据分析，2020年沙坡头区高效节水面积为42.56万亩，其中兴仁香山片区高效节水面积13.6万亩（峡门水库供水+兴仁香山补灌工程），根据自治区水利厅关于《宁夏以水定需管控实施方案》，扬水灌区试行最严格的农业节水措施，大力推行高效节水灌溉，高效节灌率提高到80%，考虑现状扬水灌区高效节水率为58.47%，未达到</w:t>
      </w:r>
      <w:r>
        <w:rPr>
          <w:rFonts w:hint="default" w:ascii="Times New Roman" w:hAnsi="Times New Roman" w:eastAsia="仿宋_GB2312" w:cs="Times New Roman"/>
          <w:color w:val="auto"/>
          <w:szCs w:val="30"/>
          <w:highlight w:val="none"/>
          <w:lang w:eastAsia="zh-CN"/>
        </w:rPr>
        <w:t>“</w:t>
      </w:r>
      <w:r>
        <w:rPr>
          <w:rFonts w:hint="default" w:ascii="Times New Roman" w:hAnsi="Times New Roman" w:eastAsia="仿宋_GB2312" w:cs="Times New Roman"/>
          <w:color w:val="auto"/>
          <w:szCs w:val="30"/>
          <w:highlight w:val="none"/>
        </w:rPr>
        <w:t>十三五</w:t>
      </w:r>
      <w:r>
        <w:rPr>
          <w:rFonts w:hint="default" w:ascii="Times New Roman" w:hAnsi="Times New Roman" w:eastAsia="仿宋_GB2312" w:cs="Times New Roman"/>
          <w:color w:val="auto"/>
          <w:szCs w:val="30"/>
          <w:highlight w:val="none"/>
          <w:lang w:eastAsia="zh-CN"/>
        </w:rPr>
        <w:t>”</w:t>
      </w:r>
      <w:r>
        <w:rPr>
          <w:rFonts w:hint="default" w:ascii="Times New Roman" w:hAnsi="Times New Roman" w:eastAsia="仿宋_GB2312" w:cs="Times New Roman"/>
          <w:color w:val="auto"/>
          <w:szCs w:val="30"/>
          <w:highlight w:val="none"/>
        </w:rPr>
        <w:t>规划中扬黄的70%，综合考虑本次规划2025年，扬黄灌区高效节水扣除水稻外，高效节水达到75%；自流灌区现状高效节水率为32%，规划年通过压减水稻后，高效节水率达到40%；兴仁香山片区全部为高效节水。详见表4.2-11</w:t>
      </w:r>
      <w:r>
        <w:rPr>
          <w:rFonts w:hint="default" w:ascii="Times New Roman" w:hAnsi="Times New Roman" w:cs="Times New Roman"/>
          <w:color w:val="auto"/>
          <w:szCs w:val="30"/>
          <w:highlight w:val="none"/>
          <w:lang w:eastAsia="zh-CN"/>
        </w:rPr>
        <w:t>所示</w:t>
      </w:r>
      <w:r>
        <w:rPr>
          <w:rFonts w:hint="default" w:ascii="Times New Roman" w:hAnsi="Times New Roman" w:eastAsia="仿宋_GB2312" w:cs="Times New Roman"/>
          <w:color w:val="auto"/>
          <w:szCs w:val="30"/>
          <w:highlight w:val="none"/>
        </w:rPr>
        <w:t>。</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表4.2-11</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 xml:space="preserve">沙坡头区现状及规划高效节水灌溉面积统计表 </w:t>
      </w:r>
      <w:r>
        <w:rPr>
          <w:rFonts w:hint="default" w:ascii="Times New Roman" w:hAnsi="Times New Roman" w:eastAsia="仿宋_GB2312" w:cs="Times New Roman"/>
          <w:bCs/>
          <w:color w:val="auto"/>
          <w:szCs w:val="24"/>
          <w:highlight w:val="none"/>
          <w:lang w:val="en-US" w:eastAsia="zh-CN"/>
        </w:rPr>
        <w:t xml:space="preserve">   </w:t>
      </w:r>
      <w:r>
        <w:rPr>
          <w:rFonts w:hint="default" w:ascii="Times New Roman" w:hAnsi="Times New Roman" w:eastAsia="仿宋_GB2312" w:cs="Times New Roman"/>
          <w:bCs/>
          <w:color w:val="auto"/>
          <w:szCs w:val="24"/>
          <w:highlight w:val="none"/>
        </w:rPr>
        <w:t xml:space="preserve"> </w:t>
      </w:r>
    </w:p>
    <w:p>
      <w:pPr>
        <w:pStyle w:val="22"/>
        <w:jc w:val="center"/>
        <w:rPr>
          <w:rFonts w:hint="default" w:ascii="Times New Roman" w:hAnsi="Times New Roman" w:eastAsia="仿宋" w:cs="Times New Roman"/>
          <w:color w:val="auto"/>
          <w:highlight w:val="none"/>
        </w:rPr>
      </w:pPr>
      <w:r>
        <w:rPr>
          <w:rFonts w:hint="default" w:ascii="Times New Roman" w:hAnsi="Times New Roman" w:eastAsia="仿宋_GB2312" w:cs="Times New Roman"/>
          <w:bCs/>
          <w:color w:val="auto"/>
          <w:szCs w:val="24"/>
          <w:highlight w:val="none"/>
          <w:lang w:val="en-US" w:eastAsia="zh-CN"/>
        </w:rPr>
        <w:t xml:space="preserve">                                                                 </w:t>
      </w:r>
      <w:r>
        <w:rPr>
          <w:rFonts w:hint="default" w:ascii="Times New Roman" w:hAnsi="Times New Roman" w:eastAsia="仿宋_GB2312" w:cs="Times New Roman"/>
          <w:b w:val="0"/>
          <w:bCs w:val="0"/>
          <w:color w:val="auto"/>
          <w:sz w:val="21"/>
          <w:szCs w:val="21"/>
          <w:highlight w:val="none"/>
        </w:rPr>
        <w:t>单位：亩</w:t>
      </w:r>
    </w:p>
    <w:tbl>
      <w:tblPr>
        <w:tblStyle w:val="17"/>
        <w:tblW w:w="8871"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3071"/>
        <w:gridCol w:w="1933"/>
        <w:gridCol w:w="1933"/>
        <w:gridCol w:w="1934"/>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3071"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名称</w:t>
            </w:r>
          </w:p>
        </w:tc>
        <w:tc>
          <w:tcPr>
            <w:tcW w:w="1933"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现状高效节水</w:t>
            </w:r>
          </w:p>
        </w:tc>
        <w:tc>
          <w:tcPr>
            <w:tcW w:w="1933"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规划高效节水</w:t>
            </w:r>
          </w:p>
        </w:tc>
        <w:tc>
          <w:tcPr>
            <w:tcW w:w="1934"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新增高效节水</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307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美利渠</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31313</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46518.4</w:t>
            </w:r>
          </w:p>
        </w:tc>
        <w:tc>
          <w:tcPr>
            <w:tcW w:w="1934"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15205.4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307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北支干渠</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40133</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52266.4</w:t>
            </w:r>
          </w:p>
        </w:tc>
        <w:tc>
          <w:tcPr>
            <w:tcW w:w="1934"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12133.4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307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七星渠</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2700</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14066.4</w:t>
            </w:r>
          </w:p>
        </w:tc>
        <w:tc>
          <w:tcPr>
            <w:tcW w:w="1934"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11366.4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307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羚羊角渠</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1500</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3612.8</w:t>
            </w:r>
          </w:p>
        </w:tc>
        <w:tc>
          <w:tcPr>
            <w:tcW w:w="1934"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2112.8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307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羚羊寿渠</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10192</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12254</w:t>
            </w:r>
          </w:p>
        </w:tc>
        <w:tc>
          <w:tcPr>
            <w:tcW w:w="1934"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2062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307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南山台子扬水</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149013</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152201.25</w:t>
            </w:r>
          </w:p>
        </w:tc>
        <w:tc>
          <w:tcPr>
            <w:tcW w:w="1934"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3188.25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307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固海扬水</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10108</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17403.75</w:t>
            </w:r>
          </w:p>
        </w:tc>
        <w:tc>
          <w:tcPr>
            <w:tcW w:w="1934"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7295.75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307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eastAsia="zh-CN"/>
              </w:rPr>
              <w:t>马滩渠等引黄</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11047</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16447</w:t>
            </w:r>
          </w:p>
        </w:tc>
        <w:tc>
          <w:tcPr>
            <w:tcW w:w="1934"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5400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307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碱碱湖扬水干渠</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5600</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5872.5</w:t>
            </w:r>
          </w:p>
        </w:tc>
        <w:tc>
          <w:tcPr>
            <w:tcW w:w="1934"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272.5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307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峡门水库供水</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106494</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475500</w:t>
            </w:r>
          </w:p>
        </w:tc>
        <w:tc>
          <w:tcPr>
            <w:tcW w:w="1934"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369006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307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兴仁香山补灌工程</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29500</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29500</w:t>
            </w:r>
          </w:p>
        </w:tc>
        <w:tc>
          <w:tcPr>
            <w:tcW w:w="1934"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307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其他</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4"/>
                <w:szCs w:val="36"/>
                <w:highlight w:val="none"/>
              </w:rPr>
            </w:pPr>
            <w:r>
              <w:rPr>
                <w:rFonts w:hint="default" w:ascii="Times New Roman" w:hAnsi="Times New Roman" w:eastAsia="仿宋" w:cs="Times New Roman"/>
                <w:color w:val="auto"/>
                <w:sz w:val="24"/>
                <w:szCs w:val="36"/>
                <w:highlight w:val="none"/>
                <w:lang w:val="en-US"/>
              </w:rPr>
              <w:t>28000</w:t>
            </w:r>
          </w:p>
        </w:tc>
        <w:tc>
          <w:tcPr>
            <w:tcW w:w="193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28000</w:t>
            </w:r>
          </w:p>
        </w:tc>
        <w:tc>
          <w:tcPr>
            <w:tcW w:w="1934"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3071"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小计</w:t>
            </w:r>
          </w:p>
        </w:tc>
        <w:tc>
          <w:tcPr>
            <w:tcW w:w="1933"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sz w:val="24"/>
                <w:szCs w:val="36"/>
                <w:highlight w:val="none"/>
              </w:rPr>
            </w:pPr>
            <w:r>
              <w:rPr>
                <w:rFonts w:hint="default" w:ascii="Times New Roman" w:hAnsi="Times New Roman" w:eastAsia="仿宋" w:cs="Times New Roman"/>
                <w:b/>
                <w:bCs/>
                <w:color w:val="auto"/>
                <w:sz w:val="24"/>
                <w:szCs w:val="36"/>
                <w:highlight w:val="none"/>
                <w:lang w:val="en-US"/>
              </w:rPr>
              <w:t>425600</w:t>
            </w:r>
          </w:p>
        </w:tc>
        <w:tc>
          <w:tcPr>
            <w:tcW w:w="1933"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b/>
                <w:bCs/>
                <w:color w:val="auto"/>
                <w:sz w:val="24"/>
                <w:szCs w:val="36"/>
                <w:highlight w:val="none"/>
                <w:lang w:val="en-US"/>
              </w:rPr>
            </w:pPr>
            <w:r>
              <w:rPr>
                <w:rFonts w:hint="default" w:ascii="Times New Roman" w:hAnsi="Times New Roman" w:eastAsia="仿宋" w:cs="Times New Roman"/>
                <w:b/>
                <w:bCs/>
                <w:color w:val="auto"/>
                <w:sz w:val="24"/>
                <w:szCs w:val="36"/>
                <w:highlight w:val="none"/>
                <w:lang w:val="en-US" w:bidi="ar"/>
              </w:rPr>
              <w:t>853642</w:t>
            </w:r>
          </w:p>
        </w:tc>
        <w:tc>
          <w:tcPr>
            <w:tcW w:w="1934" w:type="dxa"/>
            <w:tcBorders>
              <w:top w:val="single" w:color="000000" w:sz="4" w:space="0"/>
              <w:left w:val="single" w:color="000000" w:sz="4" w:space="0"/>
            </w:tcBorders>
            <w:tcMar>
              <w:top w:w="15" w:type="dxa"/>
              <w:left w:w="15" w:type="dxa"/>
              <w:right w:w="15" w:type="dxa"/>
            </w:tcMar>
            <w:vAlign w:val="center"/>
          </w:tcPr>
          <w:p>
            <w:pPr>
              <w:pStyle w:val="24"/>
              <w:ind w:firstLine="0"/>
              <w:rPr>
                <w:rFonts w:hint="default" w:ascii="Times New Roman" w:hAnsi="Times New Roman" w:eastAsia="仿宋" w:cs="Times New Roman"/>
                <w:b/>
                <w:bCs/>
                <w:color w:val="auto"/>
                <w:sz w:val="24"/>
                <w:szCs w:val="36"/>
                <w:highlight w:val="none"/>
                <w:lang w:val="en-US"/>
              </w:rPr>
            </w:pPr>
            <w:r>
              <w:rPr>
                <w:rFonts w:hint="default" w:ascii="Times New Roman" w:hAnsi="Times New Roman" w:eastAsia="仿宋" w:cs="Times New Roman"/>
                <w:b/>
                <w:bCs/>
                <w:color w:val="auto"/>
                <w:sz w:val="24"/>
                <w:szCs w:val="36"/>
                <w:highlight w:val="none"/>
                <w:lang w:val="en-US" w:bidi="ar"/>
              </w:rPr>
              <w:t>428042</w:t>
            </w:r>
          </w:p>
        </w:tc>
      </w:tr>
    </w:tbl>
    <w:p>
      <w:pPr>
        <w:pStyle w:val="7"/>
        <w:spacing w:before="0" w:line="240" w:lineRule="auto"/>
        <w:rPr>
          <w:rFonts w:hint="default" w:ascii="Times New Roman" w:hAnsi="Times New Roman" w:eastAsia="仿宋_GB2312" w:cs="Times New Roman"/>
          <w:bCs/>
          <w:color w:val="auto"/>
          <w:kern w:val="2"/>
          <w:highlight w:val="none"/>
        </w:rPr>
      </w:pPr>
      <w:bookmarkStart w:id="329" w:name="_Toc30058"/>
      <w:bookmarkStart w:id="330" w:name="_Toc6215"/>
      <w:bookmarkStart w:id="331" w:name="_Toc6744"/>
      <w:bookmarkStart w:id="332" w:name="_Toc14981"/>
      <w:bookmarkStart w:id="333" w:name="_Toc3545"/>
      <w:bookmarkStart w:id="334" w:name="_Toc45886458"/>
      <w:bookmarkStart w:id="335" w:name="_Toc11103"/>
      <w:bookmarkStart w:id="336" w:name="_Toc23833"/>
      <w:bookmarkStart w:id="337" w:name="_Toc28953"/>
      <w:r>
        <w:rPr>
          <w:rFonts w:hint="default" w:ascii="Times New Roman" w:hAnsi="Times New Roman" w:eastAsia="仿宋_GB2312" w:cs="Times New Roman"/>
          <w:bCs/>
          <w:color w:val="auto"/>
          <w:kern w:val="2"/>
          <w:highlight w:val="none"/>
        </w:rPr>
        <w:t>4.2.</w:t>
      </w:r>
      <w:r>
        <w:rPr>
          <w:rFonts w:hint="default" w:ascii="Times New Roman" w:hAnsi="Times New Roman" w:eastAsia="仿宋_GB2312" w:cs="Times New Roman"/>
          <w:bCs/>
          <w:color w:val="auto"/>
          <w:kern w:val="2"/>
          <w:highlight w:val="none"/>
          <w:lang w:val="en-US" w:eastAsia="zh-CN"/>
        </w:rPr>
        <w:t>5</w:t>
      </w:r>
      <w:r>
        <w:rPr>
          <w:rFonts w:hint="default" w:ascii="Times New Roman" w:hAnsi="Times New Roman" w:eastAsia="仿宋_GB2312" w:cs="Times New Roman"/>
          <w:bCs/>
          <w:color w:val="auto"/>
          <w:kern w:val="2"/>
          <w:highlight w:val="none"/>
        </w:rPr>
        <w:t>畜牧业</w:t>
      </w:r>
      <w:bookmarkEnd w:id="329"/>
      <w:bookmarkEnd w:id="330"/>
      <w:bookmarkEnd w:id="331"/>
      <w:bookmarkEnd w:id="332"/>
      <w:bookmarkEnd w:id="333"/>
      <w:bookmarkEnd w:id="334"/>
      <w:bookmarkEnd w:id="335"/>
      <w:bookmarkEnd w:id="336"/>
      <w:bookmarkEnd w:id="337"/>
    </w:p>
    <w:p>
      <w:pPr>
        <w:rPr>
          <w:rFonts w:hint="default" w:ascii="Times New Roman" w:hAnsi="Times New Roman" w:cs="Times New Roman"/>
          <w:color w:val="auto"/>
          <w:szCs w:val="30"/>
          <w:highlight w:val="none"/>
        </w:rPr>
      </w:pPr>
      <w:r>
        <w:rPr>
          <w:rFonts w:hint="default" w:ascii="Times New Roman" w:hAnsi="Times New Roman" w:eastAsia="仿宋_GB2312" w:cs="Times New Roman"/>
          <w:color w:val="auto"/>
          <w:kern w:val="2"/>
          <w:sz w:val="32"/>
          <w:szCs w:val="30"/>
          <w:highlight w:val="none"/>
        </w:rPr>
        <w:t>根据数据统计，</w:t>
      </w:r>
      <w:r>
        <w:rPr>
          <w:rFonts w:hint="default" w:ascii="Times New Roman" w:hAnsi="Times New Roman" w:eastAsia="仿宋_GB2312" w:cs="Times New Roman"/>
          <w:color w:val="auto"/>
          <w:kern w:val="2"/>
          <w:sz w:val="32"/>
          <w:szCs w:val="30"/>
          <w:highlight w:val="none"/>
          <w:lang w:val="en-US" w:eastAsia="zh-CN"/>
        </w:rPr>
        <w:t>2020年肉牛存栏量2.86万头，奶牛存栏量4.65万头，生猪存栏量19.67</w:t>
      </w:r>
      <w:r>
        <w:rPr>
          <w:rFonts w:hint="default" w:ascii="Times New Roman" w:hAnsi="Times New Roman" w:cs="Times New Roman"/>
          <w:color w:val="auto"/>
          <w:kern w:val="2"/>
          <w:sz w:val="32"/>
          <w:szCs w:val="30"/>
          <w:highlight w:val="none"/>
          <w:lang w:val="en-US" w:eastAsia="zh-CN"/>
        </w:rPr>
        <w:t>万</w:t>
      </w:r>
      <w:r>
        <w:rPr>
          <w:rFonts w:hint="default" w:ascii="Times New Roman" w:hAnsi="Times New Roman" w:eastAsia="仿宋_GB2312" w:cs="Times New Roman"/>
          <w:color w:val="auto"/>
          <w:kern w:val="2"/>
          <w:sz w:val="32"/>
          <w:szCs w:val="30"/>
          <w:highlight w:val="none"/>
          <w:lang w:val="en-US" w:eastAsia="zh-CN"/>
        </w:rPr>
        <w:t>头</w:t>
      </w:r>
      <w:r>
        <w:rPr>
          <w:rFonts w:hint="default" w:ascii="Times New Roman" w:hAnsi="Times New Roman" w:cs="Times New Roman"/>
          <w:color w:val="auto"/>
          <w:kern w:val="2"/>
          <w:sz w:val="32"/>
          <w:szCs w:val="30"/>
          <w:highlight w:val="none"/>
          <w:lang w:val="en-US" w:eastAsia="zh-CN"/>
        </w:rPr>
        <w:t>。</w:t>
      </w:r>
    </w:p>
    <w:p>
      <w:pPr>
        <w:rPr>
          <w:rFonts w:hint="default" w:ascii="Times New Roman" w:hAnsi="Times New Roman" w:eastAsia="仿宋_GB2312" w:cs="Times New Roman"/>
          <w:color w:val="auto"/>
          <w:kern w:val="2"/>
          <w:sz w:val="32"/>
          <w:szCs w:val="30"/>
          <w:highlight w:val="none"/>
        </w:rPr>
      </w:pPr>
      <w:r>
        <w:rPr>
          <w:rFonts w:hint="default" w:ascii="Times New Roman" w:hAnsi="Times New Roman" w:cs="Times New Roman"/>
          <w:color w:val="auto"/>
          <w:kern w:val="2"/>
          <w:szCs w:val="30"/>
          <w:highlight w:val="none"/>
          <w:lang w:val="en-US" w:eastAsia="zh-CN"/>
        </w:rPr>
        <w:t>2011-2020年沙坡头区畜牧业信息统计表，详见表4.2-12所示。2011-2020年沙坡头区牲畜存栏变化趋势图，详见图4.2-4所示；2011-2020年沙坡头区家禽存栏变化趋势图，详见图4.2-5所示；</w:t>
      </w:r>
    </w:p>
    <w:p>
      <w:pPr>
        <w:pStyle w:val="22"/>
        <w:jc w:val="center"/>
        <w:rPr>
          <w:rFonts w:hint="default" w:ascii="Times New Roman" w:hAnsi="Times New Roman" w:eastAsia="方正小标宋_GBK" w:cs="Times New Roman"/>
          <w:b w:val="0"/>
          <w:bCs w:val="0"/>
          <w:color w:val="auto"/>
          <w:sz w:val="32"/>
          <w:szCs w:val="32"/>
          <w:highlight w:val="none"/>
          <w:lang w:eastAsia="zh-CN"/>
        </w:rPr>
      </w:pPr>
      <w:r>
        <w:rPr>
          <w:rFonts w:hint="default" w:ascii="Times New Roman" w:hAnsi="Times New Roman" w:eastAsia="方正小标宋_GBK" w:cs="Times New Roman"/>
          <w:b w:val="0"/>
          <w:bCs w:val="0"/>
          <w:color w:val="auto"/>
          <w:sz w:val="32"/>
          <w:szCs w:val="32"/>
          <w:highlight w:val="none"/>
        </w:rPr>
        <w:t>表4.2-12</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2011</w:t>
      </w:r>
      <w:r>
        <w:rPr>
          <w:rFonts w:hint="default" w:ascii="Times New Roman" w:hAnsi="Times New Roman" w:eastAsia="方正小标宋_GBK" w:cs="Times New Roman"/>
          <w:b w:val="0"/>
          <w:bCs w:val="0"/>
          <w:color w:val="auto"/>
          <w:sz w:val="32"/>
          <w:szCs w:val="32"/>
          <w:highlight w:val="none"/>
          <w:lang w:val="en-US" w:eastAsia="zh-CN"/>
        </w:rPr>
        <w:t>-</w:t>
      </w:r>
      <w:r>
        <w:rPr>
          <w:rFonts w:hint="default" w:ascii="Times New Roman" w:hAnsi="Times New Roman" w:eastAsia="方正小标宋_GBK" w:cs="Times New Roman"/>
          <w:b w:val="0"/>
          <w:bCs w:val="0"/>
          <w:color w:val="auto"/>
          <w:sz w:val="32"/>
          <w:szCs w:val="32"/>
          <w:highlight w:val="none"/>
        </w:rPr>
        <w:t>2020年沙坡头区畜牧业信息统计表</w:t>
      </w:r>
    </w:p>
    <w:tbl>
      <w:tblPr>
        <w:tblStyle w:val="17"/>
        <w:tblW w:w="9237"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676"/>
        <w:gridCol w:w="1124"/>
        <w:gridCol w:w="771"/>
        <w:gridCol w:w="771"/>
        <w:gridCol w:w="789"/>
        <w:gridCol w:w="771"/>
        <w:gridCol w:w="780"/>
        <w:gridCol w:w="706"/>
        <w:gridCol w:w="813"/>
        <w:gridCol w:w="714"/>
        <w:gridCol w:w="660"/>
        <w:gridCol w:w="662"/>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76" w:hRule="atLeast"/>
          <w:jc w:val="center"/>
        </w:trPr>
        <w:tc>
          <w:tcPr>
            <w:tcW w:w="676" w:type="dxa"/>
            <w:vMerge w:val="restart"/>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年份</w:t>
            </w:r>
          </w:p>
        </w:tc>
        <w:tc>
          <w:tcPr>
            <w:tcW w:w="1124"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大家畜存栏（头）</w:t>
            </w:r>
          </w:p>
        </w:tc>
        <w:tc>
          <w:tcPr>
            <w:tcW w:w="2331" w:type="dxa"/>
            <w:gridSpan w:val="3"/>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牛（头）</w:t>
            </w:r>
          </w:p>
        </w:tc>
        <w:tc>
          <w:tcPr>
            <w:tcW w:w="1551" w:type="dxa"/>
            <w:gridSpan w:val="2"/>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生猪（头）</w:t>
            </w:r>
          </w:p>
        </w:tc>
        <w:tc>
          <w:tcPr>
            <w:tcW w:w="2233" w:type="dxa"/>
            <w:gridSpan w:val="3"/>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羊（只）</w:t>
            </w:r>
          </w:p>
        </w:tc>
        <w:tc>
          <w:tcPr>
            <w:tcW w:w="1322" w:type="dxa"/>
            <w:gridSpan w:val="2"/>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家禽（万只）</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912" w:hRule="atLeast"/>
          <w:jc w:val="center"/>
        </w:trPr>
        <w:tc>
          <w:tcPr>
            <w:tcW w:w="676"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1"/>
                <w:szCs w:val="21"/>
                <w:highlight w:val="none"/>
                <w:lang w:val="en-US"/>
              </w:rPr>
            </w:pPr>
          </w:p>
        </w:tc>
        <w:tc>
          <w:tcPr>
            <w:tcW w:w="112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1"/>
                <w:szCs w:val="21"/>
                <w:highlight w:val="none"/>
                <w:lang w:val="en-US"/>
              </w:rPr>
            </w:pP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val="0"/>
                <w:bCs w:val="0"/>
                <w:color w:val="auto"/>
                <w:kern w:val="2"/>
                <w:sz w:val="21"/>
                <w:szCs w:val="21"/>
                <w:highlight w:val="none"/>
                <w:lang w:val="en-US"/>
              </w:rPr>
            </w:pPr>
            <w:r>
              <w:rPr>
                <w:rFonts w:hint="default" w:ascii="Times New Roman" w:hAnsi="Times New Roman" w:eastAsia="仿宋_GB2312" w:cs="Times New Roman"/>
                <w:b w:val="0"/>
                <w:bCs w:val="0"/>
                <w:color w:val="auto"/>
                <w:kern w:val="2"/>
                <w:sz w:val="21"/>
                <w:szCs w:val="21"/>
                <w:highlight w:val="none"/>
                <w:lang w:val="en-US"/>
              </w:rPr>
              <w:t>存栏</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val="0"/>
                <w:bCs w:val="0"/>
                <w:color w:val="auto"/>
                <w:kern w:val="2"/>
                <w:sz w:val="21"/>
                <w:szCs w:val="21"/>
                <w:highlight w:val="none"/>
                <w:lang w:val="en-US"/>
              </w:rPr>
            </w:pPr>
            <w:r>
              <w:rPr>
                <w:rFonts w:hint="default" w:ascii="Times New Roman" w:hAnsi="Times New Roman" w:eastAsia="仿宋_GB2312" w:cs="Times New Roman"/>
                <w:b w:val="0"/>
                <w:bCs w:val="0"/>
                <w:color w:val="auto"/>
                <w:kern w:val="2"/>
                <w:sz w:val="21"/>
                <w:szCs w:val="21"/>
                <w:highlight w:val="none"/>
                <w:lang w:val="en-US"/>
              </w:rPr>
              <w:t>肉牛</w:t>
            </w: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val="0"/>
                <w:bCs w:val="0"/>
                <w:color w:val="auto"/>
                <w:kern w:val="2"/>
                <w:sz w:val="21"/>
                <w:szCs w:val="21"/>
                <w:highlight w:val="none"/>
                <w:lang w:val="en-US"/>
              </w:rPr>
            </w:pPr>
            <w:r>
              <w:rPr>
                <w:rFonts w:hint="default" w:ascii="Times New Roman" w:hAnsi="Times New Roman" w:eastAsia="仿宋_GB2312" w:cs="Times New Roman"/>
                <w:b w:val="0"/>
                <w:bCs w:val="0"/>
                <w:color w:val="auto"/>
                <w:kern w:val="2"/>
                <w:sz w:val="21"/>
                <w:szCs w:val="21"/>
                <w:highlight w:val="none"/>
                <w:lang w:val="en-US"/>
              </w:rPr>
              <w:t>奶牛</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val="0"/>
                <w:bCs w:val="0"/>
                <w:color w:val="auto"/>
                <w:kern w:val="2"/>
                <w:sz w:val="21"/>
                <w:szCs w:val="21"/>
                <w:highlight w:val="none"/>
                <w:lang w:val="en-US"/>
              </w:rPr>
            </w:pPr>
            <w:r>
              <w:rPr>
                <w:rFonts w:hint="default" w:ascii="Times New Roman" w:hAnsi="Times New Roman" w:eastAsia="仿宋_GB2312" w:cs="Times New Roman"/>
                <w:b w:val="0"/>
                <w:bCs w:val="0"/>
                <w:color w:val="auto"/>
                <w:kern w:val="2"/>
                <w:sz w:val="21"/>
                <w:szCs w:val="21"/>
                <w:highlight w:val="none"/>
                <w:lang w:val="en-US"/>
              </w:rPr>
              <w:t>存栏</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val="0"/>
                <w:bCs w:val="0"/>
                <w:color w:val="auto"/>
                <w:kern w:val="2"/>
                <w:sz w:val="21"/>
                <w:szCs w:val="21"/>
                <w:highlight w:val="none"/>
                <w:lang w:val="en-US"/>
              </w:rPr>
            </w:pPr>
            <w:r>
              <w:rPr>
                <w:rFonts w:hint="default" w:ascii="Times New Roman" w:hAnsi="Times New Roman" w:eastAsia="仿宋_GB2312" w:cs="Times New Roman"/>
                <w:b w:val="0"/>
                <w:bCs w:val="0"/>
                <w:color w:val="auto"/>
                <w:kern w:val="2"/>
                <w:sz w:val="21"/>
                <w:szCs w:val="21"/>
                <w:highlight w:val="none"/>
                <w:lang w:val="en-US"/>
              </w:rPr>
              <w:t>出栏</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val="0"/>
                <w:bCs w:val="0"/>
                <w:color w:val="auto"/>
                <w:kern w:val="2"/>
                <w:sz w:val="21"/>
                <w:szCs w:val="21"/>
                <w:highlight w:val="none"/>
                <w:lang w:val="en-US"/>
              </w:rPr>
            </w:pPr>
            <w:r>
              <w:rPr>
                <w:rFonts w:hint="default" w:ascii="Times New Roman" w:hAnsi="Times New Roman" w:eastAsia="仿宋_GB2312" w:cs="Times New Roman"/>
                <w:b w:val="0"/>
                <w:bCs w:val="0"/>
                <w:color w:val="auto"/>
                <w:kern w:val="2"/>
                <w:sz w:val="21"/>
                <w:szCs w:val="21"/>
                <w:highlight w:val="none"/>
                <w:lang w:val="en-US"/>
              </w:rPr>
              <w:t>存栏</w:t>
            </w:r>
          </w:p>
        </w:tc>
        <w:tc>
          <w:tcPr>
            <w:tcW w:w="8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val="0"/>
                <w:bCs w:val="0"/>
                <w:color w:val="auto"/>
                <w:kern w:val="2"/>
                <w:sz w:val="21"/>
                <w:szCs w:val="21"/>
                <w:highlight w:val="none"/>
                <w:lang w:val="en-US"/>
              </w:rPr>
            </w:pPr>
            <w:r>
              <w:rPr>
                <w:rFonts w:hint="default" w:ascii="Times New Roman" w:hAnsi="Times New Roman" w:eastAsia="仿宋_GB2312" w:cs="Times New Roman"/>
                <w:b w:val="0"/>
                <w:bCs w:val="0"/>
                <w:color w:val="auto"/>
                <w:kern w:val="2"/>
                <w:sz w:val="21"/>
                <w:szCs w:val="21"/>
                <w:highlight w:val="none"/>
                <w:lang w:val="en-US"/>
              </w:rPr>
              <w:t>绵羊</w:t>
            </w:r>
          </w:p>
          <w:p>
            <w:pPr>
              <w:pStyle w:val="24"/>
              <w:rPr>
                <w:rFonts w:hint="default" w:ascii="Times New Roman" w:hAnsi="Times New Roman" w:eastAsia="仿宋_GB2312" w:cs="Times New Roman"/>
                <w:b w:val="0"/>
                <w:bCs w:val="0"/>
                <w:color w:val="auto"/>
                <w:kern w:val="2"/>
                <w:sz w:val="21"/>
                <w:szCs w:val="21"/>
                <w:highlight w:val="none"/>
                <w:lang w:val="en-US"/>
              </w:rPr>
            </w:pPr>
            <w:r>
              <w:rPr>
                <w:rFonts w:hint="default" w:ascii="Times New Roman" w:hAnsi="Times New Roman" w:eastAsia="仿宋_GB2312" w:cs="Times New Roman"/>
                <w:b w:val="0"/>
                <w:bCs w:val="0"/>
                <w:color w:val="auto"/>
                <w:kern w:val="2"/>
                <w:sz w:val="21"/>
                <w:szCs w:val="21"/>
                <w:highlight w:val="none"/>
                <w:lang w:val="en-US"/>
              </w:rPr>
              <w:t>存栏</w:t>
            </w:r>
          </w:p>
        </w:tc>
        <w:tc>
          <w:tcPr>
            <w:tcW w:w="7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val="0"/>
                <w:bCs w:val="0"/>
                <w:color w:val="auto"/>
                <w:kern w:val="2"/>
                <w:sz w:val="21"/>
                <w:szCs w:val="21"/>
                <w:highlight w:val="none"/>
                <w:lang w:val="en-US"/>
              </w:rPr>
            </w:pPr>
            <w:r>
              <w:rPr>
                <w:rFonts w:hint="default" w:ascii="Times New Roman" w:hAnsi="Times New Roman" w:eastAsia="仿宋_GB2312" w:cs="Times New Roman"/>
                <w:b w:val="0"/>
                <w:bCs w:val="0"/>
                <w:color w:val="auto"/>
                <w:kern w:val="2"/>
                <w:sz w:val="21"/>
                <w:szCs w:val="21"/>
                <w:highlight w:val="none"/>
                <w:lang w:val="en-US"/>
              </w:rPr>
              <w:t>出栏</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val="0"/>
                <w:bCs w:val="0"/>
                <w:color w:val="auto"/>
                <w:kern w:val="2"/>
                <w:sz w:val="21"/>
                <w:szCs w:val="21"/>
                <w:highlight w:val="none"/>
                <w:lang w:val="en-US"/>
              </w:rPr>
            </w:pPr>
            <w:r>
              <w:rPr>
                <w:rFonts w:hint="default" w:ascii="Times New Roman" w:hAnsi="Times New Roman" w:eastAsia="仿宋_GB2312" w:cs="Times New Roman"/>
                <w:b w:val="0"/>
                <w:bCs w:val="0"/>
                <w:color w:val="auto"/>
                <w:kern w:val="2"/>
                <w:sz w:val="21"/>
                <w:szCs w:val="21"/>
                <w:highlight w:val="none"/>
                <w:lang w:val="en-US"/>
              </w:rPr>
              <w:t>存栏</w:t>
            </w:r>
          </w:p>
        </w:tc>
        <w:tc>
          <w:tcPr>
            <w:tcW w:w="66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val="0"/>
                <w:bCs w:val="0"/>
                <w:color w:val="auto"/>
                <w:kern w:val="2"/>
                <w:sz w:val="21"/>
                <w:szCs w:val="21"/>
                <w:highlight w:val="none"/>
                <w:lang w:val="en-US"/>
              </w:rPr>
            </w:pPr>
            <w:r>
              <w:rPr>
                <w:rFonts w:hint="default" w:ascii="Times New Roman" w:hAnsi="Times New Roman" w:eastAsia="仿宋_GB2312" w:cs="Times New Roman"/>
                <w:b w:val="0"/>
                <w:bCs w:val="0"/>
                <w:color w:val="auto"/>
                <w:kern w:val="2"/>
                <w:sz w:val="21"/>
                <w:szCs w:val="21"/>
                <w:highlight w:val="none"/>
                <w:lang w:val="en-US"/>
              </w:rPr>
              <w:t>出栏</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30" w:hRule="atLeast"/>
          <w:jc w:val="center"/>
        </w:trPr>
        <w:tc>
          <w:tcPr>
            <w:tcW w:w="676"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2011</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29452</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21456</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16833</w:t>
            </w: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4623</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45654</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99062</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160694</w:t>
            </w:r>
          </w:p>
        </w:tc>
        <w:tc>
          <w:tcPr>
            <w:tcW w:w="8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110023</w:t>
            </w:r>
          </w:p>
        </w:tc>
        <w:tc>
          <w:tcPr>
            <w:tcW w:w="7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181082</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286.8</w:t>
            </w:r>
          </w:p>
        </w:tc>
        <w:tc>
          <w:tcPr>
            <w:tcW w:w="66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210.8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30" w:hRule="atLeast"/>
          <w:jc w:val="center"/>
        </w:trPr>
        <w:tc>
          <w:tcPr>
            <w:tcW w:w="676"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2012</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27968</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21325</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16161</w:t>
            </w: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5164</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42141</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75167</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154350</w:t>
            </w:r>
          </w:p>
        </w:tc>
        <w:tc>
          <w:tcPr>
            <w:tcW w:w="8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115857</w:t>
            </w:r>
          </w:p>
        </w:tc>
        <w:tc>
          <w:tcPr>
            <w:tcW w:w="7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188277</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290.8</w:t>
            </w:r>
          </w:p>
        </w:tc>
        <w:tc>
          <w:tcPr>
            <w:tcW w:w="66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173.3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30" w:hRule="atLeast"/>
          <w:jc w:val="center"/>
        </w:trPr>
        <w:tc>
          <w:tcPr>
            <w:tcW w:w="676"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2013</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24709</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19729</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13068</w:t>
            </w: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6661</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56088</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70584</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168966</w:t>
            </w:r>
          </w:p>
        </w:tc>
        <w:tc>
          <w:tcPr>
            <w:tcW w:w="8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126254</w:t>
            </w:r>
          </w:p>
        </w:tc>
        <w:tc>
          <w:tcPr>
            <w:tcW w:w="7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157781</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86.3</w:t>
            </w:r>
          </w:p>
        </w:tc>
        <w:tc>
          <w:tcPr>
            <w:tcW w:w="66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87.7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30" w:hRule="atLeast"/>
          <w:jc w:val="center"/>
        </w:trPr>
        <w:tc>
          <w:tcPr>
            <w:tcW w:w="676"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2014</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27518</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22017</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10050</w:t>
            </w: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11967</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62960</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75613</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202315</w:t>
            </w:r>
          </w:p>
        </w:tc>
        <w:tc>
          <w:tcPr>
            <w:tcW w:w="8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134031</w:t>
            </w:r>
          </w:p>
        </w:tc>
        <w:tc>
          <w:tcPr>
            <w:tcW w:w="7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155805</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199.6</w:t>
            </w:r>
          </w:p>
        </w:tc>
        <w:tc>
          <w:tcPr>
            <w:tcW w:w="66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113.3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30" w:hRule="atLeast"/>
          <w:jc w:val="center"/>
        </w:trPr>
        <w:tc>
          <w:tcPr>
            <w:tcW w:w="676"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2015</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31977</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27433</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11413</w:t>
            </w: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16020</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72440</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82113</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249506</w:t>
            </w:r>
          </w:p>
        </w:tc>
        <w:tc>
          <w:tcPr>
            <w:tcW w:w="8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183814</w:t>
            </w:r>
          </w:p>
        </w:tc>
        <w:tc>
          <w:tcPr>
            <w:tcW w:w="7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177980</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201.6</w:t>
            </w:r>
          </w:p>
        </w:tc>
        <w:tc>
          <w:tcPr>
            <w:tcW w:w="66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203.5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30" w:hRule="atLeast"/>
          <w:jc w:val="center"/>
        </w:trPr>
        <w:tc>
          <w:tcPr>
            <w:tcW w:w="676"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2016</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30343</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31584</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10676</w:t>
            </w: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20908</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61597</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94799</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222383</w:t>
            </w:r>
          </w:p>
        </w:tc>
        <w:tc>
          <w:tcPr>
            <w:tcW w:w="8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164831</w:t>
            </w:r>
          </w:p>
        </w:tc>
        <w:tc>
          <w:tcPr>
            <w:tcW w:w="7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193073</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194.44</w:t>
            </w:r>
          </w:p>
        </w:tc>
        <w:tc>
          <w:tcPr>
            <w:tcW w:w="66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144.67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30" w:hRule="atLeast"/>
          <w:jc w:val="center"/>
        </w:trPr>
        <w:tc>
          <w:tcPr>
            <w:tcW w:w="676"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2017</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35082</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33400</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10920</w:t>
            </w: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22480</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71280</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98821</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240742</w:t>
            </w:r>
          </w:p>
        </w:tc>
        <w:tc>
          <w:tcPr>
            <w:tcW w:w="8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183243</w:t>
            </w:r>
          </w:p>
        </w:tc>
        <w:tc>
          <w:tcPr>
            <w:tcW w:w="7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214946</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224.15</w:t>
            </w:r>
          </w:p>
        </w:tc>
        <w:tc>
          <w:tcPr>
            <w:tcW w:w="66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158.16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30" w:hRule="atLeast"/>
          <w:jc w:val="center"/>
        </w:trPr>
        <w:tc>
          <w:tcPr>
            <w:tcW w:w="676"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2018</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61630</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60406</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23756</w:t>
            </w: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36650</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120566</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172882</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247419</w:t>
            </w:r>
          </w:p>
        </w:tc>
        <w:tc>
          <w:tcPr>
            <w:tcW w:w="8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53814</w:t>
            </w:r>
          </w:p>
        </w:tc>
        <w:tc>
          <w:tcPr>
            <w:tcW w:w="7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203682</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235.54</w:t>
            </w:r>
          </w:p>
        </w:tc>
        <w:tc>
          <w:tcPr>
            <w:tcW w:w="66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bidi="ar"/>
              </w:rPr>
              <w:t>245.24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30" w:hRule="atLeast"/>
          <w:jc w:val="center"/>
        </w:trPr>
        <w:tc>
          <w:tcPr>
            <w:tcW w:w="676"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2019</w:t>
            </w:r>
          </w:p>
        </w:tc>
        <w:tc>
          <w:tcPr>
            <w:tcW w:w="11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60906</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59926</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20481</w:t>
            </w:r>
          </w:p>
        </w:tc>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39445</w:t>
            </w:r>
          </w:p>
        </w:tc>
        <w:tc>
          <w:tcPr>
            <w:tcW w:w="7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118491</w:t>
            </w:r>
          </w:p>
        </w:tc>
        <w:tc>
          <w:tcPr>
            <w:tcW w:w="7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165144</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252481</w:t>
            </w:r>
          </w:p>
        </w:tc>
        <w:tc>
          <w:tcPr>
            <w:tcW w:w="8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196936</w:t>
            </w:r>
          </w:p>
        </w:tc>
        <w:tc>
          <w:tcPr>
            <w:tcW w:w="71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202694</w:t>
            </w:r>
          </w:p>
        </w:tc>
        <w:tc>
          <w:tcPr>
            <w:tcW w:w="6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218.22</w:t>
            </w:r>
          </w:p>
        </w:tc>
        <w:tc>
          <w:tcPr>
            <w:tcW w:w="66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234.83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900" w:hRule="atLeast"/>
          <w:jc w:val="center"/>
        </w:trPr>
        <w:tc>
          <w:tcPr>
            <w:tcW w:w="676"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2020</w:t>
            </w:r>
          </w:p>
        </w:tc>
        <w:tc>
          <w:tcPr>
            <w:tcW w:w="1124"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p>
        </w:tc>
        <w:tc>
          <w:tcPr>
            <w:tcW w:w="771"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75058</w:t>
            </w:r>
          </w:p>
        </w:tc>
        <w:tc>
          <w:tcPr>
            <w:tcW w:w="771"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28556</w:t>
            </w:r>
          </w:p>
        </w:tc>
        <w:tc>
          <w:tcPr>
            <w:tcW w:w="78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46502</w:t>
            </w:r>
          </w:p>
        </w:tc>
        <w:tc>
          <w:tcPr>
            <w:tcW w:w="771"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196737</w:t>
            </w:r>
          </w:p>
        </w:tc>
        <w:tc>
          <w:tcPr>
            <w:tcW w:w="780"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224109</w:t>
            </w:r>
          </w:p>
        </w:tc>
        <w:tc>
          <w:tcPr>
            <w:tcW w:w="706"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234060</w:t>
            </w:r>
          </w:p>
        </w:tc>
        <w:tc>
          <w:tcPr>
            <w:tcW w:w="813"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p>
        </w:tc>
        <w:tc>
          <w:tcPr>
            <w:tcW w:w="714"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185550</w:t>
            </w:r>
          </w:p>
        </w:tc>
        <w:tc>
          <w:tcPr>
            <w:tcW w:w="660"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316.53</w:t>
            </w:r>
          </w:p>
        </w:tc>
        <w:tc>
          <w:tcPr>
            <w:tcW w:w="662"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1"/>
                <w:szCs w:val="21"/>
                <w:highlight w:val="none"/>
                <w:lang w:val="en-US" w:bidi="ar"/>
              </w:rPr>
            </w:pPr>
            <w:r>
              <w:rPr>
                <w:rFonts w:hint="default" w:ascii="Times New Roman" w:hAnsi="Times New Roman" w:eastAsia="仿宋_GB2312" w:cs="Times New Roman"/>
                <w:color w:val="auto"/>
                <w:kern w:val="2"/>
                <w:sz w:val="21"/>
                <w:szCs w:val="21"/>
                <w:highlight w:val="none"/>
                <w:lang w:val="en-US" w:bidi="ar"/>
              </w:rPr>
              <w:t>201.96</w:t>
            </w:r>
          </w:p>
        </w:tc>
      </w:tr>
    </w:tbl>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315585" cy="2996565"/>
            <wp:effectExtent l="0" t="0" r="18415" b="133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1"/>
                    <a:srcRect t="12982"/>
                    <a:stretch>
                      <a:fillRect/>
                    </a:stretch>
                  </pic:blipFill>
                  <pic:spPr>
                    <a:xfrm>
                      <a:off x="0" y="0"/>
                      <a:ext cx="5315585" cy="2996565"/>
                    </a:xfrm>
                    <a:prstGeom prst="rect">
                      <a:avLst/>
                    </a:prstGeom>
                    <a:noFill/>
                    <a:ln>
                      <a:noFill/>
                    </a:ln>
                  </pic:spPr>
                </pic:pic>
              </a:graphicData>
            </a:graphic>
          </wp:inline>
        </w:drawing>
      </w:r>
    </w:p>
    <w:p>
      <w:pPr>
        <w:pStyle w:val="22"/>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图4.2-4</w:t>
      </w:r>
      <w:r>
        <w:rPr>
          <w:rFonts w:hint="default" w:ascii="Times New Roman" w:hAnsi="Times New Roman" w:eastAsia="仿宋_GB2312" w:cs="Times New Roman"/>
          <w:b/>
          <w:bCs/>
          <w:color w:val="auto"/>
          <w:sz w:val="32"/>
          <w:szCs w:val="32"/>
          <w:highlight w:val="none"/>
          <w:lang w:val="en-US" w:eastAsia="zh-CN"/>
        </w:rPr>
        <w:t xml:space="preserve"> </w:t>
      </w:r>
      <w:r>
        <w:rPr>
          <w:rFonts w:hint="default" w:ascii="Times New Roman" w:hAnsi="Times New Roman" w:eastAsia="仿宋_GB2312" w:cs="Times New Roman"/>
          <w:b/>
          <w:bCs/>
          <w:color w:val="auto"/>
          <w:sz w:val="32"/>
          <w:szCs w:val="32"/>
          <w:highlight w:val="none"/>
        </w:rPr>
        <w:t xml:space="preserve"> 2011</w:t>
      </w:r>
      <w:r>
        <w:rPr>
          <w:rFonts w:hint="default"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rPr>
        <w:t>2020年沙坡头区牲畜存栏变化趋势图</w:t>
      </w:r>
    </w:p>
    <w:p>
      <w:pPr>
        <w:pStyle w:val="22"/>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334635" cy="2068195"/>
            <wp:effectExtent l="9525" t="9525" r="27940" b="1778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2"/>
                    <a:srcRect t="14270"/>
                    <a:stretch>
                      <a:fillRect/>
                    </a:stretch>
                  </pic:blipFill>
                  <pic:spPr>
                    <a:xfrm>
                      <a:off x="0" y="0"/>
                      <a:ext cx="5334635" cy="206819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22"/>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图4.2-5   2011</w:t>
      </w:r>
      <w:r>
        <w:rPr>
          <w:rFonts w:hint="default"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rPr>
        <w:t>2020年沙坡头区家禽存栏变化趋势图</w:t>
      </w:r>
    </w:p>
    <w:p>
      <w:pPr>
        <w:pStyle w:val="6"/>
        <w:rPr>
          <w:rFonts w:hint="default" w:ascii="Times New Roman" w:hAnsi="Times New Roman" w:eastAsia="楷体_GB2312" w:cs="Times New Roman"/>
          <w:color w:val="auto"/>
          <w:highlight w:val="none"/>
        </w:rPr>
      </w:pPr>
      <w:bookmarkStart w:id="338" w:name="_Toc14774"/>
      <w:bookmarkStart w:id="339" w:name="_Toc17938"/>
      <w:bookmarkStart w:id="340" w:name="_Toc347"/>
      <w:bookmarkStart w:id="341" w:name="_Toc13098"/>
      <w:bookmarkStart w:id="342" w:name="_Toc5952"/>
      <w:bookmarkStart w:id="343" w:name="_Toc3239"/>
      <w:bookmarkStart w:id="344" w:name="_Toc5981"/>
      <w:bookmarkStart w:id="345" w:name="_Toc9076"/>
      <w:bookmarkStart w:id="346" w:name="_Toc27054"/>
      <w:bookmarkStart w:id="347" w:name="_Toc16785"/>
      <w:bookmarkStart w:id="348" w:name="_Toc32713"/>
      <w:r>
        <w:rPr>
          <w:rFonts w:hint="default" w:ascii="Times New Roman" w:hAnsi="Times New Roman" w:eastAsia="楷体_GB2312" w:cs="Times New Roman"/>
          <w:color w:val="auto"/>
          <w:highlight w:val="none"/>
        </w:rPr>
        <w:t>4.3国民经济需水预测</w:t>
      </w:r>
      <w:bookmarkEnd w:id="338"/>
      <w:bookmarkEnd w:id="339"/>
      <w:bookmarkEnd w:id="340"/>
      <w:bookmarkEnd w:id="341"/>
      <w:bookmarkEnd w:id="342"/>
      <w:bookmarkEnd w:id="343"/>
      <w:bookmarkEnd w:id="344"/>
      <w:bookmarkEnd w:id="345"/>
      <w:bookmarkEnd w:id="346"/>
      <w:bookmarkEnd w:id="347"/>
      <w:bookmarkEnd w:id="348"/>
      <w:r>
        <w:rPr>
          <w:rFonts w:hint="default" w:ascii="Times New Roman" w:hAnsi="Times New Roman" w:eastAsia="楷体_GB2312" w:cs="Times New Roman"/>
          <w:color w:val="auto"/>
          <w:highlight w:val="none"/>
        </w:rPr>
        <w:tab/>
      </w:r>
    </w:p>
    <w:p>
      <w:pPr>
        <w:pStyle w:val="7"/>
        <w:spacing w:before="0"/>
        <w:rPr>
          <w:rFonts w:hint="default" w:ascii="Times New Roman" w:hAnsi="Times New Roman" w:eastAsia="仿宋_GB2312" w:cs="Times New Roman"/>
          <w:bCs/>
          <w:color w:val="auto"/>
          <w:kern w:val="2"/>
          <w:highlight w:val="none"/>
        </w:rPr>
      </w:pPr>
      <w:bookmarkStart w:id="349" w:name="_Toc1980"/>
      <w:bookmarkStart w:id="350" w:name="_Toc28498"/>
      <w:bookmarkStart w:id="351" w:name="_Toc24865"/>
      <w:bookmarkStart w:id="352" w:name="_Toc24648"/>
      <w:bookmarkStart w:id="353" w:name="_Toc18323"/>
      <w:bookmarkStart w:id="354" w:name="_Toc23328"/>
      <w:bookmarkStart w:id="355" w:name="_Toc26878"/>
      <w:bookmarkStart w:id="356" w:name="_Toc12783"/>
      <w:bookmarkStart w:id="357" w:name="_Toc7440"/>
      <w:r>
        <w:rPr>
          <w:rFonts w:hint="default" w:ascii="Times New Roman" w:hAnsi="Times New Roman" w:eastAsia="仿宋_GB2312" w:cs="Times New Roman"/>
          <w:bCs/>
          <w:color w:val="auto"/>
          <w:kern w:val="2"/>
          <w:highlight w:val="none"/>
        </w:rPr>
        <w:t>4.3.1需水预测的依据和方法</w:t>
      </w:r>
      <w:bookmarkEnd w:id="349"/>
      <w:bookmarkEnd w:id="350"/>
      <w:bookmarkEnd w:id="351"/>
      <w:bookmarkEnd w:id="352"/>
      <w:bookmarkEnd w:id="353"/>
      <w:bookmarkEnd w:id="354"/>
      <w:bookmarkEnd w:id="355"/>
      <w:bookmarkEnd w:id="356"/>
      <w:bookmarkEnd w:id="357"/>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水资源供需预测分析计算规范》（SL429-2008），需水预测遵循从紧原则，制定合理可行的节水方案，严格按照节水定额进行预测，本次预测采用定额法及趋势法进行预测，规划水平年的定额参照自治区2020年发布的《自治区人民政府办公厅关于印发宁夏回族自治区有关行业用水定额（修订）的通知》（宁政办规发﹝2020﹞20号）的用水定额标准。</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需水预测的用水户分生活、生产和生态环境三大类。生活需水包括城镇居民生活用水和农村居民生活用水和养殖用水，由于沙坡头区属于规模化养殖，应单独进行核算；生产需水包括第一产业（农林牧渔业）、第二产业（工业、建筑业）及第三产业（商饮业、服务业）；生态环境需水分为维护生态环境功能和生态环境建设两类。</w:t>
      </w:r>
    </w:p>
    <w:p>
      <w:pPr>
        <w:rPr>
          <w:rFonts w:hint="default" w:ascii="Times New Roman" w:hAnsi="Times New Roman" w:eastAsia="仿宋_GB2312" w:cs="Times New Roman"/>
          <w:color w:val="auto"/>
          <w:spacing w:val="-11"/>
          <w:kern w:val="2"/>
          <w:sz w:val="32"/>
          <w:szCs w:val="32"/>
          <w:highlight w:val="none"/>
        </w:rPr>
      </w:pPr>
      <w:r>
        <w:rPr>
          <w:rFonts w:hint="default" w:ascii="Times New Roman" w:hAnsi="Times New Roman" w:eastAsia="仿宋_GB2312" w:cs="Times New Roman"/>
          <w:color w:val="auto"/>
          <w:spacing w:val="-11"/>
          <w:kern w:val="2"/>
          <w:sz w:val="32"/>
          <w:szCs w:val="32"/>
          <w:highlight w:val="none"/>
        </w:rPr>
        <w:t>本次将建筑业用水、第三产业用水统一纳入城市生活用水之中。</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综合以上，本报告需水预测主要为生活需水、规模化养殖需水、工业需水、农业灌溉需水、生态需水量。</w:t>
      </w:r>
    </w:p>
    <w:p>
      <w:pPr>
        <w:pStyle w:val="7"/>
        <w:spacing w:before="120"/>
        <w:rPr>
          <w:rFonts w:hint="default" w:ascii="Times New Roman" w:hAnsi="Times New Roman" w:eastAsia="仿宋_GB2312" w:cs="Times New Roman"/>
          <w:bCs/>
          <w:color w:val="auto"/>
          <w:kern w:val="2"/>
          <w:highlight w:val="none"/>
        </w:rPr>
      </w:pPr>
      <w:bookmarkStart w:id="358" w:name="_Toc19736"/>
      <w:bookmarkStart w:id="359" w:name="_Toc4986"/>
      <w:bookmarkStart w:id="360" w:name="_Toc11329"/>
      <w:bookmarkStart w:id="361" w:name="_Toc23271"/>
      <w:bookmarkStart w:id="362" w:name="_Toc13283"/>
      <w:bookmarkStart w:id="363" w:name="_Toc8797"/>
      <w:bookmarkStart w:id="364" w:name="_Toc1584"/>
      <w:bookmarkStart w:id="365" w:name="_Toc15416"/>
      <w:bookmarkStart w:id="366" w:name="_Toc29545"/>
      <w:r>
        <w:rPr>
          <w:rFonts w:hint="default" w:ascii="Times New Roman" w:hAnsi="Times New Roman" w:eastAsia="仿宋_GB2312" w:cs="Times New Roman"/>
          <w:bCs/>
          <w:color w:val="auto"/>
          <w:kern w:val="2"/>
          <w:highlight w:val="none"/>
        </w:rPr>
        <w:t>4.3.2生活需水预测</w:t>
      </w:r>
      <w:bookmarkEnd w:id="358"/>
      <w:bookmarkEnd w:id="359"/>
      <w:bookmarkEnd w:id="360"/>
      <w:bookmarkEnd w:id="361"/>
      <w:bookmarkEnd w:id="362"/>
      <w:bookmarkEnd w:id="363"/>
      <w:bookmarkEnd w:id="364"/>
      <w:bookmarkEnd w:id="365"/>
      <w:bookmarkEnd w:id="366"/>
    </w:p>
    <w:p>
      <w:pPr>
        <w:pStyle w:val="8"/>
        <w:rPr>
          <w:rFonts w:hint="default" w:ascii="Times New Roman" w:hAnsi="Times New Roman" w:cs="Times New Roman"/>
          <w:color w:val="auto"/>
          <w:highlight w:val="none"/>
        </w:rPr>
      </w:pPr>
      <w:r>
        <w:rPr>
          <w:rFonts w:hint="default" w:ascii="Times New Roman" w:hAnsi="Times New Roman" w:cs="Times New Roman"/>
          <w:color w:val="auto"/>
          <w:highlight w:val="none"/>
        </w:rPr>
        <w:t>4.3.2.1</w:t>
      </w:r>
      <w:r>
        <w:rPr>
          <w:rFonts w:hint="default" w:ascii="Times New Roman" w:hAnsi="Times New Roman" w:eastAsia="仿宋_GB2312" w:cs="Times New Roman"/>
          <w:color w:val="auto"/>
          <w:szCs w:val="32"/>
          <w:highlight w:val="none"/>
        </w:rPr>
        <w:t>计算方法</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生活需水量包括城镇生活需水量和农村生活需水量。本次规划采用定额法预测，即根据预测人口乘以需水定额进行计算，全年用水时间为365天，计算公式如下：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600"/>
        <w:jc w:val="center"/>
        <w:textAlignment w:val="auto"/>
        <w:rPr>
          <w:rFonts w:hint="default" w:ascii="Times New Roman" w:hAnsi="Times New Roman" w:cs="Times New Roman"/>
          <w:color w:val="auto"/>
          <w:position w:val="-24"/>
          <w:sz w:val="28"/>
          <w:highlight w:val="none"/>
        </w:rPr>
      </w:pPr>
      <w:r>
        <w:rPr>
          <w:rFonts w:hint="default" w:ascii="Times New Roman" w:hAnsi="Times New Roman" w:cs="Times New Roman"/>
          <w:color w:val="auto"/>
          <w:position w:val="-24"/>
          <w:sz w:val="28"/>
          <w:highlight w:val="none"/>
        </w:rPr>
        <w:object>
          <v:shape id="_x0000_i1025" o:spt="75" type="#_x0000_t75" style="height:41.4pt;width:112.05pt;" o:ole="t" filled="f" o:preferrelative="t" stroked="f" coordsize="21600,21600">
            <v:path/>
            <v:fill on="f" focussize="0,0"/>
            <v:stroke on="f"/>
            <v:imagedata r:id="rId24" o:title=""/>
            <o:lock v:ext="edit" aspectratio="t"/>
            <w10:wrap type="none"/>
            <w10:anchorlock/>
          </v:shape>
          <o:OLEObject Type="Embed" ProgID="Equation.KSEE3" ShapeID="_x0000_i1025" DrawAspect="Content" ObjectID="_1468075725" r:id="rId23">
            <o:LockedField>false</o:LockedField>
          </o:OLEObject>
        </w:object>
      </w:r>
    </w:p>
    <w:p>
      <w:pPr>
        <w:pStyle w:val="27"/>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式中：W</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年生活需水量，万m³/</w:t>
      </w:r>
      <w:r>
        <w:rPr>
          <w:rFonts w:hint="default" w:ascii="Times New Roman" w:hAnsi="Times New Roman" w:cs="Times New Roman"/>
          <w:color w:val="auto"/>
          <w:kern w:val="2"/>
          <w:sz w:val="32"/>
          <w:szCs w:val="32"/>
          <w:highlight w:val="none"/>
          <w:lang w:eastAsia="zh-CN"/>
        </w:rPr>
        <w:t>a</w:t>
      </w:r>
      <w:r>
        <w:rPr>
          <w:rFonts w:hint="default" w:ascii="Times New Roman" w:hAnsi="Times New Roman" w:eastAsia="仿宋_GB2312" w:cs="Times New Roman"/>
          <w:color w:val="auto"/>
          <w:kern w:val="2"/>
          <w:sz w:val="32"/>
          <w:szCs w:val="32"/>
          <w:highlight w:val="none"/>
          <w:lang w:eastAsia="zh-CN"/>
        </w:rPr>
        <w:t>；</w:t>
      </w:r>
    </w:p>
    <w:p>
      <w:pPr>
        <w:pStyle w:val="27"/>
        <w:keepNext w:val="0"/>
        <w:keepLines w:val="0"/>
        <w:pageBreakBefore w:val="0"/>
        <w:widowControl w:val="0"/>
        <w:kinsoku/>
        <w:wordWrap/>
        <w:overflowPunct/>
        <w:topLinePunct w:val="0"/>
        <w:autoSpaceDE/>
        <w:autoSpaceDN/>
        <w:bidi w:val="0"/>
        <w:adjustRightInd w:val="0"/>
        <w:snapToGrid w:val="0"/>
        <w:spacing w:line="560" w:lineRule="exact"/>
        <w:ind w:firstLine="960" w:firstLineChars="300"/>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P</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用水人口数量，万人</w:t>
      </w:r>
      <w:r>
        <w:rPr>
          <w:rFonts w:hint="default" w:ascii="Times New Roman" w:hAnsi="Times New Roman" w:eastAsia="仿宋_GB2312" w:cs="Times New Roman"/>
          <w:color w:val="auto"/>
          <w:kern w:val="2"/>
          <w:sz w:val="32"/>
          <w:szCs w:val="32"/>
          <w:highlight w:val="none"/>
          <w:lang w:eastAsia="zh-CN"/>
        </w:rPr>
        <w:t>；</w:t>
      </w:r>
    </w:p>
    <w:p>
      <w:pPr>
        <w:pStyle w:val="27"/>
        <w:keepNext w:val="0"/>
        <w:keepLines w:val="0"/>
        <w:pageBreakBefore w:val="0"/>
        <w:widowControl w:val="0"/>
        <w:kinsoku/>
        <w:wordWrap/>
        <w:overflowPunct/>
        <w:topLinePunct w:val="0"/>
        <w:autoSpaceDE/>
        <w:autoSpaceDN/>
        <w:bidi w:val="0"/>
        <w:adjustRightInd w:val="0"/>
        <w:snapToGrid w:val="0"/>
        <w:spacing w:line="560" w:lineRule="exact"/>
        <w:ind w:firstLine="960" w:firstLineChars="300"/>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val="en-US" w:eastAsia="zh-CN"/>
        </w:rPr>
        <w:t>q</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日均用水定额，L/（人·d）</w:t>
      </w:r>
      <w:r>
        <w:rPr>
          <w:rFonts w:hint="default" w:ascii="Times New Roman" w:hAnsi="Times New Roman" w:eastAsia="仿宋_GB2312" w:cs="Times New Roman"/>
          <w:color w:val="auto"/>
          <w:kern w:val="2"/>
          <w:sz w:val="32"/>
          <w:szCs w:val="32"/>
          <w:highlight w:val="none"/>
          <w:lang w:eastAsia="zh-CN"/>
        </w:rPr>
        <w:t>。</w:t>
      </w:r>
    </w:p>
    <w:p>
      <w:pPr>
        <w:pStyle w:val="8"/>
        <w:rPr>
          <w:rFonts w:hint="default" w:ascii="Times New Roman" w:hAnsi="Times New Roman" w:cs="Times New Roman"/>
          <w:color w:val="auto"/>
          <w:highlight w:val="none"/>
        </w:rPr>
      </w:pPr>
      <w:r>
        <w:rPr>
          <w:rFonts w:hint="default" w:ascii="Times New Roman" w:hAnsi="Times New Roman" w:cs="Times New Roman"/>
          <w:color w:val="auto"/>
          <w:highlight w:val="none"/>
        </w:rPr>
        <w:t>4.3.2.2</w:t>
      </w:r>
      <w:r>
        <w:rPr>
          <w:rFonts w:hint="default" w:ascii="Times New Roman" w:hAnsi="Times New Roman" w:eastAsia="仿宋_GB2312" w:cs="Times New Roman"/>
          <w:color w:val="auto"/>
          <w:szCs w:val="32"/>
          <w:highlight w:val="none"/>
        </w:rPr>
        <w:t>用水定额</w:t>
      </w:r>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根据规划年沙坡头区城市发展状况、人口规模增加等因素，结合相关规范及定额标准，确定规划水平年城镇居民综合生活用水定额。《城市给水工程规划规范》（GB50282－2016）规定，二区中城区常住人口为20</w:t>
      </w:r>
      <w:r>
        <w:rPr>
          <w:rFonts w:hint="default"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50万人的城市，城镇居民人均综合生活用水量为120</w:t>
      </w:r>
      <w:r>
        <w:rPr>
          <w:rFonts w:hint="default"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230L/（人·d），该定额为城镇居民生活用水与公共设施用水之和，不包含市政绿化和管网漏失等用水量；《宁夏城镇生活用水定额》规定，沙坡头区镇居民人均综合生活用水量为120L/（人·d），该定额为城镇居民生活用水与公共设施用水之和，不包含市政绿化、管网漏失、水厂自用等用水量；《室外给水设计规范》（GB50013－2006）规定，二区中市区和近郊区非农业人口小于50万人的中、小城市，城镇居民人均综合生活用水量为150</w:t>
      </w:r>
      <w:r>
        <w:rPr>
          <w:rFonts w:hint="default" w:ascii="Times New Roman" w:hAnsi="Times New Roman"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240L/（人·d），该定额为城镇居民生活用水与公共设施用水之和，不包含市政绿化和管网漏失等用水量。</w:t>
      </w:r>
    </w:p>
    <w:p>
      <w:pPr>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本次考虑到未来生活质量不断提高、以及城镇节水发展、管网漏损率降低等因素，结合《宁夏城镇生活用水定额》、《城市给水工程规划规范》（GB50282－2016）、《室外给水设计规范》（GB50013－2006）等相关要求，预测规划年沙坡头区城镇居民人均综合生活用水量为179L/（人·d）；农村用水定额考虑城镇管网的延伸、生活质量提高，用水水平也会相应提高，同时结合相关规范，规划年农村居民人均生活用水量为80L/（人·d）。</w:t>
      </w:r>
    </w:p>
    <w:p>
      <w:pPr>
        <w:rPr>
          <w:rFonts w:hint="default" w:ascii="Times New Roman" w:hAnsi="Times New Roman"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rPr>
        <w:t>沙坡头区生活用水定额</w:t>
      </w:r>
      <w:r>
        <w:rPr>
          <w:rFonts w:hint="default" w:ascii="Times New Roman" w:hAnsi="Times New Roman" w:eastAsia="仿宋_GB2312" w:cs="Times New Roman"/>
          <w:b w:val="0"/>
          <w:bCs w:val="0"/>
          <w:color w:val="auto"/>
          <w:kern w:val="2"/>
          <w:sz w:val="32"/>
          <w:szCs w:val="32"/>
          <w:highlight w:val="none"/>
          <w:lang w:val="en-US" w:eastAsia="zh-CN"/>
        </w:rPr>
        <w:t>取值主要参考</w:t>
      </w:r>
      <w:r>
        <w:rPr>
          <w:rFonts w:hint="default" w:ascii="Times New Roman" w:hAnsi="Times New Roman" w:cs="Times New Roman"/>
          <w:b w:val="0"/>
          <w:bCs w:val="0"/>
          <w:color w:val="auto"/>
          <w:kern w:val="2"/>
          <w:sz w:val="32"/>
          <w:szCs w:val="32"/>
          <w:highlight w:val="none"/>
          <w:lang w:val="en-US" w:eastAsia="zh-CN"/>
        </w:rPr>
        <w:t>《自治区人民政府办公厅关于印发宁夏回族自治区有关行业用水定额（修订）的通知》（宁政办规发</w:t>
      </w:r>
      <w:r>
        <w:rPr>
          <w:rFonts w:hint="default" w:ascii="Times New Roman" w:hAnsi="Times New Roman" w:eastAsia="仿宋_GB2312" w:cs="Times New Roman"/>
          <w:color w:val="auto"/>
          <w:sz w:val="32"/>
          <w:szCs w:val="32"/>
          <w:highlight w:val="none"/>
        </w:rPr>
        <w:t>﹝20</w:t>
      </w:r>
      <w:r>
        <w:rPr>
          <w:rFonts w:hint="default" w:ascii="Times New Roman" w:hAnsi="Times New Roman" w:cs="Times New Roman"/>
          <w:color w:val="auto"/>
          <w:sz w:val="32"/>
          <w:szCs w:val="32"/>
          <w:highlight w:val="none"/>
          <w:lang w:val="en-US" w:eastAsia="zh-CN"/>
        </w:rPr>
        <w:t>20</w:t>
      </w:r>
      <w:r>
        <w:rPr>
          <w:rFonts w:hint="default" w:ascii="Times New Roman" w:hAnsi="Times New Roman" w:eastAsia="仿宋_GB2312" w:cs="Times New Roman"/>
          <w:color w:val="auto"/>
          <w:sz w:val="32"/>
          <w:szCs w:val="32"/>
          <w:highlight w:val="none"/>
        </w:rPr>
        <w:t>﹞</w:t>
      </w:r>
      <w:r>
        <w:rPr>
          <w:rFonts w:hint="default" w:ascii="Times New Roman" w:hAnsi="Times New Roman" w:cs="Times New Roman"/>
          <w:color w:val="auto"/>
          <w:sz w:val="32"/>
          <w:szCs w:val="32"/>
          <w:highlight w:val="none"/>
          <w:lang w:val="en-US" w:eastAsia="zh-CN"/>
        </w:rPr>
        <w:t>20号）、</w:t>
      </w:r>
      <w:r>
        <w:rPr>
          <w:rFonts w:hint="default" w:ascii="Times New Roman" w:hAnsi="Times New Roman" w:eastAsia="仿宋_GB2312" w:cs="Times New Roman"/>
          <w:b w:val="0"/>
          <w:bCs w:val="0"/>
          <w:color w:val="auto"/>
          <w:kern w:val="2"/>
          <w:sz w:val="32"/>
          <w:szCs w:val="32"/>
          <w:highlight w:val="none"/>
        </w:rPr>
        <w:t>《城市给水工程规划规范》（GB50282－2016）规定</w:t>
      </w:r>
      <w:r>
        <w:rPr>
          <w:rFonts w:hint="default" w:ascii="Times New Roman" w:hAnsi="Times New Roman" w:eastAsia="仿宋_GB2312" w:cs="Times New Roman"/>
          <w:color w:val="auto"/>
          <w:sz w:val="32"/>
          <w:szCs w:val="32"/>
          <w:highlight w:val="none"/>
        </w:rPr>
        <w:t>取值</w:t>
      </w:r>
      <w:r>
        <w:rPr>
          <w:rFonts w:hint="default" w:ascii="Times New Roman" w:hAnsi="Times New Roman" w:cs="Times New Roman"/>
          <w:color w:val="auto"/>
          <w:sz w:val="32"/>
          <w:szCs w:val="32"/>
          <w:highlight w:val="none"/>
          <w:lang w:eastAsia="zh-CN"/>
        </w:rPr>
        <w:t>，沙坡头区城镇居民生活用水定额：</w:t>
      </w:r>
      <w:r>
        <w:rPr>
          <w:rFonts w:hint="default" w:ascii="Times New Roman" w:hAnsi="Times New Roman" w:eastAsia="仿宋_GB2312" w:cs="Times New Roman"/>
          <w:color w:val="auto"/>
          <w:sz w:val="32"/>
          <w:szCs w:val="32"/>
          <w:highlight w:val="none"/>
        </w:rPr>
        <w:t>179L/（人·d）</w:t>
      </w:r>
      <w:r>
        <w:rPr>
          <w:rFonts w:hint="default" w:ascii="Times New Roman" w:hAnsi="Times New Roman" w:cs="Times New Roman"/>
          <w:color w:val="auto"/>
          <w:sz w:val="32"/>
          <w:szCs w:val="32"/>
          <w:highlight w:val="none"/>
          <w:lang w:eastAsia="zh-CN"/>
        </w:rPr>
        <w:t>；农村居民生活用水定额：</w:t>
      </w:r>
      <w:r>
        <w:rPr>
          <w:rFonts w:hint="default" w:ascii="Times New Roman" w:hAnsi="Times New Roman" w:cs="Times New Roman"/>
          <w:color w:val="auto"/>
          <w:sz w:val="32"/>
          <w:szCs w:val="32"/>
          <w:highlight w:val="none"/>
          <w:lang w:val="en-US" w:eastAsia="zh-CN"/>
        </w:rPr>
        <w:t>80</w:t>
      </w:r>
      <w:r>
        <w:rPr>
          <w:rFonts w:hint="default" w:ascii="Times New Roman" w:hAnsi="Times New Roman" w:eastAsia="仿宋_GB2312" w:cs="Times New Roman"/>
          <w:color w:val="auto"/>
          <w:sz w:val="32"/>
          <w:szCs w:val="32"/>
          <w:highlight w:val="none"/>
        </w:rPr>
        <w:t>L/（人·d）</w:t>
      </w:r>
      <w:r>
        <w:rPr>
          <w:rFonts w:hint="default" w:ascii="Times New Roman" w:hAnsi="Times New Roman" w:cs="Times New Roman"/>
          <w:color w:val="auto"/>
          <w:sz w:val="32"/>
          <w:szCs w:val="32"/>
          <w:highlight w:val="none"/>
          <w:lang w:eastAsia="zh-CN"/>
        </w:rPr>
        <w:t>。</w:t>
      </w:r>
    </w:p>
    <w:p>
      <w:pPr>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Cs w:val="0"/>
          <w:color w:val="auto"/>
          <w:szCs w:val="32"/>
          <w:highlight w:val="none"/>
        </w:rPr>
        <w:t>沙坡头区生活用水定额取值表</w:t>
      </w:r>
      <w:r>
        <w:rPr>
          <w:rFonts w:hint="default" w:ascii="Times New Roman" w:hAnsi="Times New Roman" w:cs="Times New Roman"/>
          <w:bCs w:val="0"/>
          <w:color w:val="auto"/>
          <w:szCs w:val="32"/>
          <w:highlight w:val="none"/>
          <w:lang w:eastAsia="zh-CN"/>
        </w:rPr>
        <w:t>，</w:t>
      </w:r>
      <w:r>
        <w:rPr>
          <w:rFonts w:hint="default" w:ascii="Times New Roman" w:hAnsi="Times New Roman" w:cs="Times New Roman"/>
          <w:color w:val="auto"/>
          <w:sz w:val="32"/>
          <w:szCs w:val="32"/>
          <w:highlight w:val="none"/>
          <w:lang w:eastAsia="zh-CN"/>
        </w:rPr>
        <w:t>详见表</w:t>
      </w:r>
      <w:r>
        <w:rPr>
          <w:rFonts w:hint="default" w:ascii="Times New Roman" w:hAnsi="Times New Roman" w:cs="Times New Roman"/>
          <w:color w:val="auto"/>
          <w:sz w:val="32"/>
          <w:szCs w:val="32"/>
          <w:highlight w:val="none"/>
          <w:lang w:val="en-US" w:eastAsia="zh-CN"/>
        </w:rPr>
        <w:t>4.3-1所示。</w:t>
      </w:r>
    </w:p>
    <w:p>
      <w:pPr>
        <w:pStyle w:val="22"/>
        <w:jc w:val="center"/>
        <w:rPr>
          <w:rFonts w:hint="default" w:ascii="Times New Roman" w:hAnsi="Times New Roman" w:eastAsia="方正小标宋_GBK" w:cs="Times New Roman"/>
          <w:b w:val="0"/>
          <w:bCs w:val="0"/>
          <w:color w:val="auto"/>
          <w:sz w:val="32"/>
          <w:szCs w:val="32"/>
          <w:highlight w:val="none"/>
        </w:rPr>
      </w:pPr>
      <w:r>
        <w:rPr>
          <w:rFonts w:hint="default" w:ascii="Times New Roman" w:hAnsi="Times New Roman" w:eastAsia="方正小标宋_GBK" w:cs="Times New Roman"/>
          <w:b w:val="0"/>
          <w:bCs w:val="0"/>
          <w:color w:val="auto"/>
          <w:sz w:val="32"/>
          <w:szCs w:val="32"/>
          <w:highlight w:val="none"/>
        </w:rPr>
        <w:t>表4.3-1</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沙坡头区生活用水定额取值表</w:t>
      </w:r>
    </w:p>
    <w:tbl>
      <w:tblPr>
        <w:tblStyle w:val="17"/>
        <w:tblW w:w="8983" w:type="dxa"/>
        <w:jc w:val="center"/>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3713"/>
        <w:gridCol w:w="2470"/>
        <w:gridCol w:w="2800"/>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3713" w:type="dxa"/>
            <w:vMerge w:val="restart"/>
            <w:tcBorders>
              <w:tl2br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 xml:space="preserve">             用水定额</w:t>
            </w:r>
          </w:p>
          <w:p>
            <w:pPr>
              <w:pStyle w:val="24"/>
              <w:spacing w:after="0"/>
              <w:ind w:firstLine="442" w:firstLineChars="200"/>
              <w:jc w:val="left"/>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采用依据</w:t>
            </w:r>
          </w:p>
        </w:tc>
        <w:tc>
          <w:tcPr>
            <w:tcW w:w="2470" w:type="dxa"/>
            <w:vMerge w:val="restart"/>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城镇生活</w:t>
            </w:r>
          </w:p>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（L/人·d）</w:t>
            </w:r>
          </w:p>
        </w:tc>
        <w:tc>
          <w:tcPr>
            <w:tcW w:w="2800" w:type="dxa"/>
            <w:vMerge w:val="restart"/>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农村生活</w:t>
            </w:r>
          </w:p>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（L/人·d）</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3713" w:type="dxa"/>
            <w:vMerge w:val="continue"/>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p>
        </w:tc>
        <w:tc>
          <w:tcPr>
            <w:tcW w:w="2470" w:type="dxa"/>
            <w:vMerge w:val="continue"/>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p>
        </w:tc>
        <w:tc>
          <w:tcPr>
            <w:tcW w:w="2800" w:type="dxa"/>
            <w:vMerge w:val="continue"/>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3713" w:type="dxa"/>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自治区定额</w:t>
            </w:r>
          </w:p>
        </w:tc>
        <w:tc>
          <w:tcPr>
            <w:tcW w:w="2470"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120</w:t>
            </w:r>
          </w:p>
        </w:tc>
        <w:tc>
          <w:tcPr>
            <w:tcW w:w="2800"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70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3713" w:type="dxa"/>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中卫市沙坡头区河南地区农村饮水安全巩固提升工程水资源论证报告书</w:t>
            </w:r>
          </w:p>
        </w:tc>
        <w:tc>
          <w:tcPr>
            <w:tcW w:w="2470"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80</w:t>
            </w:r>
          </w:p>
        </w:tc>
        <w:tc>
          <w:tcPr>
            <w:tcW w:w="2800"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60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3713" w:type="dxa"/>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中卫市河北地区城乡供水工程水资源论证报告书</w:t>
            </w:r>
          </w:p>
        </w:tc>
        <w:tc>
          <w:tcPr>
            <w:tcW w:w="2470" w:type="dxa"/>
            <w:tcMar>
              <w:top w:w="15" w:type="dxa"/>
              <w:left w:w="15" w:type="dxa"/>
              <w:right w:w="15" w:type="dxa"/>
            </w:tcMar>
            <w:vAlign w:val="center"/>
          </w:tcPr>
          <w:p>
            <w:pPr>
              <w:pStyle w:val="24"/>
              <w:ind w:left="0" w:leftChars="0" w:firstLine="0" w:firstLineChars="0"/>
              <w:rPr>
                <w:rFonts w:hint="default" w:ascii="Times New Roman" w:hAnsi="Times New Roman" w:eastAsia="仿宋" w:cs="Times New Roman"/>
                <w:color w:val="auto"/>
                <w:kern w:val="28"/>
                <w:sz w:val="22"/>
                <w:szCs w:val="32"/>
                <w:highlight w:val="none"/>
                <w:lang w:val="zh-CN" w:eastAsia="zh-CN" w:bidi="ar-SA"/>
              </w:rPr>
            </w:pPr>
            <w:r>
              <w:rPr>
                <w:rFonts w:hint="default" w:ascii="Times New Roman" w:hAnsi="Times New Roman" w:eastAsia="仿宋" w:cs="Times New Roman"/>
                <w:color w:val="auto"/>
                <w:sz w:val="22"/>
                <w:szCs w:val="32"/>
                <w:highlight w:val="none"/>
              </w:rPr>
              <w:t>160</w:t>
            </w:r>
          </w:p>
        </w:tc>
        <w:tc>
          <w:tcPr>
            <w:tcW w:w="2800" w:type="dxa"/>
            <w:tcMar>
              <w:top w:w="15" w:type="dxa"/>
              <w:left w:w="15" w:type="dxa"/>
              <w:right w:w="15" w:type="dxa"/>
            </w:tcMar>
            <w:vAlign w:val="center"/>
          </w:tcPr>
          <w:p>
            <w:pPr>
              <w:pStyle w:val="24"/>
              <w:ind w:left="0" w:leftChars="0" w:firstLine="0" w:firstLineChars="0"/>
              <w:rPr>
                <w:rFonts w:hint="default" w:ascii="Times New Roman" w:hAnsi="Times New Roman" w:eastAsia="仿宋" w:cs="Times New Roman"/>
                <w:color w:val="auto"/>
                <w:kern w:val="28"/>
                <w:sz w:val="22"/>
                <w:szCs w:val="32"/>
                <w:highlight w:val="none"/>
                <w:lang w:val="zh-CN" w:eastAsia="zh-CN" w:bidi="ar-SA"/>
              </w:rPr>
            </w:pPr>
            <w:r>
              <w:rPr>
                <w:rFonts w:hint="default" w:ascii="Times New Roman" w:hAnsi="Times New Roman" w:eastAsia="仿宋" w:cs="Times New Roman"/>
                <w:color w:val="auto"/>
                <w:sz w:val="22"/>
                <w:szCs w:val="32"/>
                <w:highlight w:val="none"/>
              </w:rPr>
              <w:t>70</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3713" w:type="dxa"/>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现状水平</w:t>
            </w:r>
          </w:p>
        </w:tc>
        <w:tc>
          <w:tcPr>
            <w:tcW w:w="2470"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173</w:t>
            </w:r>
          </w:p>
        </w:tc>
        <w:tc>
          <w:tcPr>
            <w:tcW w:w="2800" w:type="dxa"/>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25</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23" w:hRule="atLeast"/>
          <w:jc w:val="center"/>
        </w:trPr>
        <w:tc>
          <w:tcPr>
            <w:tcW w:w="3713" w:type="dxa"/>
            <w:tcMar>
              <w:top w:w="15" w:type="dxa"/>
              <w:left w:w="15" w:type="dxa"/>
              <w:right w:w="15" w:type="dxa"/>
            </w:tcMar>
            <w:vAlign w:val="center"/>
          </w:tcPr>
          <w:p>
            <w:pPr>
              <w:pStyle w:val="24"/>
              <w:rPr>
                <w:rFonts w:hint="default" w:ascii="Times New Roman" w:hAnsi="Times New Roman" w:eastAsia="仿宋_GB2312" w:cs="Times New Roman"/>
                <w:b w:val="0"/>
                <w:bCs w:val="0"/>
                <w:color w:val="auto"/>
                <w:kern w:val="2"/>
                <w:sz w:val="22"/>
                <w:szCs w:val="22"/>
                <w:highlight w:val="none"/>
                <w:lang w:val="en-US"/>
              </w:rPr>
            </w:pPr>
            <w:r>
              <w:rPr>
                <w:rFonts w:hint="default" w:ascii="Times New Roman" w:hAnsi="Times New Roman" w:eastAsia="仿宋_GB2312" w:cs="Times New Roman"/>
                <w:b w:val="0"/>
                <w:bCs w:val="0"/>
                <w:color w:val="auto"/>
                <w:kern w:val="2"/>
                <w:sz w:val="22"/>
                <w:szCs w:val="22"/>
                <w:highlight w:val="none"/>
                <w:lang w:val="en-US"/>
              </w:rPr>
              <w:t>本次取值</w:t>
            </w:r>
          </w:p>
        </w:tc>
        <w:tc>
          <w:tcPr>
            <w:tcW w:w="2470" w:type="dxa"/>
            <w:tcMar>
              <w:top w:w="15" w:type="dxa"/>
              <w:left w:w="15" w:type="dxa"/>
              <w:right w:w="15" w:type="dxa"/>
            </w:tcMar>
            <w:vAlign w:val="center"/>
          </w:tcPr>
          <w:p>
            <w:pPr>
              <w:pStyle w:val="24"/>
              <w:rPr>
                <w:rFonts w:hint="default" w:ascii="Times New Roman" w:hAnsi="Times New Roman" w:eastAsia="仿宋" w:cs="Times New Roman"/>
                <w:b w:val="0"/>
                <w:bCs w:val="0"/>
                <w:color w:val="auto"/>
                <w:sz w:val="22"/>
                <w:szCs w:val="32"/>
                <w:highlight w:val="none"/>
                <w:lang w:val="en-US"/>
              </w:rPr>
            </w:pPr>
            <w:r>
              <w:rPr>
                <w:rFonts w:hint="default" w:ascii="Times New Roman" w:hAnsi="Times New Roman" w:eastAsia="仿宋" w:cs="Times New Roman"/>
                <w:b w:val="0"/>
                <w:bCs w:val="0"/>
                <w:color w:val="auto"/>
                <w:sz w:val="22"/>
                <w:szCs w:val="32"/>
                <w:highlight w:val="none"/>
                <w:lang w:val="en-US"/>
              </w:rPr>
              <w:t>179</w:t>
            </w:r>
          </w:p>
        </w:tc>
        <w:tc>
          <w:tcPr>
            <w:tcW w:w="2800" w:type="dxa"/>
            <w:tcMar>
              <w:top w:w="15" w:type="dxa"/>
              <w:left w:w="15" w:type="dxa"/>
              <w:right w:w="15" w:type="dxa"/>
            </w:tcMar>
            <w:vAlign w:val="center"/>
          </w:tcPr>
          <w:p>
            <w:pPr>
              <w:pStyle w:val="24"/>
              <w:rPr>
                <w:rFonts w:hint="default" w:ascii="Times New Roman" w:hAnsi="Times New Roman" w:eastAsia="仿宋" w:cs="Times New Roman"/>
                <w:b w:val="0"/>
                <w:bCs w:val="0"/>
                <w:color w:val="auto"/>
                <w:sz w:val="22"/>
                <w:szCs w:val="32"/>
                <w:highlight w:val="none"/>
                <w:lang w:val="en-US"/>
              </w:rPr>
            </w:pPr>
            <w:r>
              <w:rPr>
                <w:rFonts w:hint="default" w:ascii="Times New Roman" w:hAnsi="Times New Roman" w:eastAsia="仿宋" w:cs="Times New Roman"/>
                <w:b w:val="0"/>
                <w:bCs w:val="0"/>
                <w:color w:val="auto"/>
                <w:sz w:val="22"/>
                <w:szCs w:val="32"/>
                <w:highlight w:val="none"/>
                <w:lang w:val="en-US"/>
              </w:rPr>
              <w:t>80</w:t>
            </w:r>
          </w:p>
        </w:tc>
      </w:tr>
    </w:tbl>
    <w:p>
      <w:pPr>
        <w:pStyle w:val="27"/>
        <w:spacing w:line="240" w:lineRule="auto"/>
        <w:ind w:firstLine="422" w:firstLineChars="200"/>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b/>
          <w:bCs/>
          <w:color w:val="auto"/>
          <w:kern w:val="2"/>
          <w:sz w:val="21"/>
          <w:szCs w:val="21"/>
          <w:highlight w:val="none"/>
          <w:lang w:val="en-US" w:eastAsia="zh-CN"/>
        </w:rPr>
        <w:t>注释：取值主要参考</w:t>
      </w:r>
      <w:r>
        <w:rPr>
          <w:rFonts w:hint="default" w:ascii="Times New Roman" w:hAnsi="Times New Roman" w:eastAsia="仿宋_GB2312" w:cs="Times New Roman"/>
          <w:b/>
          <w:bCs/>
          <w:color w:val="auto"/>
          <w:kern w:val="2"/>
          <w:sz w:val="21"/>
          <w:szCs w:val="21"/>
          <w:highlight w:val="none"/>
        </w:rPr>
        <w:t>《城市给水工程规划规范》（GB50282－2016）规定</w:t>
      </w:r>
      <w:r>
        <w:rPr>
          <w:rFonts w:hint="default" w:ascii="Times New Roman" w:hAnsi="Times New Roman" w:eastAsia="仿宋_GB2312" w:cs="Times New Roman"/>
          <w:b/>
          <w:bCs/>
          <w:color w:val="auto"/>
          <w:kern w:val="2"/>
          <w:sz w:val="21"/>
          <w:szCs w:val="21"/>
          <w:highlight w:val="none"/>
          <w:lang w:eastAsia="zh-CN"/>
        </w:rPr>
        <w:t>。</w:t>
      </w:r>
    </w:p>
    <w:p>
      <w:pPr>
        <w:pStyle w:val="8"/>
        <w:spacing w:before="157" w:beforeLines="50"/>
        <w:rPr>
          <w:rFonts w:hint="default" w:ascii="Times New Roman" w:hAnsi="Times New Roman" w:cs="Times New Roman"/>
          <w:color w:val="auto"/>
          <w:highlight w:val="none"/>
        </w:rPr>
      </w:pPr>
      <w:r>
        <w:rPr>
          <w:rFonts w:hint="default" w:ascii="Times New Roman" w:hAnsi="Times New Roman" w:cs="Times New Roman"/>
          <w:color w:val="auto"/>
          <w:highlight w:val="none"/>
        </w:rPr>
        <w:t>4.3.2.3</w:t>
      </w:r>
      <w:r>
        <w:rPr>
          <w:rFonts w:hint="default" w:ascii="Times New Roman" w:hAnsi="Times New Roman" w:eastAsia="仿宋_GB2312" w:cs="Times New Roman"/>
          <w:color w:val="auto"/>
          <w:szCs w:val="32"/>
          <w:highlight w:val="none"/>
        </w:rPr>
        <w:t>生活需水量计算</w:t>
      </w:r>
    </w:p>
    <w:p>
      <w:pPr>
        <w:pStyle w:val="9"/>
        <w:rPr>
          <w:rFonts w:hint="default" w:ascii="Times New Roman" w:hAnsi="Times New Roman" w:cs="Times New Roman"/>
          <w:b/>
          <w:bCs/>
          <w:color w:val="auto"/>
          <w:szCs w:val="32"/>
          <w:highlight w:val="none"/>
        </w:rPr>
      </w:pPr>
      <w:r>
        <w:rPr>
          <w:rFonts w:hint="default" w:ascii="Times New Roman" w:hAnsi="Times New Roman" w:cs="Times New Roman"/>
          <w:color w:val="auto"/>
          <w:highlight w:val="none"/>
        </w:rPr>
        <w:t>（1）人口预测</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沙坡头区近十年人口统计分析，近十年沙坡头区自然增长率7.21‰，近五年自然增长率为6.94‰，逐年增长率分析呈下降趋势，考虑二孩政策和生态移民政策影响趋于平稳。据自治区统计局分析，“全面两孩”政策在2016年、2017年集中释放，2018年政策集中释放效应弱化，二孩生育趋于平稳。</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本次</w:t>
      </w:r>
      <w:r>
        <w:rPr>
          <w:rFonts w:hint="default" w:ascii="Times New Roman" w:hAnsi="Times New Roman" w:cs="Times New Roman"/>
          <w:color w:val="auto"/>
          <w:kern w:val="2"/>
          <w:sz w:val="32"/>
          <w:szCs w:val="32"/>
          <w:highlight w:val="none"/>
          <w:lang w:eastAsia="zh-CN"/>
        </w:rPr>
        <w:t>沙坡头区人口</w:t>
      </w:r>
      <w:r>
        <w:rPr>
          <w:rFonts w:hint="default" w:ascii="Times New Roman" w:hAnsi="Times New Roman" w:eastAsia="仿宋_GB2312" w:cs="Times New Roman"/>
          <w:color w:val="auto"/>
          <w:kern w:val="2"/>
          <w:sz w:val="32"/>
          <w:szCs w:val="32"/>
          <w:highlight w:val="none"/>
        </w:rPr>
        <w:t>自然增长率</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采用</w:t>
      </w:r>
      <w:r>
        <w:rPr>
          <w:rFonts w:hint="default" w:ascii="Times New Roman" w:hAnsi="Times New Roman" w:cs="Times New Roman"/>
          <w:color w:val="auto"/>
          <w:kern w:val="2"/>
          <w:sz w:val="32"/>
          <w:szCs w:val="32"/>
          <w:highlight w:val="none"/>
          <w:lang w:eastAsia="zh-CN"/>
        </w:rPr>
        <w:t>沙坡头区</w:t>
      </w:r>
      <w:r>
        <w:rPr>
          <w:rFonts w:hint="default" w:ascii="Times New Roman" w:hAnsi="Times New Roman" w:eastAsia="仿宋_GB2312" w:cs="Times New Roman"/>
          <w:color w:val="auto"/>
          <w:kern w:val="2"/>
          <w:sz w:val="32"/>
          <w:szCs w:val="32"/>
          <w:highlight w:val="none"/>
        </w:rPr>
        <w:t>近五年</w:t>
      </w:r>
      <w:r>
        <w:rPr>
          <w:rFonts w:hint="default" w:ascii="Times New Roman" w:hAnsi="Times New Roman" w:cs="Times New Roman"/>
          <w:color w:val="auto"/>
          <w:kern w:val="2"/>
          <w:sz w:val="32"/>
          <w:szCs w:val="32"/>
          <w:highlight w:val="none"/>
          <w:lang w:eastAsia="zh-CN"/>
        </w:rPr>
        <w:t>人口自然增长率</w:t>
      </w:r>
      <w:r>
        <w:rPr>
          <w:rFonts w:hint="default" w:ascii="Times New Roman" w:hAnsi="Times New Roman" w:eastAsia="仿宋_GB2312" w:cs="Times New Roman"/>
          <w:color w:val="auto"/>
          <w:kern w:val="2"/>
          <w:sz w:val="32"/>
          <w:szCs w:val="32"/>
          <w:highlight w:val="none"/>
        </w:rPr>
        <w:t>平均值6.94‰。</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根据近五年，甚至近十年分析，沙坡头区城镇化率整体呈上升趋势，根据自治区水利厅关于《宁夏以水定需管控实施方案》，规划年沙坡头区城市化率达到62%。</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eastAsia="zh-CN"/>
        </w:rPr>
        <w:t>沙坡头区规划</w:t>
      </w:r>
      <w:r>
        <w:rPr>
          <w:rFonts w:hint="default" w:ascii="Times New Roman" w:hAnsi="Times New Roman" w:cs="Times New Roman"/>
          <w:color w:val="auto"/>
          <w:kern w:val="2"/>
          <w:sz w:val="32"/>
          <w:szCs w:val="32"/>
          <w:highlight w:val="none"/>
          <w:lang w:val="en-US" w:eastAsia="zh-CN"/>
        </w:rPr>
        <w:t>2025年</w:t>
      </w:r>
      <w:r>
        <w:rPr>
          <w:rFonts w:hint="default" w:ascii="Times New Roman" w:hAnsi="Times New Roman" w:eastAsia="仿宋_GB2312" w:cs="Times New Roman"/>
          <w:color w:val="auto"/>
          <w:kern w:val="2"/>
          <w:sz w:val="32"/>
          <w:szCs w:val="32"/>
          <w:highlight w:val="none"/>
        </w:rPr>
        <w:t>人口预测</w:t>
      </w:r>
      <w:r>
        <w:rPr>
          <w:rFonts w:hint="default" w:ascii="Times New Roman" w:hAnsi="Times New Roman" w:cs="Times New Roman"/>
          <w:color w:val="auto"/>
          <w:kern w:val="2"/>
          <w:sz w:val="32"/>
          <w:szCs w:val="32"/>
          <w:highlight w:val="none"/>
          <w:lang w:eastAsia="zh-CN"/>
        </w:rPr>
        <w:t>表，详</w:t>
      </w:r>
      <w:r>
        <w:rPr>
          <w:rFonts w:hint="default" w:ascii="Times New Roman" w:hAnsi="Times New Roman" w:eastAsia="仿宋_GB2312" w:cs="Times New Roman"/>
          <w:color w:val="auto"/>
          <w:kern w:val="2"/>
          <w:sz w:val="32"/>
          <w:szCs w:val="32"/>
          <w:highlight w:val="none"/>
        </w:rPr>
        <w:t>见表4.3-2所示。</w:t>
      </w:r>
    </w:p>
    <w:p>
      <w:pPr>
        <w:pStyle w:val="22"/>
        <w:jc w:val="center"/>
        <w:rPr>
          <w:rFonts w:hint="default" w:ascii="Times New Roman" w:hAnsi="Times New Roman" w:eastAsia="仿宋" w:cs="Times New Roman"/>
          <w:color w:val="auto"/>
          <w:highlight w:val="none"/>
        </w:rPr>
      </w:pPr>
      <w:r>
        <w:rPr>
          <w:rFonts w:hint="default" w:ascii="Times New Roman" w:hAnsi="Times New Roman" w:eastAsia="方正小标宋_GBK" w:cs="Times New Roman"/>
          <w:b w:val="0"/>
          <w:bCs w:val="0"/>
          <w:color w:val="auto"/>
          <w:sz w:val="32"/>
          <w:szCs w:val="32"/>
          <w:highlight w:val="none"/>
        </w:rPr>
        <w:t>表4.3-2</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沙坡头区规划2025年人口预测表</w:t>
      </w:r>
    </w:p>
    <w:p>
      <w:pPr>
        <w:pStyle w:val="22"/>
        <w:ind w:firstLine="7560" w:firstLineChars="3600"/>
        <w:jc w:val="left"/>
        <w:rPr>
          <w:rFonts w:hint="default" w:ascii="Times New Roman" w:hAnsi="Times New Roman" w:eastAsia="仿宋_GB2312" w:cs="Times New Roman"/>
          <w:b w:val="0"/>
          <w:bCs/>
          <w:color w:val="auto"/>
          <w:sz w:val="21"/>
          <w:szCs w:val="21"/>
          <w:highlight w:val="none"/>
        </w:rPr>
      </w:pPr>
      <w:r>
        <w:rPr>
          <w:rFonts w:hint="default" w:ascii="Times New Roman" w:hAnsi="Times New Roman" w:eastAsia="仿宋" w:cs="Times New Roman"/>
          <w:b w:val="0"/>
          <w:bCs/>
          <w:color w:val="auto"/>
          <w:sz w:val="21"/>
          <w:szCs w:val="21"/>
          <w:highlight w:val="none"/>
        </w:rPr>
        <w:t xml:space="preserve"> </w:t>
      </w:r>
      <w:r>
        <w:rPr>
          <w:rFonts w:hint="default" w:ascii="Times New Roman" w:hAnsi="Times New Roman" w:eastAsia="仿宋_GB2312" w:cs="Times New Roman"/>
          <w:b w:val="0"/>
          <w:bCs/>
          <w:color w:val="auto"/>
          <w:sz w:val="21"/>
          <w:szCs w:val="21"/>
          <w:highlight w:val="none"/>
        </w:rPr>
        <w:t>单位：万人</w:t>
      </w:r>
    </w:p>
    <w:tbl>
      <w:tblPr>
        <w:tblStyle w:val="17"/>
        <w:tblW w:w="8870"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1282"/>
        <w:gridCol w:w="776"/>
        <w:gridCol w:w="589"/>
        <w:gridCol w:w="1026"/>
        <w:gridCol w:w="1026"/>
        <w:gridCol w:w="1026"/>
        <w:gridCol w:w="3145"/>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80" w:hRule="atLeast"/>
          <w:jc w:val="center"/>
        </w:trPr>
        <w:tc>
          <w:tcPr>
            <w:tcW w:w="1282"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sz w:val="22"/>
                <w:szCs w:val="32"/>
                <w:highlight w:val="none"/>
              </w:rPr>
            </w:pPr>
            <w:r>
              <w:rPr>
                <w:rFonts w:hint="default" w:ascii="Times New Roman" w:hAnsi="Times New Roman" w:eastAsia="仿宋_GB2312" w:cs="Times New Roman"/>
                <w:b/>
                <w:bCs/>
                <w:color w:val="auto"/>
                <w:kern w:val="2"/>
                <w:sz w:val="22"/>
                <w:szCs w:val="22"/>
                <w:highlight w:val="none"/>
                <w:lang w:val="en-US"/>
              </w:rPr>
              <w:t>方案</w:t>
            </w:r>
          </w:p>
        </w:tc>
        <w:tc>
          <w:tcPr>
            <w:tcW w:w="776"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规划年</w:t>
            </w:r>
          </w:p>
        </w:tc>
        <w:tc>
          <w:tcPr>
            <w:tcW w:w="58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人口</w:t>
            </w:r>
          </w:p>
        </w:tc>
        <w:tc>
          <w:tcPr>
            <w:tcW w:w="1026"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农业人口</w:t>
            </w:r>
          </w:p>
        </w:tc>
        <w:tc>
          <w:tcPr>
            <w:tcW w:w="1026"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城镇人口</w:t>
            </w:r>
          </w:p>
        </w:tc>
        <w:tc>
          <w:tcPr>
            <w:tcW w:w="1026"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城镇化率</w:t>
            </w:r>
          </w:p>
        </w:tc>
        <w:tc>
          <w:tcPr>
            <w:tcW w:w="3145"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备注</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80" w:hRule="atLeast"/>
          <w:jc w:val="center"/>
        </w:trPr>
        <w:tc>
          <w:tcPr>
            <w:tcW w:w="1282"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现状</w:t>
            </w:r>
          </w:p>
        </w:tc>
        <w:tc>
          <w:tcPr>
            <w:tcW w:w="776"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bidi="ar"/>
              </w:rPr>
              <w:t>2020年</w:t>
            </w:r>
          </w:p>
        </w:tc>
        <w:tc>
          <w:tcPr>
            <w:tcW w:w="58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bidi="ar"/>
              </w:rPr>
              <w:t>41.68</w:t>
            </w:r>
          </w:p>
        </w:tc>
        <w:tc>
          <w:tcPr>
            <w:tcW w:w="1026"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bidi="ar"/>
              </w:rPr>
              <w:t>18.49</w:t>
            </w:r>
          </w:p>
        </w:tc>
        <w:tc>
          <w:tcPr>
            <w:tcW w:w="1026"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bidi="ar"/>
              </w:rPr>
              <w:t>23.19</w:t>
            </w:r>
          </w:p>
        </w:tc>
        <w:tc>
          <w:tcPr>
            <w:tcW w:w="1026"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bidi="ar"/>
              </w:rPr>
              <w:t>56%</w:t>
            </w:r>
          </w:p>
        </w:tc>
        <w:tc>
          <w:tcPr>
            <w:tcW w:w="3145"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80" w:hRule="atLeast"/>
          <w:jc w:val="center"/>
        </w:trPr>
        <w:tc>
          <w:tcPr>
            <w:tcW w:w="128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计算值</w:t>
            </w:r>
          </w:p>
        </w:tc>
        <w:tc>
          <w:tcPr>
            <w:tcW w:w="7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2025</w:t>
            </w:r>
          </w:p>
        </w:tc>
        <w:tc>
          <w:tcPr>
            <w:tcW w:w="5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43.15</w:t>
            </w:r>
          </w:p>
        </w:tc>
        <w:tc>
          <w:tcPr>
            <w:tcW w:w="1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16.40</w:t>
            </w:r>
          </w:p>
        </w:tc>
        <w:tc>
          <w:tcPr>
            <w:tcW w:w="1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26.75</w:t>
            </w:r>
          </w:p>
        </w:tc>
        <w:tc>
          <w:tcPr>
            <w:tcW w:w="1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62%</w:t>
            </w:r>
          </w:p>
        </w:tc>
        <w:tc>
          <w:tcPr>
            <w:tcW w:w="3145"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按照近10年中卫市统计年鉴</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80" w:hRule="atLeast"/>
          <w:jc w:val="center"/>
        </w:trPr>
        <w:tc>
          <w:tcPr>
            <w:tcW w:w="1282"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建议值</w:t>
            </w:r>
          </w:p>
        </w:tc>
        <w:tc>
          <w:tcPr>
            <w:tcW w:w="7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2025</w:t>
            </w:r>
          </w:p>
        </w:tc>
        <w:tc>
          <w:tcPr>
            <w:tcW w:w="5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43.00</w:t>
            </w:r>
          </w:p>
        </w:tc>
        <w:tc>
          <w:tcPr>
            <w:tcW w:w="1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16.34</w:t>
            </w:r>
          </w:p>
        </w:tc>
        <w:tc>
          <w:tcPr>
            <w:tcW w:w="1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26.66</w:t>
            </w:r>
          </w:p>
        </w:tc>
        <w:tc>
          <w:tcPr>
            <w:tcW w:w="10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62%</w:t>
            </w:r>
          </w:p>
        </w:tc>
        <w:tc>
          <w:tcPr>
            <w:tcW w:w="3145"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宁夏以水定需管控实施方案</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80" w:hRule="atLeast"/>
          <w:jc w:val="center"/>
        </w:trPr>
        <w:tc>
          <w:tcPr>
            <w:tcW w:w="1282" w:type="dxa"/>
            <w:tcBorders>
              <w:top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 w:cs="Times New Roman"/>
                <w:b w:val="0"/>
                <w:bCs w:val="0"/>
                <w:color w:val="auto"/>
                <w:kern w:val="28"/>
                <w:sz w:val="22"/>
                <w:szCs w:val="32"/>
                <w:highlight w:val="none"/>
                <w:lang w:val="en-US" w:eastAsia="zh-CN" w:bidi="ar-SA"/>
              </w:rPr>
            </w:pPr>
            <w:r>
              <w:rPr>
                <w:rFonts w:hint="default" w:ascii="Times New Roman" w:hAnsi="Times New Roman" w:eastAsia="仿宋" w:cs="Times New Roman"/>
                <w:b w:val="0"/>
                <w:bCs w:val="0"/>
                <w:color w:val="auto"/>
                <w:sz w:val="22"/>
                <w:szCs w:val="32"/>
                <w:highlight w:val="none"/>
              </w:rPr>
              <w:t>本次推荐值</w:t>
            </w:r>
          </w:p>
        </w:tc>
        <w:tc>
          <w:tcPr>
            <w:tcW w:w="776"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 w:cs="Times New Roman"/>
                <w:b w:val="0"/>
                <w:bCs w:val="0"/>
                <w:color w:val="auto"/>
                <w:kern w:val="28"/>
                <w:sz w:val="22"/>
                <w:szCs w:val="32"/>
                <w:highlight w:val="none"/>
                <w:lang w:val="en-US" w:eastAsia="zh-CN" w:bidi="ar"/>
              </w:rPr>
            </w:pPr>
            <w:r>
              <w:rPr>
                <w:rFonts w:hint="default" w:ascii="Times New Roman" w:hAnsi="Times New Roman" w:eastAsia="仿宋" w:cs="Times New Roman"/>
                <w:b w:val="0"/>
                <w:bCs w:val="0"/>
                <w:color w:val="auto"/>
                <w:sz w:val="22"/>
                <w:szCs w:val="32"/>
                <w:highlight w:val="none"/>
                <w:lang w:val="en-US" w:bidi="ar"/>
              </w:rPr>
              <w:t>2025</w:t>
            </w:r>
          </w:p>
        </w:tc>
        <w:tc>
          <w:tcPr>
            <w:tcW w:w="58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 w:cs="Times New Roman"/>
                <w:b w:val="0"/>
                <w:bCs w:val="0"/>
                <w:color w:val="auto"/>
                <w:kern w:val="28"/>
                <w:sz w:val="22"/>
                <w:szCs w:val="32"/>
                <w:highlight w:val="none"/>
                <w:lang w:val="en-US" w:eastAsia="zh-CN" w:bidi="ar"/>
              </w:rPr>
            </w:pPr>
            <w:r>
              <w:rPr>
                <w:rFonts w:hint="default" w:ascii="Times New Roman" w:hAnsi="Times New Roman" w:eastAsia="仿宋" w:cs="Times New Roman"/>
                <w:b w:val="0"/>
                <w:bCs w:val="0"/>
                <w:color w:val="auto"/>
                <w:sz w:val="22"/>
                <w:szCs w:val="32"/>
                <w:highlight w:val="none"/>
                <w:lang w:val="en-US" w:bidi="ar"/>
              </w:rPr>
              <w:t>43.15</w:t>
            </w:r>
          </w:p>
        </w:tc>
        <w:tc>
          <w:tcPr>
            <w:tcW w:w="1026"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 w:cs="Times New Roman"/>
                <w:b w:val="0"/>
                <w:bCs w:val="0"/>
                <w:color w:val="auto"/>
                <w:kern w:val="28"/>
                <w:sz w:val="22"/>
                <w:szCs w:val="32"/>
                <w:highlight w:val="none"/>
                <w:lang w:val="en-US" w:eastAsia="zh-CN" w:bidi="ar"/>
              </w:rPr>
            </w:pPr>
            <w:r>
              <w:rPr>
                <w:rFonts w:hint="default" w:ascii="Times New Roman" w:hAnsi="Times New Roman" w:eastAsia="仿宋" w:cs="Times New Roman"/>
                <w:b w:val="0"/>
                <w:bCs w:val="0"/>
                <w:color w:val="auto"/>
                <w:sz w:val="22"/>
                <w:szCs w:val="32"/>
                <w:highlight w:val="none"/>
                <w:lang w:val="en-US" w:bidi="ar"/>
              </w:rPr>
              <w:t>16.40</w:t>
            </w:r>
          </w:p>
        </w:tc>
        <w:tc>
          <w:tcPr>
            <w:tcW w:w="1026"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 w:cs="Times New Roman"/>
                <w:b w:val="0"/>
                <w:bCs w:val="0"/>
                <w:color w:val="auto"/>
                <w:kern w:val="28"/>
                <w:sz w:val="22"/>
                <w:szCs w:val="32"/>
                <w:highlight w:val="none"/>
                <w:lang w:val="en-US" w:eastAsia="zh-CN" w:bidi="ar"/>
              </w:rPr>
            </w:pPr>
            <w:r>
              <w:rPr>
                <w:rFonts w:hint="default" w:ascii="Times New Roman" w:hAnsi="Times New Roman" w:eastAsia="仿宋" w:cs="Times New Roman"/>
                <w:b w:val="0"/>
                <w:bCs w:val="0"/>
                <w:color w:val="auto"/>
                <w:sz w:val="22"/>
                <w:szCs w:val="32"/>
                <w:highlight w:val="none"/>
                <w:lang w:val="en-US" w:bidi="ar"/>
              </w:rPr>
              <w:t>26.75</w:t>
            </w:r>
          </w:p>
        </w:tc>
        <w:tc>
          <w:tcPr>
            <w:tcW w:w="1026"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 w:cs="Times New Roman"/>
                <w:b w:val="0"/>
                <w:bCs w:val="0"/>
                <w:color w:val="auto"/>
                <w:kern w:val="28"/>
                <w:sz w:val="22"/>
                <w:szCs w:val="32"/>
                <w:highlight w:val="none"/>
                <w:lang w:val="en-US" w:eastAsia="zh-CN" w:bidi="ar"/>
              </w:rPr>
            </w:pPr>
            <w:r>
              <w:rPr>
                <w:rFonts w:hint="default" w:ascii="Times New Roman" w:hAnsi="Times New Roman" w:eastAsia="仿宋" w:cs="Times New Roman"/>
                <w:b w:val="0"/>
                <w:bCs w:val="0"/>
                <w:color w:val="auto"/>
                <w:sz w:val="22"/>
                <w:szCs w:val="32"/>
                <w:highlight w:val="none"/>
                <w:lang w:val="en-US" w:bidi="ar"/>
              </w:rPr>
              <w:t>62%</w:t>
            </w:r>
          </w:p>
        </w:tc>
        <w:tc>
          <w:tcPr>
            <w:tcW w:w="3145" w:type="dxa"/>
            <w:tcBorders>
              <w:top w:val="single" w:color="000000" w:sz="4" w:space="0"/>
              <w:lef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 w:cs="Times New Roman"/>
                <w:b w:val="0"/>
                <w:bCs w:val="0"/>
                <w:color w:val="auto"/>
                <w:kern w:val="28"/>
                <w:sz w:val="22"/>
                <w:szCs w:val="32"/>
                <w:highlight w:val="none"/>
                <w:lang w:val="en-US" w:eastAsia="zh-CN" w:bidi="ar-SA"/>
              </w:rPr>
            </w:pPr>
            <w:r>
              <w:rPr>
                <w:rFonts w:hint="default" w:ascii="Times New Roman" w:hAnsi="Times New Roman" w:eastAsia="仿宋" w:cs="Times New Roman"/>
                <w:b w:val="0"/>
                <w:bCs w:val="0"/>
                <w:color w:val="auto"/>
                <w:sz w:val="22"/>
                <w:szCs w:val="32"/>
                <w:highlight w:val="none"/>
                <w:lang w:val="en-US"/>
              </w:rPr>
              <w:t>计算值</w:t>
            </w:r>
          </w:p>
        </w:tc>
      </w:tr>
    </w:tbl>
    <w:p>
      <w:pPr>
        <w:pStyle w:val="9"/>
        <w:rPr>
          <w:rFonts w:hint="default" w:ascii="Times New Roman" w:hAnsi="Times New Roman" w:eastAsia="仿宋_GB2312" w:cs="Times New Roman"/>
          <w:b/>
          <w:bCs/>
          <w:color w:val="auto"/>
          <w:szCs w:val="32"/>
          <w:highlight w:val="none"/>
        </w:rPr>
      </w:pPr>
      <w:r>
        <w:rPr>
          <w:rFonts w:hint="default" w:ascii="Times New Roman" w:hAnsi="Times New Roman" w:cs="Times New Roman"/>
          <w:color w:val="auto"/>
          <w:highlight w:val="none"/>
        </w:rPr>
        <w:t>（2）需水预测</w:t>
      </w:r>
    </w:p>
    <w:p>
      <w:pPr>
        <w:rPr>
          <w:rFonts w:hint="default" w:ascii="Times New Roman" w:hAnsi="Times New Roman" w:cs="Times New Roman"/>
          <w:color w:val="auto"/>
          <w:kern w:val="2"/>
          <w:sz w:val="32"/>
          <w:szCs w:val="32"/>
          <w:highlight w:val="none"/>
          <w:lang w:val="en-US" w:eastAsia="zh-CN"/>
        </w:rPr>
      </w:pPr>
      <w:r>
        <w:rPr>
          <w:rFonts w:hint="default" w:ascii="Times New Roman" w:hAnsi="Times New Roman" w:cs="Times New Roman"/>
          <w:color w:val="auto"/>
          <w:kern w:val="2"/>
          <w:sz w:val="32"/>
          <w:szCs w:val="32"/>
          <w:highlight w:val="none"/>
          <w:lang w:eastAsia="zh-CN"/>
        </w:rPr>
        <w:t>沙坡头区规划</w:t>
      </w:r>
      <w:r>
        <w:rPr>
          <w:rFonts w:hint="default" w:ascii="Times New Roman" w:hAnsi="Times New Roman" w:cs="Times New Roman"/>
          <w:color w:val="auto"/>
          <w:kern w:val="2"/>
          <w:sz w:val="32"/>
          <w:szCs w:val="32"/>
          <w:highlight w:val="none"/>
          <w:lang w:val="en-US" w:eastAsia="zh-CN"/>
        </w:rPr>
        <w:t>2025年人口规模43.15万人，其中城镇人口26.75万人、农村人口16.4万人。规划2025年城镇人口、农村人口的用水定额分别是179</w:t>
      </w:r>
      <w:r>
        <w:rPr>
          <w:rFonts w:hint="default" w:ascii="Times New Roman" w:hAnsi="Times New Roman" w:eastAsia="仿宋_GB2312" w:cs="Times New Roman"/>
          <w:color w:val="auto"/>
          <w:kern w:val="2"/>
          <w:sz w:val="32"/>
          <w:szCs w:val="32"/>
          <w:highlight w:val="none"/>
        </w:rPr>
        <w:t>L/（人·d）</w:t>
      </w:r>
      <w:r>
        <w:rPr>
          <w:rFonts w:hint="default" w:ascii="Times New Roman" w:hAnsi="Times New Roman" w:cs="Times New Roman"/>
          <w:color w:val="auto"/>
          <w:kern w:val="2"/>
          <w:sz w:val="32"/>
          <w:szCs w:val="32"/>
          <w:highlight w:val="none"/>
          <w:lang w:eastAsia="zh-CN"/>
        </w:rPr>
        <w:t>、</w:t>
      </w:r>
      <w:r>
        <w:rPr>
          <w:rFonts w:hint="default" w:ascii="Times New Roman" w:hAnsi="Times New Roman" w:cs="Times New Roman"/>
          <w:color w:val="auto"/>
          <w:kern w:val="2"/>
          <w:sz w:val="32"/>
          <w:szCs w:val="32"/>
          <w:highlight w:val="none"/>
          <w:lang w:val="en-US" w:eastAsia="zh-CN"/>
        </w:rPr>
        <w:t>80</w:t>
      </w:r>
      <w:r>
        <w:rPr>
          <w:rFonts w:hint="default" w:ascii="Times New Roman" w:hAnsi="Times New Roman" w:eastAsia="仿宋_GB2312" w:cs="Times New Roman"/>
          <w:color w:val="auto"/>
          <w:kern w:val="2"/>
          <w:sz w:val="32"/>
          <w:szCs w:val="32"/>
          <w:highlight w:val="none"/>
        </w:rPr>
        <w:t>L/（人·d）</w:t>
      </w:r>
      <w:r>
        <w:rPr>
          <w:rFonts w:hint="default" w:ascii="Times New Roman" w:hAnsi="Times New Roman" w:cs="Times New Roman"/>
          <w:color w:val="auto"/>
          <w:kern w:val="2"/>
          <w:sz w:val="32"/>
          <w:szCs w:val="32"/>
          <w:highlight w:val="none"/>
          <w:lang w:eastAsia="zh-CN"/>
        </w:rPr>
        <w:t>，规划</w:t>
      </w:r>
      <w:r>
        <w:rPr>
          <w:rFonts w:hint="default" w:ascii="Times New Roman" w:hAnsi="Times New Roman" w:cs="Times New Roman"/>
          <w:color w:val="auto"/>
          <w:kern w:val="2"/>
          <w:sz w:val="32"/>
          <w:szCs w:val="32"/>
          <w:highlight w:val="none"/>
          <w:lang w:val="en-US" w:eastAsia="zh-CN"/>
        </w:rPr>
        <w:t>2025年城镇人口、农村人口的用水量分别是1750万m³</w:t>
      </w:r>
      <w:r>
        <w:rPr>
          <w:rFonts w:hint="default" w:ascii="Times New Roman" w:hAnsi="Times New Roman" w:cs="Times New Roman"/>
          <w:color w:val="auto"/>
          <w:kern w:val="2"/>
          <w:sz w:val="32"/>
          <w:szCs w:val="32"/>
          <w:highlight w:val="none"/>
          <w:lang w:eastAsia="zh-CN"/>
        </w:rPr>
        <w:t>、</w:t>
      </w:r>
      <w:r>
        <w:rPr>
          <w:rFonts w:hint="default" w:ascii="Times New Roman" w:hAnsi="Times New Roman" w:cs="Times New Roman"/>
          <w:color w:val="auto"/>
          <w:kern w:val="2"/>
          <w:sz w:val="32"/>
          <w:szCs w:val="32"/>
          <w:highlight w:val="none"/>
          <w:lang w:val="en-US" w:eastAsia="zh-CN"/>
        </w:rPr>
        <w:t>479万m³，沙坡头区规划2025年生活总的用水量达到2228万m³。</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根据《自治区人民政府关于印发宁夏回族自治区水污染防治工作方案的通知》（宁政发﹝20</w:t>
      </w:r>
      <w:r>
        <w:rPr>
          <w:rFonts w:hint="default" w:ascii="Times New Roman" w:hAnsi="Times New Roman" w:cs="Times New Roman"/>
          <w:color w:val="auto"/>
          <w:kern w:val="2"/>
          <w:sz w:val="32"/>
          <w:szCs w:val="32"/>
          <w:highlight w:val="none"/>
          <w:lang w:val="en-US" w:eastAsia="zh-CN"/>
        </w:rPr>
        <w:t>15</w:t>
      </w:r>
      <w:r>
        <w:rPr>
          <w:rFonts w:hint="default" w:ascii="Times New Roman" w:hAnsi="Times New Roman" w:eastAsia="仿宋_GB2312" w:cs="Times New Roman"/>
          <w:color w:val="auto"/>
          <w:kern w:val="2"/>
          <w:sz w:val="32"/>
          <w:szCs w:val="32"/>
          <w:highlight w:val="none"/>
        </w:rPr>
        <w:t>﹞106号），到2020年，城镇供水管网漏损率降低到10%，</w:t>
      </w:r>
      <w:r>
        <w:rPr>
          <w:rFonts w:hint="default" w:ascii="Times New Roman" w:hAnsi="Times New Roman" w:cs="Times New Roman"/>
          <w:color w:val="auto"/>
          <w:kern w:val="2"/>
          <w:sz w:val="32"/>
          <w:szCs w:val="32"/>
          <w:highlight w:val="none"/>
          <w:lang w:val="en-US" w:eastAsia="zh-CN"/>
        </w:rPr>
        <w:t>2020年</w:t>
      </w:r>
      <w:r>
        <w:rPr>
          <w:rFonts w:hint="default" w:ascii="Times New Roman" w:hAnsi="Times New Roman" w:eastAsia="仿宋_GB2312" w:cs="Times New Roman"/>
          <w:color w:val="auto"/>
          <w:kern w:val="2"/>
          <w:sz w:val="32"/>
          <w:szCs w:val="32"/>
          <w:highlight w:val="none"/>
        </w:rPr>
        <w:t>沙坡头区城镇及农村管网输水损失率</w:t>
      </w:r>
      <w:r>
        <w:rPr>
          <w:rFonts w:hint="default" w:ascii="Times New Roman" w:hAnsi="Times New Roman" w:cs="Times New Roman"/>
          <w:color w:val="auto"/>
          <w:kern w:val="2"/>
          <w:sz w:val="32"/>
          <w:szCs w:val="32"/>
          <w:highlight w:val="none"/>
          <w:lang w:val="en-US" w:eastAsia="zh-CN"/>
        </w:rPr>
        <w:t>实际为</w:t>
      </w:r>
      <w:r>
        <w:rPr>
          <w:rFonts w:hint="default" w:ascii="Times New Roman" w:hAnsi="Times New Roman" w:eastAsia="仿宋_GB2312" w:cs="Times New Roman"/>
          <w:color w:val="auto"/>
          <w:kern w:val="2"/>
          <w:sz w:val="32"/>
          <w:szCs w:val="32"/>
          <w:highlight w:val="none"/>
        </w:rPr>
        <w:t>10%，则沙坡头区2025年生活净需水量、毛需水量分别为</w:t>
      </w:r>
      <w:r>
        <w:rPr>
          <w:rFonts w:hint="default" w:ascii="Times New Roman" w:hAnsi="Times New Roman" w:cs="Times New Roman"/>
          <w:color w:val="auto"/>
          <w:kern w:val="2"/>
          <w:sz w:val="32"/>
          <w:szCs w:val="32"/>
          <w:highlight w:val="none"/>
          <w:lang w:eastAsia="zh-CN"/>
        </w:rPr>
        <w:t>2</w:t>
      </w:r>
      <w:r>
        <w:rPr>
          <w:rFonts w:hint="default" w:ascii="Times New Roman" w:hAnsi="Times New Roman" w:cs="Times New Roman"/>
          <w:color w:val="auto"/>
          <w:kern w:val="2"/>
          <w:sz w:val="32"/>
          <w:szCs w:val="32"/>
          <w:highlight w:val="none"/>
          <w:lang w:val="en-US" w:eastAsia="zh-CN"/>
        </w:rPr>
        <w:t>228</w:t>
      </w:r>
      <w:r>
        <w:rPr>
          <w:rFonts w:hint="default" w:ascii="Times New Roman" w:hAnsi="Times New Roman" w:eastAsia="仿宋_GB2312" w:cs="Times New Roman"/>
          <w:color w:val="auto"/>
          <w:kern w:val="2"/>
          <w:sz w:val="32"/>
          <w:szCs w:val="32"/>
          <w:highlight w:val="none"/>
        </w:rPr>
        <w:t>万m³、</w:t>
      </w:r>
      <w:r>
        <w:rPr>
          <w:rFonts w:hint="default" w:ascii="Times New Roman" w:hAnsi="Times New Roman" w:cs="Times New Roman"/>
          <w:color w:val="auto"/>
          <w:kern w:val="2"/>
          <w:sz w:val="32"/>
          <w:szCs w:val="32"/>
          <w:highlight w:val="none"/>
          <w:lang w:eastAsia="zh-CN"/>
        </w:rPr>
        <w:t>2</w:t>
      </w:r>
      <w:r>
        <w:rPr>
          <w:rFonts w:hint="default" w:ascii="Times New Roman" w:hAnsi="Times New Roman" w:cs="Times New Roman"/>
          <w:color w:val="auto"/>
          <w:kern w:val="2"/>
          <w:sz w:val="32"/>
          <w:szCs w:val="32"/>
          <w:highlight w:val="none"/>
          <w:lang w:val="en-US" w:eastAsia="zh-CN"/>
        </w:rPr>
        <w:t>476</w:t>
      </w:r>
      <w:r>
        <w:rPr>
          <w:rFonts w:hint="default" w:ascii="Times New Roman" w:hAnsi="Times New Roman" w:eastAsia="仿宋_GB2312" w:cs="Times New Roman"/>
          <w:color w:val="auto"/>
          <w:kern w:val="2"/>
          <w:sz w:val="32"/>
          <w:szCs w:val="32"/>
          <w:highlight w:val="none"/>
        </w:rPr>
        <w:t>万m³。</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eastAsia="zh-CN"/>
        </w:rPr>
        <w:t>沙坡头区规划</w:t>
      </w:r>
      <w:r>
        <w:rPr>
          <w:rFonts w:hint="default" w:ascii="Times New Roman" w:hAnsi="Times New Roman" w:cs="Times New Roman"/>
          <w:color w:val="auto"/>
          <w:kern w:val="2"/>
          <w:sz w:val="32"/>
          <w:szCs w:val="32"/>
          <w:highlight w:val="none"/>
          <w:lang w:val="en-US" w:eastAsia="zh-CN"/>
        </w:rPr>
        <w:t>2025年生活</w:t>
      </w:r>
      <w:r>
        <w:rPr>
          <w:rFonts w:hint="default" w:ascii="Times New Roman" w:hAnsi="Times New Roman" w:eastAsia="仿宋_GB2312" w:cs="Times New Roman"/>
          <w:color w:val="auto"/>
          <w:kern w:val="2"/>
          <w:sz w:val="32"/>
          <w:szCs w:val="32"/>
          <w:highlight w:val="none"/>
        </w:rPr>
        <w:t>需水量计算</w:t>
      </w:r>
      <w:r>
        <w:rPr>
          <w:rFonts w:hint="default" w:ascii="Times New Roman" w:hAnsi="Times New Roman" w:cs="Times New Roman"/>
          <w:color w:val="auto"/>
          <w:kern w:val="2"/>
          <w:sz w:val="32"/>
          <w:szCs w:val="32"/>
          <w:highlight w:val="none"/>
          <w:lang w:eastAsia="zh-CN"/>
        </w:rPr>
        <w:t>表，详</w:t>
      </w:r>
      <w:r>
        <w:rPr>
          <w:rFonts w:hint="default" w:ascii="Times New Roman" w:hAnsi="Times New Roman" w:eastAsia="仿宋_GB2312" w:cs="Times New Roman"/>
          <w:color w:val="auto"/>
          <w:kern w:val="2"/>
          <w:sz w:val="32"/>
          <w:szCs w:val="32"/>
          <w:highlight w:val="none"/>
        </w:rPr>
        <w:t>见表4.3-3</w:t>
      </w:r>
      <w:r>
        <w:rPr>
          <w:rFonts w:hint="default" w:ascii="Times New Roman" w:hAnsi="Times New Roman" w:cs="Times New Roman"/>
          <w:color w:val="auto"/>
          <w:kern w:val="2"/>
          <w:szCs w:val="32"/>
          <w:highlight w:val="none"/>
          <w:lang w:eastAsia="zh-CN"/>
        </w:rPr>
        <w:t>所</w:t>
      </w:r>
      <w:r>
        <w:rPr>
          <w:rFonts w:hint="default" w:ascii="Times New Roman" w:hAnsi="Times New Roman" w:cs="Times New Roman"/>
          <w:color w:val="auto"/>
          <w:kern w:val="2"/>
          <w:sz w:val="32"/>
          <w:szCs w:val="32"/>
          <w:highlight w:val="none"/>
          <w:lang w:eastAsia="zh-CN"/>
        </w:rPr>
        <w:t>示；</w:t>
      </w:r>
      <w:r>
        <w:rPr>
          <w:rFonts w:hint="default" w:ascii="Times New Roman" w:hAnsi="Times New Roman" w:cs="Times New Roman"/>
          <w:color w:val="auto"/>
          <w:spacing w:val="-6"/>
          <w:kern w:val="2"/>
          <w:sz w:val="32"/>
          <w:szCs w:val="32"/>
          <w:highlight w:val="none"/>
          <w:lang w:eastAsia="zh-CN"/>
        </w:rPr>
        <w:t>沙坡头区各乡镇规划</w:t>
      </w:r>
      <w:r>
        <w:rPr>
          <w:rFonts w:hint="default" w:ascii="Times New Roman" w:hAnsi="Times New Roman" w:cs="Times New Roman"/>
          <w:color w:val="auto"/>
          <w:spacing w:val="-6"/>
          <w:kern w:val="2"/>
          <w:sz w:val="32"/>
          <w:szCs w:val="32"/>
          <w:highlight w:val="none"/>
          <w:lang w:val="en-US" w:eastAsia="zh-CN"/>
        </w:rPr>
        <w:t>2025年生活</w:t>
      </w:r>
      <w:r>
        <w:rPr>
          <w:rFonts w:hint="default" w:ascii="Times New Roman" w:hAnsi="Times New Roman" w:eastAsia="仿宋_GB2312" w:cs="Times New Roman"/>
          <w:color w:val="auto"/>
          <w:spacing w:val="-6"/>
          <w:kern w:val="2"/>
          <w:sz w:val="32"/>
          <w:szCs w:val="32"/>
          <w:highlight w:val="none"/>
        </w:rPr>
        <w:t>需水量计算</w:t>
      </w:r>
      <w:r>
        <w:rPr>
          <w:rFonts w:hint="default" w:ascii="Times New Roman" w:hAnsi="Times New Roman" w:cs="Times New Roman"/>
          <w:color w:val="auto"/>
          <w:spacing w:val="-6"/>
          <w:kern w:val="2"/>
          <w:sz w:val="32"/>
          <w:szCs w:val="32"/>
          <w:highlight w:val="none"/>
          <w:lang w:eastAsia="zh-CN"/>
        </w:rPr>
        <w:t>表，详</w:t>
      </w:r>
      <w:r>
        <w:rPr>
          <w:rFonts w:hint="default" w:ascii="Times New Roman" w:hAnsi="Times New Roman" w:eastAsia="仿宋_GB2312" w:cs="Times New Roman"/>
          <w:color w:val="auto"/>
          <w:spacing w:val="-6"/>
          <w:kern w:val="2"/>
          <w:sz w:val="32"/>
          <w:szCs w:val="32"/>
          <w:highlight w:val="none"/>
        </w:rPr>
        <w:t>见表4.3-</w:t>
      </w:r>
      <w:r>
        <w:rPr>
          <w:rFonts w:hint="default" w:ascii="Times New Roman" w:hAnsi="Times New Roman" w:cs="Times New Roman"/>
          <w:color w:val="auto"/>
          <w:spacing w:val="-6"/>
          <w:kern w:val="2"/>
          <w:sz w:val="32"/>
          <w:szCs w:val="32"/>
          <w:highlight w:val="none"/>
          <w:lang w:val="en-US" w:eastAsia="zh-CN"/>
        </w:rPr>
        <w:t>4</w:t>
      </w:r>
      <w:r>
        <w:rPr>
          <w:rFonts w:hint="default" w:ascii="Times New Roman" w:hAnsi="Times New Roman" w:cs="Times New Roman"/>
          <w:color w:val="auto"/>
          <w:spacing w:val="-6"/>
          <w:kern w:val="2"/>
          <w:sz w:val="32"/>
          <w:szCs w:val="32"/>
          <w:highlight w:val="none"/>
          <w:lang w:eastAsia="zh-CN"/>
        </w:rPr>
        <w:t>示。</w:t>
      </w:r>
    </w:p>
    <w:p>
      <w:pPr>
        <w:pStyle w:val="22"/>
        <w:jc w:val="center"/>
        <w:rPr>
          <w:rFonts w:hint="default" w:ascii="Times New Roman" w:hAnsi="Times New Roman" w:eastAsia="仿宋" w:cs="Times New Roman"/>
          <w:bCs/>
          <w:color w:val="auto"/>
          <w:highlight w:val="none"/>
        </w:rPr>
      </w:pPr>
      <w:r>
        <w:rPr>
          <w:rFonts w:hint="default" w:ascii="Times New Roman" w:hAnsi="Times New Roman" w:eastAsia="方正小标宋_GBK" w:cs="Times New Roman"/>
          <w:b w:val="0"/>
          <w:bCs w:val="0"/>
          <w:color w:val="auto"/>
          <w:sz w:val="32"/>
          <w:szCs w:val="32"/>
          <w:highlight w:val="none"/>
        </w:rPr>
        <w:t>表4.3-3</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沙坡头区规划2025年生活需水量计算表</w:t>
      </w:r>
      <w:bookmarkStart w:id="367" w:name="_Toc29679"/>
      <w:bookmarkStart w:id="368" w:name="_Toc31043"/>
    </w:p>
    <w:p>
      <w:pPr>
        <w:pStyle w:val="22"/>
        <w:ind w:firstLine="7560" w:firstLineChars="3600"/>
        <w:jc w:val="left"/>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单位：万m³</w:t>
      </w:r>
    </w:p>
    <w:tbl>
      <w:tblPr>
        <w:tblStyle w:val="17"/>
        <w:tblW w:w="8857"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1180"/>
        <w:gridCol w:w="1187"/>
        <w:gridCol w:w="1299"/>
        <w:gridCol w:w="1299"/>
        <w:gridCol w:w="1411"/>
        <w:gridCol w:w="1299"/>
        <w:gridCol w:w="1182"/>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22" w:hRule="atLeast"/>
          <w:jc w:val="center"/>
        </w:trPr>
        <w:tc>
          <w:tcPr>
            <w:tcW w:w="1180"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sz w:val="22"/>
                <w:szCs w:val="32"/>
                <w:highlight w:val="none"/>
                <w:lang w:val="en-US" w:bidi="ar"/>
              </w:rPr>
            </w:pPr>
            <w:r>
              <w:rPr>
                <w:rFonts w:hint="default" w:ascii="Times New Roman" w:hAnsi="Times New Roman" w:eastAsia="仿宋_GB2312" w:cs="Times New Roman"/>
                <w:b/>
                <w:bCs/>
                <w:color w:val="auto"/>
                <w:kern w:val="2"/>
                <w:sz w:val="22"/>
                <w:szCs w:val="22"/>
                <w:highlight w:val="none"/>
                <w:lang w:val="en-US"/>
              </w:rPr>
              <w:t>年份</w:t>
            </w:r>
          </w:p>
        </w:tc>
        <w:tc>
          <w:tcPr>
            <w:tcW w:w="1187"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名称</w:t>
            </w:r>
          </w:p>
        </w:tc>
        <w:tc>
          <w:tcPr>
            <w:tcW w:w="129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人数</w:t>
            </w:r>
          </w:p>
        </w:tc>
        <w:tc>
          <w:tcPr>
            <w:tcW w:w="129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定额</w:t>
            </w:r>
          </w:p>
        </w:tc>
        <w:tc>
          <w:tcPr>
            <w:tcW w:w="1411"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用水量</w:t>
            </w:r>
          </w:p>
        </w:tc>
        <w:tc>
          <w:tcPr>
            <w:tcW w:w="129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损失</w:t>
            </w:r>
          </w:p>
        </w:tc>
        <w:tc>
          <w:tcPr>
            <w:tcW w:w="1182"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取水量</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22" w:hRule="atLeast"/>
          <w:jc w:val="center"/>
        </w:trPr>
        <w:tc>
          <w:tcPr>
            <w:tcW w:w="1180" w:type="dxa"/>
            <w:vMerge w:val="restart"/>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2025年</w:t>
            </w:r>
          </w:p>
        </w:tc>
        <w:tc>
          <w:tcPr>
            <w:tcW w:w="11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农</w:t>
            </w:r>
            <w:r>
              <w:rPr>
                <w:rFonts w:hint="default" w:ascii="Times New Roman" w:hAnsi="Times New Roman" w:eastAsia="仿宋_GB2312" w:cs="Times New Roman"/>
                <w:color w:val="auto"/>
                <w:kern w:val="2"/>
                <w:sz w:val="22"/>
                <w:szCs w:val="22"/>
                <w:highlight w:val="none"/>
                <w:lang w:val="en-US" w:eastAsia="zh-CN"/>
              </w:rPr>
              <w:t>村</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16.40</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80</w:t>
            </w:r>
          </w:p>
        </w:tc>
        <w:tc>
          <w:tcPr>
            <w:tcW w:w="14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479</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0.9</w:t>
            </w:r>
          </w:p>
        </w:tc>
        <w:tc>
          <w:tcPr>
            <w:tcW w:w="118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532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22" w:hRule="atLeast"/>
          <w:jc w:val="center"/>
        </w:trPr>
        <w:tc>
          <w:tcPr>
            <w:tcW w:w="1180"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1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城镇</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26.75</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179</w:t>
            </w:r>
          </w:p>
        </w:tc>
        <w:tc>
          <w:tcPr>
            <w:tcW w:w="14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1750</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0.9</w:t>
            </w:r>
          </w:p>
        </w:tc>
        <w:tc>
          <w:tcPr>
            <w:tcW w:w="118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1944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22" w:hRule="atLeast"/>
          <w:jc w:val="center"/>
        </w:trPr>
        <w:tc>
          <w:tcPr>
            <w:tcW w:w="1180"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1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小计</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43.15</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p>
        </w:tc>
        <w:tc>
          <w:tcPr>
            <w:tcW w:w="14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2228</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0.9</w:t>
            </w:r>
          </w:p>
        </w:tc>
        <w:tc>
          <w:tcPr>
            <w:tcW w:w="118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2476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22" w:hRule="atLeast"/>
          <w:jc w:val="center"/>
        </w:trPr>
        <w:tc>
          <w:tcPr>
            <w:tcW w:w="1180" w:type="dxa"/>
            <w:vMerge w:val="restart"/>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2020年</w:t>
            </w:r>
          </w:p>
        </w:tc>
        <w:tc>
          <w:tcPr>
            <w:tcW w:w="11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农</w:t>
            </w:r>
            <w:r>
              <w:rPr>
                <w:rFonts w:hint="default" w:ascii="Times New Roman" w:hAnsi="Times New Roman" w:eastAsia="仿宋_GB2312" w:cs="Times New Roman"/>
                <w:color w:val="auto"/>
                <w:kern w:val="2"/>
                <w:sz w:val="22"/>
                <w:szCs w:val="22"/>
                <w:highlight w:val="none"/>
                <w:lang w:val="en-US" w:eastAsia="zh-CN"/>
              </w:rPr>
              <w:t>村</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18.49</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60</w:t>
            </w:r>
          </w:p>
        </w:tc>
        <w:tc>
          <w:tcPr>
            <w:tcW w:w="14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405</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0.88</w:t>
            </w:r>
          </w:p>
        </w:tc>
        <w:tc>
          <w:tcPr>
            <w:tcW w:w="118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460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22" w:hRule="atLeast"/>
          <w:jc w:val="center"/>
        </w:trPr>
        <w:tc>
          <w:tcPr>
            <w:tcW w:w="1180"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1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城镇</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23.19</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150</w:t>
            </w:r>
          </w:p>
        </w:tc>
        <w:tc>
          <w:tcPr>
            <w:tcW w:w="14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1270</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0.88</w:t>
            </w:r>
          </w:p>
        </w:tc>
        <w:tc>
          <w:tcPr>
            <w:tcW w:w="118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1443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22" w:hRule="atLeast"/>
          <w:jc w:val="center"/>
        </w:trPr>
        <w:tc>
          <w:tcPr>
            <w:tcW w:w="1180"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1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小计</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41.68</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p>
        </w:tc>
        <w:tc>
          <w:tcPr>
            <w:tcW w:w="14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1675</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0.88</w:t>
            </w:r>
          </w:p>
        </w:tc>
        <w:tc>
          <w:tcPr>
            <w:tcW w:w="1182"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1903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822" w:hRule="atLeast"/>
          <w:jc w:val="center"/>
        </w:trPr>
        <w:tc>
          <w:tcPr>
            <w:tcW w:w="2367" w:type="dxa"/>
            <w:gridSpan w:val="2"/>
            <w:tcBorders>
              <w:top w:val="single" w:color="000000" w:sz="4" w:space="0"/>
              <w:right w:val="single" w:color="000000" w:sz="4" w:space="0"/>
            </w:tcBorders>
            <w:tcMar>
              <w:top w:w="15" w:type="dxa"/>
              <w:left w:w="15" w:type="dxa"/>
              <w:right w:w="15" w:type="dxa"/>
            </w:tcMar>
            <w:vAlign w:val="center"/>
          </w:tcPr>
          <w:p>
            <w:pPr>
              <w:pStyle w:val="24"/>
              <w:ind w:firstLine="220" w:firstLineChars="100"/>
              <w:jc w:val="both"/>
              <w:rPr>
                <w:rFonts w:hint="default" w:ascii="Times New Roman" w:hAnsi="Times New Roman" w:eastAsia="仿宋" w:cs="Times New Roman"/>
                <w:b w:val="0"/>
                <w:bCs w:val="0"/>
                <w:color w:val="auto"/>
                <w:sz w:val="22"/>
                <w:szCs w:val="32"/>
                <w:highlight w:val="none"/>
                <w:lang w:val="en-US" w:bidi="ar"/>
              </w:rPr>
            </w:pPr>
            <w:r>
              <w:rPr>
                <w:rFonts w:hint="default" w:ascii="Times New Roman" w:hAnsi="Times New Roman" w:eastAsia="仿宋_GB2312" w:cs="Times New Roman"/>
                <w:b w:val="0"/>
                <w:bCs w:val="0"/>
                <w:color w:val="auto"/>
                <w:kern w:val="2"/>
                <w:sz w:val="22"/>
                <w:szCs w:val="22"/>
                <w:highlight w:val="none"/>
                <w:lang w:val="en-US"/>
              </w:rPr>
              <w:t>规划年较现状新增</w:t>
            </w:r>
          </w:p>
        </w:tc>
        <w:tc>
          <w:tcPr>
            <w:tcW w:w="129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val="0"/>
                <w:bCs w:val="0"/>
                <w:color w:val="auto"/>
                <w:sz w:val="22"/>
                <w:szCs w:val="32"/>
                <w:highlight w:val="none"/>
                <w:lang w:val="en-US" w:bidi="ar"/>
              </w:rPr>
            </w:pPr>
            <w:r>
              <w:rPr>
                <w:rFonts w:hint="default" w:ascii="Times New Roman" w:hAnsi="Times New Roman" w:eastAsia="仿宋" w:cs="Times New Roman"/>
                <w:b w:val="0"/>
                <w:bCs w:val="0"/>
                <w:color w:val="auto"/>
                <w:sz w:val="22"/>
                <w:szCs w:val="32"/>
                <w:highlight w:val="none"/>
                <w:lang w:val="en-US" w:bidi="ar"/>
              </w:rPr>
              <w:t>1.47</w:t>
            </w:r>
          </w:p>
        </w:tc>
        <w:tc>
          <w:tcPr>
            <w:tcW w:w="129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val="0"/>
                <w:bCs w:val="0"/>
                <w:color w:val="auto"/>
                <w:sz w:val="22"/>
                <w:szCs w:val="32"/>
                <w:highlight w:val="none"/>
                <w:lang w:val="en-US" w:bidi="ar"/>
              </w:rPr>
            </w:pPr>
            <w:r>
              <w:rPr>
                <w:rFonts w:hint="default" w:ascii="Times New Roman" w:hAnsi="Times New Roman" w:eastAsia="仿宋" w:cs="Times New Roman"/>
                <w:b w:val="0"/>
                <w:bCs w:val="0"/>
                <w:color w:val="auto"/>
                <w:sz w:val="22"/>
                <w:szCs w:val="32"/>
                <w:highlight w:val="none"/>
                <w:lang w:val="en-US" w:bidi="ar"/>
              </w:rPr>
              <w:t>/</w:t>
            </w:r>
          </w:p>
        </w:tc>
        <w:tc>
          <w:tcPr>
            <w:tcW w:w="1411"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val="0"/>
                <w:bCs w:val="0"/>
                <w:color w:val="auto"/>
                <w:sz w:val="22"/>
                <w:szCs w:val="32"/>
                <w:highlight w:val="none"/>
                <w:lang w:val="en-US" w:eastAsia="zh-CN" w:bidi="ar"/>
              </w:rPr>
            </w:pPr>
            <w:r>
              <w:rPr>
                <w:rFonts w:hint="default" w:ascii="Times New Roman" w:hAnsi="Times New Roman" w:eastAsia="仿宋" w:cs="Times New Roman"/>
                <w:b w:val="0"/>
                <w:bCs w:val="0"/>
                <w:color w:val="auto"/>
                <w:sz w:val="22"/>
                <w:szCs w:val="32"/>
                <w:highlight w:val="none"/>
                <w:lang w:val="en-US" w:bidi="ar"/>
              </w:rPr>
              <w:t>554</w:t>
            </w:r>
          </w:p>
        </w:tc>
        <w:tc>
          <w:tcPr>
            <w:tcW w:w="129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val="0"/>
                <w:bCs w:val="0"/>
                <w:color w:val="auto"/>
                <w:sz w:val="22"/>
                <w:szCs w:val="32"/>
                <w:highlight w:val="none"/>
                <w:lang w:val="en-US" w:bidi="ar"/>
              </w:rPr>
            </w:pPr>
            <w:r>
              <w:rPr>
                <w:rFonts w:hint="default" w:ascii="Times New Roman" w:hAnsi="Times New Roman" w:eastAsia="仿宋" w:cs="Times New Roman"/>
                <w:b w:val="0"/>
                <w:bCs w:val="0"/>
                <w:color w:val="auto"/>
                <w:sz w:val="22"/>
                <w:szCs w:val="32"/>
                <w:highlight w:val="none"/>
                <w:lang w:val="en-US" w:bidi="ar"/>
              </w:rPr>
              <w:t>/</w:t>
            </w:r>
          </w:p>
        </w:tc>
        <w:tc>
          <w:tcPr>
            <w:tcW w:w="1182"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val="0"/>
                <w:bCs w:val="0"/>
                <w:color w:val="auto"/>
                <w:sz w:val="22"/>
                <w:szCs w:val="32"/>
                <w:highlight w:val="none"/>
                <w:lang w:val="en-US" w:eastAsia="zh-CN" w:bidi="ar"/>
              </w:rPr>
            </w:pPr>
            <w:r>
              <w:rPr>
                <w:rFonts w:hint="default" w:ascii="Times New Roman" w:hAnsi="Times New Roman" w:eastAsia="仿宋" w:cs="Times New Roman"/>
                <w:b w:val="0"/>
                <w:bCs w:val="0"/>
                <w:color w:val="auto"/>
                <w:sz w:val="22"/>
                <w:szCs w:val="32"/>
                <w:highlight w:val="none"/>
                <w:lang w:val="en-US" w:bidi="ar"/>
              </w:rPr>
              <w:t>573</w:t>
            </w:r>
          </w:p>
        </w:tc>
      </w:tr>
    </w:tbl>
    <w:p>
      <w:pPr>
        <w:pStyle w:val="22"/>
        <w:jc w:val="center"/>
        <w:rPr>
          <w:rFonts w:hint="default" w:ascii="Times New Roman" w:hAnsi="Times New Roman" w:eastAsia="方正小标宋_GBK" w:cs="Times New Roman"/>
          <w:b w:val="0"/>
          <w:bCs w:val="0"/>
          <w:color w:val="auto"/>
          <w:sz w:val="32"/>
          <w:szCs w:val="32"/>
          <w:highlight w:val="none"/>
        </w:rPr>
      </w:pPr>
    </w:p>
    <w:p>
      <w:pPr>
        <w:pStyle w:val="22"/>
        <w:jc w:val="center"/>
        <w:rPr>
          <w:rFonts w:hint="default" w:ascii="Times New Roman" w:hAnsi="Times New Roman" w:eastAsia="方正小标宋_GBK" w:cs="Times New Roman"/>
          <w:b w:val="0"/>
          <w:bCs w:val="0"/>
          <w:color w:val="auto"/>
          <w:sz w:val="32"/>
          <w:szCs w:val="32"/>
          <w:highlight w:val="none"/>
          <w:lang w:eastAsia="zh-CN"/>
        </w:rPr>
      </w:pPr>
      <w:r>
        <w:rPr>
          <w:rFonts w:hint="default" w:ascii="Times New Roman" w:hAnsi="Times New Roman" w:eastAsia="方正小标宋_GBK" w:cs="Times New Roman"/>
          <w:b w:val="0"/>
          <w:bCs w:val="0"/>
          <w:color w:val="auto"/>
          <w:sz w:val="32"/>
          <w:szCs w:val="32"/>
          <w:highlight w:val="none"/>
        </w:rPr>
        <w:t>表4.3-4</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沙坡头区各乡镇规划2025年生活需水量计算表</w:t>
      </w:r>
    </w:p>
    <w:tbl>
      <w:tblPr>
        <w:tblStyle w:val="17"/>
        <w:tblW w:w="8870" w:type="dxa"/>
        <w:tblInd w:w="0" w:type="dxa"/>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
      <w:tblGrid>
        <w:gridCol w:w="459"/>
        <w:gridCol w:w="854"/>
        <w:gridCol w:w="888"/>
        <w:gridCol w:w="882"/>
        <w:gridCol w:w="854"/>
        <w:gridCol w:w="777"/>
        <w:gridCol w:w="847"/>
        <w:gridCol w:w="822"/>
        <w:gridCol w:w="1253"/>
        <w:gridCol w:w="1234"/>
      </w:tblGrid>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05" w:hRule="atLeast"/>
        </w:trPr>
        <w:tc>
          <w:tcPr>
            <w:tcW w:w="459" w:type="dxa"/>
            <w:vMerge w:val="restart"/>
            <w:tcBorders>
              <w:top w:val="single" w:color="auto" w:sz="12" w:space="0"/>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 w:cs="Times New Roman"/>
                <w:b/>
                <w:bCs/>
                <w:color w:val="auto"/>
                <w:kern w:val="28"/>
                <w:sz w:val="21"/>
                <w:szCs w:val="21"/>
                <w:highlight w:val="none"/>
              </w:rPr>
            </w:pPr>
            <w:r>
              <w:rPr>
                <w:rFonts w:hint="default" w:ascii="Times New Roman" w:hAnsi="Times New Roman" w:eastAsia="仿宋_GB2312" w:cs="Times New Roman"/>
                <w:b/>
                <w:bCs/>
                <w:color w:val="auto"/>
                <w:kern w:val="2"/>
                <w:sz w:val="21"/>
                <w:szCs w:val="21"/>
                <w:highlight w:val="none"/>
              </w:rPr>
              <w:t>序号</w:t>
            </w:r>
          </w:p>
        </w:tc>
        <w:tc>
          <w:tcPr>
            <w:tcW w:w="854" w:type="dxa"/>
            <w:vMerge w:val="restart"/>
            <w:tcBorders>
              <w:top w:val="single" w:color="auto" w:sz="12"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b/>
                <w:bCs/>
                <w:color w:val="auto"/>
                <w:kern w:val="2"/>
                <w:sz w:val="21"/>
                <w:szCs w:val="21"/>
                <w:highlight w:val="none"/>
              </w:rPr>
            </w:pPr>
            <w:r>
              <w:rPr>
                <w:rFonts w:hint="default" w:ascii="Times New Roman" w:hAnsi="Times New Roman" w:eastAsia="仿宋_GB2312" w:cs="Times New Roman"/>
                <w:b/>
                <w:bCs/>
                <w:color w:val="auto"/>
                <w:kern w:val="2"/>
                <w:sz w:val="21"/>
                <w:szCs w:val="21"/>
                <w:highlight w:val="none"/>
              </w:rPr>
              <w:t>乡镇</w:t>
            </w:r>
          </w:p>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b/>
                <w:bCs/>
                <w:color w:val="auto"/>
                <w:kern w:val="2"/>
                <w:sz w:val="21"/>
                <w:szCs w:val="21"/>
                <w:highlight w:val="none"/>
              </w:rPr>
            </w:pPr>
            <w:r>
              <w:rPr>
                <w:rFonts w:hint="default" w:ascii="Times New Roman" w:hAnsi="Times New Roman" w:eastAsia="仿宋_GB2312" w:cs="Times New Roman"/>
                <w:b/>
                <w:bCs/>
                <w:color w:val="auto"/>
                <w:kern w:val="2"/>
                <w:sz w:val="21"/>
                <w:szCs w:val="21"/>
                <w:highlight w:val="none"/>
              </w:rPr>
              <w:t>名称</w:t>
            </w:r>
          </w:p>
        </w:tc>
        <w:tc>
          <w:tcPr>
            <w:tcW w:w="2624" w:type="dxa"/>
            <w:gridSpan w:val="3"/>
            <w:tcBorders>
              <w:top w:val="single" w:color="auto" w:sz="12"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b/>
                <w:bCs/>
                <w:color w:val="auto"/>
                <w:kern w:val="2"/>
                <w:sz w:val="21"/>
                <w:szCs w:val="21"/>
                <w:highlight w:val="none"/>
              </w:rPr>
            </w:pPr>
            <w:r>
              <w:rPr>
                <w:rFonts w:hint="default" w:ascii="Times New Roman" w:hAnsi="Times New Roman" w:eastAsia="仿宋_GB2312" w:cs="Times New Roman"/>
                <w:b/>
                <w:bCs/>
                <w:color w:val="auto"/>
                <w:kern w:val="2"/>
                <w:sz w:val="21"/>
                <w:szCs w:val="21"/>
                <w:highlight w:val="none"/>
              </w:rPr>
              <w:t>2020年（</w:t>
            </w:r>
            <w:r>
              <w:rPr>
                <w:rFonts w:hint="default" w:ascii="Times New Roman" w:hAnsi="Times New Roman" w:eastAsia="仿宋_GB2312" w:cs="Times New Roman"/>
                <w:b/>
                <w:bCs/>
                <w:color w:val="auto"/>
                <w:kern w:val="2"/>
                <w:sz w:val="21"/>
                <w:szCs w:val="21"/>
                <w:highlight w:val="none"/>
                <w:lang w:val="en-US" w:eastAsia="zh-CN"/>
              </w:rPr>
              <w:t>万人</w:t>
            </w:r>
            <w:r>
              <w:rPr>
                <w:rFonts w:hint="default" w:ascii="Times New Roman" w:hAnsi="Times New Roman" w:eastAsia="仿宋_GB2312" w:cs="Times New Roman"/>
                <w:b/>
                <w:bCs/>
                <w:color w:val="auto"/>
                <w:kern w:val="2"/>
                <w:sz w:val="21"/>
                <w:szCs w:val="21"/>
                <w:highlight w:val="none"/>
              </w:rPr>
              <w:t>）</w:t>
            </w:r>
          </w:p>
        </w:tc>
        <w:tc>
          <w:tcPr>
            <w:tcW w:w="2446" w:type="dxa"/>
            <w:gridSpan w:val="3"/>
            <w:tcBorders>
              <w:top w:val="single" w:color="auto" w:sz="12"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b/>
                <w:bCs/>
                <w:color w:val="auto"/>
                <w:kern w:val="2"/>
                <w:sz w:val="21"/>
                <w:szCs w:val="21"/>
                <w:highlight w:val="none"/>
              </w:rPr>
            </w:pPr>
            <w:r>
              <w:rPr>
                <w:rFonts w:hint="default" w:ascii="Times New Roman" w:hAnsi="Times New Roman" w:eastAsia="仿宋_GB2312" w:cs="Times New Roman"/>
                <w:b/>
                <w:bCs/>
                <w:color w:val="auto"/>
                <w:kern w:val="2"/>
                <w:sz w:val="21"/>
                <w:szCs w:val="21"/>
                <w:highlight w:val="none"/>
              </w:rPr>
              <w:t>规划2025年（人口）</w:t>
            </w:r>
          </w:p>
        </w:tc>
        <w:tc>
          <w:tcPr>
            <w:tcW w:w="1253" w:type="dxa"/>
            <w:vMerge w:val="restart"/>
            <w:tcBorders>
              <w:top w:val="single" w:color="auto" w:sz="12"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b/>
                <w:bCs/>
                <w:color w:val="auto"/>
                <w:kern w:val="2"/>
                <w:sz w:val="21"/>
                <w:szCs w:val="21"/>
                <w:highlight w:val="none"/>
              </w:rPr>
            </w:pPr>
            <w:r>
              <w:rPr>
                <w:rFonts w:hint="default" w:ascii="Times New Roman" w:hAnsi="Times New Roman" w:eastAsia="仿宋_GB2312" w:cs="Times New Roman"/>
                <w:b/>
                <w:bCs/>
                <w:color w:val="auto"/>
                <w:kern w:val="2"/>
                <w:sz w:val="21"/>
                <w:szCs w:val="21"/>
                <w:highlight w:val="none"/>
              </w:rPr>
              <w:t>净需水量</w:t>
            </w:r>
          </w:p>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b/>
                <w:bCs/>
                <w:color w:val="auto"/>
                <w:kern w:val="2"/>
                <w:sz w:val="21"/>
                <w:szCs w:val="21"/>
                <w:highlight w:val="none"/>
              </w:rPr>
            </w:pPr>
            <w:r>
              <w:rPr>
                <w:rFonts w:hint="default" w:ascii="Times New Roman" w:hAnsi="Times New Roman" w:eastAsia="仿宋_GB2312" w:cs="Times New Roman"/>
                <w:b/>
                <w:bCs/>
                <w:color w:val="auto"/>
                <w:kern w:val="2"/>
                <w:sz w:val="21"/>
                <w:szCs w:val="21"/>
                <w:highlight w:val="none"/>
              </w:rPr>
              <w:t>（万m³）</w:t>
            </w:r>
          </w:p>
        </w:tc>
        <w:tc>
          <w:tcPr>
            <w:tcW w:w="1234" w:type="dxa"/>
            <w:vMerge w:val="restart"/>
            <w:tcBorders>
              <w:top w:val="single" w:color="auto" w:sz="12" w:space="0"/>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b/>
                <w:bCs/>
                <w:color w:val="auto"/>
                <w:kern w:val="2"/>
                <w:sz w:val="21"/>
                <w:szCs w:val="21"/>
                <w:highlight w:val="none"/>
              </w:rPr>
            </w:pPr>
            <w:r>
              <w:rPr>
                <w:rFonts w:hint="default" w:ascii="Times New Roman" w:hAnsi="Times New Roman" w:eastAsia="仿宋_GB2312" w:cs="Times New Roman"/>
                <w:b/>
                <w:bCs/>
                <w:color w:val="auto"/>
                <w:kern w:val="2"/>
                <w:sz w:val="21"/>
                <w:szCs w:val="21"/>
                <w:highlight w:val="none"/>
              </w:rPr>
              <w:t>毛需水量</w:t>
            </w:r>
          </w:p>
          <w:p>
            <w:pPr>
              <w:pStyle w:val="15"/>
              <w:topLinePunct/>
              <w:spacing w:beforeAutospacing="1" w:after="120" w:line="240" w:lineRule="auto"/>
              <w:jc w:val="center"/>
              <w:rPr>
                <w:rFonts w:hint="default" w:ascii="Times New Roman" w:hAnsi="Times New Roman" w:eastAsia="仿宋_GB2312" w:cs="Times New Roman"/>
                <w:b/>
                <w:bCs/>
                <w:color w:val="auto"/>
                <w:kern w:val="2"/>
                <w:sz w:val="21"/>
                <w:szCs w:val="21"/>
                <w:highlight w:val="none"/>
              </w:rPr>
            </w:pPr>
            <w:r>
              <w:rPr>
                <w:rFonts w:hint="default" w:ascii="Times New Roman" w:hAnsi="Times New Roman" w:eastAsia="仿宋_GB2312" w:cs="Times New Roman"/>
                <w:b/>
                <w:bCs/>
                <w:color w:val="auto"/>
                <w:kern w:val="2"/>
                <w:sz w:val="21"/>
                <w:szCs w:val="21"/>
                <w:highlight w:val="none"/>
              </w:rPr>
              <w:t>（万m³）</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05" w:hRule="atLeast"/>
        </w:trPr>
        <w:tc>
          <w:tcPr>
            <w:tcW w:w="459" w:type="dxa"/>
            <w:vMerge w:val="continue"/>
            <w:tcBorders>
              <w:top w:val="single" w:color="auto" w:sz="12" w:space="0"/>
              <w:left w:val="single" w:color="auto" w:sz="12" w:space="0"/>
              <w:bottom w:val="single" w:color="000000" w:sz="4" w:space="0"/>
              <w:right w:val="single" w:color="000000" w:sz="4" w:space="0"/>
            </w:tcBorders>
            <w:tcMar>
              <w:top w:w="15" w:type="dxa"/>
              <w:left w:w="15" w:type="dxa"/>
              <w:right w:w="15" w:type="dxa"/>
            </w:tcMar>
            <w:vAlign w:val="center"/>
          </w:tcPr>
          <w:p>
            <w:pPr>
              <w:ind w:firstLine="400"/>
              <w:rPr>
                <w:rFonts w:hint="default" w:ascii="Times New Roman" w:hAnsi="Times New Roman" w:cs="Times New Roman"/>
                <w:color w:val="auto"/>
                <w:sz w:val="20"/>
                <w:szCs w:val="20"/>
                <w:highlight w:val="none"/>
              </w:rPr>
            </w:pPr>
          </w:p>
        </w:tc>
        <w:tc>
          <w:tcPr>
            <w:tcW w:w="854" w:type="dxa"/>
            <w:vMerge w:val="continue"/>
            <w:tcBorders>
              <w:top w:val="single" w:color="auto" w:sz="12" w:space="0"/>
              <w:left w:val="nil"/>
              <w:bottom w:val="single" w:color="000000" w:sz="4" w:space="0"/>
              <w:right w:val="single" w:color="000000" w:sz="4" w:space="0"/>
            </w:tcBorders>
            <w:tcMar>
              <w:top w:w="15" w:type="dxa"/>
              <w:left w:w="15" w:type="dxa"/>
              <w:right w:w="15" w:type="dxa"/>
            </w:tcMar>
            <w:vAlign w:val="center"/>
          </w:tcPr>
          <w:p>
            <w:pPr>
              <w:ind w:firstLine="400"/>
              <w:rPr>
                <w:rFonts w:hint="default" w:ascii="Times New Roman" w:hAnsi="Times New Roman" w:cs="Times New Roman"/>
                <w:color w:val="auto"/>
                <w:sz w:val="20"/>
                <w:szCs w:val="20"/>
                <w:highlight w:val="none"/>
              </w:rPr>
            </w:pP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bidi="ar"/>
              </w:rPr>
              <w:t>农村</w:t>
            </w: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bidi="ar"/>
              </w:rPr>
              <w:t>城镇</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bidi="ar"/>
              </w:rPr>
              <w:t>小计</w:t>
            </w: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bidi="ar"/>
              </w:rPr>
              <w:t>城镇</w:t>
            </w: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bidi="ar"/>
              </w:rPr>
              <w:t>农村</w:t>
            </w: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bidi="ar"/>
              </w:rPr>
              <w:t>小计</w:t>
            </w:r>
          </w:p>
        </w:tc>
        <w:tc>
          <w:tcPr>
            <w:tcW w:w="1253" w:type="dxa"/>
            <w:vMerge w:val="continue"/>
            <w:tcBorders>
              <w:top w:val="single" w:color="auto" w:sz="12" w:space="0"/>
              <w:left w:val="nil"/>
              <w:bottom w:val="single" w:color="000000" w:sz="4" w:space="0"/>
              <w:right w:val="single" w:color="000000" w:sz="4" w:space="0"/>
            </w:tcBorders>
            <w:tcMar>
              <w:top w:w="15" w:type="dxa"/>
              <w:left w:w="15" w:type="dxa"/>
              <w:right w:w="15" w:type="dxa"/>
            </w:tcMar>
            <w:vAlign w:val="center"/>
          </w:tcPr>
          <w:p>
            <w:pPr>
              <w:ind w:firstLine="400"/>
              <w:rPr>
                <w:rFonts w:hint="default" w:ascii="Times New Roman" w:hAnsi="Times New Roman" w:cs="Times New Roman"/>
                <w:color w:val="auto"/>
                <w:sz w:val="20"/>
                <w:szCs w:val="20"/>
                <w:highlight w:val="none"/>
              </w:rPr>
            </w:pPr>
          </w:p>
        </w:tc>
        <w:tc>
          <w:tcPr>
            <w:tcW w:w="1234" w:type="dxa"/>
            <w:vMerge w:val="continue"/>
            <w:tcBorders>
              <w:top w:val="single" w:color="auto" w:sz="12" w:space="0"/>
              <w:left w:val="nil"/>
              <w:bottom w:val="single" w:color="000000" w:sz="4" w:space="0"/>
              <w:right w:val="single" w:color="auto" w:sz="12" w:space="0"/>
            </w:tcBorders>
            <w:tcMar>
              <w:top w:w="15" w:type="dxa"/>
              <w:left w:w="15" w:type="dxa"/>
              <w:right w:w="15" w:type="dxa"/>
            </w:tcMar>
            <w:vAlign w:val="center"/>
          </w:tcPr>
          <w:p>
            <w:pPr>
              <w:ind w:firstLine="400"/>
              <w:rPr>
                <w:rFonts w:hint="default" w:ascii="Times New Roman" w:hAnsi="Times New Roman" w:cs="Times New Roman"/>
                <w:color w:val="auto"/>
                <w:sz w:val="20"/>
                <w:szCs w:val="20"/>
                <w:highlight w:val="none"/>
              </w:rPr>
            </w:pP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nil"/>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一</w:t>
            </w:r>
          </w:p>
        </w:tc>
        <w:tc>
          <w:tcPr>
            <w:tcW w:w="854" w:type="dxa"/>
            <w:tcBorders>
              <w:top w:val="nil"/>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b/>
                <w:bCs/>
                <w:color w:val="auto"/>
                <w:kern w:val="2"/>
                <w:sz w:val="21"/>
                <w:szCs w:val="21"/>
                <w:highlight w:val="none"/>
              </w:rPr>
              <w:t>河北</w:t>
            </w: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1253" w:type="dxa"/>
            <w:tcBorders>
              <w:top w:val="nil"/>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1508.21</w:t>
            </w:r>
          </w:p>
        </w:tc>
        <w:tc>
          <w:tcPr>
            <w:tcW w:w="1234" w:type="dxa"/>
            <w:tcBorders>
              <w:top w:val="nil"/>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1675.79</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1</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文昌镇</w:t>
            </w: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0</w:t>
            </w: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66867</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66867</w:t>
            </w: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6.92</w:t>
            </w: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0.00</w:t>
            </w: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6.92</w:t>
            </w:r>
          </w:p>
        </w:tc>
        <w:tc>
          <w:tcPr>
            <w:tcW w:w="125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452.75</w:t>
            </w:r>
          </w:p>
        </w:tc>
        <w:tc>
          <w:tcPr>
            <w:tcW w:w="1234" w:type="dxa"/>
            <w:tcBorders>
              <w:top w:val="single" w:color="000000" w:sz="4" w:space="0"/>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503.06</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2</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滨河镇</w:t>
            </w: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0</w:t>
            </w: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62590</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62590</w:t>
            </w: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6.48</w:t>
            </w: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0.00</w:t>
            </w: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6.48</w:t>
            </w:r>
          </w:p>
        </w:tc>
        <w:tc>
          <w:tcPr>
            <w:tcW w:w="125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423.79</w:t>
            </w:r>
          </w:p>
        </w:tc>
        <w:tc>
          <w:tcPr>
            <w:tcW w:w="1234" w:type="dxa"/>
            <w:tcBorders>
              <w:top w:val="single" w:color="000000" w:sz="4" w:space="0"/>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470.88</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3</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迎水镇</w:t>
            </w: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20394</w:t>
            </w: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11487</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31881</w:t>
            </w: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1.55</w:t>
            </w: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1.75</w:t>
            </w: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3.30</w:t>
            </w:r>
          </w:p>
        </w:tc>
        <w:tc>
          <w:tcPr>
            <w:tcW w:w="125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152.53</w:t>
            </w:r>
          </w:p>
        </w:tc>
        <w:tc>
          <w:tcPr>
            <w:tcW w:w="1234" w:type="dxa"/>
            <w:tcBorders>
              <w:top w:val="single" w:color="000000" w:sz="4" w:space="0"/>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169.48</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4</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东园镇</w:t>
            </w: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30929</w:t>
            </w: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7199</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38128</w:t>
            </w: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1.86</w:t>
            </w: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2.09</w:t>
            </w: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3.95</w:t>
            </w:r>
          </w:p>
        </w:tc>
        <w:tc>
          <w:tcPr>
            <w:tcW w:w="125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182.42</w:t>
            </w:r>
          </w:p>
        </w:tc>
        <w:tc>
          <w:tcPr>
            <w:tcW w:w="1234" w:type="dxa"/>
            <w:tcBorders>
              <w:top w:val="single" w:color="000000" w:sz="4" w:space="0"/>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202.69</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5</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柔远镇</w:t>
            </w: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23696</w:t>
            </w: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5508</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29204</w:t>
            </w: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1.41</w:t>
            </w: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1.61</w:t>
            </w: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3.02</w:t>
            </w:r>
          </w:p>
        </w:tc>
        <w:tc>
          <w:tcPr>
            <w:tcW w:w="125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139.50</w:t>
            </w:r>
          </w:p>
        </w:tc>
        <w:tc>
          <w:tcPr>
            <w:tcW w:w="1234" w:type="dxa"/>
            <w:tcBorders>
              <w:top w:val="single" w:color="000000" w:sz="4" w:space="0"/>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155.00</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6</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镇罗镇</w:t>
            </w: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24787</w:t>
            </w: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8202</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32989</w:t>
            </w: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1.59</w:t>
            </w: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1.83</w:t>
            </w: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3.41</w:t>
            </w:r>
          </w:p>
        </w:tc>
        <w:tc>
          <w:tcPr>
            <w:tcW w:w="125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157.21</w:t>
            </w:r>
          </w:p>
        </w:tc>
        <w:tc>
          <w:tcPr>
            <w:tcW w:w="1234" w:type="dxa"/>
            <w:tcBorders>
              <w:top w:val="single" w:color="000000" w:sz="4" w:space="0"/>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174.68</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二</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b/>
                <w:bCs/>
                <w:color w:val="auto"/>
                <w:kern w:val="2"/>
                <w:sz w:val="21"/>
                <w:szCs w:val="21"/>
                <w:highlight w:val="none"/>
              </w:rPr>
              <w:t>河南</w:t>
            </w: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125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541.61</w:t>
            </w:r>
          </w:p>
        </w:tc>
        <w:tc>
          <w:tcPr>
            <w:tcW w:w="1234" w:type="dxa"/>
            <w:tcBorders>
              <w:top w:val="single" w:color="000000" w:sz="4" w:space="0"/>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601.79</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7</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宣和镇</w:t>
            </w: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46706</w:t>
            </w: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6005</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52711</w:t>
            </w: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2.54</w:t>
            </w: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2.92</w:t>
            </w: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5.46</w:t>
            </w:r>
          </w:p>
        </w:tc>
        <w:tc>
          <w:tcPr>
            <w:tcW w:w="125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251.20</w:t>
            </w:r>
          </w:p>
        </w:tc>
        <w:tc>
          <w:tcPr>
            <w:tcW w:w="1234" w:type="dxa"/>
            <w:tcBorders>
              <w:top w:val="single" w:color="000000" w:sz="4" w:space="0"/>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279.11</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8</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永康镇</w:t>
            </w: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25549</w:t>
            </w: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6419</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31968</w:t>
            </w: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1.54</w:t>
            </w: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1.77</w:t>
            </w: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3.31</w:t>
            </w:r>
          </w:p>
        </w:tc>
        <w:tc>
          <w:tcPr>
            <w:tcW w:w="125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152.35</w:t>
            </w:r>
          </w:p>
        </w:tc>
        <w:tc>
          <w:tcPr>
            <w:tcW w:w="1234" w:type="dxa"/>
            <w:tcBorders>
              <w:top w:val="single" w:color="000000" w:sz="4" w:space="0"/>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169.28</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9</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常乐镇</w:t>
            </w: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28969</w:t>
            </w: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7550</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28969</w:t>
            </w: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1.39</w:t>
            </w: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1.60</w:t>
            </w: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3.00</w:t>
            </w:r>
          </w:p>
        </w:tc>
        <w:tc>
          <w:tcPr>
            <w:tcW w:w="125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138.06</w:t>
            </w:r>
          </w:p>
        </w:tc>
        <w:tc>
          <w:tcPr>
            <w:tcW w:w="1234" w:type="dxa"/>
            <w:tcBorders>
              <w:top w:val="single" w:color="000000" w:sz="4" w:space="0"/>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153.40</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三</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b/>
                <w:bCs/>
                <w:color w:val="auto"/>
                <w:kern w:val="2"/>
                <w:sz w:val="21"/>
                <w:szCs w:val="21"/>
                <w:highlight w:val="none"/>
              </w:rPr>
              <w:t>其他</w:t>
            </w: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125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178.90</w:t>
            </w:r>
          </w:p>
        </w:tc>
        <w:tc>
          <w:tcPr>
            <w:tcW w:w="1234" w:type="dxa"/>
            <w:tcBorders>
              <w:top w:val="single" w:color="000000" w:sz="4" w:space="0"/>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198.78</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10</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香山乡</w:t>
            </w: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11009</w:t>
            </w: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11009</w:t>
            </w: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0.00</w:t>
            </w: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1.14</w:t>
            </w: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1.14</w:t>
            </w:r>
          </w:p>
        </w:tc>
        <w:tc>
          <w:tcPr>
            <w:tcW w:w="125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33.28</w:t>
            </w:r>
          </w:p>
        </w:tc>
        <w:tc>
          <w:tcPr>
            <w:tcW w:w="1234" w:type="dxa"/>
            <w:tcBorders>
              <w:top w:val="single" w:color="000000" w:sz="4" w:space="0"/>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36.97</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11</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兴仁镇</w:t>
            </w:r>
          </w:p>
        </w:tc>
        <w:tc>
          <w:tcPr>
            <w:tcW w:w="888"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i w:val="0"/>
                <w:iCs w:val="0"/>
                <w:color w:val="auto"/>
                <w:kern w:val="2"/>
                <w:sz w:val="21"/>
                <w:szCs w:val="21"/>
                <w:highlight w:val="none"/>
                <w:u w:val="none"/>
                <w:lang w:val="en-US" w:eastAsia="zh-CN" w:bidi="ar"/>
              </w:rPr>
              <w:t>27450</w:t>
            </w:r>
          </w:p>
        </w:tc>
        <w:tc>
          <w:tcPr>
            <w:tcW w:w="88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i w:val="0"/>
                <w:iCs w:val="0"/>
                <w:color w:val="auto"/>
                <w:kern w:val="2"/>
                <w:sz w:val="21"/>
                <w:szCs w:val="21"/>
                <w:highlight w:val="none"/>
                <w:u w:val="none"/>
                <w:lang w:val="en-US" w:eastAsia="zh-CN" w:bidi="ar"/>
              </w:rPr>
              <w:t>3122</w:t>
            </w:r>
          </w:p>
        </w:tc>
        <w:tc>
          <w:tcPr>
            <w:tcW w:w="854"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i w:val="0"/>
                <w:iCs w:val="0"/>
                <w:color w:val="auto"/>
                <w:kern w:val="2"/>
                <w:sz w:val="21"/>
                <w:szCs w:val="21"/>
                <w:highlight w:val="none"/>
                <w:u w:val="none"/>
                <w:lang w:val="en-US" w:eastAsia="zh-CN" w:bidi="ar"/>
              </w:rPr>
              <w:t>30572</w:t>
            </w:r>
          </w:p>
        </w:tc>
        <w:tc>
          <w:tcPr>
            <w:tcW w:w="77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i w:val="0"/>
                <w:iCs w:val="0"/>
                <w:color w:val="auto"/>
                <w:kern w:val="2"/>
                <w:sz w:val="21"/>
                <w:szCs w:val="21"/>
                <w:highlight w:val="none"/>
                <w:u w:val="none"/>
                <w:lang w:val="en-US" w:eastAsia="zh-CN" w:bidi="ar"/>
              </w:rPr>
              <w:t>1.47</w:t>
            </w:r>
          </w:p>
        </w:tc>
        <w:tc>
          <w:tcPr>
            <w:tcW w:w="847"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i w:val="0"/>
                <w:iCs w:val="0"/>
                <w:color w:val="auto"/>
                <w:kern w:val="2"/>
                <w:sz w:val="21"/>
                <w:szCs w:val="21"/>
                <w:highlight w:val="none"/>
                <w:u w:val="none"/>
                <w:lang w:val="en-US" w:eastAsia="zh-CN" w:bidi="ar"/>
              </w:rPr>
              <w:t>1.69</w:t>
            </w:r>
          </w:p>
        </w:tc>
        <w:tc>
          <w:tcPr>
            <w:tcW w:w="822"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i w:val="0"/>
                <w:iCs w:val="0"/>
                <w:color w:val="auto"/>
                <w:kern w:val="2"/>
                <w:sz w:val="21"/>
                <w:szCs w:val="21"/>
                <w:highlight w:val="none"/>
                <w:u w:val="none"/>
                <w:lang w:val="en-US" w:eastAsia="zh-CN" w:bidi="ar"/>
              </w:rPr>
              <w:t>3.16</w:t>
            </w:r>
          </w:p>
        </w:tc>
        <w:tc>
          <w:tcPr>
            <w:tcW w:w="1253"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i w:val="0"/>
                <w:iCs w:val="0"/>
                <w:color w:val="auto"/>
                <w:kern w:val="2"/>
                <w:sz w:val="21"/>
                <w:szCs w:val="21"/>
                <w:highlight w:val="none"/>
                <w:u w:val="none"/>
                <w:lang w:val="en-US" w:eastAsia="zh-CN" w:bidi="ar"/>
              </w:rPr>
              <w:t>145.62</w:t>
            </w:r>
          </w:p>
        </w:tc>
        <w:tc>
          <w:tcPr>
            <w:tcW w:w="1234" w:type="dxa"/>
            <w:tcBorders>
              <w:top w:val="single" w:color="000000" w:sz="4" w:space="0"/>
              <w:left w:val="nil"/>
              <w:bottom w:val="single" w:color="000000" w:sz="4"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i w:val="0"/>
                <w:iCs w:val="0"/>
                <w:color w:val="auto"/>
                <w:kern w:val="2"/>
                <w:sz w:val="21"/>
                <w:szCs w:val="21"/>
                <w:highlight w:val="none"/>
                <w:u w:val="none"/>
                <w:lang w:val="en-US" w:eastAsia="zh-CN" w:bidi="ar"/>
              </w:rPr>
              <w:t>161.81</w:t>
            </w:r>
          </w:p>
        </w:tc>
      </w:tr>
      <w:tr>
        <w:tblPrEx>
          <w:tblBorders>
            <w:top w:val="single" w:color="auto" w:sz="12" w:space="0"/>
            <w:left w:val="single" w:color="auto" w:sz="12" w:space="0"/>
            <w:bottom w:val="single" w:color="auto" w:sz="12" w:space="0"/>
            <w:right w:val="single" w:color="auto" w:sz="12" w:space="0"/>
            <w:insideH w:val="none" w:color="auto" w:sz="6" w:space="0"/>
            <w:insideV w:val="none" w:color="auto" w:sz="6" w:space="0"/>
          </w:tblBorders>
          <w:tblLayout w:type="fixed"/>
          <w:tblCellMar>
            <w:top w:w="0" w:type="dxa"/>
            <w:left w:w="0" w:type="dxa"/>
            <w:bottom w:w="0" w:type="dxa"/>
            <w:right w:w="0" w:type="dxa"/>
          </w:tblCellMar>
        </w:tblPrEx>
        <w:trPr>
          <w:trHeight w:val="510" w:hRule="atLeast"/>
        </w:trPr>
        <w:tc>
          <w:tcPr>
            <w:tcW w:w="459" w:type="dxa"/>
            <w:tcBorders>
              <w:top w:val="single" w:color="000000" w:sz="4" w:space="0"/>
              <w:left w:val="single" w:color="auto" w:sz="12" w:space="0"/>
              <w:bottom w:val="single" w:color="auto" w:sz="12"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w:t>
            </w:r>
            <w:r>
              <w:rPr>
                <w:rFonts w:hint="default" w:ascii="Times New Roman" w:hAnsi="Times New Roman" w:cs="Times New Roman"/>
                <w:color w:val="auto"/>
                <w:kern w:val="2"/>
                <w:sz w:val="21"/>
                <w:szCs w:val="21"/>
                <w:highlight w:val="none"/>
                <w:lang w:val="en-US" w:eastAsia="zh-CN"/>
              </w:rPr>
              <w:t>2</w:t>
            </w:r>
          </w:p>
        </w:tc>
        <w:tc>
          <w:tcPr>
            <w:tcW w:w="854" w:type="dxa"/>
            <w:tcBorders>
              <w:top w:val="single" w:color="000000" w:sz="4" w:space="0"/>
              <w:left w:val="nil"/>
              <w:bottom w:val="single" w:color="auto" w:sz="12"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小计</w:t>
            </w:r>
          </w:p>
        </w:tc>
        <w:tc>
          <w:tcPr>
            <w:tcW w:w="888" w:type="dxa"/>
            <w:tcBorders>
              <w:top w:val="single" w:color="000000" w:sz="4" w:space="0"/>
              <w:left w:val="nil"/>
              <w:bottom w:val="single" w:color="auto" w:sz="12"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239489</w:t>
            </w:r>
          </w:p>
        </w:tc>
        <w:tc>
          <w:tcPr>
            <w:tcW w:w="882" w:type="dxa"/>
            <w:tcBorders>
              <w:top w:val="single" w:color="000000" w:sz="4" w:space="0"/>
              <w:left w:val="nil"/>
              <w:bottom w:val="single" w:color="auto" w:sz="12"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184949</w:t>
            </w:r>
          </w:p>
        </w:tc>
        <w:tc>
          <w:tcPr>
            <w:tcW w:w="854" w:type="dxa"/>
            <w:tcBorders>
              <w:top w:val="single" w:color="000000" w:sz="4" w:space="0"/>
              <w:left w:val="nil"/>
              <w:bottom w:val="single" w:color="auto" w:sz="12"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rPr>
            </w:pPr>
            <w:r>
              <w:rPr>
                <w:rFonts w:hint="default" w:ascii="Times New Roman" w:hAnsi="Times New Roman" w:eastAsia="仿宋_GB2312" w:cs="Times New Roman"/>
                <w:color w:val="auto"/>
                <w:kern w:val="2"/>
                <w:sz w:val="21"/>
                <w:szCs w:val="21"/>
                <w:highlight w:val="none"/>
              </w:rPr>
              <w:t>416888</w:t>
            </w:r>
          </w:p>
        </w:tc>
        <w:tc>
          <w:tcPr>
            <w:tcW w:w="777" w:type="dxa"/>
            <w:tcBorders>
              <w:top w:val="single" w:color="000000" w:sz="4" w:space="0"/>
              <w:left w:val="nil"/>
              <w:bottom w:val="single" w:color="auto" w:sz="12"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26.75</w:t>
            </w:r>
          </w:p>
        </w:tc>
        <w:tc>
          <w:tcPr>
            <w:tcW w:w="847" w:type="dxa"/>
            <w:tcBorders>
              <w:top w:val="single" w:color="000000" w:sz="4" w:space="0"/>
              <w:left w:val="nil"/>
              <w:bottom w:val="single" w:color="auto" w:sz="12"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16.41</w:t>
            </w:r>
          </w:p>
        </w:tc>
        <w:tc>
          <w:tcPr>
            <w:tcW w:w="822" w:type="dxa"/>
            <w:tcBorders>
              <w:top w:val="single" w:color="000000" w:sz="4" w:space="0"/>
              <w:left w:val="nil"/>
              <w:bottom w:val="single" w:color="auto" w:sz="12"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43.16</w:t>
            </w:r>
          </w:p>
        </w:tc>
        <w:tc>
          <w:tcPr>
            <w:tcW w:w="1253" w:type="dxa"/>
            <w:tcBorders>
              <w:top w:val="single" w:color="000000" w:sz="4" w:space="0"/>
              <w:left w:val="nil"/>
              <w:bottom w:val="single" w:color="auto" w:sz="12" w:space="0"/>
              <w:right w:val="single" w:color="000000" w:sz="4"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2229</w:t>
            </w:r>
          </w:p>
        </w:tc>
        <w:tc>
          <w:tcPr>
            <w:tcW w:w="1234" w:type="dxa"/>
            <w:tcBorders>
              <w:top w:val="single" w:color="000000" w:sz="4" w:space="0"/>
              <w:left w:val="nil"/>
              <w:bottom w:val="single" w:color="auto" w:sz="12" w:space="0"/>
              <w:right w:val="single" w:color="auto" w:sz="12" w:space="0"/>
            </w:tcBorders>
            <w:tcMar>
              <w:top w:w="15" w:type="dxa"/>
              <w:left w:w="15" w:type="dxa"/>
              <w:right w:w="15" w:type="dxa"/>
            </w:tcMar>
            <w:vAlign w:val="center"/>
          </w:tcPr>
          <w:p>
            <w:pPr>
              <w:pStyle w:val="15"/>
              <w:widowControl w:val="0"/>
              <w:topLinePunct/>
              <w:spacing w:before="100" w:beforeAutospacing="1" w:after="120" w:line="240" w:lineRule="auto"/>
              <w:ind w:firstLine="0" w:firstLineChars="0"/>
              <w:jc w:val="center"/>
              <w:rPr>
                <w:rFonts w:hint="default" w:ascii="Times New Roman" w:hAnsi="Times New Roman" w:eastAsia="仿宋_GB2312" w:cs="Times New Roman"/>
                <w:color w:val="auto"/>
                <w:kern w:val="2"/>
                <w:sz w:val="21"/>
                <w:szCs w:val="21"/>
                <w:highlight w:val="none"/>
                <w:lang w:eastAsia="zh-CN"/>
              </w:rPr>
            </w:pPr>
            <w:r>
              <w:rPr>
                <w:rFonts w:hint="default" w:ascii="Times New Roman" w:hAnsi="Times New Roman" w:eastAsia="仿宋_GB2312" w:cs="Times New Roman"/>
                <w:color w:val="auto"/>
                <w:kern w:val="2"/>
                <w:sz w:val="21"/>
                <w:szCs w:val="21"/>
                <w:highlight w:val="none"/>
              </w:rPr>
              <w:t>2476</w:t>
            </w:r>
          </w:p>
        </w:tc>
      </w:tr>
    </w:tbl>
    <w:p>
      <w:pPr>
        <w:pStyle w:val="7"/>
        <w:keepNext/>
        <w:keepLines/>
        <w:pageBreakBefore w:val="0"/>
        <w:widowControl w:val="0"/>
        <w:kinsoku/>
        <w:wordWrap/>
        <w:overflowPunct/>
        <w:topLinePunct w:val="0"/>
        <w:autoSpaceDE/>
        <w:autoSpaceDN/>
        <w:bidi w:val="0"/>
        <w:adjustRightInd w:val="0"/>
        <w:snapToGrid w:val="0"/>
        <w:spacing w:before="0" w:line="500" w:lineRule="exact"/>
        <w:textAlignment w:val="auto"/>
        <w:rPr>
          <w:rFonts w:hint="default" w:ascii="Times New Roman" w:hAnsi="Times New Roman" w:eastAsia="仿宋_GB2312" w:cs="Times New Roman"/>
          <w:bCs/>
          <w:color w:val="auto"/>
          <w:kern w:val="2"/>
          <w:highlight w:val="none"/>
        </w:rPr>
      </w:pPr>
      <w:bookmarkStart w:id="369" w:name="_Toc13738"/>
      <w:bookmarkStart w:id="370" w:name="_Toc11243"/>
      <w:bookmarkStart w:id="371" w:name="_Toc26926"/>
      <w:bookmarkStart w:id="372" w:name="_Toc14559"/>
      <w:bookmarkStart w:id="373" w:name="_Toc31581"/>
      <w:bookmarkStart w:id="374" w:name="_Toc32380"/>
      <w:bookmarkStart w:id="375" w:name="_Toc7891"/>
      <w:r>
        <w:rPr>
          <w:rFonts w:hint="default" w:ascii="Times New Roman" w:hAnsi="Times New Roman" w:eastAsia="仿宋_GB2312" w:cs="Times New Roman"/>
          <w:bCs/>
          <w:color w:val="auto"/>
          <w:kern w:val="2"/>
          <w:highlight w:val="none"/>
        </w:rPr>
        <w:t>4.3.3规模化养殖需水预测</w:t>
      </w:r>
      <w:bookmarkEnd w:id="367"/>
      <w:bookmarkEnd w:id="368"/>
      <w:bookmarkEnd w:id="369"/>
      <w:bookmarkEnd w:id="370"/>
      <w:bookmarkEnd w:id="371"/>
      <w:bookmarkEnd w:id="372"/>
      <w:bookmarkEnd w:id="373"/>
      <w:bookmarkEnd w:id="374"/>
      <w:bookmarkEnd w:id="375"/>
    </w:p>
    <w:p>
      <w:pPr>
        <w:pStyle w:val="8"/>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4.3.3.1</w:t>
      </w:r>
      <w:r>
        <w:rPr>
          <w:rFonts w:hint="default" w:ascii="Times New Roman" w:hAnsi="Times New Roman" w:cs="Times New Roman"/>
          <w:color w:val="auto"/>
          <w:highlight w:val="none"/>
        </w:rPr>
        <w:t>牲畜预测</w:t>
      </w:r>
    </w:p>
    <w:p>
      <w:pPr>
        <w:pageBreakBefore w:val="0"/>
        <w:widowControl w:val="0"/>
        <w:kinsoku/>
        <w:wordWrap/>
        <w:overflowPunct/>
        <w:topLinePunct w:val="0"/>
        <w:autoSpaceDE/>
        <w:autoSpaceDN/>
        <w:bidi w:val="0"/>
        <w:adjustRightInd w:val="0"/>
        <w:snapToGrid w:val="0"/>
        <w:spacing w:line="500" w:lineRule="exact"/>
        <w:ind w:firstLine="600"/>
        <w:textAlignment w:val="auto"/>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rPr>
        <w:t>考虑畜牧业为宁夏重大特色产业之一，按照《宁夏重点特色产业高质量发展用水保障方案》和《全区肉牛产业高质量发展“十四五”规划（2020-2025）》，同时考虑沙坡头区已完成《中卫市沙坡头区畜牧产业发展规划（2018-2025年）》，本次主要参考已有成果及推荐值</w:t>
      </w:r>
      <w:r>
        <w:rPr>
          <w:rFonts w:hint="default"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沙坡头区规划2025年牲畜数量预测</w:t>
      </w:r>
      <w:r>
        <w:rPr>
          <w:rFonts w:hint="default" w:ascii="Times New Roman" w:hAnsi="Times New Roman" w:cs="Times New Roman"/>
          <w:color w:val="auto"/>
          <w:sz w:val="32"/>
          <w:szCs w:val="32"/>
          <w:highlight w:val="none"/>
          <w:lang w:eastAsia="zh-CN"/>
        </w:rPr>
        <w:t>表，详</w:t>
      </w:r>
      <w:r>
        <w:rPr>
          <w:rFonts w:hint="default" w:ascii="Times New Roman" w:hAnsi="Times New Roman" w:eastAsia="仿宋_GB2312" w:cs="Times New Roman"/>
          <w:color w:val="auto"/>
          <w:sz w:val="32"/>
          <w:szCs w:val="32"/>
          <w:highlight w:val="none"/>
        </w:rPr>
        <w:t>见表4.3-5所示。</w:t>
      </w:r>
    </w:p>
    <w:p>
      <w:pPr>
        <w:pStyle w:val="22"/>
        <w:jc w:val="center"/>
        <w:rPr>
          <w:rFonts w:hint="default" w:ascii="Times New Roman" w:hAnsi="Times New Roman" w:eastAsia="方正小标宋_GBK" w:cs="Times New Roman"/>
          <w:b w:val="0"/>
          <w:bCs w:val="0"/>
          <w:color w:val="auto"/>
          <w:sz w:val="32"/>
          <w:szCs w:val="32"/>
          <w:highlight w:val="none"/>
        </w:rPr>
      </w:pPr>
      <w:r>
        <w:rPr>
          <w:rFonts w:hint="default" w:ascii="Times New Roman" w:hAnsi="Times New Roman" w:eastAsia="方正小标宋_GBK" w:cs="Times New Roman"/>
          <w:b w:val="0"/>
          <w:bCs w:val="0"/>
          <w:color w:val="auto"/>
          <w:sz w:val="32"/>
          <w:szCs w:val="32"/>
          <w:highlight w:val="none"/>
        </w:rPr>
        <w:t>表4.3-5</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沙坡头区规划2025年牲畜数量预测表</w:t>
      </w:r>
    </w:p>
    <w:tbl>
      <w:tblPr>
        <w:tblStyle w:val="17"/>
        <w:tblW w:w="8871" w:type="dxa"/>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723"/>
        <w:gridCol w:w="717"/>
        <w:gridCol w:w="721"/>
        <w:gridCol w:w="930"/>
        <w:gridCol w:w="818"/>
        <w:gridCol w:w="912"/>
        <w:gridCol w:w="4050"/>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95" w:hRule="atLeast"/>
        </w:trPr>
        <w:tc>
          <w:tcPr>
            <w:tcW w:w="723" w:type="dxa"/>
            <w:vMerge w:val="restart"/>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规划年</w:t>
            </w:r>
          </w:p>
        </w:tc>
        <w:tc>
          <w:tcPr>
            <w:tcW w:w="717"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肉牛</w:t>
            </w:r>
          </w:p>
        </w:tc>
        <w:tc>
          <w:tcPr>
            <w:tcW w:w="721"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奶牛</w:t>
            </w:r>
          </w:p>
        </w:tc>
        <w:tc>
          <w:tcPr>
            <w:tcW w:w="930"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生猪存栏</w:t>
            </w:r>
          </w:p>
        </w:tc>
        <w:tc>
          <w:tcPr>
            <w:tcW w:w="818"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羊存栏</w:t>
            </w:r>
          </w:p>
        </w:tc>
        <w:tc>
          <w:tcPr>
            <w:tcW w:w="912"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家禽存栏</w:t>
            </w:r>
          </w:p>
        </w:tc>
        <w:tc>
          <w:tcPr>
            <w:tcW w:w="4050" w:type="dxa"/>
            <w:vMerge w:val="restart"/>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_GB2312" w:cs="Times New Roman"/>
                <w:b/>
                <w:bCs/>
                <w:color w:val="auto"/>
                <w:kern w:val="2"/>
                <w:szCs w:val="21"/>
                <w:highlight w:val="none"/>
                <w:lang w:val="en-US"/>
              </w:rPr>
              <w:t>备注</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35" w:hRule="atLeast"/>
        </w:trPr>
        <w:tc>
          <w:tcPr>
            <w:tcW w:w="723"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p>
        </w:tc>
        <w:tc>
          <w:tcPr>
            <w:tcW w:w="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（万头）</w:t>
            </w:r>
          </w:p>
        </w:tc>
        <w:tc>
          <w:tcPr>
            <w:tcW w:w="7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（万头）</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（万头）</w:t>
            </w:r>
          </w:p>
        </w:tc>
        <w:tc>
          <w:tcPr>
            <w:tcW w:w="8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（万只）</w:t>
            </w:r>
          </w:p>
        </w:tc>
        <w:tc>
          <w:tcPr>
            <w:tcW w:w="9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（万只）</w:t>
            </w:r>
          </w:p>
        </w:tc>
        <w:tc>
          <w:tcPr>
            <w:tcW w:w="4050"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90" w:hRule="atLeast"/>
        </w:trPr>
        <w:tc>
          <w:tcPr>
            <w:tcW w:w="723"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2025</w:t>
            </w:r>
          </w:p>
        </w:tc>
        <w:tc>
          <w:tcPr>
            <w:tcW w:w="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8</w:t>
            </w:r>
          </w:p>
        </w:tc>
        <w:tc>
          <w:tcPr>
            <w:tcW w:w="7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6.94</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8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69</w:t>
            </w:r>
          </w:p>
        </w:tc>
        <w:tc>
          <w:tcPr>
            <w:tcW w:w="9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w:t>
            </w:r>
          </w:p>
        </w:tc>
        <w:tc>
          <w:tcPr>
            <w:tcW w:w="405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宁夏重点特色产业高质量发展用水保障方案/全区肉牛产业高质量发展“十四五”规划（2020-2025）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trPr>
        <w:tc>
          <w:tcPr>
            <w:tcW w:w="723"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2025</w:t>
            </w:r>
          </w:p>
        </w:tc>
        <w:tc>
          <w:tcPr>
            <w:tcW w:w="71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6</w:t>
            </w:r>
          </w:p>
        </w:tc>
        <w:tc>
          <w:tcPr>
            <w:tcW w:w="7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6</w:t>
            </w:r>
          </w:p>
        </w:tc>
        <w:tc>
          <w:tcPr>
            <w:tcW w:w="9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45</w:t>
            </w:r>
          </w:p>
        </w:tc>
        <w:tc>
          <w:tcPr>
            <w:tcW w:w="8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70</w:t>
            </w:r>
          </w:p>
        </w:tc>
        <w:tc>
          <w:tcPr>
            <w:tcW w:w="9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500</w:t>
            </w:r>
          </w:p>
        </w:tc>
        <w:tc>
          <w:tcPr>
            <w:tcW w:w="405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rPr>
              <w:t>中卫市沙坡头区畜牧产业发展规划</w:t>
            </w:r>
          </w:p>
          <w:p>
            <w:pPr>
              <w:pStyle w:val="24"/>
              <w:spacing w:after="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（2018年-2025年）</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trPr>
        <w:tc>
          <w:tcPr>
            <w:tcW w:w="723"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推荐值</w:t>
            </w:r>
          </w:p>
        </w:tc>
        <w:tc>
          <w:tcPr>
            <w:tcW w:w="71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6</w:t>
            </w:r>
          </w:p>
        </w:tc>
        <w:tc>
          <w:tcPr>
            <w:tcW w:w="721"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6</w:t>
            </w:r>
          </w:p>
        </w:tc>
        <w:tc>
          <w:tcPr>
            <w:tcW w:w="930"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45</w:t>
            </w:r>
          </w:p>
        </w:tc>
        <w:tc>
          <w:tcPr>
            <w:tcW w:w="818"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70</w:t>
            </w:r>
          </w:p>
        </w:tc>
        <w:tc>
          <w:tcPr>
            <w:tcW w:w="912"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500</w:t>
            </w:r>
          </w:p>
        </w:tc>
        <w:tc>
          <w:tcPr>
            <w:tcW w:w="4050"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r>
    </w:tbl>
    <w:p>
      <w:pPr>
        <w:pStyle w:val="8"/>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eastAsia="zh-CN"/>
        </w:rPr>
        <w:t>4.3.3.2</w:t>
      </w:r>
      <w:r>
        <w:rPr>
          <w:rFonts w:hint="default" w:ascii="Times New Roman" w:hAnsi="Times New Roman" w:eastAsia="仿宋_GB2312" w:cs="Times New Roman"/>
          <w:color w:val="auto"/>
          <w:highlight w:val="none"/>
        </w:rPr>
        <w:t>需水量预测</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自治区人民政府办公厅关于印发宁夏回族自治区有关行业用水定额（修订）的通知》（宁政办规发﹝2020﹞20号）：肉牛50L/（头·d），奶牛100L/（头·d），猪40L/（头·d），羊8L/（只·d），鸡0.5L/（只·d）计算，考虑养殖用水与生活用水基本同管网，因此，养殖业损失暂同生活损失10%计算，规划2025年沙坡头区养殖净、毛需水量分别为1281万m³、1424万m³。</w:t>
      </w:r>
      <w:r>
        <w:rPr>
          <w:rFonts w:hint="default" w:ascii="Times New Roman" w:hAnsi="Times New Roman" w:eastAsia="仿宋_GB2312" w:cs="Times New Roman"/>
          <w:bCs w:val="0"/>
          <w:color w:val="auto"/>
          <w:szCs w:val="32"/>
          <w:highlight w:val="none"/>
        </w:rPr>
        <w:t>沙坡头区规划2025年规模化养殖需水量计算表</w:t>
      </w:r>
      <w:r>
        <w:rPr>
          <w:rFonts w:hint="default" w:ascii="Times New Roman" w:hAnsi="Times New Roman" w:cs="Times New Roman"/>
          <w:bCs w:val="0"/>
          <w:color w:val="auto"/>
          <w:szCs w:val="32"/>
          <w:highlight w:val="none"/>
          <w:lang w:eastAsia="zh-CN"/>
        </w:rPr>
        <w:t>，</w:t>
      </w:r>
      <w:r>
        <w:rPr>
          <w:rFonts w:hint="default" w:ascii="Times New Roman" w:hAnsi="Times New Roman" w:eastAsia="仿宋_GB2312" w:cs="Times New Roman"/>
          <w:color w:val="auto"/>
          <w:kern w:val="2"/>
          <w:sz w:val="32"/>
          <w:szCs w:val="32"/>
          <w:highlight w:val="none"/>
        </w:rPr>
        <w:t>详见表4.3-6</w:t>
      </w:r>
      <w:r>
        <w:rPr>
          <w:rFonts w:hint="default" w:ascii="Times New Roman" w:hAnsi="Times New Roman" w:cs="Times New Roman"/>
          <w:color w:val="auto"/>
          <w:kern w:val="2"/>
          <w:sz w:val="32"/>
          <w:szCs w:val="32"/>
          <w:highlight w:val="none"/>
          <w:lang w:eastAsia="zh-CN"/>
        </w:rPr>
        <w:t>所示</w:t>
      </w:r>
      <w:r>
        <w:rPr>
          <w:rFonts w:hint="default" w:ascii="Times New Roman" w:hAnsi="Times New Roman" w:eastAsia="仿宋_GB2312" w:cs="Times New Roman"/>
          <w:color w:val="auto"/>
          <w:kern w:val="2"/>
          <w:sz w:val="32"/>
          <w:szCs w:val="32"/>
          <w:highlight w:val="none"/>
        </w:rPr>
        <w:t>。</w:t>
      </w:r>
    </w:p>
    <w:p>
      <w:pPr>
        <w:pStyle w:val="22"/>
        <w:jc w:val="center"/>
        <w:rPr>
          <w:rFonts w:hint="default" w:ascii="Times New Roman" w:hAnsi="Times New Roman" w:eastAsia="方正小标宋_GBK" w:cs="Times New Roman"/>
          <w:b w:val="0"/>
          <w:bCs w:val="0"/>
          <w:color w:val="auto"/>
          <w:sz w:val="32"/>
          <w:szCs w:val="32"/>
          <w:highlight w:val="none"/>
        </w:rPr>
      </w:pPr>
      <w:r>
        <w:rPr>
          <w:rFonts w:hint="default" w:ascii="Times New Roman" w:hAnsi="Times New Roman" w:eastAsia="方正小标宋_GBK" w:cs="Times New Roman"/>
          <w:b w:val="0"/>
          <w:bCs w:val="0"/>
          <w:color w:val="auto"/>
          <w:sz w:val="32"/>
          <w:szCs w:val="32"/>
          <w:highlight w:val="none"/>
        </w:rPr>
        <w:t>表4.3-6</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沙坡头区规划2025年规模化养殖需水量计算表</w:t>
      </w:r>
    </w:p>
    <w:tbl>
      <w:tblPr>
        <w:tblStyle w:val="17"/>
        <w:tblW w:w="8871" w:type="dxa"/>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740"/>
        <w:gridCol w:w="1851"/>
        <w:gridCol w:w="1038"/>
        <w:gridCol w:w="1045"/>
        <w:gridCol w:w="1045"/>
        <w:gridCol w:w="1045"/>
        <w:gridCol w:w="1046"/>
        <w:gridCol w:w="1061"/>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trPr>
        <w:tc>
          <w:tcPr>
            <w:tcW w:w="740" w:type="dxa"/>
            <w:vMerge w:val="restart"/>
            <w:tcBorders>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规划年</w:t>
            </w:r>
          </w:p>
        </w:tc>
        <w:tc>
          <w:tcPr>
            <w:tcW w:w="1851"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名称</w:t>
            </w:r>
          </w:p>
        </w:tc>
        <w:tc>
          <w:tcPr>
            <w:tcW w:w="1038"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肉牛</w:t>
            </w:r>
          </w:p>
        </w:tc>
        <w:tc>
          <w:tcPr>
            <w:tcW w:w="104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奶牛</w:t>
            </w:r>
          </w:p>
        </w:tc>
        <w:tc>
          <w:tcPr>
            <w:tcW w:w="104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生猪存栏</w:t>
            </w:r>
          </w:p>
        </w:tc>
        <w:tc>
          <w:tcPr>
            <w:tcW w:w="104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羊存栏</w:t>
            </w:r>
          </w:p>
        </w:tc>
        <w:tc>
          <w:tcPr>
            <w:tcW w:w="1046"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家禽存栏</w:t>
            </w:r>
          </w:p>
        </w:tc>
        <w:tc>
          <w:tcPr>
            <w:tcW w:w="1061" w:type="dxa"/>
            <w:vMerge w:val="restart"/>
            <w:tcBorders>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小计</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trPr>
        <w:tc>
          <w:tcPr>
            <w:tcW w:w="740"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p>
        </w:tc>
        <w:tc>
          <w:tcPr>
            <w:tcW w:w="185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p>
        </w:tc>
        <w:tc>
          <w:tcPr>
            <w:tcW w:w="1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（万头）</w:t>
            </w:r>
          </w:p>
        </w:tc>
        <w:tc>
          <w:tcPr>
            <w:tcW w:w="10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（万头）</w:t>
            </w:r>
          </w:p>
        </w:tc>
        <w:tc>
          <w:tcPr>
            <w:tcW w:w="10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（万头）</w:t>
            </w:r>
          </w:p>
        </w:tc>
        <w:tc>
          <w:tcPr>
            <w:tcW w:w="10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（万只）</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（万只）</w:t>
            </w:r>
          </w:p>
        </w:tc>
        <w:tc>
          <w:tcPr>
            <w:tcW w:w="1061" w:type="dxa"/>
            <w:vMerge w:val="continue"/>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trPr>
        <w:tc>
          <w:tcPr>
            <w:tcW w:w="740" w:type="dxa"/>
            <w:vMerge w:val="restart"/>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r>
              <w:rPr>
                <w:rFonts w:hint="default" w:ascii="Times New Roman" w:hAnsi="Times New Roman" w:eastAsia="仿宋_GB2312" w:cs="Times New Roman"/>
                <w:color w:val="auto"/>
                <w:kern w:val="2"/>
                <w:szCs w:val="21"/>
                <w:highlight w:val="none"/>
                <w:lang w:val="en-US"/>
              </w:rPr>
              <w:t>2025年</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数量</w:t>
            </w:r>
          </w:p>
        </w:tc>
        <w:tc>
          <w:tcPr>
            <w:tcW w:w="1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6.00</w:t>
            </w:r>
          </w:p>
        </w:tc>
        <w:tc>
          <w:tcPr>
            <w:tcW w:w="10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6.00</w:t>
            </w:r>
          </w:p>
        </w:tc>
        <w:tc>
          <w:tcPr>
            <w:tcW w:w="10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45.00</w:t>
            </w:r>
          </w:p>
        </w:tc>
        <w:tc>
          <w:tcPr>
            <w:tcW w:w="10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70.00</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500.00</w:t>
            </w:r>
          </w:p>
        </w:tc>
        <w:tc>
          <w:tcPr>
            <w:tcW w:w="106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trPr>
        <w:tc>
          <w:tcPr>
            <w:tcW w:w="740"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定额</w:t>
            </w:r>
          </w:p>
          <w:p>
            <w:pPr>
              <w:pStyle w:val="24"/>
              <w:spacing w:after="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L/（头·d）</w:t>
            </w:r>
          </w:p>
        </w:tc>
        <w:tc>
          <w:tcPr>
            <w:tcW w:w="1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50</w:t>
            </w:r>
          </w:p>
        </w:tc>
        <w:tc>
          <w:tcPr>
            <w:tcW w:w="10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100</w:t>
            </w:r>
          </w:p>
        </w:tc>
        <w:tc>
          <w:tcPr>
            <w:tcW w:w="10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40</w:t>
            </w:r>
          </w:p>
        </w:tc>
        <w:tc>
          <w:tcPr>
            <w:tcW w:w="10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8</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0.5</w:t>
            </w:r>
          </w:p>
        </w:tc>
        <w:tc>
          <w:tcPr>
            <w:tcW w:w="106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trPr>
        <w:tc>
          <w:tcPr>
            <w:tcW w:w="740"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净需水量</w:t>
            </w:r>
          </w:p>
          <w:p>
            <w:pPr>
              <w:pStyle w:val="24"/>
              <w:spacing w:after="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（万m³）</w:t>
            </w:r>
          </w:p>
        </w:tc>
        <w:tc>
          <w:tcPr>
            <w:tcW w:w="10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109.50</w:t>
            </w:r>
          </w:p>
        </w:tc>
        <w:tc>
          <w:tcPr>
            <w:tcW w:w="10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219.00</w:t>
            </w:r>
          </w:p>
        </w:tc>
        <w:tc>
          <w:tcPr>
            <w:tcW w:w="10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657.00</w:t>
            </w:r>
          </w:p>
        </w:tc>
        <w:tc>
          <w:tcPr>
            <w:tcW w:w="10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204.40</w:t>
            </w:r>
          </w:p>
        </w:tc>
        <w:tc>
          <w:tcPr>
            <w:tcW w:w="10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91.25</w:t>
            </w:r>
          </w:p>
        </w:tc>
        <w:tc>
          <w:tcPr>
            <w:tcW w:w="106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1281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trPr>
        <w:tc>
          <w:tcPr>
            <w:tcW w:w="740"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管网损失</w:t>
            </w:r>
          </w:p>
        </w:tc>
        <w:tc>
          <w:tcPr>
            <w:tcW w:w="6280" w:type="dxa"/>
            <w:gridSpan w:val="6"/>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10%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trPr>
        <w:tc>
          <w:tcPr>
            <w:tcW w:w="740" w:type="dxa"/>
            <w:vMerge w:val="continue"/>
            <w:tcBorders>
              <w:top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p>
        </w:tc>
        <w:tc>
          <w:tcPr>
            <w:tcW w:w="1851"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毛需水量</w:t>
            </w:r>
          </w:p>
          <w:p>
            <w:pPr>
              <w:pStyle w:val="24"/>
              <w:spacing w:after="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（万m³）</w:t>
            </w:r>
          </w:p>
        </w:tc>
        <w:tc>
          <w:tcPr>
            <w:tcW w:w="1038"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121.67</w:t>
            </w:r>
          </w:p>
        </w:tc>
        <w:tc>
          <w:tcPr>
            <w:tcW w:w="104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243.33</w:t>
            </w:r>
          </w:p>
        </w:tc>
        <w:tc>
          <w:tcPr>
            <w:tcW w:w="104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730.00</w:t>
            </w:r>
          </w:p>
        </w:tc>
        <w:tc>
          <w:tcPr>
            <w:tcW w:w="104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227.11</w:t>
            </w:r>
          </w:p>
        </w:tc>
        <w:tc>
          <w:tcPr>
            <w:tcW w:w="1046"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101.39</w:t>
            </w:r>
          </w:p>
        </w:tc>
        <w:tc>
          <w:tcPr>
            <w:tcW w:w="1061" w:type="dxa"/>
            <w:tcBorders>
              <w:top w:val="single" w:color="000000" w:sz="4" w:space="0"/>
              <w:lef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1424</w:t>
            </w:r>
          </w:p>
        </w:tc>
      </w:tr>
    </w:tbl>
    <w:p>
      <w:pPr>
        <w:pStyle w:val="7"/>
        <w:spacing w:before="0"/>
        <w:rPr>
          <w:rFonts w:hint="default" w:ascii="Times New Roman" w:hAnsi="Times New Roman" w:eastAsia="仿宋_GB2312" w:cs="Times New Roman"/>
          <w:bCs/>
          <w:color w:val="auto"/>
          <w:kern w:val="2"/>
          <w:highlight w:val="none"/>
        </w:rPr>
      </w:pPr>
      <w:bookmarkStart w:id="376" w:name="_Toc13850"/>
      <w:bookmarkStart w:id="377" w:name="_Toc11041"/>
      <w:bookmarkStart w:id="378" w:name="_Toc29677"/>
      <w:bookmarkStart w:id="379" w:name="_Toc6728"/>
      <w:bookmarkStart w:id="380" w:name="_Toc31815"/>
      <w:bookmarkStart w:id="381" w:name="_Toc20099"/>
      <w:bookmarkStart w:id="382" w:name="_Toc17264"/>
      <w:bookmarkStart w:id="383" w:name="_Toc12288"/>
      <w:bookmarkStart w:id="384" w:name="_Toc23037"/>
      <w:r>
        <w:rPr>
          <w:rFonts w:hint="default" w:ascii="Times New Roman" w:hAnsi="Times New Roman" w:eastAsia="仿宋_GB2312" w:cs="Times New Roman"/>
          <w:bCs/>
          <w:color w:val="auto"/>
          <w:kern w:val="2"/>
          <w:highlight w:val="none"/>
        </w:rPr>
        <w:t>4.3.4工业需水预测</w:t>
      </w:r>
      <w:bookmarkEnd w:id="376"/>
      <w:bookmarkEnd w:id="377"/>
      <w:bookmarkEnd w:id="378"/>
      <w:bookmarkEnd w:id="379"/>
      <w:bookmarkEnd w:id="380"/>
      <w:bookmarkEnd w:id="381"/>
      <w:bookmarkEnd w:id="382"/>
      <w:bookmarkEnd w:id="383"/>
      <w:bookmarkEnd w:id="384"/>
      <w:r>
        <w:rPr>
          <w:rFonts w:hint="default" w:ascii="Times New Roman" w:hAnsi="Times New Roman" w:eastAsia="仿宋_GB2312" w:cs="Times New Roman"/>
          <w:bCs/>
          <w:color w:val="auto"/>
          <w:kern w:val="2"/>
          <w:highlight w:val="none"/>
        </w:rPr>
        <w:tab/>
      </w:r>
    </w:p>
    <w:p>
      <w:pPr>
        <w:pStyle w:val="8"/>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4.3.4.1生产总值及工业增加值预测</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沙坡头区工业增加值历史发展趋势，外延式预测未来水平年2025年沙坡头区工业增加值。根据近五年甚至近十年沙坡头区的生产总值指数上涨趋势，近十年年均上涨指数8.78%，近五年年均上涨指数6.52%，逐年指数上涨趋势减小，因此，本次采用年均上涨指数6.52%进行计算生产总值，同时，按照1989</w:t>
      </w:r>
      <w:r>
        <w:rPr>
          <w:rFonts w:hint="default" w:ascii="Times New Roman" w:hAnsi="Times New Roman" w:eastAsia="仿宋_GB2312"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rPr>
        <w:t>2020年三产所占比例，规划年三产结构为13：40：47。且根据自治区水利厅关于征求《宁夏以水定需管控实施方案》进行对比确定，本次规划年按照10年中卫市统计年鉴，确定工业增加值为83.50万元，中卫工业园区工业增加值按照第二产业的66%进行计算为57.42万元。</w:t>
      </w:r>
      <w:r>
        <w:rPr>
          <w:rFonts w:hint="default" w:ascii="Times New Roman" w:hAnsi="Times New Roman" w:cs="Times New Roman"/>
          <w:color w:val="auto"/>
          <w:kern w:val="2"/>
          <w:sz w:val="32"/>
          <w:szCs w:val="32"/>
          <w:highlight w:val="none"/>
          <w:lang w:eastAsia="zh-CN"/>
        </w:rPr>
        <w:t>详</w:t>
      </w:r>
      <w:r>
        <w:rPr>
          <w:rFonts w:hint="default" w:ascii="Times New Roman" w:hAnsi="Times New Roman" w:eastAsia="仿宋_GB2312" w:cs="Times New Roman"/>
          <w:color w:val="auto"/>
          <w:kern w:val="2"/>
          <w:sz w:val="32"/>
          <w:szCs w:val="32"/>
          <w:highlight w:val="none"/>
        </w:rPr>
        <w:t>见表4.3-7</w:t>
      </w:r>
      <w:r>
        <w:rPr>
          <w:rFonts w:hint="default" w:ascii="Times New Roman" w:hAnsi="Times New Roman" w:cs="Times New Roman"/>
          <w:color w:val="auto"/>
          <w:kern w:val="2"/>
          <w:sz w:val="32"/>
          <w:szCs w:val="32"/>
          <w:highlight w:val="none"/>
          <w:lang w:eastAsia="zh-CN"/>
        </w:rPr>
        <w:t>所示</w:t>
      </w:r>
      <w:r>
        <w:rPr>
          <w:rFonts w:hint="default" w:ascii="Times New Roman" w:hAnsi="Times New Roman" w:eastAsia="仿宋_GB2312" w:cs="Times New Roman"/>
          <w:color w:val="auto"/>
          <w:kern w:val="2"/>
          <w:sz w:val="32"/>
          <w:szCs w:val="32"/>
          <w:highlight w:val="none"/>
          <w:lang w:eastAsia="zh-CN"/>
        </w:rPr>
        <w:t>。</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表4.3-7</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沙坡头区规划2025年生产总值预测表</w:t>
      </w:r>
    </w:p>
    <w:tbl>
      <w:tblPr>
        <w:tblStyle w:val="17"/>
        <w:tblW w:w="8875" w:type="dxa"/>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687"/>
        <w:gridCol w:w="752"/>
        <w:gridCol w:w="581"/>
        <w:gridCol w:w="865"/>
        <w:gridCol w:w="624"/>
        <w:gridCol w:w="865"/>
        <w:gridCol w:w="780"/>
        <w:gridCol w:w="808"/>
        <w:gridCol w:w="951"/>
        <w:gridCol w:w="1962"/>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15" w:hRule="atLeast"/>
        </w:trPr>
        <w:tc>
          <w:tcPr>
            <w:tcW w:w="687" w:type="dxa"/>
            <w:vMerge w:val="restart"/>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方案</w:t>
            </w:r>
          </w:p>
        </w:tc>
        <w:tc>
          <w:tcPr>
            <w:tcW w:w="752"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规划年</w:t>
            </w:r>
          </w:p>
        </w:tc>
        <w:tc>
          <w:tcPr>
            <w:tcW w:w="581"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名称</w:t>
            </w:r>
          </w:p>
        </w:tc>
        <w:tc>
          <w:tcPr>
            <w:tcW w:w="865"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地区生产总值</w:t>
            </w:r>
          </w:p>
        </w:tc>
        <w:tc>
          <w:tcPr>
            <w:tcW w:w="624"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指数</w:t>
            </w:r>
          </w:p>
        </w:tc>
        <w:tc>
          <w:tcPr>
            <w:tcW w:w="865" w:type="dxa"/>
            <w:vMerge w:val="restart"/>
            <w:tcBorders>
              <w:left w:val="single" w:color="000000" w:sz="4" w:space="0"/>
              <w:bottom w:val="single" w:color="000000" w:sz="4" w:space="0"/>
              <w:right w:val="single" w:color="auto"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第一</w:t>
            </w:r>
          </w:p>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产业</w:t>
            </w:r>
          </w:p>
        </w:tc>
        <w:tc>
          <w:tcPr>
            <w:tcW w:w="1588" w:type="dxa"/>
            <w:gridSpan w:val="2"/>
            <w:tcBorders>
              <w:left w:val="single" w:color="auto" w:sz="4" w:space="0"/>
              <w:bottom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第二产业</w:t>
            </w:r>
          </w:p>
        </w:tc>
        <w:tc>
          <w:tcPr>
            <w:tcW w:w="951" w:type="dxa"/>
            <w:vMerge w:val="restart"/>
            <w:tcBorders>
              <w:left w:val="single" w:color="auto" w:sz="4" w:space="0"/>
              <w:bottom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第三产业</w:t>
            </w:r>
          </w:p>
        </w:tc>
        <w:tc>
          <w:tcPr>
            <w:tcW w:w="1962" w:type="dxa"/>
            <w:vMerge w:val="restart"/>
            <w:tcBorders>
              <w:left w:val="single" w:color="auto"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备注</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15" w:hRule="atLeast"/>
        </w:trPr>
        <w:tc>
          <w:tcPr>
            <w:tcW w:w="687"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7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5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86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624"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865" w:type="dxa"/>
            <w:vMerge w:val="continue"/>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7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其中</w:t>
            </w:r>
          </w:p>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工业</w:t>
            </w:r>
          </w:p>
        </w:tc>
        <w:tc>
          <w:tcPr>
            <w:tcW w:w="8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其中</w:t>
            </w:r>
          </w:p>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建筑业</w:t>
            </w:r>
          </w:p>
        </w:tc>
        <w:tc>
          <w:tcPr>
            <w:tcW w:w="951" w:type="dxa"/>
            <w:vMerge w:val="continue"/>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962" w:type="dxa"/>
            <w:vMerge w:val="continue"/>
            <w:tcBorders>
              <w:left w:val="single" w:color="auto" w:sz="4" w:space="0"/>
              <w:bottom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98" w:hRule="atLeast"/>
        </w:trPr>
        <w:tc>
          <w:tcPr>
            <w:tcW w:w="687" w:type="dxa"/>
            <w:vMerge w:val="restart"/>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计算值</w:t>
            </w:r>
          </w:p>
        </w:tc>
        <w:tc>
          <w:tcPr>
            <w:tcW w:w="752"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2025年</w:t>
            </w:r>
          </w:p>
        </w:tc>
        <w:tc>
          <w:tcPr>
            <w:tcW w:w="5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Cs/>
                <w:color w:val="auto"/>
                <w:kern w:val="2"/>
                <w:szCs w:val="21"/>
                <w:highlight w:val="none"/>
                <w:lang w:val="en-US"/>
              </w:rPr>
            </w:pPr>
            <w:r>
              <w:rPr>
                <w:rFonts w:hint="default" w:ascii="Times New Roman" w:hAnsi="Times New Roman" w:eastAsia="仿宋" w:cs="Times New Roman"/>
                <w:bCs/>
                <w:color w:val="auto"/>
                <w:kern w:val="2"/>
                <w:szCs w:val="21"/>
                <w:highlight w:val="none"/>
                <w:lang w:val="en-US"/>
              </w:rPr>
              <w:t>占比</w:t>
            </w:r>
          </w:p>
        </w:tc>
        <w:tc>
          <w:tcPr>
            <w:tcW w:w="8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6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865"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13%</w:t>
            </w:r>
          </w:p>
        </w:tc>
        <w:tc>
          <w:tcPr>
            <w:tcW w:w="1588"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bCs/>
                <w:color w:val="auto"/>
                <w:kern w:val="2"/>
                <w:szCs w:val="21"/>
                <w:highlight w:val="none"/>
                <w:lang w:val="en-US"/>
              </w:rPr>
            </w:pPr>
            <w:r>
              <w:rPr>
                <w:rFonts w:hint="default" w:ascii="Times New Roman" w:hAnsi="Times New Roman" w:eastAsia="仿宋" w:cs="Times New Roman"/>
                <w:bCs/>
                <w:color w:val="auto"/>
                <w:kern w:val="2"/>
                <w:szCs w:val="21"/>
                <w:highlight w:val="none"/>
                <w:lang w:val="en-US"/>
              </w:rPr>
              <w:t>40%</w:t>
            </w:r>
          </w:p>
        </w:tc>
        <w:tc>
          <w:tcPr>
            <w:tcW w:w="95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47%</w:t>
            </w:r>
          </w:p>
        </w:tc>
        <w:tc>
          <w:tcPr>
            <w:tcW w:w="1962" w:type="dxa"/>
            <w:tcBorders>
              <w:top w:val="single" w:color="auto" w:sz="4" w:space="0"/>
              <w:left w:val="single" w:color="auto" w:sz="4" w:space="0"/>
              <w:bottom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15" w:hRule="atLeast"/>
        </w:trPr>
        <w:tc>
          <w:tcPr>
            <w:tcW w:w="687"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p>
        </w:tc>
        <w:tc>
          <w:tcPr>
            <w:tcW w:w="7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5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Cs/>
                <w:color w:val="auto"/>
                <w:kern w:val="2"/>
                <w:szCs w:val="21"/>
                <w:highlight w:val="none"/>
                <w:lang w:val="en-US"/>
              </w:rPr>
            </w:pPr>
            <w:r>
              <w:rPr>
                <w:rFonts w:hint="default" w:ascii="Times New Roman" w:hAnsi="Times New Roman" w:eastAsia="仿宋" w:cs="Times New Roman"/>
                <w:bCs/>
                <w:color w:val="auto"/>
                <w:kern w:val="2"/>
                <w:szCs w:val="21"/>
                <w:highlight w:val="none"/>
                <w:lang w:val="en-US"/>
              </w:rPr>
              <w:t>产值</w:t>
            </w:r>
          </w:p>
        </w:tc>
        <w:tc>
          <w:tcPr>
            <w:tcW w:w="8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bidi="ar"/>
              </w:rPr>
              <w:t>277.96</w:t>
            </w:r>
          </w:p>
        </w:tc>
        <w:tc>
          <w:tcPr>
            <w:tcW w:w="6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7.4%</w:t>
            </w:r>
          </w:p>
        </w:tc>
        <w:tc>
          <w:tcPr>
            <w:tcW w:w="865"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bidi="ar"/>
              </w:rPr>
              <w:t>37.52</w:t>
            </w:r>
          </w:p>
        </w:tc>
        <w:tc>
          <w:tcPr>
            <w:tcW w:w="7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bidi="ar"/>
              </w:rPr>
              <w:t>83.50</w:t>
            </w:r>
          </w:p>
        </w:tc>
        <w:tc>
          <w:tcPr>
            <w:tcW w:w="8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bidi="ar"/>
              </w:rPr>
              <w:t>27.69</w:t>
            </w:r>
          </w:p>
        </w:tc>
        <w:tc>
          <w:tcPr>
            <w:tcW w:w="95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bidi="ar"/>
              </w:rPr>
              <w:t>129.25</w:t>
            </w:r>
          </w:p>
        </w:tc>
        <w:tc>
          <w:tcPr>
            <w:tcW w:w="1962" w:type="dxa"/>
            <w:tcBorders>
              <w:top w:val="single" w:color="auto" w:sz="4" w:space="0"/>
              <w:left w:val="single" w:color="auto" w:sz="4" w:space="0"/>
              <w:bottom w:val="single" w:color="auto" w:sz="4" w:space="0"/>
            </w:tcBorders>
            <w:tcMar>
              <w:top w:w="15" w:type="dxa"/>
              <w:left w:w="15" w:type="dxa"/>
              <w:right w:w="15" w:type="dxa"/>
            </w:tcMar>
            <w:vAlign w:val="center"/>
          </w:tcPr>
          <w:p>
            <w:pPr>
              <w:pStyle w:val="24"/>
              <w:rPr>
                <w:rFonts w:hint="default" w:ascii="Times New Roman" w:hAnsi="Times New Roman" w:eastAsia="仿宋" w:cs="Times New Roman"/>
                <w:bCs/>
                <w:color w:val="auto"/>
                <w:kern w:val="2"/>
                <w:szCs w:val="21"/>
                <w:highlight w:val="none"/>
                <w:lang w:val="en-US"/>
              </w:rPr>
            </w:pPr>
            <w:r>
              <w:rPr>
                <w:rFonts w:hint="default" w:ascii="Times New Roman" w:hAnsi="Times New Roman" w:eastAsia="仿宋" w:cs="Times New Roman"/>
                <w:bCs/>
                <w:color w:val="auto"/>
                <w:kern w:val="2"/>
                <w:szCs w:val="21"/>
                <w:highlight w:val="none"/>
                <w:lang w:val="en-US"/>
              </w:rPr>
              <w:t>按照近10年中卫市统计年鉴</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15" w:hRule="atLeast"/>
        </w:trPr>
        <w:tc>
          <w:tcPr>
            <w:tcW w:w="687"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建议值</w:t>
            </w:r>
          </w:p>
        </w:tc>
        <w:tc>
          <w:tcPr>
            <w:tcW w:w="752"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5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Cs/>
                <w:color w:val="auto"/>
                <w:kern w:val="2"/>
                <w:szCs w:val="21"/>
                <w:highlight w:val="none"/>
                <w:lang w:val="en-US"/>
              </w:rPr>
            </w:pPr>
            <w:r>
              <w:rPr>
                <w:rFonts w:hint="default" w:ascii="Times New Roman" w:hAnsi="Times New Roman" w:eastAsia="仿宋" w:cs="Times New Roman"/>
                <w:bCs/>
                <w:color w:val="auto"/>
                <w:kern w:val="2"/>
                <w:szCs w:val="21"/>
                <w:highlight w:val="none"/>
                <w:lang w:val="en-US"/>
              </w:rPr>
              <w:t>产值</w:t>
            </w:r>
          </w:p>
        </w:tc>
        <w:tc>
          <w:tcPr>
            <w:tcW w:w="8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288.00</w:t>
            </w:r>
          </w:p>
        </w:tc>
        <w:tc>
          <w:tcPr>
            <w:tcW w:w="6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7.4%</w:t>
            </w:r>
          </w:p>
        </w:tc>
        <w:tc>
          <w:tcPr>
            <w:tcW w:w="865"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38.88</w:t>
            </w:r>
          </w:p>
        </w:tc>
        <w:tc>
          <w:tcPr>
            <w:tcW w:w="7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87.00</w:t>
            </w:r>
          </w:p>
        </w:tc>
        <w:tc>
          <w:tcPr>
            <w:tcW w:w="808"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28.20</w:t>
            </w:r>
          </w:p>
        </w:tc>
        <w:tc>
          <w:tcPr>
            <w:tcW w:w="951"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133.92</w:t>
            </w:r>
          </w:p>
        </w:tc>
        <w:tc>
          <w:tcPr>
            <w:tcW w:w="1962" w:type="dxa"/>
            <w:tcBorders>
              <w:top w:val="single" w:color="auto" w:sz="4" w:space="0"/>
              <w:left w:val="single" w:color="auto" w:sz="4" w:space="0"/>
              <w:bottom w:val="single" w:color="auto" w:sz="4" w:space="0"/>
            </w:tcBorders>
            <w:tcMar>
              <w:top w:w="15" w:type="dxa"/>
              <w:left w:w="15" w:type="dxa"/>
              <w:right w:w="15" w:type="dxa"/>
            </w:tcMar>
            <w:vAlign w:val="center"/>
          </w:tcPr>
          <w:p>
            <w:pPr>
              <w:pStyle w:val="24"/>
              <w:rPr>
                <w:rFonts w:hint="default" w:ascii="Times New Roman" w:hAnsi="Times New Roman" w:eastAsia="仿宋" w:cs="Times New Roman"/>
                <w:bCs/>
                <w:color w:val="auto"/>
                <w:kern w:val="2"/>
                <w:szCs w:val="21"/>
                <w:highlight w:val="none"/>
                <w:lang w:val="en-US"/>
              </w:rPr>
            </w:pPr>
            <w:r>
              <w:rPr>
                <w:rFonts w:hint="default" w:ascii="Times New Roman" w:hAnsi="Times New Roman" w:eastAsia="仿宋" w:cs="Times New Roman"/>
                <w:bCs/>
                <w:color w:val="auto"/>
                <w:kern w:val="2"/>
                <w:szCs w:val="21"/>
                <w:highlight w:val="none"/>
                <w:lang w:val="en-US"/>
              </w:rPr>
              <w:t>宁夏以水定需管控实施方案</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315" w:hRule="atLeast"/>
        </w:trPr>
        <w:tc>
          <w:tcPr>
            <w:tcW w:w="687"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Cs/>
                <w:color w:val="auto"/>
                <w:kern w:val="2"/>
                <w:szCs w:val="21"/>
                <w:highlight w:val="none"/>
                <w:lang w:val="en-US"/>
              </w:rPr>
            </w:pPr>
            <w:r>
              <w:rPr>
                <w:rFonts w:hint="default" w:ascii="Times New Roman" w:hAnsi="Times New Roman" w:eastAsia="仿宋" w:cs="Times New Roman"/>
                <w:bCs/>
                <w:color w:val="auto"/>
                <w:kern w:val="2"/>
                <w:szCs w:val="21"/>
                <w:highlight w:val="none"/>
                <w:lang w:val="en-US"/>
              </w:rPr>
              <w:t>推荐值</w:t>
            </w:r>
          </w:p>
        </w:tc>
        <w:tc>
          <w:tcPr>
            <w:tcW w:w="752"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581"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86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624"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865" w:type="dxa"/>
            <w:tcBorders>
              <w:top w:val="single" w:color="000000" w:sz="4" w:space="0"/>
              <w:left w:val="single" w:color="000000"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780" w:type="dxa"/>
            <w:tcBorders>
              <w:top w:val="single" w:color="auto" w:sz="4" w:space="0"/>
              <w:left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83.50</w:t>
            </w:r>
          </w:p>
        </w:tc>
        <w:tc>
          <w:tcPr>
            <w:tcW w:w="808" w:type="dxa"/>
            <w:tcBorders>
              <w:top w:val="single" w:color="auto" w:sz="4" w:space="0"/>
              <w:left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951" w:type="dxa"/>
            <w:tcBorders>
              <w:top w:val="single" w:color="auto" w:sz="4" w:space="0"/>
              <w:left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962" w:type="dxa"/>
            <w:tcBorders>
              <w:top w:val="single" w:color="auto" w:sz="4" w:space="0"/>
              <w:left w:val="single" w:color="auto"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r>
    </w:tbl>
    <w:p>
      <w:pPr>
        <w:pStyle w:val="8"/>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eastAsia="zh-CN"/>
        </w:rPr>
        <w:t>4.3.4.2</w:t>
      </w:r>
      <w:r>
        <w:rPr>
          <w:rFonts w:hint="default" w:ascii="Times New Roman" w:hAnsi="Times New Roman" w:eastAsia="仿宋_GB2312" w:cs="Times New Roman"/>
          <w:color w:val="auto"/>
          <w:highlight w:val="none"/>
        </w:rPr>
        <w:t>需水预测</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沙坡头区工业发展主要以中卫工业园区的工业为主。</w:t>
      </w:r>
    </w:p>
    <w:p>
      <w:pPr>
        <w:rPr>
          <w:rFonts w:hint="default" w:ascii="Times New Roman" w:hAnsi="Times New Roman" w:cs="Times New Roman"/>
          <w:color w:val="auto"/>
          <w:szCs w:val="32"/>
          <w:highlight w:val="none"/>
        </w:rPr>
      </w:pPr>
      <w:r>
        <w:rPr>
          <w:rFonts w:hint="default" w:ascii="Times New Roman" w:hAnsi="Times New Roman" w:eastAsia="仿宋_GB2312" w:cs="Times New Roman"/>
          <w:color w:val="auto"/>
          <w:kern w:val="2"/>
          <w:sz w:val="32"/>
          <w:szCs w:val="32"/>
          <w:highlight w:val="none"/>
        </w:rPr>
        <w:t>工业需水预测依据规划水平年工业增加值和工业万元增加值取水定额进行计算。沙坡头区2020万元工业增加值用水量39.78m³/万元，根据自治区水利厅关于征求《宁夏以水定</w:t>
      </w:r>
      <w:r>
        <w:rPr>
          <w:rFonts w:hint="default" w:ascii="Times New Roman" w:hAnsi="Times New Roman" w:cs="Times New Roman"/>
          <w:color w:val="auto"/>
          <w:kern w:val="2"/>
          <w:sz w:val="32"/>
          <w:szCs w:val="32"/>
          <w:highlight w:val="none"/>
          <w:lang w:val="en-US" w:eastAsia="zh-CN"/>
        </w:rPr>
        <w:t>产</w:t>
      </w:r>
      <w:r>
        <w:rPr>
          <w:rFonts w:hint="default" w:ascii="Times New Roman" w:hAnsi="Times New Roman" w:eastAsia="仿宋_GB2312" w:cs="Times New Roman"/>
          <w:color w:val="auto"/>
          <w:kern w:val="2"/>
          <w:sz w:val="32"/>
          <w:szCs w:val="32"/>
          <w:highlight w:val="none"/>
        </w:rPr>
        <w:t>实施方案》，沙坡头区万元GDP用水量下降率：2025年比2020年的下降率为10%，则规划年2025年工业增加值用水量34.16m³/万元，按照万元增加值及工业增加值用水量计算规划2025年沙坡头区工业净需水量2852万m³，考虑沙坡头区工业用水基本为管网至蓄水池再至用水单元，损失考虑5%，则沙坡头区取水量为3000万m³</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详见表4.3-8</w:t>
      </w:r>
      <w:r>
        <w:rPr>
          <w:rFonts w:hint="default" w:ascii="Times New Roman" w:hAnsi="Times New Roman" w:cs="Times New Roman"/>
          <w:color w:val="auto"/>
          <w:kern w:val="2"/>
          <w:sz w:val="32"/>
          <w:szCs w:val="32"/>
          <w:highlight w:val="none"/>
          <w:lang w:eastAsia="zh-CN"/>
        </w:rPr>
        <w:t>所示</w:t>
      </w:r>
      <w:r>
        <w:rPr>
          <w:rFonts w:hint="default" w:ascii="Times New Roman" w:hAnsi="Times New Roman" w:eastAsia="仿宋_GB2312" w:cs="Times New Roman"/>
          <w:color w:val="auto"/>
          <w:kern w:val="2"/>
          <w:sz w:val="32"/>
          <w:szCs w:val="32"/>
          <w:highlight w:val="none"/>
        </w:rPr>
        <w:t>。</w:t>
      </w:r>
    </w:p>
    <w:p>
      <w:pPr>
        <w:pStyle w:val="22"/>
        <w:jc w:val="center"/>
        <w:rPr>
          <w:rFonts w:hint="default" w:ascii="Times New Roman" w:hAnsi="Times New Roman" w:eastAsia="方正小标宋_GBK" w:cs="Times New Roman"/>
          <w:b w:val="0"/>
          <w:bCs w:val="0"/>
          <w:color w:val="auto"/>
          <w:sz w:val="32"/>
          <w:szCs w:val="32"/>
          <w:highlight w:val="none"/>
          <w:lang w:eastAsia="zh-CN"/>
        </w:rPr>
      </w:pPr>
      <w:r>
        <w:rPr>
          <w:rFonts w:hint="default" w:ascii="Times New Roman" w:hAnsi="Times New Roman" w:eastAsia="方正小标宋_GBK" w:cs="Times New Roman"/>
          <w:b w:val="0"/>
          <w:bCs w:val="0"/>
          <w:color w:val="auto"/>
          <w:sz w:val="32"/>
          <w:szCs w:val="32"/>
          <w:highlight w:val="none"/>
        </w:rPr>
        <w:t>表4.3-8</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沙坡头区规划2025年工业需水量计算表</w:t>
      </w:r>
    </w:p>
    <w:tbl>
      <w:tblPr>
        <w:tblStyle w:val="17"/>
        <w:tblW w:w="8871" w:type="dxa"/>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2080"/>
        <w:gridCol w:w="1257"/>
        <w:gridCol w:w="1415"/>
        <w:gridCol w:w="1415"/>
        <w:gridCol w:w="1415"/>
        <w:gridCol w:w="1289"/>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trPr>
        <w:tc>
          <w:tcPr>
            <w:tcW w:w="2080"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区域</w:t>
            </w:r>
          </w:p>
        </w:tc>
        <w:tc>
          <w:tcPr>
            <w:tcW w:w="1257"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工业增加值</w:t>
            </w:r>
          </w:p>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（万元）</w:t>
            </w:r>
          </w:p>
        </w:tc>
        <w:tc>
          <w:tcPr>
            <w:tcW w:w="141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单位用水量</w:t>
            </w:r>
          </w:p>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（m³/万元）</w:t>
            </w:r>
          </w:p>
        </w:tc>
        <w:tc>
          <w:tcPr>
            <w:tcW w:w="141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净需水量</w:t>
            </w:r>
          </w:p>
        </w:tc>
        <w:tc>
          <w:tcPr>
            <w:tcW w:w="141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损失</w:t>
            </w:r>
          </w:p>
        </w:tc>
        <w:tc>
          <w:tcPr>
            <w:tcW w:w="1289"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毛需水量</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PrEx>
        <w:trPr>
          <w:trHeight w:val="510" w:hRule="atLeast"/>
        </w:trPr>
        <w:tc>
          <w:tcPr>
            <w:tcW w:w="2080"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沙坡头区</w:t>
            </w:r>
          </w:p>
        </w:tc>
        <w:tc>
          <w:tcPr>
            <w:tcW w:w="12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83.50</w:t>
            </w:r>
          </w:p>
        </w:tc>
        <w:tc>
          <w:tcPr>
            <w:tcW w:w="1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34.16</w:t>
            </w:r>
          </w:p>
        </w:tc>
        <w:tc>
          <w:tcPr>
            <w:tcW w:w="1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2852.39</w:t>
            </w:r>
          </w:p>
        </w:tc>
        <w:tc>
          <w:tcPr>
            <w:tcW w:w="14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0.95</w:t>
            </w:r>
          </w:p>
        </w:tc>
        <w:tc>
          <w:tcPr>
            <w:tcW w:w="12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3000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trPr>
        <w:tc>
          <w:tcPr>
            <w:tcW w:w="2080"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其中中卫市工业园区</w:t>
            </w:r>
          </w:p>
        </w:tc>
        <w:tc>
          <w:tcPr>
            <w:tcW w:w="125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65.25</w:t>
            </w:r>
          </w:p>
        </w:tc>
        <w:tc>
          <w:tcPr>
            <w:tcW w:w="141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eastAsia="zh-CN" w:bidi="ar"/>
              </w:rPr>
            </w:pPr>
            <w:r>
              <w:rPr>
                <w:rFonts w:hint="default" w:ascii="Times New Roman" w:hAnsi="Times New Roman" w:eastAsia="仿宋" w:cs="Times New Roman"/>
                <w:color w:val="auto"/>
                <w:highlight w:val="none"/>
                <w:lang w:val="en-US" w:bidi="ar"/>
              </w:rPr>
              <w:t>33.14</w:t>
            </w:r>
          </w:p>
        </w:tc>
        <w:tc>
          <w:tcPr>
            <w:tcW w:w="141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eastAsia="zh-CN" w:bidi="ar"/>
              </w:rPr>
            </w:pPr>
            <w:r>
              <w:rPr>
                <w:rFonts w:hint="default" w:ascii="Times New Roman" w:hAnsi="Times New Roman" w:eastAsia="仿宋" w:cs="Times New Roman"/>
                <w:color w:val="auto"/>
                <w:highlight w:val="none"/>
                <w:lang w:val="en-US" w:bidi="ar"/>
              </w:rPr>
              <w:t>2162</w:t>
            </w:r>
          </w:p>
        </w:tc>
        <w:tc>
          <w:tcPr>
            <w:tcW w:w="141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eastAsia="zh-CN" w:bidi="ar"/>
              </w:rPr>
            </w:pPr>
            <w:r>
              <w:rPr>
                <w:rFonts w:hint="default" w:ascii="Times New Roman" w:hAnsi="Times New Roman" w:eastAsia="仿宋" w:cs="Times New Roman"/>
                <w:color w:val="auto"/>
                <w:highlight w:val="none"/>
                <w:lang w:val="en-US" w:bidi="ar"/>
              </w:rPr>
              <w:t>0.95</w:t>
            </w:r>
          </w:p>
        </w:tc>
        <w:tc>
          <w:tcPr>
            <w:tcW w:w="1289"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bidi="ar"/>
              </w:rPr>
            </w:pPr>
            <w:r>
              <w:rPr>
                <w:rFonts w:hint="default" w:ascii="Times New Roman" w:hAnsi="Times New Roman" w:eastAsia="仿宋" w:cs="Times New Roman"/>
                <w:color w:val="auto"/>
                <w:highlight w:val="none"/>
                <w:lang w:val="en-US" w:bidi="ar"/>
              </w:rPr>
              <w:t>2252</w:t>
            </w:r>
          </w:p>
        </w:tc>
      </w:tr>
    </w:tbl>
    <w:p>
      <w:pPr>
        <w:pStyle w:val="7"/>
        <w:spacing w:before="0"/>
        <w:rPr>
          <w:rFonts w:hint="default" w:ascii="Times New Roman" w:hAnsi="Times New Roman" w:eastAsia="仿宋_GB2312" w:cs="Times New Roman"/>
          <w:bCs/>
          <w:color w:val="auto"/>
          <w:kern w:val="2"/>
          <w:highlight w:val="none"/>
        </w:rPr>
      </w:pPr>
      <w:bookmarkStart w:id="385" w:name="_Toc28913"/>
      <w:bookmarkStart w:id="386" w:name="_Toc9666"/>
      <w:bookmarkStart w:id="387" w:name="_Toc138"/>
      <w:bookmarkStart w:id="388" w:name="_Toc13241"/>
      <w:bookmarkStart w:id="389" w:name="_Toc869"/>
      <w:bookmarkStart w:id="390" w:name="_Toc26763"/>
      <w:bookmarkStart w:id="391" w:name="_Toc6171"/>
      <w:bookmarkStart w:id="392" w:name="_Toc18176"/>
      <w:bookmarkStart w:id="393" w:name="_Toc18130"/>
      <w:r>
        <w:rPr>
          <w:rFonts w:hint="default" w:ascii="Times New Roman" w:hAnsi="Times New Roman" w:eastAsia="仿宋_GB2312" w:cs="Times New Roman"/>
          <w:bCs/>
          <w:color w:val="auto"/>
          <w:kern w:val="2"/>
          <w:highlight w:val="none"/>
        </w:rPr>
        <w:t>4.3.5农业需水预测</w:t>
      </w:r>
      <w:bookmarkEnd w:id="385"/>
      <w:bookmarkEnd w:id="386"/>
      <w:bookmarkEnd w:id="387"/>
      <w:bookmarkEnd w:id="388"/>
      <w:bookmarkEnd w:id="389"/>
      <w:bookmarkEnd w:id="390"/>
      <w:bookmarkEnd w:id="391"/>
      <w:bookmarkEnd w:id="392"/>
      <w:bookmarkEnd w:id="393"/>
    </w:p>
    <w:p>
      <w:pPr>
        <w:pStyle w:val="8"/>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4.3.5.1</w:t>
      </w:r>
      <w:r>
        <w:rPr>
          <w:rFonts w:hint="default" w:ascii="Times New Roman" w:hAnsi="Times New Roman" w:eastAsia="仿宋_GB2312" w:cs="Times New Roman"/>
          <w:color w:val="auto"/>
          <w:szCs w:val="32"/>
          <w:highlight w:val="none"/>
        </w:rPr>
        <w:t>计算方法</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沙坡头区为引黄灌区，灌溉水源主要为黄河水，灌溉工程主要以引、扬黄水为主。</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根据《水资源供需预测分析技术规范》（SL429-2008），农业灌溉宜采用定额法预测需水量，主要考虑净灌溉定额与灌溉水利用系数。</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净灌溉定额应综合考虑作物组成、气候条件、灌溉制度、复种指数等因素。拟定灌溉水利用系数应考虑不同类型灌区的差别，还应考虑灌区的节水发展等的影响。</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本次预测采用综合灌溉定额，按下式预测：</w:t>
      </w:r>
    </w:p>
    <w:p>
      <w:pPr>
        <w:ind w:firstLine="600"/>
        <w:jc w:val="center"/>
        <w:rPr>
          <w:rFonts w:hint="default" w:ascii="Times New Roman" w:hAnsi="Times New Roman" w:cs="Times New Roman"/>
          <w:color w:val="auto"/>
          <w:sz w:val="32"/>
          <w:szCs w:val="32"/>
          <w:highlight w:val="none"/>
        </w:rPr>
      </w:pPr>
      <w:r>
        <w:rPr>
          <w:rFonts w:hint="default" w:ascii="Times New Roman" w:hAnsi="Times New Roman" w:cs="Times New Roman"/>
          <w:color w:val="auto"/>
          <w:sz w:val="32"/>
          <w:szCs w:val="32"/>
          <w:highlight w:val="none"/>
        </w:rPr>
        <w:t>W</w:t>
      </w:r>
      <w:r>
        <w:rPr>
          <w:rFonts w:hint="default" w:ascii="Times New Roman" w:hAnsi="Times New Roman" w:cs="Times New Roman"/>
          <w:color w:val="auto"/>
          <w:sz w:val="32"/>
          <w:szCs w:val="32"/>
          <w:highlight w:val="none"/>
          <w:vertAlign w:val="subscript"/>
        </w:rPr>
        <w:t>农</w:t>
      </w:r>
      <w:r>
        <w:rPr>
          <w:rFonts w:hint="default" w:ascii="Times New Roman" w:hAnsi="Times New Roman" w:cs="Times New Roman"/>
          <w:color w:val="auto"/>
          <w:sz w:val="32"/>
          <w:szCs w:val="32"/>
          <w:highlight w:val="none"/>
        </w:rPr>
        <w:t>=A×m/η</w:t>
      </w:r>
    </w:p>
    <w:p>
      <w:pPr>
        <w:pStyle w:val="27"/>
        <w:spacing w:line="560" w:lineRule="exact"/>
        <w:ind w:firstLine="0" w:firstLineChars="0"/>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式中：W</w:t>
      </w:r>
      <w:r>
        <w:rPr>
          <w:rFonts w:hint="default" w:ascii="Times New Roman" w:hAnsi="Times New Roman" w:eastAsia="仿宋_GB2312" w:cs="Times New Roman"/>
          <w:color w:val="auto"/>
          <w:kern w:val="2"/>
          <w:sz w:val="32"/>
          <w:szCs w:val="32"/>
          <w:highlight w:val="none"/>
          <w:vertAlign w:val="subscript"/>
        </w:rPr>
        <w:t>农</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农业灌溉需水量，万m³；</w:t>
      </w:r>
    </w:p>
    <w:p>
      <w:pPr>
        <w:pStyle w:val="27"/>
        <w:spacing w:line="560" w:lineRule="exact"/>
        <w:ind w:firstLine="960" w:firstLineChars="300"/>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A</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灌溉面积，万亩；</w:t>
      </w:r>
    </w:p>
    <w:p>
      <w:pPr>
        <w:pStyle w:val="27"/>
        <w:spacing w:line="560" w:lineRule="exact"/>
        <w:ind w:firstLine="960" w:firstLineChars="300"/>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val="en-US" w:eastAsia="zh-CN"/>
        </w:rPr>
        <w:t>m</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综合净灌溉定额，m³/亩；</w:t>
      </w:r>
    </w:p>
    <w:p>
      <w:pPr>
        <w:pStyle w:val="27"/>
        <w:spacing w:line="560" w:lineRule="exact"/>
        <w:ind w:firstLine="960" w:firstLineChars="300"/>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η</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平均灌溉水利用系数。</w:t>
      </w:r>
    </w:p>
    <w:p>
      <w:pPr>
        <w:pStyle w:val="8"/>
        <w:keepNext/>
        <w:keepLines/>
        <w:pageBreakBefore w:val="0"/>
        <w:widowControl w:val="0"/>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4.3.5.2</w:t>
      </w:r>
      <w:r>
        <w:rPr>
          <w:rFonts w:hint="default" w:ascii="Times New Roman" w:hAnsi="Times New Roman" w:eastAsia="仿宋_GB2312" w:cs="Times New Roman"/>
          <w:color w:val="auto"/>
          <w:szCs w:val="32"/>
          <w:highlight w:val="none"/>
        </w:rPr>
        <w:t>灌溉定额</w:t>
      </w:r>
    </w:p>
    <w:p>
      <w:pPr>
        <w:rPr>
          <w:rFonts w:hint="default" w:ascii="Times New Roman" w:hAnsi="Times New Roman" w:eastAsia="仿宋_GB2312" w:cs="Times New Roman"/>
          <w:color w:val="auto"/>
          <w:kern w:val="2"/>
          <w:szCs w:val="32"/>
          <w:highlight w:val="none"/>
        </w:rPr>
      </w:pPr>
      <w:r>
        <w:rPr>
          <w:rFonts w:hint="default" w:ascii="Times New Roman" w:hAnsi="Times New Roman" w:eastAsia="仿宋_GB2312" w:cs="Times New Roman"/>
          <w:color w:val="auto"/>
          <w:kern w:val="2"/>
          <w:sz w:val="32"/>
          <w:szCs w:val="32"/>
          <w:highlight w:val="none"/>
        </w:rPr>
        <w:t>按照规划年所涉及作物，根据《自治区人民政府办公厅关于印发宁夏回族自治区有关行业用水定额（修订）的通知》（宁政办规发</w:t>
      </w:r>
      <w:r>
        <w:rPr>
          <w:rFonts w:hint="default" w:ascii="Times New Roman" w:hAnsi="Times New Roman" w:eastAsia="仿宋_GB2312" w:cs="Times New Roman"/>
          <w:color w:val="auto"/>
          <w:sz w:val="32"/>
          <w:szCs w:val="32"/>
          <w:highlight w:val="none"/>
        </w:rPr>
        <w:t>﹝202</w:t>
      </w:r>
      <w:r>
        <w:rPr>
          <w:rFonts w:hint="default" w:ascii="Times New Roman" w:hAnsi="Times New Roman"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kern w:val="2"/>
          <w:sz w:val="32"/>
          <w:szCs w:val="32"/>
          <w:highlight w:val="none"/>
        </w:rPr>
        <w:t>20号）</w:t>
      </w:r>
      <w:r>
        <w:rPr>
          <w:rFonts w:hint="default" w:ascii="Times New Roman" w:hAnsi="Times New Roman" w:cs="Times New Roman"/>
          <w:color w:val="auto"/>
          <w:kern w:val="2"/>
          <w:sz w:val="32"/>
          <w:szCs w:val="32"/>
          <w:highlight w:val="none"/>
          <w:lang w:eastAsia="zh-CN"/>
        </w:rPr>
        <w:t>。详</w:t>
      </w:r>
      <w:r>
        <w:rPr>
          <w:rFonts w:hint="default" w:ascii="Times New Roman" w:hAnsi="Times New Roman" w:eastAsia="仿宋_GB2312" w:cs="Times New Roman"/>
          <w:color w:val="auto"/>
          <w:kern w:val="2"/>
          <w:sz w:val="32"/>
          <w:szCs w:val="32"/>
          <w:highlight w:val="none"/>
        </w:rPr>
        <w:t>见表4.3-9所示。</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表4.3-9</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卫宁灌区不同灌溉方式下作物修订定额</w:t>
      </w:r>
    </w:p>
    <w:p>
      <w:pPr>
        <w:pStyle w:val="22"/>
        <w:ind w:firstLine="7560" w:firstLineChars="3600"/>
        <w:jc w:val="left"/>
        <w:rPr>
          <w:rFonts w:hint="default" w:ascii="Times New Roman" w:hAnsi="Times New Roman" w:eastAsia="仿宋_GB2312" w:cs="Times New Roman"/>
          <w:b w:val="0"/>
          <w:bCs w:val="0"/>
          <w:color w:val="auto"/>
          <w:sz w:val="21"/>
          <w:szCs w:val="21"/>
          <w:highlight w:val="none"/>
          <w:lang w:eastAsia="zh-CN"/>
        </w:rPr>
      </w:pPr>
      <w:r>
        <w:rPr>
          <w:rFonts w:hint="default" w:ascii="Times New Roman" w:hAnsi="Times New Roman" w:eastAsia="仿宋_GB2312" w:cs="Times New Roman"/>
          <w:b w:val="0"/>
          <w:bCs w:val="0"/>
          <w:color w:val="auto"/>
          <w:sz w:val="21"/>
          <w:szCs w:val="21"/>
          <w:highlight w:val="none"/>
        </w:rPr>
        <w:t>单位：m³/亩</w:t>
      </w:r>
    </w:p>
    <w:tbl>
      <w:tblPr>
        <w:tblStyle w:val="17"/>
        <w:tblW w:w="8866"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905"/>
        <w:gridCol w:w="1182"/>
        <w:gridCol w:w="724"/>
        <w:gridCol w:w="724"/>
        <w:gridCol w:w="724"/>
        <w:gridCol w:w="905"/>
        <w:gridCol w:w="724"/>
        <w:gridCol w:w="725"/>
        <w:gridCol w:w="803"/>
        <w:gridCol w:w="725"/>
        <w:gridCol w:w="725"/>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905"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种植</w:t>
            </w:r>
          </w:p>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作物</w:t>
            </w:r>
          </w:p>
        </w:tc>
        <w:tc>
          <w:tcPr>
            <w:tcW w:w="1182"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水稻</w:t>
            </w:r>
          </w:p>
        </w:tc>
        <w:tc>
          <w:tcPr>
            <w:tcW w:w="724"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玉米</w:t>
            </w:r>
          </w:p>
        </w:tc>
        <w:tc>
          <w:tcPr>
            <w:tcW w:w="724"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小麦</w:t>
            </w:r>
          </w:p>
        </w:tc>
        <w:tc>
          <w:tcPr>
            <w:tcW w:w="724"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蔬菜</w:t>
            </w:r>
          </w:p>
        </w:tc>
        <w:tc>
          <w:tcPr>
            <w:tcW w:w="90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葡萄</w:t>
            </w:r>
          </w:p>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种植</w:t>
            </w:r>
          </w:p>
        </w:tc>
        <w:tc>
          <w:tcPr>
            <w:tcW w:w="724"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硒砂瓜</w:t>
            </w:r>
          </w:p>
        </w:tc>
        <w:tc>
          <w:tcPr>
            <w:tcW w:w="72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枸杞</w:t>
            </w:r>
          </w:p>
        </w:tc>
        <w:tc>
          <w:tcPr>
            <w:tcW w:w="803"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果树</w:t>
            </w:r>
          </w:p>
        </w:tc>
        <w:tc>
          <w:tcPr>
            <w:tcW w:w="72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林地</w:t>
            </w:r>
          </w:p>
        </w:tc>
        <w:tc>
          <w:tcPr>
            <w:tcW w:w="725"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其他</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905"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地面灌溉</w:t>
            </w:r>
          </w:p>
        </w:tc>
        <w:tc>
          <w:tcPr>
            <w:tcW w:w="11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830</w:t>
            </w:r>
          </w:p>
        </w:tc>
        <w:tc>
          <w:tcPr>
            <w:tcW w:w="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290</w:t>
            </w:r>
          </w:p>
        </w:tc>
        <w:tc>
          <w:tcPr>
            <w:tcW w:w="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300</w:t>
            </w:r>
          </w:p>
        </w:tc>
        <w:tc>
          <w:tcPr>
            <w:tcW w:w="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380</w:t>
            </w:r>
          </w:p>
        </w:tc>
        <w:tc>
          <w:tcPr>
            <w:tcW w:w="9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350</w:t>
            </w:r>
          </w:p>
        </w:tc>
        <w:tc>
          <w:tcPr>
            <w:tcW w:w="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30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500</w:t>
            </w:r>
          </w:p>
        </w:tc>
        <w:tc>
          <w:tcPr>
            <w:tcW w:w="80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300</w:t>
            </w:r>
          </w:p>
        </w:tc>
        <w:tc>
          <w:tcPr>
            <w:tcW w:w="7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180</w:t>
            </w:r>
          </w:p>
        </w:tc>
        <w:tc>
          <w:tcPr>
            <w:tcW w:w="725"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180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905"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rPr>
              <w:t>高效节水</w:t>
            </w:r>
          </w:p>
        </w:tc>
        <w:tc>
          <w:tcPr>
            <w:tcW w:w="1182"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724"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140</w:t>
            </w:r>
          </w:p>
        </w:tc>
        <w:tc>
          <w:tcPr>
            <w:tcW w:w="724"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724"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300</w:t>
            </w:r>
          </w:p>
        </w:tc>
        <w:tc>
          <w:tcPr>
            <w:tcW w:w="90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280</w:t>
            </w:r>
          </w:p>
        </w:tc>
        <w:tc>
          <w:tcPr>
            <w:tcW w:w="724"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30</w:t>
            </w:r>
          </w:p>
        </w:tc>
        <w:tc>
          <w:tcPr>
            <w:tcW w:w="72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280</w:t>
            </w:r>
          </w:p>
        </w:tc>
        <w:tc>
          <w:tcPr>
            <w:tcW w:w="803"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200</w:t>
            </w:r>
          </w:p>
        </w:tc>
        <w:tc>
          <w:tcPr>
            <w:tcW w:w="72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140</w:t>
            </w:r>
          </w:p>
        </w:tc>
        <w:tc>
          <w:tcPr>
            <w:tcW w:w="725"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140</w:t>
            </w:r>
          </w:p>
        </w:tc>
      </w:tr>
    </w:tbl>
    <w:p>
      <w:pPr>
        <w:spacing w:line="240" w:lineRule="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注释</w:t>
      </w:r>
      <w:r>
        <w:rPr>
          <w:rFonts w:hint="default" w:ascii="Times New Roman" w:hAnsi="Times New Roman" w:eastAsia="仿宋_GB2312" w:cs="Times New Roman"/>
          <w:b/>
          <w:bCs/>
          <w:color w:val="auto"/>
          <w:sz w:val="21"/>
          <w:szCs w:val="21"/>
          <w:highlight w:val="none"/>
        </w:rPr>
        <w:t>：水稻灌溉定额为控制灌溉定额。</w:t>
      </w:r>
    </w:p>
    <w:p>
      <w:pPr>
        <w:pStyle w:val="27"/>
        <w:spacing w:line="560" w:lineRule="exact"/>
        <w:ind w:firstLine="600"/>
        <w:rPr>
          <w:rFonts w:hint="default" w:ascii="Times New Roman" w:hAnsi="Times New Roman" w:eastAsia="仿宋_GB2312" w:cs="Times New Roman"/>
          <w:bCs w:val="0"/>
          <w:color w:val="auto"/>
          <w:kern w:val="2"/>
          <w:sz w:val="32"/>
          <w:szCs w:val="32"/>
          <w:highlight w:val="none"/>
        </w:rPr>
      </w:pPr>
      <w:r>
        <w:rPr>
          <w:rFonts w:hint="default" w:ascii="Times New Roman" w:hAnsi="Times New Roman" w:eastAsia="仿宋_GB2312" w:cs="Times New Roman"/>
          <w:color w:val="auto"/>
          <w:kern w:val="2"/>
          <w:sz w:val="32"/>
          <w:szCs w:val="32"/>
          <w:highlight w:val="none"/>
        </w:rPr>
        <w:t>按照以上定额，确定本次地面灌溉定额，水稻仍采用卫宁灌区的修订定额830m³/亩，旱作物主要为玉米、小麦以及蔬菜，以玉米为主，综合定额取300m³/亩；经果林以枸杞为主，果树为辅，综合灌溉定额为450m³/亩；生态林主要为沟渠田间已有的防护林，综合灌溉定额为180m³/亩；牧草以青贮玉米为主，综合定额为290m³/亩，高效节水灌溉定额与地面灌溉定额推算一致</w:t>
      </w:r>
      <w:r>
        <w:rPr>
          <w:rFonts w:hint="default" w:ascii="Times New Roman" w:hAnsi="Times New Roman" w:cs="Times New Roman"/>
          <w:color w:val="auto"/>
          <w:kern w:val="2"/>
          <w:sz w:val="32"/>
          <w:szCs w:val="32"/>
          <w:highlight w:val="none"/>
          <w:lang w:eastAsia="zh-CN"/>
        </w:rPr>
        <w:t>。详</w:t>
      </w:r>
      <w:r>
        <w:rPr>
          <w:rFonts w:hint="default" w:ascii="Times New Roman" w:hAnsi="Times New Roman" w:eastAsia="仿宋_GB2312" w:cs="Times New Roman"/>
          <w:color w:val="auto"/>
          <w:kern w:val="2"/>
          <w:sz w:val="32"/>
          <w:szCs w:val="32"/>
          <w:highlight w:val="none"/>
        </w:rPr>
        <w:t>见表4.3-10所示。</w:t>
      </w:r>
    </w:p>
    <w:p>
      <w:pPr>
        <w:pStyle w:val="22"/>
        <w:ind w:left="7680" w:hanging="7680" w:hangingChars="2400"/>
        <w:jc w:val="center"/>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方正小标宋_GBK" w:cs="Times New Roman"/>
          <w:b w:val="0"/>
          <w:bCs w:val="0"/>
          <w:color w:val="auto"/>
          <w:sz w:val="32"/>
          <w:szCs w:val="32"/>
          <w:highlight w:val="none"/>
        </w:rPr>
        <w:t>表4.3-10</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 xml:space="preserve">规划2025年不同灌溉方式下作物灌溉定额汇总表 </w:t>
      </w:r>
      <w:r>
        <w:rPr>
          <w:rFonts w:hint="default" w:ascii="Times New Roman" w:hAnsi="Times New Roman" w:eastAsia="仿宋_GB2312" w:cs="Times New Roman"/>
          <w:bCs/>
          <w:color w:val="auto"/>
          <w:szCs w:val="24"/>
          <w:highlight w:val="none"/>
        </w:rPr>
        <w:t xml:space="preserve"> </w:t>
      </w:r>
      <w:r>
        <w:rPr>
          <w:rFonts w:hint="default" w:ascii="Times New Roman" w:hAnsi="Times New Roman" w:eastAsia="仿宋_GB2312" w:cs="Times New Roman"/>
          <w:bCs/>
          <w:color w:val="auto"/>
          <w:szCs w:val="24"/>
          <w:highlight w:val="none"/>
          <w:lang w:val="en-US" w:eastAsia="zh-CN"/>
        </w:rPr>
        <w:t xml:space="preserve">                               </w:t>
      </w:r>
      <w:r>
        <w:rPr>
          <w:rFonts w:hint="default" w:ascii="Times New Roman" w:hAnsi="Times New Roman" w:eastAsia="仿宋_GB2312" w:cs="Times New Roman"/>
          <w:b w:val="0"/>
          <w:bCs w:val="0"/>
          <w:color w:val="auto"/>
          <w:sz w:val="21"/>
          <w:szCs w:val="21"/>
          <w:highlight w:val="none"/>
        </w:rPr>
        <w:t>单位：m³/亩</w:t>
      </w:r>
    </w:p>
    <w:tbl>
      <w:tblPr>
        <w:tblStyle w:val="17"/>
        <w:tblW w:w="8871"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1338"/>
        <w:gridCol w:w="1325"/>
        <w:gridCol w:w="1454"/>
        <w:gridCol w:w="1325"/>
        <w:gridCol w:w="1325"/>
        <w:gridCol w:w="2104"/>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1338"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eastAsia="zh-CN"/>
              </w:rPr>
            </w:pPr>
            <w:r>
              <w:rPr>
                <w:rFonts w:hint="default" w:ascii="Times New Roman" w:hAnsi="Times New Roman" w:eastAsia="仿宋_GB2312" w:cs="Times New Roman"/>
                <w:b/>
                <w:bCs/>
                <w:color w:val="auto"/>
                <w:kern w:val="2"/>
                <w:szCs w:val="21"/>
                <w:highlight w:val="none"/>
                <w:lang w:val="en-US" w:eastAsia="zh-CN"/>
              </w:rPr>
              <w:t>灌溉方式/</w:t>
            </w:r>
          </w:p>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eastAsia="zh-CN"/>
              </w:rPr>
              <w:t>区域名称</w:t>
            </w:r>
          </w:p>
        </w:tc>
        <w:tc>
          <w:tcPr>
            <w:tcW w:w="132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水稻</w:t>
            </w:r>
          </w:p>
        </w:tc>
        <w:tc>
          <w:tcPr>
            <w:tcW w:w="1454"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旱作农作物</w:t>
            </w:r>
          </w:p>
        </w:tc>
        <w:tc>
          <w:tcPr>
            <w:tcW w:w="132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经果林</w:t>
            </w:r>
          </w:p>
        </w:tc>
        <w:tc>
          <w:tcPr>
            <w:tcW w:w="132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生态林地</w:t>
            </w:r>
          </w:p>
        </w:tc>
        <w:tc>
          <w:tcPr>
            <w:tcW w:w="2104"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牧草</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133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地面灌溉</w:t>
            </w:r>
          </w:p>
        </w:tc>
        <w:tc>
          <w:tcPr>
            <w:tcW w:w="1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830</w:t>
            </w:r>
          </w:p>
        </w:tc>
        <w:tc>
          <w:tcPr>
            <w:tcW w:w="14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375</w:t>
            </w:r>
          </w:p>
        </w:tc>
        <w:tc>
          <w:tcPr>
            <w:tcW w:w="1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450</w:t>
            </w:r>
          </w:p>
        </w:tc>
        <w:tc>
          <w:tcPr>
            <w:tcW w:w="1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180</w:t>
            </w:r>
          </w:p>
        </w:tc>
        <w:tc>
          <w:tcPr>
            <w:tcW w:w="2104"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290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133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高效节水</w:t>
            </w:r>
          </w:p>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灌溉</w:t>
            </w:r>
          </w:p>
        </w:tc>
        <w:tc>
          <w:tcPr>
            <w:tcW w:w="1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4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230</w:t>
            </w:r>
          </w:p>
        </w:tc>
        <w:tc>
          <w:tcPr>
            <w:tcW w:w="1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280</w:t>
            </w:r>
          </w:p>
        </w:tc>
        <w:tc>
          <w:tcPr>
            <w:tcW w:w="13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140</w:t>
            </w:r>
          </w:p>
        </w:tc>
        <w:tc>
          <w:tcPr>
            <w:tcW w:w="2104"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140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1338"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_GB2312" w:cs="Times New Roman"/>
                <w:color w:val="auto"/>
                <w:kern w:val="2"/>
                <w:szCs w:val="21"/>
                <w:highlight w:val="none"/>
                <w:lang w:val="en-US"/>
              </w:rPr>
              <w:t>香山兴仁</w:t>
            </w:r>
          </w:p>
        </w:tc>
        <w:tc>
          <w:tcPr>
            <w:tcW w:w="132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454"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30</w:t>
            </w:r>
          </w:p>
        </w:tc>
        <w:tc>
          <w:tcPr>
            <w:tcW w:w="132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120</w:t>
            </w:r>
          </w:p>
        </w:tc>
        <w:tc>
          <w:tcPr>
            <w:tcW w:w="132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60</w:t>
            </w:r>
          </w:p>
        </w:tc>
        <w:tc>
          <w:tcPr>
            <w:tcW w:w="2104"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r>
    </w:tbl>
    <w:p>
      <w:pPr>
        <w:pStyle w:val="8"/>
        <w:keepNext/>
        <w:keepLines/>
        <w:pageBreakBefore w:val="0"/>
        <w:widowControl w:val="0"/>
        <w:kinsoku/>
        <w:wordWrap/>
        <w:overflowPunct/>
        <w:topLinePunct w:val="0"/>
        <w:autoSpaceDE/>
        <w:autoSpaceDN/>
        <w:bidi w:val="0"/>
        <w:adjustRightInd w:val="0"/>
        <w:snapToGrid w:val="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4.3.5.3</w:t>
      </w:r>
      <w:r>
        <w:rPr>
          <w:rFonts w:hint="default" w:ascii="Times New Roman" w:hAnsi="Times New Roman" w:eastAsia="仿宋_GB2312" w:cs="Times New Roman"/>
          <w:color w:val="auto"/>
          <w:szCs w:val="32"/>
          <w:highlight w:val="none"/>
        </w:rPr>
        <w:t>灌溉水有效利用系数</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根据《宁夏2020年水资源公报》以及《2020年宁夏回族自治区农田灌溉水有效利用系数测算分析成果报告（含市县）》确定各灌区及各干渠的灌溉水有效利用系数，确定支斗渠水利用系数</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详见表4.3-11</w:t>
      </w:r>
      <w:r>
        <w:rPr>
          <w:rFonts w:hint="default" w:ascii="Times New Roman" w:hAnsi="Times New Roman" w:cs="Times New Roman"/>
          <w:color w:val="auto"/>
          <w:kern w:val="2"/>
          <w:sz w:val="32"/>
          <w:szCs w:val="32"/>
          <w:highlight w:val="none"/>
          <w:lang w:eastAsia="zh-CN"/>
        </w:rPr>
        <w:t>所示</w:t>
      </w:r>
      <w:r>
        <w:rPr>
          <w:rFonts w:hint="default" w:ascii="Times New Roman" w:hAnsi="Times New Roman" w:eastAsia="仿宋_GB2312" w:cs="Times New Roman"/>
          <w:color w:val="auto"/>
          <w:kern w:val="2"/>
          <w:sz w:val="32"/>
          <w:szCs w:val="32"/>
          <w:highlight w:val="none"/>
        </w:rPr>
        <w:t>。</w:t>
      </w:r>
    </w:p>
    <w:p>
      <w:pPr>
        <w:pStyle w:val="22"/>
        <w:ind w:left="7680" w:hanging="7680" w:hangingChars="2400"/>
        <w:jc w:val="center"/>
        <w:rPr>
          <w:rFonts w:hint="default" w:ascii="Times New Roman" w:hAnsi="Times New Roman" w:eastAsia="方正小标宋_GBK" w:cs="Times New Roman"/>
          <w:b w:val="0"/>
          <w:bCs w:val="0"/>
          <w:color w:val="auto"/>
          <w:sz w:val="32"/>
          <w:szCs w:val="32"/>
          <w:highlight w:val="none"/>
          <w:lang w:eastAsia="zh-CN"/>
        </w:rPr>
      </w:pPr>
      <w:r>
        <w:rPr>
          <w:rFonts w:hint="default" w:ascii="Times New Roman" w:hAnsi="Times New Roman" w:eastAsia="方正小标宋_GBK" w:cs="Times New Roman"/>
          <w:b w:val="0"/>
          <w:bCs w:val="0"/>
          <w:color w:val="auto"/>
          <w:sz w:val="32"/>
          <w:szCs w:val="32"/>
          <w:highlight w:val="none"/>
        </w:rPr>
        <w:t>表4.3-11</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规划2025年不同</w:t>
      </w:r>
      <w:r>
        <w:rPr>
          <w:rFonts w:hint="default" w:ascii="Times New Roman" w:hAnsi="Times New Roman" w:eastAsia="方正小标宋_GBK" w:cs="Times New Roman"/>
          <w:b w:val="0"/>
          <w:bCs w:val="0"/>
          <w:color w:val="auto"/>
          <w:sz w:val="32"/>
          <w:szCs w:val="32"/>
          <w:highlight w:val="none"/>
          <w:lang w:val="en-US" w:eastAsia="zh-CN"/>
        </w:rPr>
        <w:t>渠道渠系水利用系数</w:t>
      </w:r>
      <w:r>
        <w:rPr>
          <w:rFonts w:hint="default" w:ascii="Times New Roman" w:hAnsi="Times New Roman" w:eastAsia="方正小标宋_GBK" w:cs="Times New Roman"/>
          <w:b w:val="0"/>
          <w:bCs w:val="0"/>
          <w:color w:val="auto"/>
          <w:sz w:val="32"/>
          <w:szCs w:val="32"/>
          <w:highlight w:val="none"/>
        </w:rPr>
        <w:t>汇总表</w:t>
      </w:r>
    </w:p>
    <w:tbl>
      <w:tblPr>
        <w:tblStyle w:val="17"/>
        <w:tblW w:w="8871"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2068"/>
        <w:gridCol w:w="2158"/>
        <w:gridCol w:w="1775"/>
        <w:gridCol w:w="2870"/>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76" w:hRule="atLeast"/>
          <w:tblHeader/>
          <w:jc w:val="center"/>
        </w:trPr>
        <w:tc>
          <w:tcPr>
            <w:tcW w:w="2068"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eastAsia="zh-CN"/>
              </w:rPr>
              <w:t>渠道名称</w:t>
            </w:r>
          </w:p>
        </w:tc>
        <w:tc>
          <w:tcPr>
            <w:tcW w:w="2158"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灌溉水有效利用系数</w:t>
            </w:r>
          </w:p>
        </w:tc>
        <w:tc>
          <w:tcPr>
            <w:tcW w:w="177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干渠水利用系数</w:t>
            </w:r>
          </w:p>
        </w:tc>
        <w:tc>
          <w:tcPr>
            <w:tcW w:w="2870"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支斗渠（含田间）水利用系数</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53" w:hRule="atLeast"/>
          <w:jc w:val="center"/>
        </w:trPr>
        <w:tc>
          <w:tcPr>
            <w:tcW w:w="206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美利渠</w:t>
            </w:r>
          </w:p>
        </w:tc>
        <w:tc>
          <w:tcPr>
            <w:tcW w:w="2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0.449</w:t>
            </w:r>
          </w:p>
        </w:tc>
        <w:tc>
          <w:tcPr>
            <w:tcW w:w="17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0.865</w:t>
            </w:r>
          </w:p>
        </w:tc>
        <w:tc>
          <w:tcPr>
            <w:tcW w:w="287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eastAsia="zh-CN"/>
              </w:rPr>
            </w:pPr>
            <w:r>
              <w:rPr>
                <w:rFonts w:hint="default" w:ascii="Times New Roman" w:hAnsi="Times New Roman" w:eastAsia="仿宋" w:cs="Times New Roman"/>
                <w:color w:val="auto"/>
                <w:sz w:val="22"/>
                <w:szCs w:val="32"/>
                <w:highlight w:val="none"/>
              </w:rPr>
              <w:t>0.519</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53" w:hRule="atLeast"/>
          <w:jc w:val="center"/>
        </w:trPr>
        <w:tc>
          <w:tcPr>
            <w:tcW w:w="206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北支干渠</w:t>
            </w:r>
          </w:p>
        </w:tc>
        <w:tc>
          <w:tcPr>
            <w:tcW w:w="2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0.449</w:t>
            </w:r>
          </w:p>
        </w:tc>
        <w:tc>
          <w:tcPr>
            <w:tcW w:w="17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0.865</w:t>
            </w:r>
          </w:p>
        </w:tc>
        <w:tc>
          <w:tcPr>
            <w:tcW w:w="287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eastAsia="zh-CN"/>
              </w:rPr>
            </w:pPr>
            <w:r>
              <w:rPr>
                <w:rFonts w:hint="default" w:ascii="Times New Roman" w:hAnsi="Times New Roman" w:eastAsia="仿宋" w:cs="Times New Roman"/>
                <w:color w:val="auto"/>
                <w:sz w:val="22"/>
                <w:szCs w:val="32"/>
                <w:highlight w:val="none"/>
              </w:rPr>
              <w:t>0.519</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53" w:hRule="atLeast"/>
          <w:jc w:val="center"/>
        </w:trPr>
        <w:tc>
          <w:tcPr>
            <w:tcW w:w="206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七星渠</w:t>
            </w:r>
          </w:p>
        </w:tc>
        <w:tc>
          <w:tcPr>
            <w:tcW w:w="2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0.491</w:t>
            </w:r>
          </w:p>
        </w:tc>
        <w:tc>
          <w:tcPr>
            <w:tcW w:w="17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0.859</w:t>
            </w:r>
          </w:p>
        </w:tc>
        <w:tc>
          <w:tcPr>
            <w:tcW w:w="287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eastAsia="zh-CN"/>
              </w:rPr>
            </w:pPr>
            <w:r>
              <w:rPr>
                <w:rFonts w:hint="default" w:ascii="Times New Roman" w:hAnsi="Times New Roman" w:eastAsia="仿宋" w:cs="Times New Roman"/>
                <w:color w:val="auto"/>
                <w:sz w:val="22"/>
                <w:szCs w:val="32"/>
                <w:highlight w:val="none"/>
              </w:rPr>
              <w:t>0.572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53" w:hRule="atLeast"/>
          <w:jc w:val="center"/>
        </w:trPr>
        <w:tc>
          <w:tcPr>
            <w:tcW w:w="206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羚羊角渠</w:t>
            </w:r>
          </w:p>
        </w:tc>
        <w:tc>
          <w:tcPr>
            <w:tcW w:w="2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0.727</w:t>
            </w:r>
          </w:p>
        </w:tc>
        <w:tc>
          <w:tcPr>
            <w:tcW w:w="17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0.879</w:t>
            </w:r>
          </w:p>
        </w:tc>
        <w:tc>
          <w:tcPr>
            <w:tcW w:w="287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eastAsia="zh-CN"/>
              </w:rPr>
            </w:pPr>
            <w:r>
              <w:rPr>
                <w:rFonts w:hint="default" w:ascii="Times New Roman" w:hAnsi="Times New Roman" w:eastAsia="仿宋" w:cs="Times New Roman"/>
                <w:color w:val="auto"/>
                <w:sz w:val="22"/>
                <w:szCs w:val="32"/>
                <w:highlight w:val="none"/>
              </w:rPr>
              <w:t>0.827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53" w:hRule="atLeast"/>
          <w:jc w:val="center"/>
        </w:trPr>
        <w:tc>
          <w:tcPr>
            <w:tcW w:w="206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羚羊寿渠</w:t>
            </w:r>
          </w:p>
        </w:tc>
        <w:tc>
          <w:tcPr>
            <w:tcW w:w="2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0.727</w:t>
            </w:r>
          </w:p>
        </w:tc>
        <w:tc>
          <w:tcPr>
            <w:tcW w:w="17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0.879</w:t>
            </w:r>
          </w:p>
        </w:tc>
        <w:tc>
          <w:tcPr>
            <w:tcW w:w="287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eastAsia="zh-CN"/>
              </w:rPr>
            </w:pPr>
            <w:r>
              <w:rPr>
                <w:rFonts w:hint="default" w:ascii="Times New Roman" w:hAnsi="Times New Roman" w:eastAsia="仿宋" w:cs="Times New Roman"/>
                <w:color w:val="auto"/>
                <w:sz w:val="22"/>
                <w:szCs w:val="32"/>
                <w:highlight w:val="none"/>
              </w:rPr>
              <w:t>0.827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53" w:hRule="atLeast"/>
          <w:jc w:val="center"/>
        </w:trPr>
        <w:tc>
          <w:tcPr>
            <w:tcW w:w="206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南山台子扬水</w:t>
            </w:r>
          </w:p>
        </w:tc>
        <w:tc>
          <w:tcPr>
            <w:tcW w:w="2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0.727</w:t>
            </w:r>
          </w:p>
        </w:tc>
        <w:tc>
          <w:tcPr>
            <w:tcW w:w="17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0.879</w:t>
            </w:r>
          </w:p>
        </w:tc>
        <w:tc>
          <w:tcPr>
            <w:tcW w:w="287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eastAsia="zh-CN"/>
              </w:rPr>
            </w:pPr>
            <w:r>
              <w:rPr>
                <w:rFonts w:hint="default" w:ascii="Times New Roman" w:hAnsi="Times New Roman" w:eastAsia="仿宋" w:cs="Times New Roman"/>
                <w:color w:val="auto"/>
                <w:sz w:val="22"/>
                <w:szCs w:val="32"/>
                <w:highlight w:val="none"/>
              </w:rPr>
              <w:t>0.827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53" w:hRule="atLeast"/>
          <w:jc w:val="center"/>
        </w:trPr>
        <w:tc>
          <w:tcPr>
            <w:tcW w:w="206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固海扬水</w:t>
            </w:r>
          </w:p>
        </w:tc>
        <w:tc>
          <w:tcPr>
            <w:tcW w:w="2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0.641</w:t>
            </w:r>
          </w:p>
        </w:tc>
        <w:tc>
          <w:tcPr>
            <w:tcW w:w="17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rPr>
              <w:t>0.879</w:t>
            </w:r>
          </w:p>
        </w:tc>
        <w:tc>
          <w:tcPr>
            <w:tcW w:w="287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eastAsia="zh-CN"/>
              </w:rPr>
            </w:pPr>
            <w:r>
              <w:rPr>
                <w:rFonts w:hint="default" w:ascii="Times New Roman" w:hAnsi="Times New Roman" w:eastAsia="仿宋" w:cs="Times New Roman"/>
                <w:color w:val="auto"/>
                <w:sz w:val="22"/>
                <w:szCs w:val="32"/>
                <w:highlight w:val="none"/>
              </w:rPr>
              <w:t>0.729</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53" w:hRule="atLeast"/>
          <w:jc w:val="center"/>
        </w:trPr>
        <w:tc>
          <w:tcPr>
            <w:tcW w:w="206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eastAsia="zh-CN"/>
              </w:rPr>
              <w:t>马滩渠等引黄</w:t>
            </w:r>
          </w:p>
        </w:tc>
        <w:tc>
          <w:tcPr>
            <w:tcW w:w="2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0.727</w:t>
            </w:r>
          </w:p>
        </w:tc>
        <w:tc>
          <w:tcPr>
            <w:tcW w:w="17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0.879</w:t>
            </w:r>
          </w:p>
        </w:tc>
        <w:tc>
          <w:tcPr>
            <w:tcW w:w="287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0.827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53" w:hRule="atLeast"/>
          <w:jc w:val="center"/>
        </w:trPr>
        <w:tc>
          <w:tcPr>
            <w:tcW w:w="206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碱碱湖扬水干渠</w:t>
            </w:r>
          </w:p>
        </w:tc>
        <w:tc>
          <w:tcPr>
            <w:tcW w:w="2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0.727</w:t>
            </w:r>
          </w:p>
        </w:tc>
        <w:tc>
          <w:tcPr>
            <w:tcW w:w="17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0.879</w:t>
            </w:r>
          </w:p>
        </w:tc>
        <w:tc>
          <w:tcPr>
            <w:tcW w:w="287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0.827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53" w:hRule="atLeast"/>
          <w:jc w:val="center"/>
        </w:trPr>
        <w:tc>
          <w:tcPr>
            <w:tcW w:w="206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峡门水库供水</w:t>
            </w:r>
          </w:p>
        </w:tc>
        <w:tc>
          <w:tcPr>
            <w:tcW w:w="2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0.778</w:t>
            </w:r>
          </w:p>
        </w:tc>
        <w:tc>
          <w:tcPr>
            <w:tcW w:w="17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1</w:t>
            </w:r>
          </w:p>
        </w:tc>
        <w:tc>
          <w:tcPr>
            <w:tcW w:w="287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0.778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53" w:hRule="atLeast"/>
          <w:jc w:val="center"/>
        </w:trPr>
        <w:tc>
          <w:tcPr>
            <w:tcW w:w="206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兴仁香山补灌工程</w:t>
            </w:r>
          </w:p>
        </w:tc>
        <w:tc>
          <w:tcPr>
            <w:tcW w:w="2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0.778</w:t>
            </w:r>
          </w:p>
        </w:tc>
        <w:tc>
          <w:tcPr>
            <w:tcW w:w="177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1</w:t>
            </w:r>
          </w:p>
        </w:tc>
        <w:tc>
          <w:tcPr>
            <w:tcW w:w="2870"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0.778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85" w:hRule="atLeast"/>
          <w:jc w:val="center"/>
        </w:trPr>
        <w:tc>
          <w:tcPr>
            <w:tcW w:w="2068" w:type="dxa"/>
            <w:tcBorders>
              <w:top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其他</w:t>
            </w:r>
          </w:p>
        </w:tc>
        <w:tc>
          <w:tcPr>
            <w:tcW w:w="2158"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0.778</w:t>
            </w:r>
          </w:p>
        </w:tc>
        <w:tc>
          <w:tcPr>
            <w:tcW w:w="177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1</w:t>
            </w:r>
          </w:p>
        </w:tc>
        <w:tc>
          <w:tcPr>
            <w:tcW w:w="2870" w:type="dxa"/>
            <w:tcBorders>
              <w:top w:val="single" w:color="000000" w:sz="4" w:space="0"/>
              <w:lef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 w:cs="Times New Roman"/>
                <w:color w:val="auto"/>
                <w:sz w:val="22"/>
                <w:szCs w:val="32"/>
                <w:highlight w:val="none"/>
              </w:rPr>
              <w:t>0.778</w:t>
            </w:r>
          </w:p>
        </w:tc>
      </w:tr>
    </w:tbl>
    <w:p>
      <w:pPr>
        <w:pStyle w:val="8"/>
        <w:keepNext/>
        <w:keepLines/>
        <w:pageBreakBefore w:val="0"/>
        <w:widowControl w:val="0"/>
        <w:kinsoku/>
        <w:wordWrap/>
        <w:overflowPunct/>
        <w:topLinePunct w:val="0"/>
        <w:autoSpaceDE/>
        <w:autoSpaceDN/>
        <w:bidi w:val="0"/>
        <w:adjustRightInd w:val="0"/>
        <w:snapToGrid w:val="0"/>
        <w:spacing w:before="0" w:beforeLines="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4.3.5.4</w:t>
      </w:r>
      <w:r>
        <w:rPr>
          <w:rFonts w:hint="default" w:ascii="Times New Roman" w:hAnsi="Times New Roman" w:eastAsia="仿宋_GB2312" w:cs="Times New Roman"/>
          <w:color w:val="auto"/>
          <w:szCs w:val="32"/>
          <w:highlight w:val="none"/>
        </w:rPr>
        <w:t>需水量预测</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结合</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自治区人民政府办公厅关于印发宁夏“十四五”用水权管控指标方案的通知</w:t>
      </w:r>
      <w:r>
        <w:rPr>
          <w:rFonts w:hint="default" w:ascii="Times New Roman" w:hAnsi="Times New Roman" w:eastAsia="仿宋_GB2312" w:cs="Times New Roman"/>
          <w:color w:val="auto"/>
          <w:sz w:val="32"/>
          <w:szCs w:val="32"/>
          <w:highlight w:val="none"/>
        </w:rPr>
        <w:t>》</w:t>
      </w:r>
      <w:r>
        <w:rPr>
          <w:rFonts w:hint="default" w:ascii="Times New Roman" w:hAnsi="Times New Roman" w:cs="Times New Roman"/>
          <w:color w:val="auto"/>
          <w:sz w:val="32"/>
          <w:szCs w:val="32"/>
          <w:highlight w:val="none"/>
          <w:lang w:eastAsia="zh-CN"/>
        </w:rPr>
        <w:t>宁政办发</w:t>
      </w:r>
      <w:r>
        <w:rPr>
          <w:rFonts w:hint="default" w:ascii="Times New Roman" w:hAnsi="Times New Roman" w:eastAsia="仿宋_GB2312" w:cs="Times New Roman"/>
          <w:color w:val="auto"/>
          <w:sz w:val="32"/>
          <w:szCs w:val="32"/>
          <w:highlight w:val="none"/>
        </w:rPr>
        <w:t>﹝202</w:t>
      </w:r>
      <w:r>
        <w:rPr>
          <w:rFonts w:hint="default" w:ascii="Times New Roman" w:hAnsi="Times New Roman"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w:t>
      </w:r>
      <w:r>
        <w:rPr>
          <w:rFonts w:hint="default" w:ascii="Times New Roman" w:hAnsi="Times New Roman" w:cs="Times New Roman"/>
          <w:color w:val="auto"/>
          <w:sz w:val="32"/>
          <w:szCs w:val="32"/>
          <w:highlight w:val="none"/>
          <w:lang w:val="en-US" w:eastAsia="zh-CN"/>
        </w:rPr>
        <w:t>76号</w:t>
      </w:r>
      <w:r>
        <w:rPr>
          <w:rFonts w:hint="default" w:ascii="Times New Roman" w:hAnsi="Times New Roman" w:eastAsia="仿宋_GB2312" w:cs="Times New Roman"/>
          <w:color w:val="auto"/>
          <w:kern w:val="2"/>
          <w:sz w:val="32"/>
          <w:szCs w:val="32"/>
          <w:highlight w:val="none"/>
        </w:rPr>
        <w:t>，本次农业需水预测不含冬灌用水量，在规划种植结构以及灌溉定额的基础上，本次农业净</w:t>
      </w:r>
      <w:r>
        <w:rPr>
          <w:rFonts w:hint="default" w:ascii="Times New Roman" w:hAnsi="Times New Roman" w:cs="Times New Roman"/>
          <w:color w:val="auto"/>
          <w:kern w:val="2"/>
          <w:sz w:val="32"/>
          <w:szCs w:val="32"/>
          <w:highlight w:val="none"/>
          <w:lang w:eastAsia="zh-CN"/>
        </w:rPr>
        <w:t>用</w:t>
      </w:r>
      <w:r>
        <w:rPr>
          <w:rFonts w:hint="default" w:ascii="Times New Roman" w:hAnsi="Times New Roman" w:eastAsia="仿宋_GB2312" w:cs="Times New Roman"/>
          <w:color w:val="auto"/>
          <w:kern w:val="2"/>
          <w:sz w:val="32"/>
          <w:szCs w:val="32"/>
          <w:highlight w:val="none"/>
        </w:rPr>
        <w:t>水量为20137万m³，</w:t>
      </w:r>
      <w:r>
        <w:rPr>
          <w:rFonts w:hint="default" w:ascii="Times New Roman" w:hAnsi="Times New Roman" w:cs="Times New Roman"/>
          <w:color w:val="auto"/>
          <w:kern w:val="2"/>
          <w:sz w:val="32"/>
          <w:szCs w:val="32"/>
          <w:highlight w:val="none"/>
          <w:lang w:eastAsia="zh-CN"/>
        </w:rPr>
        <w:t>取</w:t>
      </w:r>
      <w:r>
        <w:rPr>
          <w:rFonts w:hint="default" w:ascii="Times New Roman" w:hAnsi="Times New Roman" w:eastAsia="仿宋_GB2312" w:cs="Times New Roman"/>
          <w:color w:val="auto"/>
          <w:kern w:val="2"/>
          <w:sz w:val="32"/>
          <w:szCs w:val="32"/>
          <w:highlight w:val="none"/>
        </w:rPr>
        <w:t>水量为37800万m³</w:t>
      </w:r>
      <w:r>
        <w:rPr>
          <w:rFonts w:hint="default" w:ascii="Times New Roman" w:hAnsi="Times New Roman" w:cs="Times New Roman"/>
          <w:color w:val="auto"/>
          <w:kern w:val="2"/>
          <w:sz w:val="32"/>
          <w:szCs w:val="32"/>
          <w:highlight w:val="none"/>
          <w:lang w:eastAsia="zh-CN"/>
        </w:rPr>
        <w:t>，各渠道、各水源的取用水，</w:t>
      </w:r>
      <w:r>
        <w:rPr>
          <w:rFonts w:hint="default" w:ascii="Times New Roman" w:hAnsi="Times New Roman" w:eastAsia="仿宋_GB2312" w:cs="Times New Roman"/>
          <w:color w:val="auto"/>
          <w:kern w:val="2"/>
          <w:sz w:val="32"/>
          <w:szCs w:val="32"/>
          <w:highlight w:val="none"/>
        </w:rPr>
        <w:t>规划2025年不同作物需水量计算</w:t>
      </w:r>
      <w:r>
        <w:rPr>
          <w:rFonts w:hint="default" w:ascii="Times New Roman" w:hAnsi="Times New Roman" w:cs="Times New Roman"/>
          <w:color w:val="auto"/>
          <w:kern w:val="2"/>
          <w:sz w:val="32"/>
          <w:szCs w:val="32"/>
          <w:highlight w:val="none"/>
          <w:lang w:eastAsia="zh-CN"/>
        </w:rPr>
        <w:t>表，</w:t>
      </w:r>
      <w:r>
        <w:rPr>
          <w:rFonts w:hint="default" w:ascii="Times New Roman" w:hAnsi="Times New Roman" w:eastAsia="仿宋_GB2312" w:cs="Times New Roman"/>
          <w:color w:val="auto"/>
          <w:kern w:val="2"/>
          <w:sz w:val="32"/>
          <w:szCs w:val="32"/>
          <w:highlight w:val="none"/>
        </w:rPr>
        <w:t>详见表4.3-12。</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表4.3-12</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规划2025年不同作物需水量计算表</w:t>
      </w:r>
    </w:p>
    <w:p>
      <w:pPr>
        <w:pStyle w:val="22"/>
        <w:jc w:val="center"/>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lang w:val="en-US" w:eastAsia="zh-CN"/>
        </w:rPr>
        <w:t xml:space="preserve">                                                                     </w:t>
      </w:r>
      <w:r>
        <w:rPr>
          <w:rFonts w:hint="default" w:ascii="Times New Roman" w:hAnsi="Times New Roman" w:eastAsia="仿宋_GB2312" w:cs="Times New Roman"/>
          <w:b w:val="0"/>
          <w:bCs w:val="0"/>
          <w:color w:val="auto"/>
          <w:sz w:val="21"/>
          <w:szCs w:val="21"/>
          <w:highlight w:val="none"/>
        </w:rPr>
        <w:t>单位：万m³</w:t>
      </w:r>
    </w:p>
    <w:tbl>
      <w:tblPr>
        <w:tblStyle w:val="17"/>
        <w:tblW w:w="8855"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2324"/>
        <w:gridCol w:w="720"/>
        <w:gridCol w:w="1313"/>
        <w:gridCol w:w="872"/>
        <w:gridCol w:w="1163"/>
        <w:gridCol w:w="583"/>
        <w:gridCol w:w="1090"/>
        <w:gridCol w:w="790"/>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324"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渠道名称</w:t>
            </w:r>
          </w:p>
        </w:tc>
        <w:tc>
          <w:tcPr>
            <w:tcW w:w="720"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水稻</w:t>
            </w:r>
          </w:p>
        </w:tc>
        <w:tc>
          <w:tcPr>
            <w:tcW w:w="1313"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旱作农作物</w:t>
            </w:r>
          </w:p>
        </w:tc>
        <w:tc>
          <w:tcPr>
            <w:tcW w:w="872"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经果林</w:t>
            </w:r>
          </w:p>
        </w:tc>
        <w:tc>
          <w:tcPr>
            <w:tcW w:w="1163"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生态林地</w:t>
            </w:r>
          </w:p>
        </w:tc>
        <w:tc>
          <w:tcPr>
            <w:tcW w:w="583" w:type="dxa"/>
            <w:tcBorders>
              <w:left w:val="single" w:color="000000" w:sz="4" w:space="0"/>
              <w:bottom w:val="single" w:color="000000" w:sz="4" w:space="0"/>
              <w:right w:val="single" w:color="auto"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牧草</w:t>
            </w:r>
          </w:p>
        </w:tc>
        <w:tc>
          <w:tcPr>
            <w:tcW w:w="1090" w:type="dxa"/>
            <w:tcBorders>
              <w:left w:val="single" w:color="auto" w:sz="4" w:space="0"/>
              <w:bottom w:val="single" w:color="auto" w:sz="4" w:space="0"/>
              <w:right w:val="single" w:color="auto"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净用水量</w:t>
            </w:r>
          </w:p>
        </w:tc>
        <w:tc>
          <w:tcPr>
            <w:tcW w:w="790" w:type="dxa"/>
            <w:tcBorders>
              <w:left w:val="single" w:color="auto" w:sz="4" w:space="0"/>
              <w:bottom w:val="single" w:color="auto"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取水量</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32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美利渠</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830</w:t>
            </w:r>
          </w:p>
        </w:tc>
        <w:tc>
          <w:tcPr>
            <w:tcW w:w="13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1286</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1686</w:t>
            </w:r>
          </w:p>
        </w:tc>
        <w:tc>
          <w:tcPr>
            <w:tcW w:w="11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43</w:t>
            </w:r>
          </w:p>
        </w:tc>
        <w:tc>
          <w:tcPr>
            <w:tcW w:w="583"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667</w:t>
            </w:r>
          </w:p>
        </w:tc>
        <w:tc>
          <w:tcPr>
            <w:tcW w:w="10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4511</w:t>
            </w:r>
          </w:p>
        </w:tc>
        <w:tc>
          <w:tcPr>
            <w:tcW w:w="790" w:type="dxa"/>
            <w:tcBorders>
              <w:top w:val="single" w:color="auto" w:sz="4" w:space="0"/>
              <w:left w:val="single" w:color="auto" w:sz="4" w:space="0"/>
              <w:bottom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10937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32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北支干渠</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p>
        </w:tc>
        <w:tc>
          <w:tcPr>
            <w:tcW w:w="13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603</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1422</w:t>
            </w:r>
          </w:p>
        </w:tc>
        <w:tc>
          <w:tcPr>
            <w:tcW w:w="11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656</w:t>
            </w:r>
          </w:p>
        </w:tc>
        <w:tc>
          <w:tcPr>
            <w:tcW w:w="583"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792</w:t>
            </w:r>
          </w:p>
        </w:tc>
        <w:tc>
          <w:tcPr>
            <w:tcW w:w="10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3472</w:t>
            </w:r>
          </w:p>
        </w:tc>
        <w:tc>
          <w:tcPr>
            <w:tcW w:w="790" w:type="dxa"/>
            <w:tcBorders>
              <w:top w:val="single" w:color="auto" w:sz="4" w:space="0"/>
              <w:left w:val="single" w:color="auto" w:sz="4" w:space="0"/>
              <w:bottom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8446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32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七星渠</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p>
        </w:tc>
        <w:tc>
          <w:tcPr>
            <w:tcW w:w="13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462</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532</w:t>
            </w:r>
          </w:p>
        </w:tc>
        <w:tc>
          <w:tcPr>
            <w:tcW w:w="11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p>
        </w:tc>
        <w:tc>
          <w:tcPr>
            <w:tcW w:w="583"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153</w:t>
            </w:r>
          </w:p>
        </w:tc>
        <w:tc>
          <w:tcPr>
            <w:tcW w:w="10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1147</w:t>
            </w:r>
          </w:p>
        </w:tc>
        <w:tc>
          <w:tcPr>
            <w:tcW w:w="790" w:type="dxa"/>
            <w:tcBorders>
              <w:top w:val="single" w:color="auto" w:sz="4" w:space="0"/>
              <w:left w:val="single" w:color="auto" w:sz="4" w:space="0"/>
              <w:bottom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2534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32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羚羊角渠</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p>
        </w:tc>
        <w:tc>
          <w:tcPr>
            <w:tcW w:w="13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70</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100</w:t>
            </w:r>
          </w:p>
        </w:tc>
        <w:tc>
          <w:tcPr>
            <w:tcW w:w="11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p>
        </w:tc>
        <w:tc>
          <w:tcPr>
            <w:tcW w:w="583"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97</w:t>
            </w:r>
          </w:p>
        </w:tc>
        <w:tc>
          <w:tcPr>
            <w:tcW w:w="10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267</w:t>
            </w:r>
          </w:p>
        </w:tc>
        <w:tc>
          <w:tcPr>
            <w:tcW w:w="790" w:type="dxa"/>
            <w:tcBorders>
              <w:top w:val="single" w:color="auto" w:sz="4" w:space="0"/>
              <w:left w:val="single" w:color="auto" w:sz="4" w:space="0"/>
              <w:bottom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407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32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羚羊寿渠</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p>
        </w:tc>
        <w:tc>
          <w:tcPr>
            <w:tcW w:w="13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354</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285</w:t>
            </w:r>
          </w:p>
        </w:tc>
        <w:tc>
          <w:tcPr>
            <w:tcW w:w="11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p>
        </w:tc>
        <w:tc>
          <w:tcPr>
            <w:tcW w:w="583"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276</w:t>
            </w:r>
          </w:p>
        </w:tc>
        <w:tc>
          <w:tcPr>
            <w:tcW w:w="10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914</w:t>
            </w:r>
          </w:p>
        </w:tc>
        <w:tc>
          <w:tcPr>
            <w:tcW w:w="790" w:type="dxa"/>
            <w:tcBorders>
              <w:top w:val="single" w:color="auto" w:sz="4" w:space="0"/>
              <w:left w:val="single" w:color="auto" w:sz="4" w:space="0"/>
              <w:bottom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1396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32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南山台子扬水</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p>
        </w:tc>
        <w:tc>
          <w:tcPr>
            <w:tcW w:w="13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385</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2059</w:t>
            </w:r>
          </w:p>
        </w:tc>
        <w:tc>
          <w:tcPr>
            <w:tcW w:w="11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1500</w:t>
            </w:r>
          </w:p>
        </w:tc>
        <w:tc>
          <w:tcPr>
            <w:tcW w:w="583"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437</w:t>
            </w:r>
          </w:p>
        </w:tc>
        <w:tc>
          <w:tcPr>
            <w:tcW w:w="10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4381</w:t>
            </w:r>
          </w:p>
        </w:tc>
        <w:tc>
          <w:tcPr>
            <w:tcW w:w="790" w:type="dxa"/>
            <w:tcBorders>
              <w:top w:val="single" w:color="auto" w:sz="4" w:space="0"/>
              <w:left w:val="single" w:color="auto" w:sz="4" w:space="0"/>
              <w:bottom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6688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32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固海扬水</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p>
        </w:tc>
        <w:tc>
          <w:tcPr>
            <w:tcW w:w="13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19</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678</w:t>
            </w:r>
          </w:p>
        </w:tc>
        <w:tc>
          <w:tcPr>
            <w:tcW w:w="11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p>
        </w:tc>
        <w:tc>
          <w:tcPr>
            <w:tcW w:w="583"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 w:cs="Times New Roman"/>
                <w:color w:val="auto"/>
                <w:sz w:val="22"/>
                <w:szCs w:val="32"/>
                <w:highlight w:val="none"/>
                <w:lang w:val="en-US" w:bidi="ar"/>
              </w:rPr>
              <w:t>26</w:t>
            </w:r>
          </w:p>
        </w:tc>
        <w:tc>
          <w:tcPr>
            <w:tcW w:w="10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723</w:t>
            </w:r>
          </w:p>
        </w:tc>
        <w:tc>
          <w:tcPr>
            <w:tcW w:w="790" w:type="dxa"/>
            <w:tcBorders>
              <w:top w:val="single" w:color="auto" w:sz="4" w:space="0"/>
              <w:left w:val="single" w:color="auto" w:sz="4" w:space="0"/>
              <w:bottom w:val="single" w:color="auto" w:sz="4" w:space="0"/>
            </w:tcBorders>
            <w:tcMar>
              <w:top w:w="15" w:type="dxa"/>
              <w:left w:w="15" w:type="dxa"/>
              <w:right w:w="15" w:type="dxa"/>
            </w:tcMar>
            <w:vAlign w:val="center"/>
          </w:tcPr>
          <w:p>
            <w:pPr>
              <w:pStyle w:val="24"/>
              <w:spacing w:after="0"/>
              <w:rPr>
                <w:rFonts w:hint="default" w:ascii="Times New Roman" w:hAnsi="Times New Roman" w:eastAsia="仿宋" w:cs="Times New Roman"/>
                <w:color w:val="auto"/>
                <w:sz w:val="22"/>
                <w:szCs w:val="32"/>
                <w:highlight w:val="none"/>
                <w:lang w:val="en-US" w:bidi="ar"/>
              </w:rPr>
            </w:pPr>
            <w:r>
              <w:rPr>
                <w:rFonts w:hint="default" w:ascii="Times New Roman" w:hAnsi="Times New Roman" w:eastAsia="仿宋" w:cs="Times New Roman"/>
                <w:color w:val="auto"/>
                <w:sz w:val="22"/>
                <w:szCs w:val="32"/>
                <w:highlight w:val="none"/>
                <w:lang w:val="en-US" w:bidi="ar"/>
              </w:rPr>
              <w:t>1252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32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eastAsia="zh-CN"/>
              </w:rPr>
              <w:t>滩渠等引黄</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zh-CN" w:eastAsia="zh-CN" w:bidi="ar-SA"/>
              </w:rPr>
            </w:pPr>
          </w:p>
        </w:tc>
        <w:tc>
          <w:tcPr>
            <w:tcW w:w="13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238</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115</w:t>
            </w:r>
          </w:p>
        </w:tc>
        <w:tc>
          <w:tcPr>
            <w:tcW w:w="11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zh-CN" w:eastAsia="zh-CN" w:bidi="ar-SA"/>
              </w:rPr>
            </w:pPr>
          </w:p>
        </w:tc>
        <w:tc>
          <w:tcPr>
            <w:tcW w:w="583"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28</w:t>
            </w:r>
          </w:p>
        </w:tc>
        <w:tc>
          <w:tcPr>
            <w:tcW w:w="10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381</w:t>
            </w:r>
          </w:p>
        </w:tc>
        <w:tc>
          <w:tcPr>
            <w:tcW w:w="790" w:type="dxa"/>
            <w:tcBorders>
              <w:top w:val="single" w:color="auto" w:sz="4" w:space="0"/>
              <w:left w:val="single" w:color="auto" w:sz="4" w:space="0"/>
              <w:bottom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581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32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碱碱湖扬水干渠</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zh-CN" w:eastAsia="zh-CN" w:bidi="ar-SA"/>
              </w:rPr>
            </w:pPr>
          </w:p>
        </w:tc>
        <w:tc>
          <w:tcPr>
            <w:tcW w:w="13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59</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168</w:t>
            </w:r>
          </w:p>
        </w:tc>
        <w:tc>
          <w:tcPr>
            <w:tcW w:w="11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zh-CN" w:eastAsia="zh-CN" w:bidi="ar-SA"/>
              </w:rPr>
            </w:pPr>
          </w:p>
        </w:tc>
        <w:tc>
          <w:tcPr>
            <w:tcW w:w="583"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7</w:t>
            </w:r>
          </w:p>
        </w:tc>
        <w:tc>
          <w:tcPr>
            <w:tcW w:w="10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234</w:t>
            </w:r>
          </w:p>
        </w:tc>
        <w:tc>
          <w:tcPr>
            <w:tcW w:w="790" w:type="dxa"/>
            <w:tcBorders>
              <w:top w:val="single" w:color="auto" w:sz="4" w:space="0"/>
              <w:left w:val="single" w:color="auto" w:sz="4" w:space="0"/>
              <w:bottom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283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32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峡门水库供水</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zh-CN" w:eastAsia="zh-CN" w:bidi="ar-SA"/>
              </w:rPr>
            </w:pPr>
          </w:p>
        </w:tc>
        <w:tc>
          <w:tcPr>
            <w:tcW w:w="13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750</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2160</w:t>
            </w:r>
          </w:p>
        </w:tc>
        <w:tc>
          <w:tcPr>
            <w:tcW w:w="11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zh-CN" w:eastAsia="zh-CN" w:bidi="ar-SA"/>
              </w:rPr>
            </w:pPr>
            <w:r>
              <w:rPr>
                <w:rFonts w:hint="default" w:ascii="Times New Roman" w:hAnsi="Times New Roman" w:eastAsia="仿宋" w:cs="Times New Roman"/>
                <w:color w:val="auto"/>
                <w:sz w:val="22"/>
                <w:szCs w:val="32"/>
                <w:highlight w:val="none"/>
                <w:lang w:val="en-US" w:bidi="ar"/>
              </w:rPr>
              <w:t>273</w:t>
            </w:r>
          </w:p>
        </w:tc>
        <w:tc>
          <w:tcPr>
            <w:tcW w:w="583"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p>
        </w:tc>
        <w:tc>
          <w:tcPr>
            <w:tcW w:w="10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3183</w:t>
            </w:r>
          </w:p>
        </w:tc>
        <w:tc>
          <w:tcPr>
            <w:tcW w:w="790" w:type="dxa"/>
            <w:tcBorders>
              <w:top w:val="single" w:color="auto" w:sz="4" w:space="0"/>
              <w:left w:val="single" w:color="auto" w:sz="4" w:space="0"/>
              <w:bottom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4091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32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兴仁香山补灌工程</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zh-CN" w:eastAsia="zh-CN" w:bidi="ar-SA"/>
              </w:rPr>
            </w:pPr>
          </w:p>
        </w:tc>
        <w:tc>
          <w:tcPr>
            <w:tcW w:w="13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27</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196</w:t>
            </w:r>
          </w:p>
        </w:tc>
        <w:tc>
          <w:tcPr>
            <w:tcW w:w="11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zh-CN" w:eastAsia="zh-CN" w:bidi="ar-SA"/>
              </w:rPr>
            </w:pPr>
          </w:p>
        </w:tc>
        <w:tc>
          <w:tcPr>
            <w:tcW w:w="583"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57</w:t>
            </w:r>
          </w:p>
        </w:tc>
        <w:tc>
          <w:tcPr>
            <w:tcW w:w="10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280</w:t>
            </w:r>
          </w:p>
        </w:tc>
        <w:tc>
          <w:tcPr>
            <w:tcW w:w="790" w:type="dxa"/>
            <w:tcBorders>
              <w:top w:val="single" w:color="auto" w:sz="4" w:space="0"/>
              <w:left w:val="single" w:color="auto" w:sz="4" w:space="0"/>
              <w:bottom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359</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32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其他</w:t>
            </w:r>
          </w:p>
        </w:tc>
        <w:tc>
          <w:tcPr>
            <w:tcW w:w="7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zh-CN" w:eastAsia="zh-CN" w:bidi="ar-SA"/>
              </w:rPr>
            </w:pPr>
          </w:p>
        </w:tc>
        <w:tc>
          <w:tcPr>
            <w:tcW w:w="131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614</w:t>
            </w:r>
          </w:p>
        </w:tc>
        <w:tc>
          <w:tcPr>
            <w:tcW w:w="8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22</w:t>
            </w:r>
          </w:p>
        </w:tc>
        <w:tc>
          <w:tcPr>
            <w:tcW w:w="11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zh-CN" w:eastAsia="zh-CN" w:bidi="ar-SA"/>
              </w:rPr>
            </w:pPr>
          </w:p>
        </w:tc>
        <w:tc>
          <w:tcPr>
            <w:tcW w:w="583"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8</w:t>
            </w:r>
          </w:p>
        </w:tc>
        <w:tc>
          <w:tcPr>
            <w:tcW w:w="109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643</w:t>
            </w:r>
          </w:p>
        </w:tc>
        <w:tc>
          <w:tcPr>
            <w:tcW w:w="790" w:type="dxa"/>
            <w:tcBorders>
              <w:top w:val="single" w:color="auto" w:sz="4" w:space="0"/>
              <w:left w:val="single" w:color="auto" w:sz="4" w:space="0"/>
              <w:bottom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826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jc w:val="center"/>
        </w:trPr>
        <w:tc>
          <w:tcPr>
            <w:tcW w:w="2324" w:type="dxa"/>
            <w:tcBorders>
              <w:top w:val="single" w:color="000000" w:sz="4" w:space="0"/>
              <w:bottom w:val="single" w:color="auto" w:sz="12" w:space="0"/>
              <w:right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2"/>
                <w:szCs w:val="22"/>
                <w:highlight w:val="none"/>
                <w:lang w:val="en-US" w:eastAsia="zh-CN" w:bidi="ar-SA"/>
              </w:rPr>
            </w:pPr>
            <w:r>
              <w:rPr>
                <w:rFonts w:hint="default" w:ascii="Times New Roman" w:hAnsi="Times New Roman" w:eastAsia="仿宋_GB2312" w:cs="Times New Roman"/>
                <w:color w:val="auto"/>
                <w:kern w:val="2"/>
                <w:sz w:val="22"/>
                <w:szCs w:val="22"/>
                <w:highlight w:val="none"/>
                <w:lang w:val="en-US"/>
              </w:rPr>
              <w:t>合计</w:t>
            </w:r>
          </w:p>
        </w:tc>
        <w:tc>
          <w:tcPr>
            <w:tcW w:w="720" w:type="dxa"/>
            <w:tcBorders>
              <w:top w:val="single" w:color="000000" w:sz="4" w:space="0"/>
              <w:left w:val="single" w:color="000000" w:sz="4" w:space="0"/>
              <w:bottom w:val="single" w:color="auto" w:sz="12"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zh-CN" w:eastAsia="zh-CN" w:bidi="ar-SA"/>
              </w:rPr>
            </w:pPr>
            <w:r>
              <w:rPr>
                <w:rFonts w:hint="default" w:ascii="Times New Roman" w:hAnsi="Times New Roman" w:eastAsia="仿宋" w:cs="Times New Roman"/>
                <w:color w:val="auto"/>
                <w:sz w:val="22"/>
                <w:szCs w:val="32"/>
                <w:highlight w:val="none"/>
                <w:lang w:val="en-US" w:bidi="ar"/>
              </w:rPr>
              <w:t>830</w:t>
            </w:r>
          </w:p>
        </w:tc>
        <w:tc>
          <w:tcPr>
            <w:tcW w:w="1313" w:type="dxa"/>
            <w:tcBorders>
              <w:top w:val="single" w:color="000000" w:sz="4" w:space="0"/>
              <w:left w:val="single" w:color="000000" w:sz="4" w:space="0"/>
              <w:bottom w:val="single" w:color="auto" w:sz="12"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4867</w:t>
            </w:r>
          </w:p>
        </w:tc>
        <w:tc>
          <w:tcPr>
            <w:tcW w:w="872" w:type="dxa"/>
            <w:tcBorders>
              <w:top w:val="single" w:color="000000" w:sz="4" w:space="0"/>
              <w:left w:val="single" w:color="000000" w:sz="4" w:space="0"/>
              <w:bottom w:val="single" w:color="auto" w:sz="12"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9421</w:t>
            </w:r>
          </w:p>
        </w:tc>
        <w:tc>
          <w:tcPr>
            <w:tcW w:w="1163" w:type="dxa"/>
            <w:tcBorders>
              <w:top w:val="single" w:color="000000" w:sz="4" w:space="0"/>
              <w:left w:val="single" w:color="000000" w:sz="4" w:space="0"/>
              <w:bottom w:val="single" w:color="auto" w:sz="12" w:space="0"/>
              <w:right w:val="single" w:color="000000"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zh-CN" w:eastAsia="zh-CN" w:bidi="ar-SA"/>
              </w:rPr>
            </w:pPr>
            <w:r>
              <w:rPr>
                <w:rFonts w:hint="default" w:ascii="Times New Roman" w:hAnsi="Times New Roman" w:eastAsia="仿宋" w:cs="Times New Roman"/>
                <w:color w:val="auto"/>
                <w:sz w:val="22"/>
                <w:szCs w:val="32"/>
                <w:highlight w:val="none"/>
                <w:lang w:val="en-US" w:bidi="ar"/>
              </w:rPr>
              <w:t>2472</w:t>
            </w:r>
          </w:p>
        </w:tc>
        <w:tc>
          <w:tcPr>
            <w:tcW w:w="583" w:type="dxa"/>
            <w:tcBorders>
              <w:top w:val="single" w:color="000000" w:sz="4" w:space="0"/>
              <w:left w:val="single" w:color="000000" w:sz="4" w:space="0"/>
              <w:bottom w:val="single" w:color="auto" w:sz="12" w:space="0"/>
              <w:right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SA"/>
              </w:rPr>
            </w:pPr>
            <w:r>
              <w:rPr>
                <w:rFonts w:hint="default" w:ascii="Times New Roman" w:hAnsi="Times New Roman" w:eastAsia="仿宋" w:cs="Times New Roman"/>
                <w:color w:val="auto"/>
                <w:sz w:val="22"/>
                <w:szCs w:val="32"/>
                <w:highlight w:val="none"/>
                <w:lang w:val="en-US" w:bidi="ar"/>
              </w:rPr>
              <w:t>2547</w:t>
            </w:r>
          </w:p>
        </w:tc>
        <w:tc>
          <w:tcPr>
            <w:tcW w:w="1090" w:type="dxa"/>
            <w:tcBorders>
              <w:top w:val="single" w:color="auto" w:sz="4" w:space="0"/>
              <w:left w:val="single" w:color="auto" w:sz="4" w:space="0"/>
              <w:bottom w:val="single" w:color="auto" w:sz="12" w:space="0"/>
              <w:right w:val="single" w:color="auto" w:sz="4"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20137</w:t>
            </w:r>
          </w:p>
        </w:tc>
        <w:tc>
          <w:tcPr>
            <w:tcW w:w="790" w:type="dxa"/>
            <w:tcBorders>
              <w:top w:val="single" w:color="auto" w:sz="4" w:space="0"/>
              <w:left w:val="single" w:color="auto" w:sz="4" w:space="0"/>
              <w:bottom w:val="single" w:color="auto" w:sz="12" w:space="0"/>
            </w:tcBorders>
            <w:tcMar>
              <w:top w:w="15" w:type="dxa"/>
              <w:left w:w="15" w:type="dxa"/>
              <w:right w:w="15" w:type="dxa"/>
            </w:tcMar>
            <w:vAlign w:val="center"/>
          </w:tcPr>
          <w:p>
            <w:pPr>
              <w:pStyle w:val="24"/>
              <w:spacing w:after="0"/>
              <w:ind w:left="0" w:leftChars="0" w:firstLine="0" w:firstLineChars="0"/>
              <w:rPr>
                <w:rFonts w:hint="default" w:ascii="Times New Roman" w:hAnsi="Times New Roman" w:eastAsia="仿宋" w:cs="Times New Roman"/>
                <w:color w:val="auto"/>
                <w:kern w:val="28"/>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37800</w:t>
            </w:r>
          </w:p>
        </w:tc>
      </w:tr>
    </w:tbl>
    <w:p>
      <w:pPr>
        <w:pStyle w:val="7"/>
        <w:spacing w:before="0"/>
        <w:rPr>
          <w:rFonts w:hint="default" w:ascii="Times New Roman" w:hAnsi="Times New Roman" w:eastAsia="仿宋_GB2312" w:cs="Times New Roman"/>
          <w:bCs/>
          <w:color w:val="auto"/>
          <w:kern w:val="2"/>
          <w:highlight w:val="none"/>
        </w:rPr>
      </w:pPr>
      <w:bookmarkStart w:id="394" w:name="_Toc23719"/>
      <w:bookmarkStart w:id="395" w:name="_Toc23842"/>
      <w:bookmarkStart w:id="396" w:name="_Toc7011"/>
      <w:bookmarkStart w:id="397" w:name="_Toc23439"/>
      <w:bookmarkStart w:id="398" w:name="_Toc21179"/>
      <w:bookmarkStart w:id="399" w:name="_Toc24450"/>
      <w:bookmarkStart w:id="400" w:name="_Toc12057"/>
      <w:bookmarkStart w:id="401" w:name="_Toc4870"/>
      <w:r>
        <w:rPr>
          <w:rFonts w:hint="default" w:ascii="Times New Roman" w:hAnsi="Times New Roman" w:eastAsia="仿宋_GB2312" w:cs="Times New Roman"/>
          <w:bCs/>
          <w:color w:val="auto"/>
          <w:kern w:val="2"/>
          <w:highlight w:val="none"/>
        </w:rPr>
        <w:t>4.3.6生态需水预测</w:t>
      </w:r>
      <w:bookmarkEnd w:id="394"/>
      <w:bookmarkEnd w:id="395"/>
      <w:bookmarkEnd w:id="396"/>
      <w:bookmarkEnd w:id="397"/>
      <w:bookmarkEnd w:id="398"/>
    </w:p>
    <w:p>
      <w:pPr>
        <w:pStyle w:val="8"/>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4.3.6.1湖泊生态需水</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习近平总书记在黄河流域生态保护和高质量发展座谈会与视察宁夏时的重要讲话精神，把水资源作为最大刚性约束，以水定城、以水定地、以水定人、以水定产，抑制不合理用水需求，实现水资源的高效利用。规划年主要补水湖泊为腾格里湖、香山湖和城市水系，湖泊总补水量为4066万m³，考虑损耗0.8计算，取水量5083万m³。详见表4.3-13</w:t>
      </w:r>
      <w:r>
        <w:rPr>
          <w:rFonts w:hint="default" w:ascii="Times New Roman" w:hAnsi="Times New Roman" w:cs="Times New Roman"/>
          <w:color w:val="auto"/>
          <w:kern w:val="2"/>
          <w:sz w:val="32"/>
          <w:szCs w:val="32"/>
          <w:highlight w:val="none"/>
          <w:lang w:eastAsia="zh-CN"/>
        </w:rPr>
        <w:t>所示</w:t>
      </w:r>
      <w:r>
        <w:rPr>
          <w:rFonts w:hint="default" w:ascii="Times New Roman" w:hAnsi="Times New Roman" w:eastAsia="仿宋_GB2312" w:cs="Times New Roman"/>
          <w:color w:val="auto"/>
          <w:kern w:val="2"/>
          <w:sz w:val="32"/>
          <w:szCs w:val="32"/>
          <w:highlight w:val="none"/>
        </w:rPr>
        <w:t>。</w:t>
      </w:r>
    </w:p>
    <w:p>
      <w:pPr>
        <w:pStyle w:val="22"/>
        <w:jc w:val="center"/>
        <w:rPr>
          <w:rFonts w:hint="default" w:ascii="Times New Roman" w:hAnsi="Times New Roman" w:eastAsia="方正小标宋_GBK" w:cs="Times New Roman"/>
          <w:b w:val="0"/>
          <w:bCs w:val="0"/>
          <w:color w:val="auto"/>
          <w:sz w:val="32"/>
          <w:szCs w:val="32"/>
          <w:highlight w:val="none"/>
        </w:rPr>
      </w:pPr>
      <w:r>
        <w:rPr>
          <w:rFonts w:hint="default" w:ascii="Times New Roman" w:hAnsi="Times New Roman" w:eastAsia="方正小标宋_GBK" w:cs="Times New Roman"/>
          <w:b w:val="0"/>
          <w:bCs w:val="0"/>
          <w:color w:val="auto"/>
          <w:sz w:val="32"/>
          <w:szCs w:val="32"/>
          <w:highlight w:val="none"/>
        </w:rPr>
        <w:t>表4.3-13</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规划2025年湖泊需水量测算表</w:t>
      </w:r>
    </w:p>
    <w:tbl>
      <w:tblPr>
        <w:tblStyle w:val="17"/>
        <w:tblW w:w="8871" w:type="dxa"/>
        <w:tblInd w:w="0" w:type="dxa"/>
        <w:tblLayout w:type="fixed"/>
        <w:tblCellMar>
          <w:top w:w="0" w:type="dxa"/>
          <w:left w:w="0" w:type="dxa"/>
          <w:bottom w:w="0" w:type="dxa"/>
          <w:right w:w="0" w:type="dxa"/>
        </w:tblCellMar>
      </w:tblPr>
      <w:tblGrid>
        <w:gridCol w:w="998"/>
        <w:gridCol w:w="1150"/>
        <w:gridCol w:w="950"/>
        <w:gridCol w:w="1106"/>
        <w:gridCol w:w="1179"/>
        <w:gridCol w:w="1179"/>
        <w:gridCol w:w="1063"/>
        <w:gridCol w:w="1246"/>
      </w:tblGrid>
      <w:tr>
        <w:tblPrEx>
          <w:tblLayout w:type="fixed"/>
          <w:tblCellMar>
            <w:top w:w="0" w:type="dxa"/>
            <w:left w:w="0" w:type="dxa"/>
            <w:bottom w:w="0" w:type="dxa"/>
            <w:right w:w="0" w:type="dxa"/>
          </w:tblCellMar>
        </w:tblPrEx>
        <w:trPr>
          <w:trHeight w:val="704" w:hRule="atLeast"/>
        </w:trPr>
        <w:tc>
          <w:tcPr>
            <w:tcW w:w="998" w:type="dxa"/>
            <w:tcBorders>
              <w:top w:val="single" w:color="auto" w:sz="12" w:space="0"/>
              <w:left w:val="single" w:color="auto" w:sz="12"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湖泊名称</w:t>
            </w:r>
          </w:p>
        </w:tc>
        <w:tc>
          <w:tcPr>
            <w:tcW w:w="1150" w:type="dxa"/>
            <w:tcBorders>
              <w:top w:val="single" w:color="auto" w:sz="12"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水面面积（km</w:t>
            </w:r>
            <w:r>
              <w:rPr>
                <w:rFonts w:hint="default" w:ascii="Times New Roman" w:hAnsi="Times New Roman" w:eastAsia="仿宋_GB2312" w:cs="Times New Roman"/>
                <w:b/>
                <w:bCs/>
                <w:color w:val="auto"/>
                <w:kern w:val="2"/>
                <w:szCs w:val="21"/>
                <w:highlight w:val="none"/>
                <w:vertAlign w:val="superscript"/>
                <w:lang w:val="en-US" w:eastAsia="zh-CN"/>
              </w:rPr>
              <w:t>2</w:t>
            </w:r>
            <w:r>
              <w:rPr>
                <w:rFonts w:hint="default" w:ascii="Times New Roman" w:hAnsi="Times New Roman" w:eastAsia="仿宋_GB2312" w:cs="Times New Roman"/>
                <w:b/>
                <w:bCs/>
                <w:color w:val="auto"/>
                <w:kern w:val="2"/>
                <w:szCs w:val="21"/>
                <w:highlight w:val="none"/>
                <w:lang w:val="en-US"/>
              </w:rPr>
              <w:t>）</w:t>
            </w:r>
          </w:p>
        </w:tc>
        <w:tc>
          <w:tcPr>
            <w:tcW w:w="950" w:type="dxa"/>
            <w:tcBorders>
              <w:top w:val="single" w:color="auto" w:sz="12"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水面面积（万亩）</w:t>
            </w:r>
          </w:p>
        </w:tc>
        <w:tc>
          <w:tcPr>
            <w:tcW w:w="1106" w:type="dxa"/>
            <w:tcBorders>
              <w:top w:val="single" w:color="auto" w:sz="12"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蒸发深</w:t>
            </w:r>
          </w:p>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（mm）</w:t>
            </w:r>
          </w:p>
        </w:tc>
        <w:tc>
          <w:tcPr>
            <w:tcW w:w="1179" w:type="dxa"/>
            <w:tcBorders>
              <w:top w:val="single" w:color="auto" w:sz="12"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降水深</w:t>
            </w:r>
          </w:p>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（mm）</w:t>
            </w:r>
          </w:p>
        </w:tc>
        <w:tc>
          <w:tcPr>
            <w:tcW w:w="1179" w:type="dxa"/>
            <w:tcBorders>
              <w:top w:val="single" w:color="auto" w:sz="12"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渗漏深</w:t>
            </w:r>
          </w:p>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（mm）</w:t>
            </w:r>
          </w:p>
        </w:tc>
        <w:tc>
          <w:tcPr>
            <w:tcW w:w="1063" w:type="dxa"/>
            <w:tcBorders>
              <w:top w:val="single" w:color="auto" w:sz="12"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补水深</w:t>
            </w:r>
          </w:p>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（mm）</w:t>
            </w:r>
          </w:p>
        </w:tc>
        <w:tc>
          <w:tcPr>
            <w:tcW w:w="1246" w:type="dxa"/>
            <w:tcBorders>
              <w:top w:val="single" w:color="auto" w:sz="12" w:space="0"/>
              <w:left w:val="single" w:color="000000" w:sz="4" w:space="0"/>
              <w:bottom w:val="single" w:color="000000" w:sz="4" w:space="0"/>
              <w:right w:val="single" w:color="auto" w:sz="12"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补水量</w:t>
            </w:r>
          </w:p>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（万m³）</w:t>
            </w:r>
          </w:p>
        </w:tc>
      </w:tr>
      <w:tr>
        <w:tblPrEx>
          <w:tblLayout w:type="fixed"/>
          <w:tblCellMar>
            <w:top w:w="0" w:type="dxa"/>
            <w:left w:w="0" w:type="dxa"/>
            <w:bottom w:w="0" w:type="dxa"/>
            <w:right w:w="0" w:type="dxa"/>
          </w:tblCellMar>
        </w:tblPrEx>
        <w:trPr>
          <w:trHeight w:val="90" w:hRule="atLeast"/>
        </w:trPr>
        <w:tc>
          <w:tcPr>
            <w:tcW w:w="998"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24"/>
              <w:spacing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腾格里湖</w:t>
            </w:r>
          </w:p>
        </w:tc>
        <w:tc>
          <w:tcPr>
            <w:tcW w:w="1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5.7</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bidi="ar"/>
              </w:rPr>
              <w:t>0.86</w:t>
            </w:r>
          </w:p>
        </w:tc>
        <w:tc>
          <w:tcPr>
            <w:tcW w:w="11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1150</w:t>
            </w:r>
          </w:p>
        </w:tc>
        <w:tc>
          <w:tcPr>
            <w:tcW w:w="11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bidi="ar"/>
              </w:rPr>
              <w:t>2</w:t>
            </w:r>
            <w:r>
              <w:rPr>
                <w:rFonts w:hint="default" w:ascii="Times New Roman" w:hAnsi="Times New Roman" w:eastAsia="仿宋" w:cs="Times New Roman"/>
                <w:color w:val="auto"/>
                <w:highlight w:val="none"/>
                <w:lang w:val="en-US" w:eastAsia="zh-CN" w:bidi="ar"/>
              </w:rPr>
              <w:t>07</w:t>
            </w:r>
          </w:p>
        </w:tc>
        <w:tc>
          <w:tcPr>
            <w:tcW w:w="11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100</w:t>
            </w:r>
          </w:p>
        </w:tc>
        <w:tc>
          <w:tcPr>
            <w:tcW w:w="1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989</w:t>
            </w:r>
          </w:p>
        </w:tc>
        <w:tc>
          <w:tcPr>
            <w:tcW w:w="1246" w:type="dxa"/>
            <w:tcBorders>
              <w:top w:val="single" w:color="000000" w:sz="4" w:space="0"/>
              <w:left w:val="single" w:color="000000" w:sz="4" w:space="0"/>
              <w:bottom w:val="single" w:color="000000" w:sz="4" w:space="0"/>
              <w:right w:val="single" w:color="auto" w:sz="12"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5</w:t>
            </w:r>
            <w:r>
              <w:rPr>
                <w:rFonts w:hint="default" w:ascii="Times New Roman" w:hAnsi="Times New Roman" w:eastAsia="仿宋" w:cs="Times New Roman"/>
                <w:color w:val="auto"/>
                <w:highlight w:val="none"/>
                <w:lang w:val="en-US"/>
              </w:rPr>
              <w:t>60</w:t>
            </w:r>
          </w:p>
        </w:tc>
      </w:tr>
      <w:tr>
        <w:tblPrEx>
          <w:tblLayout w:type="fixed"/>
          <w:tblCellMar>
            <w:top w:w="0" w:type="dxa"/>
            <w:left w:w="0" w:type="dxa"/>
            <w:bottom w:w="0" w:type="dxa"/>
            <w:right w:w="0" w:type="dxa"/>
          </w:tblCellMar>
        </w:tblPrEx>
        <w:trPr>
          <w:trHeight w:val="90" w:hRule="atLeast"/>
        </w:trPr>
        <w:tc>
          <w:tcPr>
            <w:tcW w:w="998"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24"/>
              <w:spacing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香山湖</w:t>
            </w:r>
          </w:p>
        </w:tc>
        <w:tc>
          <w:tcPr>
            <w:tcW w:w="1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1.13</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bidi="ar"/>
              </w:rPr>
              <w:t>0.17</w:t>
            </w:r>
          </w:p>
        </w:tc>
        <w:tc>
          <w:tcPr>
            <w:tcW w:w="11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1150</w:t>
            </w:r>
          </w:p>
        </w:tc>
        <w:tc>
          <w:tcPr>
            <w:tcW w:w="11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bidi="ar"/>
              </w:rPr>
              <w:t>2</w:t>
            </w:r>
            <w:r>
              <w:rPr>
                <w:rFonts w:hint="default" w:ascii="Times New Roman" w:hAnsi="Times New Roman" w:eastAsia="仿宋" w:cs="Times New Roman"/>
                <w:color w:val="auto"/>
                <w:highlight w:val="none"/>
                <w:lang w:val="en-US" w:eastAsia="zh-CN" w:bidi="ar"/>
              </w:rPr>
              <w:t>07</w:t>
            </w:r>
          </w:p>
        </w:tc>
        <w:tc>
          <w:tcPr>
            <w:tcW w:w="11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100</w:t>
            </w:r>
          </w:p>
        </w:tc>
        <w:tc>
          <w:tcPr>
            <w:tcW w:w="1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989</w:t>
            </w:r>
          </w:p>
        </w:tc>
        <w:tc>
          <w:tcPr>
            <w:tcW w:w="1246" w:type="dxa"/>
            <w:tcBorders>
              <w:top w:val="single" w:color="000000" w:sz="4" w:space="0"/>
              <w:left w:val="single" w:color="000000" w:sz="4" w:space="0"/>
              <w:bottom w:val="single" w:color="000000" w:sz="4" w:space="0"/>
              <w:right w:val="single" w:color="auto" w:sz="12"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1940</w:t>
            </w:r>
          </w:p>
        </w:tc>
      </w:tr>
      <w:tr>
        <w:tblPrEx>
          <w:tblLayout w:type="fixed"/>
          <w:tblCellMar>
            <w:top w:w="0" w:type="dxa"/>
            <w:left w:w="0" w:type="dxa"/>
            <w:bottom w:w="0" w:type="dxa"/>
            <w:right w:w="0" w:type="dxa"/>
          </w:tblCellMar>
        </w:tblPrEx>
        <w:trPr>
          <w:trHeight w:val="90" w:hRule="atLeast"/>
        </w:trPr>
        <w:tc>
          <w:tcPr>
            <w:tcW w:w="998"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24"/>
              <w:spacing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城市水系</w:t>
            </w:r>
          </w:p>
        </w:tc>
        <w:tc>
          <w:tcPr>
            <w:tcW w:w="11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15.8</w:t>
            </w:r>
          </w:p>
        </w:tc>
        <w:tc>
          <w:tcPr>
            <w:tcW w:w="9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bidi="ar"/>
              </w:rPr>
              <w:t>2.37</w:t>
            </w:r>
          </w:p>
        </w:tc>
        <w:tc>
          <w:tcPr>
            <w:tcW w:w="11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1150</w:t>
            </w:r>
          </w:p>
        </w:tc>
        <w:tc>
          <w:tcPr>
            <w:tcW w:w="11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bidi="ar"/>
              </w:rPr>
              <w:t>2</w:t>
            </w:r>
            <w:r>
              <w:rPr>
                <w:rFonts w:hint="default" w:ascii="Times New Roman" w:hAnsi="Times New Roman" w:eastAsia="仿宋" w:cs="Times New Roman"/>
                <w:color w:val="auto"/>
                <w:highlight w:val="none"/>
                <w:lang w:val="en-US" w:eastAsia="zh-CN" w:bidi="ar"/>
              </w:rPr>
              <w:t>07</w:t>
            </w:r>
          </w:p>
        </w:tc>
        <w:tc>
          <w:tcPr>
            <w:tcW w:w="11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100</w:t>
            </w:r>
          </w:p>
        </w:tc>
        <w:tc>
          <w:tcPr>
            <w:tcW w:w="10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989</w:t>
            </w:r>
          </w:p>
        </w:tc>
        <w:tc>
          <w:tcPr>
            <w:tcW w:w="1246" w:type="dxa"/>
            <w:tcBorders>
              <w:top w:val="single" w:color="000000" w:sz="4" w:space="0"/>
              <w:left w:val="single" w:color="000000" w:sz="4" w:space="0"/>
              <w:bottom w:val="single" w:color="000000" w:sz="4" w:space="0"/>
              <w:right w:val="single" w:color="auto" w:sz="12"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1</w:t>
            </w:r>
            <w:r>
              <w:rPr>
                <w:rFonts w:hint="default" w:ascii="Times New Roman" w:hAnsi="Times New Roman" w:eastAsia="仿宋" w:cs="Times New Roman"/>
                <w:color w:val="auto"/>
                <w:highlight w:val="none"/>
                <w:lang w:val="en-US"/>
              </w:rPr>
              <w:t>560</w:t>
            </w:r>
          </w:p>
        </w:tc>
      </w:tr>
      <w:tr>
        <w:tblPrEx>
          <w:tblLayout w:type="fixed"/>
          <w:tblCellMar>
            <w:top w:w="0" w:type="dxa"/>
            <w:left w:w="0" w:type="dxa"/>
            <w:bottom w:w="0" w:type="dxa"/>
            <w:right w:w="0" w:type="dxa"/>
          </w:tblCellMar>
        </w:tblPrEx>
        <w:trPr>
          <w:trHeight w:val="90" w:hRule="atLeast"/>
        </w:trPr>
        <w:tc>
          <w:tcPr>
            <w:tcW w:w="998" w:type="dxa"/>
            <w:tcBorders>
              <w:top w:val="single" w:color="000000" w:sz="4" w:space="0"/>
              <w:left w:val="single" w:color="auto" w:sz="12" w:space="0"/>
              <w:bottom w:val="single" w:color="auto" w:sz="12" w:space="0"/>
              <w:right w:val="single" w:color="000000" w:sz="4" w:space="0"/>
            </w:tcBorders>
            <w:tcMar>
              <w:top w:w="15" w:type="dxa"/>
              <w:left w:w="15" w:type="dxa"/>
              <w:right w:w="15" w:type="dxa"/>
            </w:tcMar>
            <w:vAlign w:val="center"/>
          </w:tcPr>
          <w:p>
            <w:pPr>
              <w:pStyle w:val="24"/>
              <w:spacing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小计</w:t>
            </w:r>
          </w:p>
        </w:tc>
        <w:tc>
          <w:tcPr>
            <w:tcW w:w="1150" w:type="dxa"/>
            <w:tcBorders>
              <w:top w:val="single" w:color="000000" w:sz="4" w:space="0"/>
              <w:left w:val="single" w:color="000000" w:sz="4" w:space="0"/>
              <w:bottom w:val="single" w:color="auto" w:sz="12"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bidi="ar"/>
              </w:rPr>
              <w:t>22.63</w:t>
            </w:r>
          </w:p>
        </w:tc>
        <w:tc>
          <w:tcPr>
            <w:tcW w:w="950" w:type="dxa"/>
            <w:tcBorders>
              <w:top w:val="single" w:color="000000" w:sz="4" w:space="0"/>
              <w:left w:val="single" w:color="000000" w:sz="4" w:space="0"/>
              <w:bottom w:val="single" w:color="auto" w:sz="12"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bidi="ar"/>
              </w:rPr>
              <w:t>3.39</w:t>
            </w:r>
          </w:p>
        </w:tc>
        <w:tc>
          <w:tcPr>
            <w:tcW w:w="1106" w:type="dxa"/>
            <w:tcBorders>
              <w:top w:val="single" w:color="000000" w:sz="4" w:space="0"/>
              <w:left w:val="single" w:color="000000" w:sz="4" w:space="0"/>
              <w:bottom w:val="single" w:color="auto" w:sz="12"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p>
        </w:tc>
        <w:tc>
          <w:tcPr>
            <w:tcW w:w="1179" w:type="dxa"/>
            <w:tcBorders>
              <w:top w:val="single" w:color="000000" w:sz="4" w:space="0"/>
              <w:left w:val="single" w:color="000000" w:sz="4" w:space="0"/>
              <w:bottom w:val="single" w:color="auto" w:sz="12"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p>
        </w:tc>
        <w:tc>
          <w:tcPr>
            <w:tcW w:w="1179" w:type="dxa"/>
            <w:tcBorders>
              <w:top w:val="single" w:color="000000" w:sz="4" w:space="0"/>
              <w:left w:val="single" w:color="000000" w:sz="4" w:space="0"/>
              <w:bottom w:val="single" w:color="auto" w:sz="12"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p>
        </w:tc>
        <w:tc>
          <w:tcPr>
            <w:tcW w:w="1063" w:type="dxa"/>
            <w:tcBorders>
              <w:top w:val="single" w:color="000000" w:sz="4" w:space="0"/>
              <w:left w:val="single" w:color="000000" w:sz="4" w:space="0"/>
              <w:bottom w:val="single" w:color="auto" w:sz="12" w:space="0"/>
              <w:right w:val="single" w:color="000000" w:sz="4"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rPr>
            </w:pPr>
          </w:p>
        </w:tc>
        <w:tc>
          <w:tcPr>
            <w:tcW w:w="1246" w:type="dxa"/>
            <w:tcBorders>
              <w:top w:val="single" w:color="000000" w:sz="4" w:space="0"/>
              <w:left w:val="single" w:color="000000" w:sz="4" w:space="0"/>
              <w:bottom w:val="single" w:color="auto" w:sz="12" w:space="0"/>
              <w:right w:val="single" w:color="auto" w:sz="12" w:space="0"/>
            </w:tcBorders>
            <w:tcMar>
              <w:top w:w="15" w:type="dxa"/>
              <w:left w:w="15" w:type="dxa"/>
              <w:right w:w="15" w:type="dxa"/>
            </w:tcMar>
            <w:vAlign w:val="center"/>
          </w:tcPr>
          <w:p>
            <w:pPr>
              <w:pStyle w:val="24"/>
              <w:spacing w:beforeLines="0" w:after="0"/>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4066</w:t>
            </w:r>
          </w:p>
        </w:tc>
      </w:tr>
    </w:tbl>
    <w:p>
      <w:pPr>
        <w:pStyle w:val="8"/>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4.3.6.2生态防护林需水</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宁夏水利基础设施补短板实施方案》、《黄河流域宁夏段国土绿化和湿地保护修复规划（2020-2025年）》，规划到2025年沙坡头区新增防护林面积8.09万亩，其中引黄灌区防护林建设项目2.07万亩，黄河干流段河岸绿化工程6.02万亩</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总需水量为1910万m³</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详见表4.3-14</w:t>
      </w:r>
      <w:r>
        <w:rPr>
          <w:rFonts w:hint="default" w:ascii="Times New Roman" w:hAnsi="Times New Roman" w:cs="Times New Roman"/>
          <w:color w:val="auto"/>
          <w:kern w:val="2"/>
          <w:sz w:val="32"/>
          <w:szCs w:val="32"/>
          <w:highlight w:val="none"/>
          <w:lang w:eastAsia="zh-CN"/>
        </w:rPr>
        <w:t>所示</w:t>
      </w:r>
      <w:r>
        <w:rPr>
          <w:rFonts w:hint="default" w:ascii="Times New Roman" w:hAnsi="Times New Roman" w:eastAsia="仿宋_GB2312" w:cs="Times New Roman"/>
          <w:color w:val="auto"/>
          <w:kern w:val="2"/>
          <w:sz w:val="32"/>
          <w:szCs w:val="32"/>
          <w:highlight w:val="none"/>
        </w:rPr>
        <w:t>。</w:t>
      </w:r>
    </w:p>
    <w:p>
      <w:pPr>
        <w:pStyle w:val="22"/>
        <w:jc w:val="center"/>
        <w:rPr>
          <w:rFonts w:hint="default" w:ascii="Times New Roman" w:hAnsi="Times New Roman" w:eastAsia="方正小标宋_GBK" w:cs="Times New Roman"/>
          <w:b w:val="0"/>
          <w:bCs w:val="0"/>
          <w:color w:val="auto"/>
          <w:sz w:val="32"/>
          <w:szCs w:val="32"/>
          <w:highlight w:val="none"/>
          <w:lang w:val="en-US" w:eastAsia="zh-CN"/>
        </w:rPr>
      </w:pPr>
      <w:r>
        <w:rPr>
          <w:rFonts w:hint="default" w:ascii="Times New Roman" w:hAnsi="Times New Roman" w:eastAsia="方正小标宋_GBK" w:cs="Times New Roman"/>
          <w:b w:val="0"/>
          <w:bCs w:val="0"/>
          <w:color w:val="auto"/>
          <w:sz w:val="32"/>
          <w:szCs w:val="32"/>
          <w:highlight w:val="none"/>
          <w:lang w:val="en-US" w:eastAsia="zh-CN"/>
        </w:rPr>
        <w:t>表4.3-14  规划2025年防护林需水量</w:t>
      </w:r>
    </w:p>
    <w:tbl>
      <w:tblPr>
        <w:tblStyle w:val="17"/>
        <w:tblW w:w="8870" w:type="dxa"/>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900"/>
        <w:gridCol w:w="936"/>
        <w:gridCol w:w="1264"/>
        <w:gridCol w:w="964"/>
        <w:gridCol w:w="1362"/>
        <w:gridCol w:w="1120"/>
        <w:gridCol w:w="1035"/>
        <w:gridCol w:w="1289"/>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trPr>
        <w:tc>
          <w:tcPr>
            <w:tcW w:w="900"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引黄灌区防护林建设项目</w:t>
            </w:r>
          </w:p>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（万亩）</w:t>
            </w:r>
          </w:p>
        </w:tc>
        <w:tc>
          <w:tcPr>
            <w:tcW w:w="936"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干旱地带防沙治沙建设项目（万亩）</w:t>
            </w:r>
          </w:p>
        </w:tc>
        <w:tc>
          <w:tcPr>
            <w:tcW w:w="1264"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黄河干流段河岸绿化工程（万亩）</w:t>
            </w:r>
          </w:p>
        </w:tc>
        <w:tc>
          <w:tcPr>
            <w:tcW w:w="964"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合计</w:t>
            </w:r>
          </w:p>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（万亩）</w:t>
            </w:r>
          </w:p>
        </w:tc>
        <w:tc>
          <w:tcPr>
            <w:tcW w:w="1362"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定额</w:t>
            </w:r>
          </w:p>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（m³/亩）</w:t>
            </w:r>
          </w:p>
        </w:tc>
        <w:tc>
          <w:tcPr>
            <w:tcW w:w="1120"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灌溉水</w:t>
            </w:r>
          </w:p>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利用系数</w:t>
            </w:r>
          </w:p>
        </w:tc>
        <w:tc>
          <w:tcPr>
            <w:tcW w:w="1035"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净需水量</w:t>
            </w:r>
          </w:p>
        </w:tc>
        <w:tc>
          <w:tcPr>
            <w:tcW w:w="1289"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毛需水量</w:t>
            </w:r>
          </w:p>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（万m³）</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trPr>
        <w:tc>
          <w:tcPr>
            <w:tcW w:w="900"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rPr>
              <w:t>2.07</w:t>
            </w:r>
          </w:p>
        </w:tc>
        <w:tc>
          <w:tcPr>
            <w:tcW w:w="936"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p>
        </w:tc>
        <w:tc>
          <w:tcPr>
            <w:tcW w:w="1264"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6.02</w:t>
            </w:r>
          </w:p>
        </w:tc>
        <w:tc>
          <w:tcPr>
            <w:tcW w:w="964"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rPr>
              <w:t>8.09</w:t>
            </w:r>
          </w:p>
        </w:tc>
        <w:tc>
          <w:tcPr>
            <w:tcW w:w="1362"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170</w:t>
            </w:r>
          </w:p>
        </w:tc>
        <w:tc>
          <w:tcPr>
            <w:tcW w:w="1120"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bidi="ar"/>
              </w:rPr>
              <w:t>0.72</w:t>
            </w:r>
          </w:p>
        </w:tc>
        <w:tc>
          <w:tcPr>
            <w:tcW w:w="1035"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bidi="ar"/>
              </w:rPr>
              <w:t>1375</w:t>
            </w:r>
          </w:p>
        </w:tc>
        <w:tc>
          <w:tcPr>
            <w:tcW w:w="1289"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bidi="ar"/>
              </w:rPr>
              <w:t>1910</w:t>
            </w:r>
          </w:p>
        </w:tc>
      </w:tr>
    </w:tbl>
    <w:p>
      <w:pPr>
        <w:pStyle w:val="8"/>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rPr>
        <w:t>4.3.6.</w:t>
      </w:r>
      <w:r>
        <w:rPr>
          <w:rFonts w:hint="default"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rPr>
        <w:t>城市绿化需水</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根据《自治区人民政府办公厅关于印发宁夏回族自治区有关行业用水定额（修订）的通知》（宁政办规发</w:t>
      </w:r>
      <w:r>
        <w:rPr>
          <w:rFonts w:hint="default" w:ascii="Times New Roman" w:hAnsi="Times New Roman" w:eastAsia="仿宋_GB2312" w:cs="Times New Roman"/>
          <w:color w:val="auto"/>
          <w:sz w:val="32"/>
          <w:szCs w:val="32"/>
          <w:highlight w:val="none"/>
        </w:rPr>
        <w:t>﹝202</w:t>
      </w:r>
      <w:r>
        <w:rPr>
          <w:rFonts w:hint="default" w:ascii="Times New Roman" w:hAnsi="Times New Roman"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kern w:val="2"/>
          <w:sz w:val="32"/>
          <w:szCs w:val="32"/>
          <w:highlight w:val="none"/>
        </w:rPr>
        <w:t>20号），中部干旱带绿化用水定额为0.2m³/（</w:t>
      </w:r>
      <w:r>
        <w:rPr>
          <w:rFonts w:hint="default" w:ascii="Times New Roman" w:hAnsi="Times New Roman" w:cs="Times New Roman"/>
          <w:color w:val="auto"/>
          <w:kern w:val="2"/>
          <w:sz w:val="32"/>
          <w:szCs w:val="32"/>
          <w:highlight w:val="none"/>
          <w:lang w:val="en-US" w:eastAsia="zh-CN"/>
        </w:rPr>
        <w:t>m</w:t>
      </w:r>
      <w:r>
        <w:rPr>
          <w:rFonts w:hint="default" w:ascii="Times New Roman" w:hAnsi="Times New Roman" w:cs="Times New Roman"/>
          <w:color w:val="auto"/>
          <w:kern w:val="2"/>
          <w:sz w:val="32"/>
          <w:szCs w:val="32"/>
          <w:highlight w:val="none"/>
          <w:vertAlign w:val="superscript"/>
          <w:lang w:val="en-US" w:eastAsia="zh-CN"/>
        </w:rPr>
        <w:t>2</w:t>
      </w:r>
      <w:r>
        <w:rPr>
          <w:rFonts w:hint="default" w:ascii="Times New Roman" w:hAnsi="Times New Roman" w:eastAsia="仿宋_GB2312" w:cs="Times New Roman"/>
          <w:color w:val="auto"/>
          <w:kern w:val="2"/>
          <w:sz w:val="32"/>
          <w:szCs w:val="32"/>
          <w:highlight w:val="none"/>
        </w:rPr>
        <w:t>·a），则沙坡头区2025年绿化净需水量为54万m³，再考虑绿地田间水利用系数及管网损失后0.855</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0.9×0.95</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，城市绿化毛需水量为63万m³。沙坡头区</w:t>
      </w:r>
      <w:r>
        <w:rPr>
          <w:rFonts w:hint="default" w:ascii="Times New Roman" w:hAnsi="Times New Roman" w:cs="Times New Roman"/>
          <w:color w:val="auto"/>
          <w:kern w:val="2"/>
          <w:sz w:val="32"/>
          <w:szCs w:val="32"/>
          <w:highlight w:val="none"/>
          <w:lang w:val="en-US" w:eastAsia="zh-CN"/>
        </w:rPr>
        <w:t>2025</w:t>
      </w:r>
      <w:r>
        <w:rPr>
          <w:rFonts w:hint="default" w:ascii="Times New Roman" w:hAnsi="Times New Roman" w:eastAsia="仿宋_GB2312" w:cs="Times New Roman"/>
          <w:color w:val="auto"/>
          <w:kern w:val="2"/>
          <w:sz w:val="32"/>
          <w:szCs w:val="32"/>
          <w:highlight w:val="none"/>
        </w:rPr>
        <w:t>年绿化需水量预测结果</w:t>
      </w:r>
      <w:r>
        <w:rPr>
          <w:rFonts w:hint="default" w:ascii="Times New Roman" w:hAnsi="Times New Roman" w:cs="Times New Roman"/>
          <w:color w:val="auto"/>
          <w:kern w:val="2"/>
          <w:sz w:val="32"/>
          <w:szCs w:val="32"/>
          <w:highlight w:val="none"/>
          <w:lang w:eastAsia="zh-CN"/>
        </w:rPr>
        <w:t>，详</w:t>
      </w:r>
      <w:r>
        <w:rPr>
          <w:rFonts w:hint="default" w:ascii="Times New Roman" w:hAnsi="Times New Roman" w:eastAsia="仿宋_GB2312" w:cs="Times New Roman"/>
          <w:color w:val="auto"/>
          <w:kern w:val="2"/>
          <w:sz w:val="32"/>
          <w:szCs w:val="32"/>
          <w:highlight w:val="none"/>
        </w:rPr>
        <w:t>见表4.3-15。</w:t>
      </w:r>
    </w:p>
    <w:p>
      <w:pPr>
        <w:pStyle w:val="22"/>
        <w:jc w:val="center"/>
        <w:rPr>
          <w:rFonts w:hint="default" w:ascii="Times New Roman" w:hAnsi="Times New Roman" w:eastAsia="方正小标宋_GBK" w:cs="Times New Roman"/>
          <w:b w:val="0"/>
          <w:bCs w:val="0"/>
          <w:color w:val="auto"/>
          <w:sz w:val="32"/>
          <w:szCs w:val="32"/>
          <w:highlight w:val="none"/>
          <w:lang w:val="en-US" w:eastAsia="zh-CN"/>
        </w:rPr>
      </w:pPr>
      <w:r>
        <w:rPr>
          <w:rFonts w:hint="default" w:ascii="Times New Roman" w:hAnsi="Times New Roman" w:eastAsia="方正小标宋_GBK" w:cs="Times New Roman"/>
          <w:b w:val="0"/>
          <w:bCs w:val="0"/>
          <w:color w:val="auto"/>
          <w:sz w:val="32"/>
          <w:szCs w:val="32"/>
          <w:highlight w:val="none"/>
          <w:lang w:val="en-US" w:eastAsia="zh-CN"/>
        </w:rPr>
        <w:t>表4.3-15  沙坡头区规划2025年绿化需水量预测</w:t>
      </w:r>
    </w:p>
    <w:tbl>
      <w:tblPr>
        <w:tblStyle w:val="17"/>
        <w:tblW w:w="8870" w:type="dxa"/>
        <w:jc w:val="center"/>
        <w:tblInd w:w="0" w:type="dxa"/>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1085"/>
        <w:gridCol w:w="1191"/>
        <w:gridCol w:w="1388"/>
        <w:gridCol w:w="1106"/>
        <w:gridCol w:w="1662"/>
        <w:gridCol w:w="1234"/>
        <w:gridCol w:w="1204"/>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1025" w:hRule="atLeast"/>
          <w:jc w:val="center"/>
        </w:trPr>
        <w:tc>
          <w:tcPr>
            <w:tcW w:w="1085" w:type="dxa"/>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水平年</w:t>
            </w:r>
          </w:p>
        </w:tc>
        <w:tc>
          <w:tcPr>
            <w:tcW w:w="1191" w:type="dxa"/>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城镇人口</w:t>
            </w:r>
          </w:p>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（万人）</w:t>
            </w:r>
          </w:p>
        </w:tc>
        <w:tc>
          <w:tcPr>
            <w:tcW w:w="1388" w:type="dxa"/>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人均绿地规模</w:t>
            </w:r>
          </w:p>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w:t>
            </w:r>
            <w:r>
              <w:rPr>
                <w:rFonts w:hint="default" w:ascii="Times New Roman" w:hAnsi="Times New Roman" w:eastAsia="仿宋_GB2312" w:cs="Times New Roman"/>
                <w:b/>
                <w:bCs/>
                <w:color w:val="auto"/>
                <w:kern w:val="2"/>
                <w:sz w:val="22"/>
                <w:szCs w:val="22"/>
                <w:highlight w:val="none"/>
                <w:lang w:val="en-US" w:eastAsia="zh-CN"/>
              </w:rPr>
              <w:t>㎡</w:t>
            </w:r>
            <w:r>
              <w:rPr>
                <w:rFonts w:hint="default" w:ascii="Times New Roman" w:hAnsi="Times New Roman" w:eastAsia="仿宋_GB2312" w:cs="Times New Roman"/>
                <w:b/>
                <w:bCs/>
                <w:color w:val="auto"/>
                <w:kern w:val="2"/>
                <w:sz w:val="22"/>
                <w:szCs w:val="22"/>
                <w:highlight w:val="none"/>
                <w:lang w:val="en-US"/>
              </w:rPr>
              <w:t>/人）</w:t>
            </w:r>
          </w:p>
        </w:tc>
        <w:tc>
          <w:tcPr>
            <w:tcW w:w="1106" w:type="dxa"/>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绿地规模</w:t>
            </w:r>
          </w:p>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（万</w:t>
            </w:r>
            <w:r>
              <w:rPr>
                <w:rFonts w:hint="default" w:ascii="Times New Roman" w:hAnsi="Times New Roman" w:eastAsia="仿宋_GB2312" w:cs="Times New Roman"/>
                <w:b/>
                <w:bCs/>
                <w:color w:val="auto"/>
                <w:kern w:val="2"/>
                <w:sz w:val="22"/>
                <w:szCs w:val="22"/>
                <w:highlight w:val="none"/>
                <w:lang w:val="en-US" w:eastAsia="zh-CN"/>
              </w:rPr>
              <w:t>㎡</w:t>
            </w:r>
            <w:r>
              <w:rPr>
                <w:rFonts w:hint="default" w:ascii="Times New Roman" w:hAnsi="Times New Roman" w:eastAsia="仿宋_GB2312" w:cs="Times New Roman"/>
                <w:b/>
                <w:bCs/>
                <w:color w:val="auto"/>
                <w:kern w:val="2"/>
                <w:sz w:val="22"/>
                <w:szCs w:val="22"/>
                <w:highlight w:val="none"/>
                <w:lang w:val="en-US"/>
              </w:rPr>
              <w:t>）</w:t>
            </w:r>
          </w:p>
        </w:tc>
        <w:tc>
          <w:tcPr>
            <w:tcW w:w="1662" w:type="dxa"/>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绿化用水定额</w:t>
            </w:r>
          </w:p>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（m³/</w:t>
            </w:r>
            <w:r>
              <w:rPr>
                <w:rFonts w:hint="default" w:ascii="Times New Roman" w:hAnsi="Times New Roman" w:eastAsia="仿宋_GB2312" w:cs="Times New Roman"/>
                <w:b/>
                <w:bCs/>
                <w:color w:val="auto"/>
                <w:kern w:val="2"/>
                <w:sz w:val="22"/>
                <w:szCs w:val="22"/>
                <w:highlight w:val="none"/>
                <w:lang w:val="en-US" w:eastAsia="zh-CN"/>
              </w:rPr>
              <w:t>㎡</w:t>
            </w:r>
            <w:r>
              <w:rPr>
                <w:rFonts w:hint="default" w:ascii="Times New Roman" w:hAnsi="Times New Roman" w:eastAsia="仿宋_GB2312" w:cs="Times New Roman"/>
                <w:b/>
                <w:bCs/>
                <w:color w:val="auto"/>
                <w:kern w:val="2"/>
                <w:sz w:val="22"/>
                <w:szCs w:val="22"/>
                <w:highlight w:val="none"/>
                <w:lang w:val="en-US"/>
              </w:rPr>
              <w:t>·a）</w:t>
            </w:r>
          </w:p>
        </w:tc>
        <w:tc>
          <w:tcPr>
            <w:tcW w:w="1234" w:type="dxa"/>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绿化</w:t>
            </w:r>
          </w:p>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净需水量</w:t>
            </w:r>
          </w:p>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（万m³）</w:t>
            </w:r>
          </w:p>
        </w:tc>
        <w:tc>
          <w:tcPr>
            <w:tcW w:w="1204" w:type="dxa"/>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绿化</w:t>
            </w:r>
          </w:p>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毛需水量</w:t>
            </w:r>
          </w:p>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（万m³）</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Ex>
        <w:trPr>
          <w:trHeight w:val="427" w:hRule="atLeast"/>
          <w:jc w:val="center"/>
        </w:trPr>
        <w:tc>
          <w:tcPr>
            <w:tcW w:w="1085" w:type="dxa"/>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2025</w:t>
            </w:r>
          </w:p>
        </w:tc>
        <w:tc>
          <w:tcPr>
            <w:tcW w:w="1191" w:type="dxa"/>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26.78</w:t>
            </w:r>
          </w:p>
        </w:tc>
        <w:tc>
          <w:tcPr>
            <w:tcW w:w="1388" w:type="dxa"/>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10</w:t>
            </w:r>
          </w:p>
        </w:tc>
        <w:tc>
          <w:tcPr>
            <w:tcW w:w="1106" w:type="dxa"/>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267.85</w:t>
            </w:r>
          </w:p>
        </w:tc>
        <w:tc>
          <w:tcPr>
            <w:tcW w:w="1662" w:type="dxa"/>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0.2</w:t>
            </w:r>
          </w:p>
        </w:tc>
        <w:tc>
          <w:tcPr>
            <w:tcW w:w="1234" w:type="dxa"/>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54</w:t>
            </w:r>
          </w:p>
        </w:tc>
        <w:tc>
          <w:tcPr>
            <w:tcW w:w="1204" w:type="dxa"/>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after="0"/>
              <w:textAlignment w:val="auto"/>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63</w:t>
            </w:r>
          </w:p>
        </w:tc>
      </w:tr>
    </w:tbl>
    <w:p>
      <w:pPr>
        <w:pStyle w:val="8"/>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4.3.6.4农业冬灌需水</w:t>
      </w:r>
    </w:p>
    <w:p>
      <w:pPr>
        <w:rPr>
          <w:rFonts w:hint="default" w:ascii="Times New Roman" w:hAnsi="Times New Roman" w:eastAsia="仿宋_GB2312" w:cs="Times New Roman"/>
          <w:color w:val="auto"/>
          <w:kern w:val="2"/>
          <w:szCs w:val="32"/>
          <w:highlight w:val="none"/>
        </w:rPr>
      </w:pPr>
      <w:r>
        <w:rPr>
          <w:rFonts w:hint="default" w:ascii="Times New Roman" w:hAnsi="Times New Roman" w:eastAsia="仿宋_GB2312" w:cs="Times New Roman"/>
          <w:color w:val="auto"/>
          <w:kern w:val="2"/>
          <w:sz w:val="32"/>
          <w:szCs w:val="32"/>
          <w:highlight w:val="none"/>
        </w:rPr>
        <w:t>为了与2025年控制指标口径一致，农业冬灌用水量划入生态用水，按照干渠水利用系数计算，农业冬灌按照每亩52m³/亩</w:t>
      </w:r>
      <w:r>
        <w:rPr>
          <w:rFonts w:hint="default" w:ascii="Times New Roman" w:hAnsi="Times New Roman" w:eastAsia="仿宋_GB2312" w:cs="Times New Roman"/>
          <w:color w:val="auto"/>
          <w:spacing w:val="-6"/>
          <w:kern w:val="2"/>
          <w:sz w:val="32"/>
          <w:szCs w:val="32"/>
          <w:highlight w:val="none"/>
        </w:rPr>
        <w:t>计算，各渠道的农业冬灌取水量为5844万m³。</w:t>
      </w:r>
      <w:r>
        <w:rPr>
          <w:rFonts w:hint="default" w:ascii="Times New Roman" w:hAnsi="Times New Roman" w:cs="Times New Roman"/>
          <w:color w:val="auto"/>
          <w:spacing w:val="-6"/>
          <w:kern w:val="2"/>
          <w:sz w:val="32"/>
          <w:szCs w:val="32"/>
          <w:highlight w:val="none"/>
          <w:lang w:eastAsia="zh-CN"/>
        </w:rPr>
        <w:t>详</w:t>
      </w:r>
      <w:r>
        <w:rPr>
          <w:rFonts w:hint="default" w:ascii="Times New Roman" w:hAnsi="Times New Roman" w:eastAsia="仿宋_GB2312" w:cs="Times New Roman"/>
          <w:color w:val="auto"/>
          <w:spacing w:val="-6"/>
          <w:kern w:val="2"/>
          <w:sz w:val="32"/>
          <w:szCs w:val="32"/>
          <w:highlight w:val="none"/>
        </w:rPr>
        <w:t>见表4.3-16所示。</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lang w:val="en-US" w:eastAsia="zh-CN"/>
        </w:rPr>
        <w:t>表4.3-16  农业冬灌用水水资源配置</w:t>
      </w:r>
    </w:p>
    <w:p>
      <w:pPr>
        <w:pStyle w:val="22"/>
        <w:ind w:firstLine="7770" w:firstLineChars="3700"/>
        <w:jc w:val="left"/>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单位：万m³</w:t>
      </w:r>
    </w:p>
    <w:tbl>
      <w:tblPr>
        <w:tblStyle w:val="17"/>
        <w:tblW w:w="8962"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4584"/>
        <w:gridCol w:w="2189"/>
        <w:gridCol w:w="2189"/>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701" w:hRule="atLeast"/>
          <w:tblHeader/>
          <w:jc w:val="center"/>
        </w:trPr>
        <w:tc>
          <w:tcPr>
            <w:tcW w:w="4584" w:type="dxa"/>
            <w:tcBorders>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渠道名称</w:t>
            </w:r>
          </w:p>
        </w:tc>
        <w:tc>
          <w:tcPr>
            <w:tcW w:w="218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净用水量</w:t>
            </w:r>
          </w:p>
        </w:tc>
        <w:tc>
          <w:tcPr>
            <w:tcW w:w="2189" w:type="dxa"/>
            <w:tcBorders>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取水量</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48" w:hRule="atLeast"/>
          <w:jc w:val="center"/>
        </w:trPr>
        <w:tc>
          <w:tcPr>
            <w:tcW w:w="458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美利渠</w:t>
            </w:r>
          </w:p>
        </w:tc>
        <w:tc>
          <w:tcPr>
            <w:tcW w:w="2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273</w:t>
            </w:r>
          </w:p>
        </w:tc>
        <w:tc>
          <w:tcPr>
            <w:tcW w:w="21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662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48" w:hRule="atLeast"/>
          <w:jc w:val="center"/>
        </w:trPr>
        <w:tc>
          <w:tcPr>
            <w:tcW w:w="458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北支干渠</w:t>
            </w:r>
          </w:p>
        </w:tc>
        <w:tc>
          <w:tcPr>
            <w:tcW w:w="2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282</w:t>
            </w:r>
          </w:p>
        </w:tc>
        <w:tc>
          <w:tcPr>
            <w:tcW w:w="21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685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8" w:hRule="atLeast"/>
          <w:jc w:val="center"/>
        </w:trPr>
        <w:tc>
          <w:tcPr>
            <w:tcW w:w="458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七星渠</w:t>
            </w:r>
          </w:p>
        </w:tc>
        <w:tc>
          <w:tcPr>
            <w:tcW w:w="2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83</w:t>
            </w:r>
          </w:p>
        </w:tc>
        <w:tc>
          <w:tcPr>
            <w:tcW w:w="21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184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8" w:hRule="atLeast"/>
          <w:jc w:val="center"/>
        </w:trPr>
        <w:tc>
          <w:tcPr>
            <w:tcW w:w="458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羚羊角渠</w:t>
            </w:r>
          </w:p>
        </w:tc>
        <w:tc>
          <w:tcPr>
            <w:tcW w:w="2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31</w:t>
            </w:r>
          </w:p>
        </w:tc>
        <w:tc>
          <w:tcPr>
            <w:tcW w:w="21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47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8" w:hRule="atLeast"/>
          <w:jc w:val="center"/>
        </w:trPr>
        <w:tc>
          <w:tcPr>
            <w:tcW w:w="458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羚羊寿渠</w:t>
            </w:r>
          </w:p>
        </w:tc>
        <w:tc>
          <w:tcPr>
            <w:tcW w:w="2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105</w:t>
            </w:r>
          </w:p>
        </w:tc>
        <w:tc>
          <w:tcPr>
            <w:tcW w:w="21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160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8" w:hRule="atLeast"/>
          <w:jc w:val="center"/>
        </w:trPr>
        <w:tc>
          <w:tcPr>
            <w:tcW w:w="458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南山台子扬水</w:t>
            </w:r>
          </w:p>
        </w:tc>
        <w:tc>
          <w:tcPr>
            <w:tcW w:w="2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697</w:t>
            </w:r>
          </w:p>
        </w:tc>
        <w:tc>
          <w:tcPr>
            <w:tcW w:w="21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1063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8" w:hRule="atLeast"/>
          <w:jc w:val="center"/>
        </w:trPr>
        <w:tc>
          <w:tcPr>
            <w:tcW w:w="458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固海扬水</w:t>
            </w:r>
          </w:p>
        </w:tc>
        <w:tc>
          <w:tcPr>
            <w:tcW w:w="2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70</w:t>
            </w:r>
          </w:p>
        </w:tc>
        <w:tc>
          <w:tcPr>
            <w:tcW w:w="21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122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8" w:hRule="atLeast"/>
          <w:jc w:val="center"/>
        </w:trPr>
        <w:tc>
          <w:tcPr>
            <w:tcW w:w="458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eastAsia="zh-CN"/>
              </w:rPr>
              <w:t>马滩渠等引黄</w:t>
            </w:r>
          </w:p>
        </w:tc>
        <w:tc>
          <w:tcPr>
            <w:tcW w:w="2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56</w:t>
            </w:r>
          </w:p>
        </w:tc>
        <w:tc>
          <w:tcPr>
            <w:tcW w:w="21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86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8" w:hRule="atLeast"/>
          <w:jc w:val="center"/>
        </w:trPr>
        <w:tc>
          <w:tcPr>
            <w:tcW w:w="458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碱碱湖扬水干渠</w:t>
            </w:r>
          </w:p>
        </w:tc>
        <w:tc>
          <w:tcPr>
            <w:tcW w:w="2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34</w:t>
            </w:r>
          </w:p>
        </w:tc>
        <w:tc>
          <w:tcPr>
            <w:tcW w:w="21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41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8" w:hRule="atLeast"/>
          <w:jc w:val="center"/>
        </w:trPr>
        <w:tc>
          <w:tcPr>
            <w:tcW w:w="458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峡门水库供水</w:t>
            </w:r>
          </w:p>
        </w:tc>
        <w:tc>
          <w:tcPr>
            <w:tcW w:w="2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1938</w:t>
            </w:r>
          </w:p>
        </w:tc>
        <w:tc>
          <w:tcPr>
            <w:tcW w:w="21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2492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8" w:hRule="atLeast"/>
          <w:jc w:val="center"/>
        </w:trPr>
        <w:tc>
          <w:tcPr>
            <w:tcW w:w="458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兴仁香山补灌工程</w:t>
            </w:r>
          </w:p>
        </w:tc>
        <w:tc>
          <w:tcPr>
            <w:tcW w:w="2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120</w:t>
            </w:r>
          </w:p>
        </w:tc>
        <w:tc>
          <w:tcPr>
            <w:tcW w:w="21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155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68" w:hRule="atLeast"/>
          <w:jc w:val="center"/>
        </w:trPr>
        <w:tc>
          <w:tcPr>
            <w:tcW w:w="458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其他</w:t>
            </w:r>
          </w:p>
        </w:tc>
        <w:tc>
          <w:tcPr>
            <w:tcW w:w="21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114</w:t>
            </w:r>
          </w:p>
        </w:tc>
        <w:tc>
          <w:tcPr>
            <w:tcW w:w="21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147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36" w:hRule="atLeast"/>
          <w:jc w:val="center"/>
        </w:trPr>
        <w:tc>
          <w:tcPr>
            <w:tcW w:w="4584"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小计</w:t>
            </w:r>
          </w:p>
        </w:tc>
        <w:tc>
          <w:tcPr>
            <w:tcW w:w="218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3804</w:t>
            </w:r>
          </w:p>
        </w:tc>
        <w:tc>
          <w:tcPr>
            <w:tcW w:w="2189" w:type="dxa"/>
            <w:tcBorders>
              <w:top w:val="single" w:color="000000" w:sz="4" w:space="0"/>
              <w:lef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eastAsia="zh-CN"/>
              </w:rPr>
            </w:pPr>
            <w:r>
              <w:rPr>
                <w:rFonts w:hint="default" w:ascii="Times New Roman" w:hAnsi="Times New Roman" w:eastAsia="仿宋_GB2312" w:cs="Times New Roman"/>
                <w:color w:val="auto"/>
                <w:kern w:val="2"/>
                <w:sz w:val="22"/>
                <w:szCs w:val="22"/>
                <w:highlight w:val="none"/>
                <w:lang w:val="en-US"/>
              </w:rPr>
              <w:t>5844</w:t>
            </w:r>
          </w:p>
        </w:tc>
      </w:tr>
    </w:tbl>
    <w:p>
      <w:pPr>
        <w:keepNext w:val="0"/>
        <w:keepLines w:val="0"/>
        <w:pageBreakBefore w:val="0"/>
        <w:widowControl w:val="0"/>
        <w:kinsoku/>
        <w:wordWrap/>
        <w:overflowPunct/>
        <w:topLinePunct w:val="0"/>
        <w:autoSpaceDE/>
        <w:autoSpaceDN/>
        <w:bidi w:val="0"/>
        <w:adjustRightInd w:val="0"/>
        <w:snapToGrid w:val="0"/>
        <w:ind w:firstLine="601"/>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（5）生态总需水量</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根据以上计算，</w:t>
      </w:r>
      <w:r>
        <w:rPr>
          <w:rFonts w:hint="default" w:ascii="Times New Roman" w:hAnsi="Times New Roman" w:cs="Times New Roman"/>
          <w:color w:val="auto"/>
          <w:kern w:val="2"/>
          <w:sz w:val="32"/>
          <w:szCs w:val="32"/>
          <w:highlight w:val="none"/>
          <w:lang w:val="en-US" w:eastAsia="zh-CN"/>
        </w:rPr>
        <w:t>沙坡头区</w:t>
      </w:r>
      <w:r>
        <w:rPr>
          <w:rFonts w:hint="default" w:ascii="Times New Roman" w:hAnsi="Times New Roman" w:eastAsia="仿宋_GB2312" w:cs="Times New Roman"/>
          <w:color w:val="auto"/>
          <w:kern w:val="2"/>
          <w:sz w:val="32"/>
          <w:szCs w:val="32"/>
          <w:highlight w:val="none"/>
        </w:rPr>
        <w:t>2025年生态总需水量为12900万m³</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详见表4.3-17</w:t>
      </w:r>
      <w:r>
        <w:rPr>
          <w:rFonts w:hint="default" w:ascii="Times New Roman" w:hAnsi="Times New Roman" w:cs="Times New Roman"/>
          <w:color w:val="auto"/>
          <w:kern w:val="2"/>
          <w:sz w:val="32"/>
          <w:szCs w:val="32"/>
          <w:highlight w:val="none"/>
          <w:lang w:eastAsia="zh-CN"/>
        </w:rPr>
        <w:t>所示</w:t>
      </w:r>
      <w:r>
        <w:rPr>
          <w:rFonts w:hint="default" w:ascii="Times New Roman" w:hAnsi="Times New Roman" w:eastAsia="仿宋_GB2312" w:cs="Times New Roman"/>
          <w:color w:val="auto"/>
          <w:kern w:val="2"/>
          <w:sz w:val="32"/>
          <w:szCs w:val="32"/>
          <w:highlight w:val="none"/>
        </w:rPr>
        <w:t>。</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lang w:val="en-US" w:eastAsia="zh-CN"/>
        </w:rPr>
        <w:t>表4.3-17  沙坡头区规划2025年生态需水量</w:t>
      </w:r>
    </w:p>
    <w:p>
      <w:pPr>
        <w:pStyle w:val="22"/>
        <w:ind w:firstLine="7560" w:firstLineChars="3600"/>
        <w:jc w:val="left"/>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单位：万m³</w:t>
      </w:r>
    </w:p>
    <w:tbl>
      <w:tblPr>
        <w:tblStyle w:val="17"/>
        <w:tblW w:w="8870" w:type="dxa"/>
        <w:tblInd w:w="0" w:type="dxa"/>
        <w:tblLayout w:type="fixed"/>
        <w:tblCellMar>
          <w:top w:w="0" w:type="dxa"/>
          <w:left w:w="0" w:type="dxa"/>
          <w:bottom w:w="0" w:type="dxa"/>
          <w:right w:w="0" w:type="dxa"/>
        </w:tblCellMar>
      </w:tblPr>
      <w:tblGrid>
        <w:gridCol w:w="1145"/>
        <w:gridCol w:w="1289"/>
        <w:gridCol w:w="1609"/>
        <w:gridCol w:w="1609"/>
        <w:gridCol w:w="1609"/>
        <w:gridCol w:w="1609"/>
      </w:tblGrid>
      <w:tr>
        <w:tblPrEx>
          <w:tblLayout w:type="fixed"/>
        </w:tblPrEx>
        <w:trPr>
          <w:trHeight w:val="650" w:hRule="atLeast"/>
        </w:trPr>
        <w:tc>
          <w:tcPr>
            <w:tcW w:w="1145" w:type="dxa"/>
            <w:tcBorders>
              <w:top w:val="single" w:color="auto" w:sz="12" w:space="0"/>
              <w:left w:val="single" w:color="auto" w:sz="12"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名称</w:t>
            </w:r>
          </w:p>
        </w:tc>
        <w:tc>
          <w:tcPr>
            <w:tcW w:w="1289" w:type="dxa"/>
            <w:tcBorders>
              <w:top w:val="single" w:color="auto" w:sz="12"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湖泊补水</w:t>
            </w:r>
          </w:p>
        </w:tc>
        <w:tc>
          <w:tcPr>
            <w:tcW w:w="1609" w:type="dxa"/>
            <w:tcBorders>
              <w:top w:val="single" w:color="auto" w:sz="12"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防护林补水</w:t>
            </w:r>
          </w:p>
        </w:tc>
        <w:tc>
          <w:tcPr>
            <w:tcW w:w="1609" w:type="dxa"/>
            <w:tcBorders>
              <w:top w:val="single" w:color="auto" w:sz="12"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城市绿化</w:t>
            </w:r>
          </w:p>
        </w:tc>
        <w:tc>
          <w:tcPr>
            <w:tcW w:w="1609" w:type="dxa"/>
            <w:tcBorders>
              <w:top w:val="single" w:color="auto" w:sz="12" w:space="0"/>
              <w:left w:val="single" w:color="000000" w:sz="4" w:space="0"/>
              <w:bottom w:val="single" w:color="000000" w:sz="4" w:space="0"/>
              <w:right w:val="single" w:color="auto" w:sz="12"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农业冬灌</w:t>
            </w:r>
          </w:p>
        </w:tc>
        <w:tc>
          <w:tcPr>
            <w:tcW w:w="1609" w:type="dxa"/>
            <w:tcBorders>
              <w:top w:val="single" w:color="auto" w:sz="12" w:space="0"/>
              <w:left w:val="single" w:color="000000" w:sz="4" w:space="0"/>
              <w:bottom w:val="single" w:color="000000" w:sz="4" w:space="0"/>
              <w:right w:val="single" w:color="auto" w:sz="12"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小计</w:t>
            </w:r>
          </w:p>
        </w:tc>
      </w:tr>
      <w:tr>
        <w:tblPrEx>
          <w:tblLayout w:type="fixed"/>
          <w:tblCellMar>
            <w:top w:w="0" w:type="dxa"/>
            <w:left w:w="0" w:type="dxa"/>
            <w:bottom w:w="0" w:type="dxa"/>
            <w:right w:w="0" w:type="dxa"/>
          </w:tblCellMar>
        </w:tblPrEx>
        <w:trPr>
          <w:trHeight w:val="627" w:hRule="atLeast"/>
        </w:trPr>
        <w:tc>
          <w:tcPr>
            <w:tcW w:w="1145" w:type="dxa"/>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净需水量</w:t>
            </w:r>
          </w:p>
        </w:tc>
        <w:tc>
          <w:tcPr>
            <w:tcW w:w="12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4066</w:t>
            </w:r>
          </w:p>
        </w:tc>
        <w:tc>
          <w:tcPr>
            <w:tcW w:w="16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1375</w:t>
            </w:r>
          </w:p>
        </w:tc>
        <w:tc>
          <w:tcPr>
            <w:tcW w:w="16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54</w:t>
            </w:r>
          </w:p>
        </w:tc>
        <w:tc>
          <w:tcPr>
            <w:tcW w:w="1609" w:type="dxa"/>
            <w:tcBorders>
              <w:top w:val="single" w:color="000000" w:sz="4" w:space="0"/>
              <w:left w:val="single" w:color="000000" w:sz="4" w:space="0"/>
              <w:bottom w:val="single" w:color="000000" w:sz="4" w:space="0"/>
              <w:right w:val="single" w:color="auto" w:sz="12"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eastAsia="zh-CN"/>
              </w:rPr>
              <w:t>3804</w:t>
            </w:r>
          </w:p>
        </w:tc>
        <w:tc>
          <w:tcPr>
            <w:tcW w:w="1609" w:type="dxa"/>
            <w:tcBorders>
              <w:top w:val="single" w:color="000000" w:sz="4" w:space="0"/>
              <w:left w:val="single" w:color="000000" w:sz="4" w:space="0"/>
              <w:bottom w:val="single" w:color="000000" w:sz="4" w:space="0"/>
              <w:right w:val="single" w:color="auto" w:sz="12"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bidi="ar"/>
              </w:rPr>
            </w:pPr>
            <w:r>
              <w:rPr>
                <w:rFonts w:hint="default" w:ascii="Times New Roman" w:hAnsi="Times New Roman" w:eastAsia="仿宋_GB2312" w:cs="Times New Roman"/>
                <w:color w:val="auto"/>
                <w:kern w:val="2"/>
                <w:szCs w:val="21"/>
                <w:highlight w:val="none"/>
                <w:lang w:val="en-US" w:bidi="ar"/>
              </w:rPr>
              <w:t>92</w:t>
            </w:r>
            <w:r>
              <w:rPr>
                <w:rFonts w:hint="default" w:ascii="Times New Roman" w:hAnsi="Times New Roman" w:eastAsia="仿宋_GB2312" w:cs="Times New Roman"/>
                <w:color w:val="auto"/>
                <w:kern w:val="2"/>
                <w:szCs w:val="21"/>
                <w:highlight w:val="none"/>
                <w:lang w:val="en-US" w:eastAsia="zh-CN" w:bidi="ar"/>
              </w:rPr>
              <w:t>99</w:t>
            </w:r>
          </w:p>
        </w:tc>
      </w:tr>
      <w:tr>
        <w:tblPrEx>
          <w:tblLayout w:type="fixed"/>
          <w:tblCellMar>
            <w:top w:w="0" w:type="dxa"/>
            <w:left w:w="0" w:type="dxa"/>
            <w:bottom w:w="0" w:type="dxa"/>
            <w:right w:w="0" w:type="dxa"/>
          </w:tblCellMar>
        </w:tblPrEx>
        <w:trPr>
          <w:trHeight w:val="662" w:hRule="atLeast"/>
        </w:trPr>
        <w:tc>
          <w:tcPr>
            <w:tcW w:w="1145" w:type="dxa"/>
            <w:tcBorders>
              <w:top w:val="single" w:color="000000" w:sz="4" w:space="0"/>
              <w:left w:val="single" w:color="auto" w:sz="12" w:space="0"/>
              <w:bottom w:val="single" w:color="auto" w:sz="12"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毛需水量</w:t>
            </w:r>
          </w:p>
        </w:tc>
        <w:tc>
          <w:tcPr>
            <w:tcW w:w="1289" w:type="dxa"/>
            <w:tcBorders>
              <w:top w:val="single" w:color="000000" w:sz="4" w:space="0"/>
              <w:left w:val="single" w:color="000000" w:sz="4" w:space="0"/>
              <w:bottom w:val="single" w:color="auto" w:sz="12"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5083</w:t>
            </w:r>
          </w:p>
        </w:tc>
        <w:tc>
          <w:tcPr>
            <w:tcW w:w="1609" w:type="dxa"/>
            <w:tcBorders>
              <w:top w:val="single" w:color="000000" w:sz="4" w:space="0"/>
              <w:left w:val="single" w:color="000000" w:sz="4" w:space="0"/>
              <w:bottom w:val="single" w:color="auto" w:sz="12"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1910</w:t>
            </w:r>
          </w:p>
        </w:tc>
        <w:tc>
          <w:tcPr>
            <w:tcW w:w="1609" w:type="dxa"/>
            <w:tcBorders>
              <w:top w:val="single" w:color="000000" w:sz="4" w:space="0"/>
              <w:left w:val="single" w:color="000000" w:sz="4" w:space="0"/>
              <w:bottom w:val="single" w:color="auto" w:sz="12"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63</w:t>
            </w:r>
          </w:p>
        </w:tc>
        <w:tc>
          <w:tcPr>
            <w:tcW w:w="1609" w:type="dxa"/>
            <w:tcBorders>
              <w:top w:val="single" w:color="000000" w:sz="4" w:space="0"/>
              <w:left w:val="single" w:color="000000" w:sz="4" w:space="0"/>
              <w:bottom w:val="single" w:color="auto" w:sz="12" w:space="0"/>
              <w:right w:val="single" w:color="auto" w:sz="12"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5844</w:t>
            </w:r>
          </w:p>
        </w:tc>
        <w:tc>
          <w:tcPr>
            <w:tcW w:w="1609" w:type="dxa"/>
            <w:tcBorders>
              <w:top w:val="single" w:color="000000" w:sz="4" w:space="0"/>
              <w:left w:val="single" w:color="000000" w:sz="4" w:space="0"/>
              <w:bottom w:val="single" w:color="auto" w:sz="12" w:space="0"/>
              <w:right w:val="single" w:color="auto" w:sz="12"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bidi="ar"/>
              </w:rPr>
            </w:pPr>
            <w:r>
              <w:rPr>
                <w:rFonts w:hint="default" w:ascii="Times New Roman" w:hAnsi="Times New Roman" w:eastAsia="仿宋_GB2312" w:cs="Times New Roman"/>
                <w:color w:val="auto"/>
                <w:kern w:val="2"/>
                <w:szCs w:val="21"/>
                <w:highlight w:val="none"/>
                <w:lang w:val="en-US" w:bidi="ar"/>
              </w:rPr>
              <w:t>12900</w:t>
            </w:r>
          </w:p>
        </w:tc>
      </w:tr>
    </w:tbl>
    <w:p>
      <w:pPr>
        <w:pStyle w:val="7"/>
        <w:spacing w:before="0"/>
        <w:rPr>
          <w:rFonts w:hint="default" w:ascii="Times New Roman" w:hAnsi="Times New Roman" w:eastAsia="仿宋_GB2312" w:cs="Times New Roman"/>
          <w:bCs/>
          <w:color w:val="auto"/>
          <w:kern w:val="2"/>
          <w:highlight w:val="none"/>
        </w:rPr>
      </w:pPr>
      <w:bookmarkStart w:id="402" w:name="_Toc6676"/>
      <w:bookmarkStart w:id="403" w:name="_Toc31053"/>
      <w:bookmarkStart w:id="404" w:name="_Toc24455"/>
      <w:bookmarkStart w:id="405" w:name="_Toc16742"/>
      <w:bookmarkStart w:id="406" w:name="_Toc13110"/>
      <w:r>
        <w:rPr>
          <w:rFonts w:hint="default" w:ascii="Times New Roman" w:hAnsi="Times New Roman" w:eastAsia="仿宋_GB2312" w:cs="Times New Roman"/>
          <w:bCs/>
          <w:color w:val="auto"/>
          <w:kern w:val="2"/>
          <w:highlight w:val="none"/>
        </w:rPr>
        <w:t>4.3.7总需水预测</w:t>
      </w:r>
      <w:bookmarkEnd w:id="399"/>
      <w:bookmarkEnd w:id="400"/>
      <w:bookmarkEnd w:id="401"/>
      <w:bookmarkEnd w:id="402"/>
      <w:bookmarkEnd w:id="403"/>
      <w:bookmarkEnd w:id="404"/>
      <w:bookmarkEnd w:id="405"/>
      <w:bookmarkEnd w:id="406"/>
    </w:p>
    <w:p>
      <w:pPr>
        <w:ind w:firstLine="600"/>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rPr>
        <w:t>根据以上计算分析，本次各行业取水量为57600万m³（算至含干渠损失）。详见表4.3-18</w:t>
      </w:r>
      <w:r>
        <w:rPr>
          <w:rFonts w:hint="default" w:ascii="Times New Roman" w:hAnsi="Times New Roman" w:cs="Times New Roman"/>
          <w:color w:val="auto"/>
          <w:sz w:val="32"/>
          <w:szCs w:val="32"/>
          <w:highlight w:val="none"/>
          <w:lang w:eastAsia="zh-CN"/>
        </w:rPr>
        <w:t>所示</w:t>
      </w:r>
      <w:r>
        <w:rPr>
          <w:rFonts w:hint="default" w:ascii="Times New Roman" w:hAnsi="Times New Roman" w:eastAsia="仿宋_GB2312" w:cs="Times New Roman"/>
          <w:color w:val="auto"/>
          <w:sz w:val="32"/>
          <w:szCs w:val="32"/>
          <w:highlight w:val="none"/>
        </w:rPr>
        <w:t>。</w:t>
      </w:r>
    </w:p>
    <w:p>
      <w:pPr>
        <w:pStyle w:val="22"/>
        <w:jc w:val="center"/>
        <w:rPr>
          <w:rFonts w:hint="default" w:ascii="Times New Roman" w:hAnsi="Times New Roman" w:eastAsia="仿宋_GB2312" w:cs="Times New Roman"/>
          <w:bCs/>
          <w:color w:val="auto"/>
          <w:szCs w:val="24"/>
          <w:highlight w:val="none"/>
          <w:lang w:val="en-US" w:eastAsia="zh-CN"/>
        </w:rPr>
      </w:pPr>
      <w:r>
        <w:rPr>
          <w:rFonts w:hint="default" w:ascii="Times New Roman" w:hAnsi="Times New Roman" w:eastAsia="方正小标宋_GBK" w:cs="Times New Roman"/>
          <w:b w:val="0"/>
          <w:bCs w:val="0"/>
          <w:color w:val="auto"/>
          <w:sz w:val="32"/>
          <w:szCs w:val="32"/>
          <w:highlight w:val="none"/>
          <w:lang w:val="en-US" w:eastAsia="zh-CN"/>
        </w:rPr>
        <w:t xml:space="preserve">表4.3-18  沙坡头区规划2025年需水量  </w:t>
      </w:r>
      <w:r>
        <w:rPr>
          <w:rFonts w:hint="default" w:ascii="Times New Roman" w:hAnsi="Times New Roman" w:eastAsia="仿宋_GB2312" w:cs="Times New Roman"/>
          <w:bCs/>
          <w:color w:val="auto"/>
          <w:szCs w:val="24"/>
          <w:highlight w:val="none"/>
        </w:rPr>
        <w:t xml:space="preserve">    </w:t>
      </w:r>
      <w:r>
        <w:rPr>
          <w:rFonts w:hint="default" w:ascii="Times New Roman" w:hAnsi="Times New Roman" w:eastAsia="仿宋_GB2312" w:cs="Times New Roman"/>
          <w:bCs/>
          <w:color w:val="auto"/>
          <w:szCs w:val="24"/>
          <w:highlight w:val="none"/>
          <w:lang w:val="en-US" w:eastAsia="zh-CN"/>
        </w:rPr>
        <w:t xml:space="preserve">  </w:t>
      </w:r>
      <w:r>
        <w:rPr>
          <w:rFonts w:hint="default" w:ascii="Times New Roman" w:hAnsi="Times New Roman" w:eastAsia="仿宋_GB2312" w:cs="Times New Roman"/>
          <w:bCs/>
          <w:color w:val="auto"/>
          <w:szCs w:val="24"/>
          <w:highlight w:val="none"/>
        </w:rPr>
        <w:t xml:space="preserve"> </w:t>
      </w:r>
      <w:r>
        <w:rPr>
          <w:rFonts w:hint="default" w:ascii="Times New Roman" w:hAnsi="Times New Roman" w:eastAsia="仿宋_GB2312" w:cs="Times New Roman"/>
          <w:bCs/>
          <w:color w:val="auto"/>
          <w:szCs w:val="24"/>
          <w:highlight w:val="none"/>
          <w:lang w:val="en-US" w:eastAsia="zh-CN"/>
        </w:rPr>
        <w:t xml:space="preserve">  </w:t>
      </w:r>
    </w:p>
    <w:p>
      <w:pPr>
        <w:pStyle w:val="22"/>
        <w:jc w:val="center"/>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lang w:val="en-US" w:eastAsia="zh-CN"/>
        </w:rPr>
        <w:t xml:space="preserve">                                                                      </w:t>
      </w:r>
      <w:r>
        <w:rPr>
          <w:rFonts w:hint="default" w:ascii="Times New Roman" w:hAnsi="Times New Roman" w:eastAsia="仿宋_GB2312" w:cs="Times New Roman"/>
          <w:b w:val="0"/>
          <w:bCs w:val="0"/>
          <w:color w:val="auto"/>
          <w:sz w:val="21"/>
          <w:szCs w:val="21"/>
          <w:highlight w:val="none"/>
        </w:rPr>
        <w:t>单位：万m³</w:t>
      </w:r>
    </w:p>
    <w:tbl>
      <w:tblPr>
        <w:tblStyle w:val="17"/>
        <w:tblW w:w="8871" w:type="dxa"/>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2290"/>
        <w:gridCol w:w="1773"/>
        <w:gridCol w:w="1120"/>
        <w:gridCol w:w="1122"/>
        <w:gridCol w:w="1411"/>
        <w:gridCol w:w="1155"/>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trPr>
        <w:tc>
          <w:tcPr>
            <w:tcW w:w="2290" w:type="dxa"/>
            <w:vMerge w:val="restart"/>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用水量</w:t>
            </w:r>
          </w:p>
        </w:tc>
        <w:tc>
          <w:tcPr>
            <w:tcW w:w="1773"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小计</w:t>
            </w:r>
          </w:p>
        </w:tc>
        <w:tc>
          <w:tcPr>
            <w:tcW w:w="4808" w:type="dxa"/>
            <w:gridSpan w:val="4"/>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按行业划分</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trPr>
        <w:tc>
          <w:tcPr>
            <w:tcW w:w="2290"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p>
        </w:tc>
        <w:tc>
          <w:tcPr>
            <w:tcW w:w="177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p>
        </w:tc>
        <w:tc>
          <w:tcPr>
            <w:tcW w:w="11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生活</w:t>
            </w:r>
          </w:p>
        </w:tc>
        <w:tc>
          <w:tcPr>
            <w:tcW w:w="11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工业</w:t>
            </w:r>
          </w:p>
        </w:tc>
        <w:tc>
          <w:tcPr>
            <w:tcW w:w="14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农业</w:t>
            </w:r>
          </w:p>
        </w:tc>
        <w:tc>
          <w:tcPr>
            <w:tcW w:w="1155"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生态</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trPr>
        <w:tc>
          <w:tcPr>
            <w:tcW w:w="2290" w:type="dxa"/>
            <w:vMerge w:val="continue"/>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p>
        </w:tc>
        <w:tc>
          <w:tcPr>
            <w:tcW w:w="1773"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57600</w:t>
            </w:r>
          </w:p>
        </w:tc>
        <w:tc>
          <w:tcPr>
            <w:tcW w:w="1120"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3900</w:t>
            </w:r>
          </w:p>
        </w:tc>
        <w:tc>
          <w:tcPr>
            <w:tcW w:w="1122"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3000</w:t>
            </w:r>
          </w:p>
        </w:tc>
        <w:tc>
          <w:tcPr>
            <w:tcW w:w="1411"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37800</w:t>
            </w:r>
          </w:p>
        </w:tc>
        <w:tc>
          <w:tcPr>
            <w:tcW w:w="1155"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12900</w:t>
            </w:r>
          </w:p>
        </w:tc>
      </w:tr>
    </w:tbl>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仿宋_GB2312" w:cs="Times New Roman"/>
          <w:b/>
          <w:bCs/>
          <w:color w:val="auto"/>
          <w:sz w:val="21"/>
          <w:szCs w:val="21"/>
          <w:highlight w:val="none"/>
        </w:rPr>
      </w:pPr>
      <w:r>
        <w:rPr>
          <w:rFonts w:hint="default" w:ascii="Times New Roman" w:hAnsi="Times New Roman" w:eastAsia="仿宋_GB2312" w:cs="Times New Roman"/>
          <w:b/>
          <w:bCs/>
          <w:color w:val="auto"/>
          <w:sz w:val="21"/>
          <w:szCs w:val="21"/>
          <w:highlight w:val="none"/>
        </w:rPr>
        <w:t>注释：生活用水为人畜饮水。</w:t>
      </w:r>
    </w:p>
    <w:p>
      <w:pPr>
        <w:pStyle w:val="11"/>
        <w:rPr>
          <w:rFonts w:hint="default" w:ascii="Times New Roman" w:hAnsi="Times New Roman" w:cs="Times New Roman"/>
          <w:color w:val="auto"/>
          <w:highlight w:val="none"/>
        </w:rPr>
        <w:sectPr>
          <w:footerReference r:id="rId12" w:type="default"/>
          <w:pgSz w:w="11906" w:h="16838"/>
          <w:pgMar w:top="2098" w:right="1474" w:bottom="1984" w:left="1587" w:header="850" w:footer="1417" w:gutter="0"/>
          <w:pgNumType w:fmt="numberInDash"/>
          <w:cols w:space="720" w:num="1"/>
          <w:rtlGutter w:val="0"/>
          <w:docGrid w:linePitch="312" w:charSpace="0"/>
        </w:sectPr>
      </w:pPr>
    </w:p>
    <w:p>
      <w:pPr>
        <w:pStyle w:val="5"/>
        <w:bidi w:val="0"/>
        <w:rPr>
          <w:rFonts w:hint="default" w:ascii="Times New Roman" w:hAnsi="Times New Roman" w:cs="Times New Roman"/>
          <w:color w:val="auto"/>
          <w:highlight w:val="none"/>
          <w:lang w:val="en-US" w:eastAsia="zh-CN"/>
        </w:rPr>
      </w:pPr>
      <w:bookmarkStart w:id="407" w:name="_Toc2010"/>
      <w:bookmarkStart w:id="408" w:name="_Toc1314"/>
      <w:bookmarkStart w:id="409" w:name="_Toc10575"/>
      <w:bookmarkStart w:id="410" w:name="_Toc29110"/>
      <w:bookmarkStart w:id="411" w:name="_Toc402104327"/>
      <w:bookmarkStart w:id="412" w:name="_Toc419380505"/>
      <w:bookmarkStart w:id="413" w:name="_Toc31799"/>
      <w:bookmarkStart w:id="414" w:name="_Toc3375"/>
      <w:bookmarkStart w:id="415" w:name="_Toc13195"/>
      <w:bookmarkStart w:id="416" w:name="_Toc29801"/>
      <w:bookmarkStart w:id="417" w:name="_Toc20823"/>
      <w:bookmarkStart w:id="418" w:name="_Toc11836"/>
      <w:r>
        <w:rPr>
          <w:rFonts w:hint="default" w:ascii="Times New Roman" w:hAnsi="Times New Roman" w:cs="Times New Roman"/>
          <w:color w:val="auto"/>
          <w:highlight w:val="none"/>
          <w:lang w:val="en-US" w:eastAsia="zh-CN"/>
        </w:rPr>
        <w:t>第五章  水资源节约</w:t>
      </w:r>
      <w:bookmarkEnd w:id="407"/>
      <w:bookmarkEnd w:id="408"/>
    </w:p>
    <w:p>
      <w:pPr>
        <w:pStyle w:val="6"/>
        <w:rPr>
          <w:rFonts w:hint="default" w:ascii="Times New Roman" w:hAnsi="Times New Roman" w:cs="Times New Roman"/>
          <w:color w:val="auto"/>
          <w:highlight w:val="none"/>
        </w:rPr>
      </w:pPr>
      <w:bookmarkStart w:id="419" w:name="_Toc29886"/>
      <w:bookmarkStart w:id="420" w:name="_Toc18104"/>
    </w:p>
    <w:p>
      <w:pPr>
        <w:pStyle w:val="6"/>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5.1节水潜力</w:t>
      </w:r>
      <w:bookmarkEnd w:id="409"/>
      <w:bookmarkEnd w:id="410"/>
      <w:bookmarkEnd w:id="411"/>
      <w:bookmarkEnd w:id="412"/>
      <w:bookmarkEnd w:id="413"/>
      <w:bookmarkEnd w:id="414"/>
      <w:bookmarkEnd w:id="415"/>
      <w:bookmarkEnd w:id="416"/>
      <w:bookmarkEnd w:id="417"/>
      <w:bookmarkEnd w:id="418"/>
      <w:bookmarkEnd w:id="419"/>
      <w:bookmarkEnd w:id="420"/>
    </w:p>
    <w:p>
      <w:pPr>
        <w:pStyle w:val="7"/>
        <w:spacing w:before="0"/>
        <w:rPr>
          <w:rFonts w:hint="default" w:ascii="Times New Roman" w:hAnsi="Times New Roman" w:eastAsia="仿宋_GB2312" w:cs="Times New Roman"/>
          <w:color w:val="auto"/>
          <w:highlight w:val="none"/>
        </w:rPr>
      </w:pPr>
      <w:bookmarkStart w:id="421" w:name="_Toc6743"/>
      <w:bookmarkStart w:id="422" w:name="_Toc18219"/>
      <w:bookmarkStart w:id="423" w:name="_Toc16541"/>
      <w:bookmarkStart w:id="424" w:name="_Toc17033"/>
      <w:bookmarkStart w:id="425" w:name="_Toc137"/>
      <w:bookmarkStart w:id="426" w:name="_Toc18497"/>
      <w:bookmarkStart w:id="427" w:name="_Toc8606"/>
      <w:bookmarkStart w:id="428" w:name="_Toc960"/>
      <w:r>
        <w:rPr>
          <w:rFonts w:hint="default" w:ascii="Times New Roman" w:hAnsi="Times New Roman" w:eastAsia="仿宋_GB2312" w:cs="Times New Roman"/>
          <w:color w:val="auto"/>
          <w:highlight w:val="none"/>
        </w:rPr>
        <w:t>5.1.1农业节水潜力</w:t>
      </w:r>
      <w:bookmarkEnd w:id="421"/>
      <w:bookmarkEnd w:id="422"/>
      <w:bookmarkEnd w:id="423"/>
      <w:bookmarkEnd w:id="424"/>
      <w:bookmarkEnd w:id="425"/>
      <w:bookmarkEnd w:id="426"/>
      <w:bookmarkEnd w:id="427"/>
      <w:bookmarkEnd w:id="428"/>
    </w:p>
    <w:p>
      <w:pPr>
        <w:keepNext w:val="0"/>
        <w:keepLines w:val="0"/>
        <w:pageBreakBefore w:val="0"/>
        <w:widowControl w:val="0"/>
        <w:kinsoku/>
        <w:wordWrap/>
        <w:overflowPunct/>
        <w:topLinePunct w:val="0"/>
        <w:autoSpaceDE/>
        <w:autoSpaceDN/>
        <w:bidi w:val="0"/>
        <w:adjustRightInd w:val="0"/>
        <w:snapToGrid w:val="0"/>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紧紧抓住国家实施黄河流域生态保护和高质量发展战略的历史机遇，结合中卫市沙坡头区实际，坚持农业节水重点不动摇，把蓄水工程与节水工程统一起来，把骨干工程与配套工程统一起来，把大型工程与小型工程统一起来，把生态工程与生产工程统一起来，统筹推进水资源、水生态、水环境、水灾害“四水同治”。</w:t>
      </w:r>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中卫市沙坡头区干旱缺水和水资源利用效率不高并存，农业取用水占总水量的93.3%，农业灌溉水利用系数仅0.525，沙坡头区节水的潜力在于农业，挖潜农业节水是解决沙坡头区缺水问题最重要的途径。</w:t>
      </w:r>
    </w:p>
    <w:p>
      <w:pPr>
        <w:ind w:firstLine="600"/>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rPr>
        <w:t>农业工程节水的主要途径是减少输水和田间灌水环节的渗漏损失、优化调整作物种植结构，严控水稻等高耗水作物种植。规模化发展滴灌、喷灌为主的高效节水灌溉，推广测控一体化技术，高标准推进现代化生态灌区建设，深度挖掘农业节水潜力，推进农业节水向工业、城镇用水转移。</w:t>
      </w:r>
    </w:p>
    <w:p>
      <w:pPr>
        <w:pStyle w:val="7"/>
        <w:spacing w:before="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eastAsia="zh-CN"/>
        </w:rPr>
        <w:t>5</w:t>
      </w:r>
      <w:r>
        <w:rPr>
          <w:rFonts w:hint="default" w:ascii="Times New Roman" w:hAnsi="Times New Roman" w:eastAsia="仿宋_GB2312" w:cs="Times New Roman"/>
          <w:color w:val="auto"/>
          <w:highlight w:val="none"/>
          <w:lang w:val="en-US" w:eastAsia="zh-CN"/>
        </w:rPr>
        <w:t>.1.1.1</w:t>
      </w:r>
      <w:r>
        <w:rPr>
          <w:rFonts w:hint="default" w:ascii="Times New Roman" w:hAnsi="Times New Roman" w:eastAsia="仿宋_GB2312" w:cs="Times New Roman"/>
          <w:color w:val="auto"/>
          <w:highlight w:val="none"/>
        </w:rPr>
        <w:t>灌区渠系节水改造潜力</w:t>
      </w:r>
    </w:p>
    <w:p>
      <w:pPr>
        <w:keepNext w:val="0"/>
        <w:keepLines w:val="0"/>
        <w:pageBreakBefore w:val="0"/>
        <w:widowControl w:val="0"/>
        <w:kinsoku/>
        <w:wordWrap/>
        <w:overflowPunct/>
        <w:topLinePunct w:val="0"/>
        <w:autoSpaceDE/>
        <w:autoSpaceDN/>
        <w:bidi w:val="0"/>
        <w:adjustRightInd w:val="0"/>
        <w:snapToGrid w:val="0"/>
        <w:spacing w:line="52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今后一个时期，现有灌区农业节水工程主要是大型灌区续建配套与节水改造、中型灌区节水配套改造、规模化节水示范增效、大中型病险水闸除险加固、小型农田水利等。通过灌区渠系节水改造，有效提升现有灌区渠系输水效率及效益。根据宁夏水利发展规划，2025年中卫市灌溉水利用系数将达到0.6，规划2025</w:t>
      </w:r>
      <w:r>
        <w:rPr>
          <w:rFonts w:hint="default" w:ascii="Times New Roman" w:hAnsi="Times New Roman" w:eastAsia="仿宋_GB2312" w:cs="Times New Roman"/>
          <w:color w:val="auto"/>
          <w:spacing w:val="-6"/>
          <w:sz w:val="32"/>
          <w:szCs w:val="32"/>
          <w:highlight w:val="none"/>
        </w:rPr>
        <w:t>年沙坡头区灌溉水有效利用系数由现状年2020年0.525提高到0.6。</w:t>
      </w:r>
    </w:p>
    <w:p>
      <w:pPr>
        <w:keepNext w:val="0"/>
        <w:keepLines w:val="0"/>
        <w:pageBreakBefore w:val="0"/>
        <w:widowControl w:val="0"/>
        <w:kinsoku/>
        <w:wordWrap/>
        <w:overflowPunct/>
        <w:topLinePunct w:val="0"/>
        <w:autoSpaceDE/>
        <w:autoSpaceDN/>
        <w:bidi w:val="0"/>
        <w:adjustRightInd w:val="0"/>
        <w:snapToGrid w:val="0"/>
        <w:spacing w:line="52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经分析测算，按照现状供水量5.691亿m³，规划2025年灌区节水潜力为4268万m³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56910×（0.6-0.525）万m³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p>
    <w:p>
      <w:pPr>
        <w:pStyle w:val="8"/>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b/>
          <w:bCs w:val="0"/>
          <w:color w:val="auto"/>
          <w:kern w:val="0"/>
          <w:sz w:val="32"/>
          <w:szCs w:val="32"/>
          <w:highlight w:val="none"/>
          <w:lang w:val="en-US" w:eastAsia="zh-CN" w:bidi="ar-SA"/>
        </w:rPr>
      </w:pPr>
      <w:r>
        <w:rPr>
          <w:rFonts w:hint="default" w:ascii="Times New Roman" w:hAnsi="Times New Roman" w:eastAsia="仿宋_GB2312" w:cs="Times New Roman"/>
          <w:b/>
          <w:bCs w:val="0"/>
          <w:color w:val="auto"/>
          <w:kern w:val="0"/>
          <w:sz w:val="32"/>
          <w:szCs w:val="32"/>
          <w:highlight w:val="none"/>
          <w:lang w:val="en-US" w:eastAsia="zh-CN" w:bidi="ar-SA"/>
        </w:rPr>
        <w:t>5.1.1.2种植结构调整节水潜力</w:t>
      </w:r>
    </w:p>
    <w:p>
      <w:pPr>
        <w:keepNext w:val="0"/>
        <w:keepLines w:val="0"/>
        <w:pageBreakBefore w:val="0"/>
        <w:widowControl w:val="0"/>
        <w:kinsoku/>
        <w:wordWrap/>
        <w:overflowPunct/>
        <w:topLinePunct w:val="0"/>
        <w:autoSpaceDE/>
        <w:autoSpaceDN/>
        <w:bidi w:val="0"/>
        <w:adjustRightInd w:val="0"/>
        <w:snapToGrid w:val="0"/>
        <w:spacing w:line="52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按照自治区及中卫市相关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十四五</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规划，规划年沙坡头区</w:t>
      </w:r>
      <w:r>
        <w:rPr>
          <w:rFonts w:hint="default" w:ascii="Times New Roman" w:hAnsi="Times New Roman" w:eastAsia="仿宋_GB2312" w:cs="Times New Roman"/>
          <w:color w:val="auto"/>
          <w:sz w:val="32"/>
          <w:szCs w:val="32"/>
          <w:highlight w:val="none"/>
          <w:lang w:val="en-US" w:eastAsia="zh-CN"/>
        </w:rPr>
        <w:t>通过</w:t>
      </w:r>
      <w:r>
        <w:rPr>
          <w:rFonts w:hint="default" w:ascii="Times New Roman" w:hAnsi="Times New Roman" w:eastAsia="仿宋_GB2312" w:cs="Times New Roman"/>
          <w:color w:val="auto"/>
          <w:sz w:val="32"/>
          <w:szCs w:val="32"/>
          <w:highlight w:val="none"/>
        </w:rPr>
        <w:t>压减水稻，将现有水稻灌溉面积7.3万亩至1万亩，每亩节水量约为530m³/亩，总节水量3339万m³</w:t>
      </w:r>
      <w:r>
        <w:rPr>
          <w:rFonts w:hint="default"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6.3×530万m³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p>
    <w:p>
      <w:pPr>
        <w:pStyle w:val="8"/>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b/>
          <w:bCs w:val="0"/>
          <w:color w:val="auto"/>
          <w:kern w:val="0"/>
          <w:sz w:val="32"/>
          <w:szCs w:val="32"/>
          <w:highlight w:val="none"/>
          <w:lang w:val="en-US" w:eastAsia="zh-CN" w:bidi="ar-SA"/>
        </w:rPr>
      </w:pPr>
      <w:r>
        <w:rPr>
          <w:rFonts w:hint="default" w:ascii="Times New Roman" w:hAnsi="Times New Roman" w:eastAsia="仿宋_GB2312" w:cs="Times New Roman"/>
          <w:b/>
          <w:bCs w:val="0"/>
          <w:color w:val="auto"/>
          <w:kern w:val="0"/>
          <w:sz w:val="32"/>
          <w:szCs w:val="32"/>
          <w:highlight w:val="none"/>
          <w:lang w:val="en-US" w:eastAsia="zh-CN" w:bidi="ar-SA"/>
        </w:rPr>
        <w:t>5.1.1.3农业工程节水潜力</w:t>
      </w:r>
    </w:p>
    <w:p>
      <w:pPr>
        <w:keepNext w:val="0"/>
        <w:keepLines w:val="0"/>
        <w:pageBreakBefore w:val="0"/>
        <w:widowControl w:val="0"/>
        <w:kinsoku/>
        <w:wordWrap/>
        <w:overflowPunct/>
        <w:topLinePunct w:val="0"/>
        <w:autoSpaceDE/>
        <w:autoSpaceDN/>
        <w:bidi w:val="0"/>
        <w:adjustRightInd w:val="0"/>
        <w:snapToGrid w:val="0"/>
        <w:spacing w:line="52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坚持节水优先方针，立足保障沿黄生态经济带发展，推广测控一体化技术，着力打造现代化生态灌区为目标，以水权水市场改革为信心，以现代化信息科技应用为关键，为融合推进新型工业化、新型城镇化和农业现代化提供有力支撑。</w:t>
      </w:r>
    </w:p>
    <w:p>
      <w:pPr>
        <w:keepNext w:val="0"/>
        <w:keepLines w:val="0"/>
        <w:pageBreakBefore w:val="0"/>
        <w:widowControl w:val="0"/>
        <w:kinsoku/>
        <w:wordWrap/>
        <w:overflowPunct/>
        <w:topLinePunct w:val="0"/>
        <w:autoSpaceDE/>
        <w:autoSpaceDN/>
        <w:bidi w:val="0"/>
        <w:adjustRightInd w:val="0"/>
        <w:snapToGrid w:val="0"/>
        <w:spacing w:line="52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综合上述农业工程节水工程措施，灌区渠系节水改造潜力已考虑种植结构的调整，因此，2025年灌区农业灌溉用水节水潜力为渠系节水改造潜力4268万m³。</w:t>
      </w:r>
    </w:p>
    <w:p>
      <w:pPr>
        <w:pStyle w:val="8"/>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b/>
          <w:bCs w:val="0"/>
          <w:color w:val="auto"/>
          <w:kern w:val="0"/>
          <w:sz w:val="32"/>
          <w:szCs w:val="32"/>
          <w:highlight w:val="none"/>
          <w:lang w:val="en-US" w:eastAsia="zh-CN" w:bidi="ar-SA"/>
        </w:rPr>
      </w:pPr>
      <w:bookmarkStart w:id="429" w:name="_Toc23942"/>
      <w:bookmarkStart w:id="430" w:name="_Toc4118"/>
      <w:bookmarkStart w:id="431" w:name="_Toc15884"/>
      <w:bookmarkStart w:id="432" w:name="_Toc10740"/>
      <w:bookmarkStart w:id="433" w:name="_Toc17926"/>
      <w:bookmarkStart w:id="434" w:name="_Toc26053"/>
      <w:bookmarkStart w:id="435" w:name="_Toc1027"/>
      <w:bookmarkStart w:id="436" w:name="_Toc14903"/>
      <w:bookmarkStart w:id="437" w:name="_Toc402104328"/>
      <w:r>
        <w:rPr>
          <w:rFonts w:hint="default" w:ascii="Times New Roman" w:hAnsi="Times New Roman" w:eastAsia="仿宋_GB2312" w:cs="Times New Roman"/>
          <w:b/>
          <w:bCs w:val="0"/>
          <w:color w:val="auto"/>
          <w:kern w:val="0"/>
          <w:sz w:val="32"/>
          <w:szCs w:val="32"/>
          <w:highlight w:val="none"/>
          <w:lang w:val="en-US" w:eastAsia="zh-CN" w:bidi="ar-SA"/>
        </w:rPr>
        <w:t>5.1.2生活节水</w:t>
      </w:r>
      <w:bookmarkEnd w:id="429"/>
      <w:bookmarkEnd w:id="430"/>
      <w:bookmarkEnd w:id="431"/>
      <w:bookmarkEnd w:id="432"/>
      <w:bookmarkEnd w:id="433"/>
      <w:bookmarkEnd w:id="434"/>
      <w:bookmarkEnd w:id="435"/>
      <w:bookmarkEnd w:id="436"/>
    </w:p>
    <w:p>
      <w:pPr>
        <w:pStyle w:val="27"/>
        <w:keepNext w:val="0"/>
        <w:keepLines w:val="0"/>
        <w:pageBreakBefore w:val="0"/>
        <w:widowControl w:val="0"/>
        <w:kinsoku/>
        <w:wordWrap/>
        <w:overflowPunct/>
        <w:topLinePunct w:val="0"/>
        <w:autoSpaceDE/>
        <w:autoSpaceDN/>
        <w:bidi w:val="0"/>
        <w:adjustRightInd w:val="0"/>
        <w:snapToGrid w:val="0"/>
        <w:spacing w:line="520" w:lineRule="exact"/>
        <w:ind w:firstLine="600"/>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全面落实“四水四定”（以水定城、以水定地、以水定人、以水定产）要求，严格控制城市开发边界和规模；严格建筑设计节水标准，将节水贯穿到城市规划、建设、管理全过程。推进城镇供水管网分区计量管理，加快供水管网降损。深入推进公共领域节水，推广普及节水器皿和设施，全面开展沙坡头区所属机关、学校、宾馆以及居民小区等节水达标建设，对超指标、超定额用水的实行重点监管。</w:t>
      </w:r>
    </w:p>
    <w:p>
      <w:pPr>
        <w:keepNext w:val="0"/>
        <w:keepLines w:val="0"/>
        <w:pageBreakBefore w:val="0"/>
        <w:widowControl w:val="0"/>
        <w:kinsoku/>
        <w:wordWrap/>
        <w:overflowPunct/>
        <w:topLinePunct w:val="0"/>
        <w:autoSpaceDE/>
        <w:autoSpaceDN/>
        <w:bidi w:val="0"/>
        <w:adjustRightInd w:val="0"/>
        <w:snapToGrid w:val="0"/>
        <w:spacing w:before="0" w:beforeLines="0" w:line="520" w:lineRule="exact"/>
        <w:ind w:firstLine="600"/>
        <w:textAlignment w:val="auto"/>
        <w:rPr>
          <w:rFonts w:hint="default" w:ascii="Times New Roman" w:hAnsi="Times New Roman" w:eastAsia="仿宋_GB2312" w:cs="Times New Roman"/>
          <w:color w:val="auto"/>
          <w:szCs w:val="30"/>
          <w:highlight w:val="none"/>
        </w:rPr>
      </w:pPr>
      <w:r>
        <w:rPr>
          <w:rFonts w:hint="default" w:ascii="Times New Roman" w:hAnsi="Times New Roman" w:eastAsia="仿宋_GB2312" w:cs="Times New Roman"/>
          <w:color w:val="auto"/>
          <w:sz w:val="32"/>
          <w:szCs w:val="32"/>
          <w:highlight w:val="none"/>
        </w:rPr>
        <w:t>城乡居民生活节水的主要途径是大力普及节水器具，加快供水管网系统改造，减少用水环节的浪费和管网漏失率。现状管网漏损率为13%，城镇节水器具普及率达到95%。规划至2025年供水管网漏损率控制在10%以内。在现状城镇生活用水0.349亿m³基础上，预测2025年生活节水量105万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3490×0.03万m³</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w:t>
      </w:r>
    </w:p>
    <w:p>
      <w:pPr>
        <w:pStyle w:val="8"/>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b/>
          <w:bCs w:val="0"/>
          <w:color w:val="auto"/>
          <w:kern w:val="0"/>
          <w:sz w:val="32"/>
          <w:szCs w:val="32"/>
          <w:highlight w:val="none"/>
          <w:lang w:val="en-US" w:eastAsia="zh-CN" w:bidi="ar-SA"/>
        </w:rPr>
      </w:pPr>
      <w:bookmarkStart w:id="438" w:name="_Toc25564"/>
      <w:bookmarkStart w:id="439" w:name="_Toc26429"/>
      <w:bookmarkStart w:id="440" w:name="_Toc16700"/>
      <w:bookmarkStart w:id="441" w:name="_Toc10472"/>
      <w:bookmarkStart w:id="442" w:name="_Toc11915"/>
      <w:bookmarkStart w:id="443" w:name="_Toc27830"/>
      <w:bookmarkStart w:id="444" w:name="_Toc13869"/>
      <w:bookmarkStart w:id="445" w:name="_Toc29498"/>
      <w:r>
        <w:rPr>
          <w:rFonts w:hint="default" w:ascii="Times New Roman" w:hAnsi="Times New Roman" w:eastAsia="仿宋_GB2312" w:cs="Times New Roman"/>
          <w:b/>
          <w:bCs w:val="0"/>
          <w:color w:val="auto"/>
          <w:kern w:val="0"/>
          <w:sz w:val="32"/>
          <w:szCs w:val="32"/>
          <w:highlight w:val="none"/>
          <w:lang w:val="en-US" w:eastAsia="zh-CN" w:bidi="ar-SA"/>
        </w:rPr>
        <w:t>5.1.3工业节水</w:t>
      </w:r>
      <w:bookmarkEnd w:id="438"/>
      <w:bookmarkEnd w:id="439"/>
      <w:bookmarkEnd w:id="440"/>
      <w:bookmarkEnd w:id="441"/>
      <w:bookmarkEnd w:id="442"/>
      <w:bookmarkEnd w:id="443"/>
      <w:bookmarkEnd w:id="444"/>
      <w:bookmarkEnd w:id="445"/>
    </w:p>
    <w:p>
      <w:pPr>
        <w:keepNext w:val="0"/>
        <w:keepLines w:val="0"/>
        <w:pageBreakBefore w:val="0"/>
        <w:widowControl w:val="0"/>
        <w:kinsoku/>
        <w:wordWrap/>
        <w:overflowPunct/>
        <w:topLinePunct w:val="0"/>
        <w:autoSpaceDE/>
        <w:autoSpaceDN/>
        <w:bidi w:val="0"/>
        <w:adjustRightInd w:val="0"/>
        <w:snapToGrid w:val="0"/>
        <w:spacing w:line="52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严控高耗水、高污染项目建设，加快淘汰落后产能、工艺、技术和装备。以中卫市工业园区为重点，大力实施节水改造，推广国家鼓励的先进节水工艺、技术和装备，推进统一供水、循环供水、废水集中处理回用，推进废污水“近零排放”。开展工业节水达标创建，对超用水定额标准的限期改造。</w:t>
      </w:r>
    </w:p>
    <w:p>
      <w:pPr>
        <w:keepNext w:val="0"/>
        <w:keepLines w:val="0"/>
        <w:pageBreakBefore w:val="0"/>
        <w:widowControl w:val="0"/>
        <w:kinsoku/>
        <w:wordWrap/>
        <w:overflowPunct/>
        <w:topLinePunct w:val="0"/>
        <w:autoSpaceDE/>
        <w:autoSpaceDN/>
        <w:bidi w:val="0"/>
        <w:adjustRightInd w:val="0"/>
        <w:snapToGrid w:val="0"/>
        <w:spacing w:line="52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按照现状工业增加值用水量39.78m³/万元，规划至2025年工业增加值用水量下降率为10%，工业增加值用水量33.14m³/万元。</w:t>
      </w:r>
      <w:r>
        <w:rPr>
          <w:rFonts w:hint="default" w:ascii="Times New Roman" w:hAnsi="Times New Roman" w:eastAsia="仿宋_GB2312" w:cs="Times New Roman"/>
          <w:color w:val="auto"/>
          <w:sz w:val="32"/>
          <w:szCs w:val="32"/>
          <w:highlight w:val="none"/>
          <w:lang w:eastAsia="zh-CN"/>
        </w:rPr>
        <w:t>充分考虑定额下降用水量是减少，</w:t>
      </w:r>
      <w:r>
        <w:rPr>
          <w:rFonts w:hint="default" w:ascii="Times New Roman" w:hAnsi="Times New Roman" w:eastAsia="仿宋_GB2312" w:cs="Times New Roman"/>
          <w:color w:val="auto"/>
          <w:sz w:val="32"/>
          <w:szCs w:val="32"/>
          <w:highlight w:val="none"/>
        </w:rPr>
        <w:t>在现状工业增加值62.59亿元基础上，预测2025年工业节水352万m³。</w:t>
      </w:r>
    </w:p>
    <w:p>
      <w:pPr>
        <w:pStyle w:val="8"/>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b/>
          <w:bCs w:val="0"/>
          <w:color w:val="auto"/>
          <w:kern w:val="0"/>
          <w:sz w:val="32"/>
          <w:szCs w:val="32"/>
          <w:highlight w:val="none"/>
          <w:lang w:val="en-US" w:eastAsia="zh-CN" w:bidi="ar-SA"/>
        </w:rPr>
      </w:pPr>
      <w:bookmarkStart w:id="446" w:name="_Toc22831"/>
      <w:bookmarkStart w:id="447" w:name="_Toc15480"/>
      <w:bookmarkStart w:id="448" w:name="_Toc13048"/>
      <w:bookmarkStart w:id="449" w:name="_Toc3861"/>
      <w:bookmarkStart w:id="450" w:name="_Toc21946"/>
      <w:bookmarkStart w:id="451" w:name="_Toc6036"/>
      <w:bookmarkStart w:id="452" w:name="_Toc18226"/>
      <w:bookmarkStart w:id="453" w:name="_Toc25843"/>
      <w:r>
        <w:rPr>
          <w:rFonts w:hint="default" w:ascii="Times New Roman" w:hAnsi="Times New Roman" w:eastAsia="仿宋_GB2312" w:cs="Times New Roman"/>
          <w:b/>
          <w:bCs w:val="0"/>
          <w:color w:val="auto"/>
          <w:kern w:val="0"/>
          <w:sz w:val="32"/>
          <w:szCs w:val="32"/>
          <w:highlight w:val="none"/>
          <w:lang w:val="en-US" w:eastAsia="zh-CN" w:bidi="ar-SA"/>
        </w:rPr>
        <w:t>5.1.4节水潜力</w:t>
      </w:r>
      <w:bookmarkEnd w:id="446"/>
      <w:bookmarkEnd w:id="447"/>
      <w:bookmarkEnd w:id="448"/>
      <w:bookmarkEnd w:id="449"/>
      <w:bookmarkEnd w:id="450"/>
      <w:bookmarkEnd w:id="451"/>
      <w:bookmarkEnd w:id="452"/>
      <w:bookmarkEnd w:id="453"/>
    </w:p>
    <w:p>
      <w:pPr>
        <w:keepNext w:val="0"/>
        <w:keepLines w:val="0"/>
        <w:pageBreakBefore w:val="0"/>
        <w:widowControl w:val="0"/>
        <w:kinsoku/>
        <w:wordWrap/>
        <w:overflowPunct/>
        <w:topLinePunct w:val="0"/>
        <w:autoSpaceDE/>
        <w:autoSpaceDN/>
        <w:bidi w:val="0"/>
        <w:adjustRightInd w:val="0"/>
        <w:snapToGrid w:val="0"/>
        <w:spacing w:line="520" w:lineRule="exact"/>
        <w:ind w:firstLine="600"/>
        <w:textAlignment w:val="auto"/>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rPr>
        <w:t>综合上述农业、工业、生活节水工程措施，测算2025年</w:t>
      </w:r>
      <w:r>
        <w:rPr>
          <w:rFonts w:hint="default" w:ascii="Times New Roman" w:hAnsi="Times New Roman" w:eastAsia="仿宋_GB2312" w:cs="Times New Roman"/>
          <w:color w:val="auto"/>
          <w:sz w:val="32"/>
          <w:szCs w:val="32"/>
          <w:highlight w:val="none"/>
          <w:lang w:val="en-US" w:eastAsia="zh-CN"/>
        </w:rPr>
        <w:t>沙坡头</w:t>
      </w:r>
      <w:r>
        <w:rPr>
          <w:rFonts w:hint="default" w:ascii="Times New Roman" w:hAnsi="Times New Roman" w:eastAsia="仿宋_GB2312" w:cs="Times New Roman"/>
          <w:color w:val="auto"/>
          <w:sz w:val="32"/>
          <w:szCs w:val="32"/>
          <w:highlight w:val="none"/>
        </w:rPr>
        <w:t>区节水潜力。</w:t>
      </w:r>
      <w:r>
        <w:rPr>
          <w:rFonts w:hint="default" w:ascii="Times New Roman" w:hAnsi="Times New Roman" w:cs="Times New Roman"/>
          <w:color w:val="auto"/>
          <w:sz w:val="32"/>
          <w:szCs w:val="32"/>
          <w:highlight w:val="none"/>
        </w:rPr>
        <w:t>详见表5.1-1</w:t>
      </w:r>
      <w:r>
        <w:rPr>
          <w:rFonts w:hint="default" w:ascii="Times New Roman" w:hAnsi="Times New Roman" w:cs="Times New Roman"/>
          <w:color w:val="auto"/>
          <w:sz w:val="32"/>
          <w:szCs w:val="32"/>
          <w:highlight w:val="none"/>
          <w:lang w:eastAsia="zh-CN"/>
        </w:rPr>
        <w:t>所示</w:t>
      </w:r>
      <w:r>
        <w:rPr>
          <w:rFonts w:hint="default" w:ascii="Times New Roman" w:hAnsi="Times New Roman" w:cs="Times New Roman"/>
          <w:color w:val="auto"/>
          <w:sz w:val="32"/>
          <w:szCs w:val="32"/>
          <w:highlight w:val="none"/>
        </w:rPr>
        <w:t>。</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表5.1-1</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lang w:eastAsia="zh-CN"/>
        </w:rPr>
        <w:t>沙坡头区</w:t>
      </w:r>
      <w:r>
        <w:rPr>
          <w:rFonts w:hint="default" w:ascii="Times New Roman" w:hAnsi="Times New Roman" w:eastAsia="方正小标宋_GBK" w:cs="Times New Roman"/>
          <w:b w:val="0"/>
          <w:bCs w:val="0"/>
          <w:color w:val="auto"/>
          <w:sz w:val="32"/>
          <w:szCs w:val="32"/>
          <w:highlight w:val="none"/>
        </w:rPr>
        <w:t>节水潜力计算表</w:t>
      </w:r>
    </w:p>
    <w:p>
      <w:pPr>
        <w:pStyle w:val="22"/>
        <w:ind w:firstLine="7770" w:firstLineChars="3700"/>
        <w:jc w:val="left"/>
        <w:rPr>
          <w:rFonts w:hint="default" w:ascii="Times New Roman" w:hAnsi="Times New Roman" w:eastAsia="仿宋_GB2312" w:cs="Times New Roman"/>
          <w:b w:val="0"/>
          <w:bCs w:val="0"/>
          <w:color w:val="auto"/>
          <w:sz w:val="21"/>
          <w:szCs w:val="21"/>
          <w:highlight w:val="none"/>
          <w:lang w:eastAsia="zh-CN"/>
        </w:rPr>
      </w:pPr>
      <w:r>
        <w:rPr>
          <w:rFonts w:hint="default" w:ascii="Times New Roman" w:hAnsi="Times New Roman" w:eastAsia="仿宋_GB2312" w:cs="Times New Roman"/>
          <w:b w:val="0"/>
          <w:bCs w:val="0"/>
          <w:color w:val="auto"/>
          <w:sz w:val="21"/>
          <w:szCs w:val="21"/>
          <w:highlight w:val="none"/>
        </w:rPr>
        <w:t>单位：万m³</w:t>
      </w:r>
    </w:p>
    <w:tbl>
      <w:tblPr>
        <w:tblStyle w:val="17"/>
        <w:tblW w:w="905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2410"/>
        <w:gridCol w:w="2036"/>
        <w:gridCol w:w="1587"/>
        <w:gridCol w:w="1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212" w:type="dxa"/>
            <w:vMerge w:val="restart"/>
            <w:vAlign w:val="center"/>
          </w:tcPr>
          <w:p>
            <w:pPr>
              <w:pStyle w:val="24"/>
              <w:spacing w:after="0"/>
              <w:rPr>
                <w:rFonts w:hint="default" w:ascii="Times New Roman" w:hAnsi="Times New Roman" w:eastAsia="仿宋" w:cs="Times New Roman"/>
                <w:color w:val="auto"/>
                <w:sz w:val="22"/>
                <w:szCs w:val="32"/>
                <w:highlight w:val="none"/>
              </w:rPr>
            </w:pPr>
            <w:r>
              <w:rPr>
                <w:rFonts w:hint="default" w:ascii="Times New Roman" w:hAnsi="Times New Roman" w:eastAsia="仿宋_GB2312" w:cs="Times New Roman"/>
                <w:b/>
                <w:bCs/>
                <w:color w:val="auto"/>
                <w:kern w:val="2"/>
                <w:sz w:val="22"/>
                <w:szCs w:val="22"/>
                <w:highlight w:val="none"/>
                <w:lang w:val="en-US"/>
              </w:rPr>
              <w:t>小计</w:t>
            </w:r>
          </w:p>
        </w:tc>
        <w:tc>
          <w:tcPr>
            <w:tcW w:w="4446" w:type="dxa"/>
            <w:gridSpan w:val="2"/>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农业</w:t>
            </w:r>
          </w:p>
        </w:tc>
        <w:tc>
          <w:tcPr>
            <w:tcW w:w="1587" w:type="dxa"/>
            <w:vMerge w:val="restart"/>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生活</w:t>
            </w:r>
          </w:p>
        </w:tc>
        <w:tc>
          <w:tcPr>
            <w:tcW w:w="1812" w:type="dxa"/>
            <w:vMerge w:val="restart"/>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工业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212" w:type="dxa"/>
            <w:vMerge w:val="continue"/>
            <w:vAlign w:val="center"/>
          </w:tcPr>
          <w:p>
            <w:pPr>
              <w:pStyle w:val="24"/>
              <w:spacing w:after="0"/>
              <w:rPr>
                <w:rFonts w:hint="default" w:ascii="Times New Roman" w:hAnsi="Times New Roman" w:eastAsia="仿宋" w:cs="Times New Roman"/>
                <w:color w:val="auto"/>
                <w:sz w:val="22"/>
                <w:szCs w:val="32"/>
                <w:highlight w:val="none"/>
              </w:rPr>
            </w:pPr>
          </w:p>
        </w:tc>
        <w:tc>
          <w:tcPr>
            <w:tcW w:w="2410" w:type="dxa"/>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灌溉水利用系数提高</w:t>
            </w:r>
          </w:p>
        </w:tc>
        <w:tc>
          <w:tcPr>
            <w:tcW w:w="2036" w:type="dxa"/>
            <w:vAlign w:val="center"/>
          </w:tcPr>
          <w:p>
            <w:pPr>
              <w:pStyle w:val="24"/>
              <w:spacing w:after="0"/>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其中种植结构调整</w:t>
            </w:r>
          </w:p>
        </w:tc>
        <w:tc>
          <w:tcPr>
            <w:tcW w:w="1587" w:type="dxa"/>
            <w:vMerge w:val="continue"/>
            <w:vAlign w:val="center"/>
          </w:tcPr>
          <w:p>
            <w:pPr>
              <w:pStyle w:val="24"/>
              <w:spacing w:after="0"/>
              <w:rPr>
                <w:rFonts w:hint="default" w:ascii="Times New Roman" w:hAnsi="Times New Roman" w:eastAsia="仿宋" w:cs="Times New Roman"/>
                <w:b/>
                <w:bCs/>
                <w:color w:val="auto"/>
                <w:sz w:val="22"/>
                <w:szCs w:val="32"/>
                <w:highlight w:val="none"/>
              </w:rPr>
            </w:pPr>
          </w:p>
        </w:tc>
        <w:tc>
          <w:tcPr>
            <w:tcW w:w="1812" w:type="dxa"/>
            <w:vMerge w:val="continue"/>
            <w:vAlign w:val="center"/>
          </w:tcPr>
          <w:p>
            <w:pPr>
              <w:pStyle w:val="24"/>
              <w:spacing w:after="0"/>
              <w:rPr>
                <w:rFonts w:hint="default" w:ascii="Times New Roman" w:hAnsi="Times New Roman" w:eastAsia="仿宋" w:cs="Times New Roman"/>
                <w:b/>
                <w:bCs/>
                <w:color w:val="auto"/>
                <w:sz w:val="22"/>
                <w:szCs w:val="3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212"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4725</w:t>
            </w:r>
          </w:p>
        </w:tc>
        <w:tc>
          <w:tcPr>
            <w:tcW w:w="2410"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4268</w:t>
            </w:r>
          </w:p>
        </w:tc>
        <w:tc>
          <w:tcPr>
            <w:tcW w:w="2036"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3339</w:t>
            </w:r>
          </w:p>
        </w:tc>
        <w:tc>
          <w:tcPr>
            <w:tcW w:w="1587"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105</w:t>
            </w:r>
          </w:p>
        </w:tc>
        <w:tc>
          <w:tcPr>
            <w:tcW w:w="1812" w:type="dxa"/>
            <w:vAlign w:val="center"/>
          </w:tcPr>
          <w:p>
            <w:pPr>
              <w:pStyle w:val="24"/>
              <w:spacing w:after="0"/>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rPr>
              <w:t>352</w:t>
            </w:r>
          </w:p>
        </w:tc>
      </w:tr>
    </w:tbl>
    <w:p>
      <w:pPr>
        <w:pStyle w:val="6"/>
        <w:rPr>
          <w:rFonts w:hint="default" w:ascii="Times New Roman" w:hAnsi="Times New Roman" w:eastAsia="楷体_GB2312" w:cs="Times New Roman"/>
          <w:color w:val="auto"/>
          <w:highlight w:val="none"/>
        </w:rPr>
      </w:pPr>
      <w:bookmarkStart w:id="454" w:name="_Toc22266"/>
      <w:bookmarkStart w:id="455" w:name="_Toc419380506"/>
      <w:bookmarkStart w:id="456" w:name="_Toc18337"/>
      <w:bookmarkStart w:id="457" w:name="_Toc21013"/>
      <w:bookmarkStart w:id="458" w:name="_Toc27821"/>
      <w:bookmarkStart w:id="459" w:name="_Toc14529"/>
      <w:bookmarkStart w:id="460" w:name="_Toc24636"/>
      <w:bookmarkStart w:id="461" w:name="_Toc6146"/>
      <w:bookmarkStart w:id="462" w:name="_Toc20895"/>
      <w:bookmarkStart w:id="463" w:name="_Toc15303"/>
      <w:bookmarkStart w:id="464" w:name="_Toc17383"/>
      <w:r>
        <w:rPr>
          <w:rFonts w:hint="default" w:ascii="Times New Roman" w:hAnsi="Times New Roman" w:eastAsia="楷体_GB2312" w:cs="Times New Roman"/>
          <w:color w:val="auto"/>
          <w:highlight w:val="none"/>
        </w:rPr>
        <w:t>5.2再生水利用潜力</w:t>
      </w:r>
      <w:bookmarkEnd w:id="437"/>
      <w:bookmarkEnd w:id="454"/>
      <w:bookmarkEnd w:id="455"/>
      <w:bookmarkEnd w:id="456"/>
      <w:bookmarkEnd w:id="457"/>
      <w:bookmarkEnd w:id="458"/>
      <w:bookmarkEnd w:id="459"/>
      <w:bookmarkEnd w:id="460"/>
      <w:bookmarkEnd w:id="461"/>
      <w:bookmarkEnd w:id="462"/>
      <w:bookmarkEnd w:id="463"/>
      <w:bookmarkEnd w:id="464"/>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推进城镇污水集中处理设施提标改造，加快补齐回用短板，扩大城市再生水利用；在再生水利用管网覆盖不到的地方，积极推广分布式污水处理再生水利用一体化模式。对工业循环冷却、城市绿化、水景观补水、城市杂用等具备使用再生水条件的，不予批准新增新鲜水的取水许可。鼓励新建的大型公共建筑、居民小区建设再生水利用设施。</w:t>
      </w:r>
    </w:p>
    <w:p>
      <w:pPr>
        <w:ind w:firstLine="600"/>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rPr>
        <w:t>再生水利用潜力分析只考虑城市生活及非工业园区的工业废水处理的再生水利用潜力。再生水利用量需达到1600万m³，方可满足2025年国家分配给沙坡头区再生水利用量800万m³。目前，现状2020年实际再生水利用为370万m³，规划年新增再生水回用430万m³。</w:t>
      </w:r>
    </w:p>
    <w:p>
      <w:pPr>
        <w:pStyle w:val="6"/>
        <w:rPr>
          <w:rFonts w:hint="default" w:ascii="Times New Roman" w:hAnsi="Times New Roman" w:eastAsia="楷体_GB2312" w:cs="Times New Roman"/>
          <w:color w:val="auto"/>
          <w:highlight w:val="none"/>
        </w:rPr>
      </w:pPr>
      <w:bookmarkStart w:id="465" w:name="_Toc402104329"/>
      <w:bookmarkStart w:id="466" w:name="_Toc419380507"/>
      <w:bookmarkStart w:id="467" w:name="_Toc13379"/>
      <w:bookmarkStart w:id="468" w:name="_Toc8542"/>
      <w:bookmarkStart w:id="469" w:name="_Toc7757"/>
      <w:bookmarkStart w:id="470" w:name="_Toc15216"/>
      <w:bookmarkStart w:id="471" w:name="_Toc17320"/>
      <w:bookmarkStart w:id="472" w:name="_Toc10402"/>
      <w:bookmarkStart w:id="473" w:name="_Toc8121"/>
      <w:bookmarkStart w:id="474" w:name="_Toc12230"/>
      <w:bookmarkStart w:id="475" w:name="_Toc20738"/>
      <w:bookmarkStart w:id="476" w:name="_Toc25880"/>
      <w:r>
        <w:rPr>
          <w:rFonts w:hint="default" w:ascii="Times New Roman" w:hAnsi="Times New Roman" w:eastAsia="楷体_GB2312" w:cs="Times New Roman"/>
          <w:color w:val="auto"/>
          <w:highlight w:val="none"/>
        </w:rPr>
        <w:t>5.3地下水开发利用潜力</w:t>
      </w:r>
      <w:bookmarkEnd w:id="465"/>
      <w:bookmarkEnd w:id="466"/>
      <w:bookmarkEnd w:id="467"/>
      <w:bookmarkEnd w:id="468"/>
      <w:bookmarkEnd w:id="469"/>
      <w:bookmarkEnd w:id="470"/>
      <w:bookmarkEnd w:id="471"/>
      <w:bookmarkEnd w:id="472"/>
      <w:bookmarkEnd w:id="473"/>
      <w:bookmarkEnd w:id="474"/>
      <w:bookmarkEnd w:id="475"/>
      <w:bookmarkEnd w:id="476"/>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地下水利用潜力作为应急水源，在特殊干旱年份利用。在黄河正常来水条件下，应严格按照地下水取水总量指标控制。</w:t>
      </w:r>
    </w:p>
    <w:p>
      <w:pPr>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根据《宁夏回族自治区地下水通报（2020年度）》确定，沙坡头区可开采量为0.782亿m³，2025年分配指标0.45亿m³，2020年实际取用0.538亿m³，超分配指标的20%。</w:t>
      </w:r>
    </w:p>
    <w:p>
      <w:pPr>
        <w:ind w:firstLine="600"/>
        <w:rPr>
          <w:rFonts w:hint="default" w:ascii="Times New Roman" w:hAnsi="Times New Roman" w:eastAsia="仿宋_GB2312" w:cs="Times New Roman"/>
          <w:color w:val="auto"/>
          <w:szCs w:val="30"/>
          <w:highlight w:val="none"/>
          <w:lang w:eastAsia="zh-CN"/>
        </w:rPr>
      </w:pPr>
      <w:r>
        <w:rPr>
          <w:rFonts w:hint="default" w:ascii="Times New Roman" w:hAnsi="Times New Roman" w:eastAsia="仿宋_GB2312" w:cs="Times New Roman"/>
          <w:color w:val="auto"/>
          <w:sz w:val="32"/>
          <w:szCs w:val="32"/>
          <w:highlight w:val="none"/>
        </w:rPr>
        <w:t>考虑到用水权改革，各县区不预留指标，本次规划2025年，按照分配指标全部分配。</w:t>
      </w:r>
    </w:p>
    <w:p>
      <w:pPr>
        <w:pStyle w:val="6"/>
        <w:rPr>
          <w:rFonts w:hint="default" w:ascii="Times New Roman" w:hAnsi="Times New Roman" w:eastAsia="楷体_GB2312" w:cs="Times New Roman"/>
          <w:color w:val="auto"/>
          <w:highlight w:val="none"/>
        </w:rPr>
      </w:pPr>
      <w:bookmarkStart w:id="477" w:name="_Toc15494"/>
      <w:bookmarkStart w:id="478" w:name="_Toc18982"/>
      <w:bookmarkStart w:id="479" w:name="_Toc6691"/>
      <w:bookmarkStart w:id="480" w:name="_Toc419380508"/>
      <w:bookmarkStart w:id="481" w:name="_Toc14222"/>
      <w:bookmarkStart w:id="482" w:name="_Toc402104330"/>
      <w:bookmarkStart w:id="483" w:name="_Toc17898"/>
      <w:bookmarkStart w:id="484" w:name="_Toc16184"/>
      <w:bookmarkStart w:id="485" w:name="_Toc2613"/>
      <w:bookmarkStart w:id="486" w:name="_Toc26618"/>
      <w:bookmarkStart w:id="487" w:name="_Toc22286"/>
      <w:bookmarkStart w:id="488" w:name="_Toc26437"/>
      <w:r>
        <w:rPr>
          <w:rFonts w:hint="default" w:ascii="Times New Roman" w:hAnsi="Times New Roman" w:eastAsia="楷体_GB2312" w:cs="Times New Roman"/>
          <w:color w:val="auto"/>
          <w:highlight w:val="none"/>
        </w:rPr>
        <w:t>5.4水资源利用潜力汇总</w:t>
      </w:r>
      <w:bookmarkEnd w:id="477"/>
      <w:bookmarkEnd w:id="478"/>
      <w:bookmarkEnd w:id="479"/>
      <w:bookmarkEnd w:id="480"/>
      <w:bookmarkEnd w:id="481"/>
      <w:bookmarkEnd w:id="482"/>
      <w:bookmarkEnd w:id="483"/>
      <w:bookmarkEnd w:id="484"/>
      <w:bookmarkEnd w:id="485"/>
      <w:bookmarkEnd w:id="486"/>
      <w:bookmarkEnd w:id="487"/>
      <w:bookmarkEnd w:id="488"/>
    </w:p>
    <w:p>
      <w:pPr>
        <w:ind w:firstLine="600"/>
        <w:rPr>
          <w:rFonts w:hint="default" w:ascii="Times New Roman" w:hAnsi="Times New Roman" w:eastAsia="仿宋_GB2312" w:cs="Times New Roman"/>
          <w:color w:val="auto"/>
          <w:szCs w:val="30"/>
          <w:highlight w:val="none"/>
        </w:rPr>
      </w:pPr>
      <w:r>
        <w:rPr>
          <w:rFonts w:hint="default" w:ascii="Times New Roman" w:hAnsi="Times New Roman" w:eastAsia="仿宋_GB2312" w:cs="Times New Roman"/>
          <w:color w:val="auto"/>
          <w:sz w:val="32"/>
          <w:szCs w:val="32"/>
          <w:highlight w:val="none"/>
        </w:rPr>
        <w:t>按照目前的农业、工业、生活用水水平估算，规划水平年沙坡头区水资源利用潜力为5155万m³。</w:t>
      </w:r>
      <w:r>
        <w:rPr>
          <w:rFonts w:hint="default" w:ascii="Times New Roman" w:hAnsi="Times New Roman" w:eastAsia="仿宋_GB2312" w:cs="Times New Roman"/>
          <w:color w:val="auto"/>
          <w:szCs w:val="30"/>
          <w:highlight w:val="none"/>
        </w:rPr>
        <w:tab/>
      </w:r>
    </w:p>
    <w:p>
      <w:pPr>
        <w:pStyle w:val="5"/>
        <w:outlineLvl w:val="9"/>
        <w:rPr>
          <w:rFonts w:hint="default" w:ascii="Times New Roman" w:hAnsi="Times New Roman" w:cs="Times New Roman"/>
          <w:color w:val="auto"/>
          <w:highlight w:val="none"/>
        </w:rPr>
        <w:sectPr>
          <w:headerReference r:id="rId13" w:type="default"/>
          <w:pgSz w:w="11906" w:h="16838"/>
          <w:pgMar w:top="2098" w:right="1474" w:bottom="1984" w:left="1587" w:header="850" w:footer="1417" w:gutter="0"/>
          <w:pgNumType w:fmt="numberInDash"/>
          <w:cols w:space="720" w:num="1"/>
          <w:rtlGutter w:val="0"/>
          <w:docGrid w:linePitch="312" w:charSpace="0"/>
        </w:sectPr>
      </w:pPr>
    </w:p>
    <w:p>
      <w:pPr>
        <w:pStyle w:val="5"/>
        <w:rPr>
          <w:rFonts w:hint="default" w:ascii="Times New Roman" w:hAnsi="Times New Roman" w:cs="Times New Roman"/>
          <w:color w:val="auto"/>
          <w:highlight w:val="none"/>
        </w:rPr>
      </w:pPr>
      <w:bookmarkStart w:id="489" w:name="_Toc14481"/>
      <w:bookmarkStart w:id="490" w:name="_Toc15056"/>
      <w:bookmarkStart w:id="491" w:name="_Toc15111"/>
      <w:bookmarkStart w:id="492" w:name="_Toc25693"/>
      <w:bookmarkStart w:id="493" w:name="_Toc26148"/>
      <w:bookmarkStart w:id="494" w:name="_Toc29337"/>
      <w:bookmarkStart w:id="495" w:name="_Toc22374"/>
      <w:bookmarkStart w:id="496" w:name="_Toc19773"/>
      <w:r>
        <w:rPr>
          <w:rFonts w:hint="default" w:ascii="Times New Roman" w:hAnsi="Times New Roman" w:cs="Times New Roman"/>
          <w:color w:val="auto"/>
          <w:highlight w:val="none"/>
        </w:rPr>
        <w:t>第六章  水资源配置</w:t>
      </w:r>
      <w:bookmarkEnd w:id="489"/>
      <w:bookmarkEnd w:id="490"/>
      <w:bookmarkEnd w:id="491"/>
      <w:bookmarkEnd w:id="492"/>
      <w:bookmarkEnd w:id="493"/>
      <w:bookmarkEnd w:id="494"/>
      <w:bookmarkEnd w:id="495"/>
      <w:bookmarkEnd w:id="496"/>
    </w:p>
    <w:p>
      <w:pPr>
        <w:pStyle w:val="6"/>
        <w:rPr>
          <w:rFonts w:hint="default" w:ascii="Times New Roman" w:hAnsi="Times New Roman" w:cs="Times New Roman"/>
          <w:color w:val="auto"/>
          <w:highlight w:val="none"/>
        </w:rPr>
      </w:pPr>
      <w:bookmarkStart w:id="497" w:name="_Toc8429"/>
      <w:bookmarkStart w:id="498" w:name="_Toc13021"/>
      <w:bookmarkStart w:id="499" w:name="_Toc16774"/>
      <w:bookmarkStart w:id="500" w:name="_Toc22389"/>
      <w:bookmarkStart w:id="501" w:name="_Toc16957"/>
      <w:bookmarkStart w:id="502" w:name="_Toc25124"/>
      <w:bookmarkStart w:id="503" w:name="_Toc20721"/>
      <w:bookmarkStart w:id="504" w:name="_Toc19618"/>
    </w:p>
    <w:p>
      <w:pPr>
        <w:pStyle w:val="6"/>
        <w:rPr>
          <w:rFonts w:hint="default" w:ascii="Times New Roman" w:hAnsi="Times New Roman" w:eastAsia="楷体_GB2312" w:cs="Times New Roman"/>
          <w:color w:val="auto"/>
          <w:highlight w:val="none"/>
        </w:rPr>
      </w:pPr>
      <w:r>
        <w:rPr>
          <w:rFonts w:hint="default" w:ascii="Times New Roman" w:hAnsi="Times New Roman" w:eastAsia="楷体_GB2312" w:cs="Times New Roman"/>
          <w:color w:val="auto"/>
          <w:highlight w:val="none"/>
        </w:rPr>
        <w:t>6.1指导思想、原则和依据</w:t>
      </w:r>
      <w:bookmarkEnd w:id="497"/>
      <w:bookmarkEnd w:id="498"/>
      <w:bookmarkEnd w:id="499"/>
      <w:bookmarkEnd w:id="500"/>
      <w:bookmarkEnd w:id="501"/>
      <w:bookmarkEnd w:id="502"/>
      <w:bookmarkEnd w:id="503"/>
      <w:bookmarkEnd w:id="504"/>
    </w:p>
    <w:p>
      <w:pPr>
        <w:pStyle w:val="7"/>
        <w:spacing w:before="0"/>
        <w:rPr>
          <w:rFonts w:hint="default" w:ascii="Times New Roman" w:hAnsi="Times New Roman" w:eastAsia="仿宋_GB2312" w:cs="Times New Roman"/>
          <w:bCs/>
          <w:color w:val="auto"/>
          <w:kern w:val="2"/>
          <w:highlight w:val="none"/>
        </w:rPr>
      </w:pPr>
      <w:bookmarkStart w:id="505" w:name="_Toc30912"/>
      <w:bookmarkStart w:id="506" w:name="_Toc3271"/>
      <w:bookmarkStart w:id="507" w:name="_Toc20245"/>
      <w:bookmarkStart w:id="508" w:name="_Toc12001"/>
      <w:bookmarkStart w:id="509" w:name="_Toc23582"/>
      <w:bookmarkStart w:id="510" w:name="_Toc1895"/>
      <w:bookmarkStart w:id="511" w:name="_Toc16313"/>
      <w:r>
        <w:rPr>
          <w:rFonts w:hint="default" w:ascii="Times New Roman" w:hAnsi="Times New Roman" w:eastAsia="仿宋_GB2312" w:cs="Times New Roman"/>
          <w:bCs/>
          <w:color w:val="auto"/>
          <w:kern w:val="2"/>
          <w:highlight w:val="none"/>
        </w:rPr>
        <w:t>6.1.1指导思想</w:t>
      </w:r>
      <w:bookmarkEnd w:id="505"/>
      <w:bookmarkEnd w:id="506"/>
      <w:bookmarkEnd w:id="507"/>
      <w:bookmarkEnd w:id="508"/>
      <w:bookmarkEnd w:id="509"/>
      <w:bookmarkEnd w:id="510"/>
      <w:bookmarkEnd w:id="511"/>
      <w:r>
        <w:rPr>
          <w:rFonts w:hint="default" w:ascii="Times New Roman" w:hAnsi="Times New Roman" w:eastAsia="仿宋_GB2312" w:cs="Times New Roman"/>
          <w:bCs/>
          <w:color w:val="auto"/>
          <w:kern w:val="2"/>
          <w:highlight w:val="none"/>
        </w:rPr>
        <w:tab/>
      </w:r>
    </w:p>
    <w:p>
      <w:pPr>
        <w:pStyle w:val="27"/>
        <w:spacing w:line="560" w:lineRule="exact"/>
        <w:ind w:firstLine="600"/>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以习近平新时代中国特色社会主义思想为指导，深入贯彻党的十九大和十九届二中、三中、四中、五中</w:t>
      </w:r>
      <w:r>
        <w:rPr>
          <w:rFonts w:hint="default" w:ascii="Times New Roman" w:hAnsi="Times New Roman" w:cs="Times New Roman"/>
          <w:color w:val="auto"/>
          <w:kern w:val="2"/>
          <w:sz w:val="32"/>
          <w:szCs w:val="32"/>
          <w:highlight w:val="none"/>
          <w:lang w:eastAsia="zh-CN"/>
        </w:rPr>
        <w:t>、六中</w:t>
      </w:r>
      <w:r>
        <w:rPr>
          <w:rFonts w:hint="default" w:ascii="Times New Roman" w:hAnsi="Times New Roman" w:eastAsia="仿宋_GB2312" w:cs="Times New Roman"/>
          <w:color w:val="auto"/>
          <w:kern w:val="2"/>
          <w:sz w:val="32"/>
          <w:szCs w:val="32"/>
          <w:highlight w:val="none"/>
        </w:rPr>
        <w:t>全会，黄河流域生态保护和高质量发展座谈会，习近平总书记视察宁夏重要讲话以及自治区第十二届八次、九次、十次、十一次、十二次全会精神，全面落实“节水优先、空间均衡、系统治理、两手发力”的新时期治水思路，以保障重点特色产业高质量发展为核心，以水资源水环境承载能力为刚性约束。</w:t>
      </w:r>
    </w:p>
    <w:p>
      <w:pPr>
        <w:pStyle w:val="27"/>
        <w:spacing w:line="560" w:lineRule="exact"/>
        <w:ind w:firstLine="600"/>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国务院《实行最严格水资源管理制度考核办法》确定的2025的取水总量控制指标，结合沙坡头区三条红线控制指标，通过调整水资源利用结构，确立合理的生活、工业、农业及生态水资源配置方案，全面提升水安全保障能力，为中卫市沙坡头区重点特色产业高质量发展及黄河流域生态保护和高质量发展先行市建设提供水资源配置保障。</w:t>
      </w:r>
    </w:p>
    <w:p>
      <w:pPr>
        <w:pStyle w:val="7"/>
        <w:spacing w:before="0"/>
        <w:rPr>
          <w:rFonts w:hint="default" w:ascii="Times New Roman" w:hAnsi="Times New Roman" w:eastAsia="仿宋_GB2312" w:cs="Times New Roman"/>
          <w:bCs/>
          <w:color w:val="auto"/>
          <w:kern w:val="2"/>
          <w:highlight w:val="none"/>
        </w:rPr>
      </w:pPr>
      <w:bookmarkStart w:id="512" w:name="_Toc12433"/>
      <w:bookmarkStart w:id="513" w:name="_Toc17319"/>
      <w:bookmarkStart w:id="514" w:name="_Toc13273"/>
      <w:bookmarkStart w:id="515" w:name="_Toc2568"/>
      <w:bookmarkStart w:id="516" w:name="_Toc9760"/>
      <w:bookmarkStart w:id="517" w:name="_Toc8627"/>
      <w:bookmarkStart w:id="518" w:name="_Toc16667"/>
      <w:r>
        <w:rPr>
          <w:rFonts w:hint="default" w:ascii="Times New Roman" w:hAnsi="Times New Roman" w:eastAsia="仿宋_GB2312" w:cs="Times New Roman"/>
          <w:bCs/>
          <w:color w:val="auto"/>
          <w:kern w:val="2"/>
          <w:highlight w:val="none"/>
        </w:rPr>
        <w:t>6.1.2配置保障原则</w:t>
      </w:r>
      <w:bookmarkEnd w:id="512"/>
      <w:bookmarkEnd w:id="513"/>
      <w:bookmarkEnd w:id="514"/>
      <w:bookmarkEnd w:id="515"/>
      <w:bookmarkEnd w:id="516"/>
      <w:bookmarkEnd w:id="517"/>
      <w:bookmarkEnd w:id="518"/>
    </w:p>
    <w:p>
      <w:pPr>
        <w:spacing w:line="560" w:lineRule="exact"/>
        <w:ind w:firstLine="601"/>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节水优先、量水而行。</w:t>
      </w:r>
      <w:r>
        <w:rPr>
          <w:rFonts w:hint="default" w:ascii="Times New Roman" w:hAnsi="Times New Roman" w:eastAsia="仿宋_GB2312" w:cs="Times New Roman"/>
          <w:color w:val="auto"/>
          <w:sz w:val="32"/>
          <w:szCs w:val="32"/>
          <w:highlight w:val="none"/>
        </w:rPr>
        <w:t>把水资源作为最大的刚性约束，以水定需、量水而行。坚持以水定城、以水定地、以水定人、以水定产，优化用水结构，转变用水方式，改革用水制度，坚决抑制不合理用水需求，以水资源节约集约利用促进重点特色产业高质量发展。</w:t>
      </w:r>
    </w:p>
    <w:p>
      <w:pPr>
        <w:spacing w:line="560" w:lineRule="exact"/>
        <w:ind w:firstLine="601"/>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因地制宜、分类施策。</w:t>
      </w:r>
      <w:r>
        <w:rPr>
          <w:rFonts w:hint="default" w:ascii="Times New Roman" w:hAnsi="Times New Roman" w:eastAsia="仿宋_GB2312" w:cs="Times New Roman"/>
          <w:color w:val="auto"/>
          <w:sz w:val="32"/>
          <w:szCs w:val="32"/>
          <w:highlight w:val="none"/>
        </w:rPr>
        <w:t>贯彻落实新发展理念，立足生态要素实际，严守生态保护红线、把住资源利用上限，根据主体功能定位，根据特色产业发展实际，宜水则水、宜山则山、宜粮则粮、宜农则农、宜工则工、宜商则商，因情施策发展，分区分类保障。</w:t>
      </w:r>
    </w:p>
    <w:p>
      <w:pPr>
        <w:spacing w:line="560" w:lineRule="exact"/>
        <w:ind w:firstLine="601"/>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空间均衡、服务均等</w:t>
      </w:r>
      <w:r>
        <w:rPr>
          <w:rFonts w:hint="default" w:ascii="Times New Roman" w:hAnsi="Times New Roman" w:eastAsia="仿宋_GB2312" w:cs="Times New Roman"/>
          <w:color w:val="auto"/>
          <w:sz w:val="32"/>
          <w:szCs w:val="32"/>
          <w:highlight w:val="none"/>
        </w:rPr>
        <w:t>。统筹城乡互融、山川共济，加快构建兴利除害的现代水网体系。以黄河保护治理为核心，做好节水兴水治水文章，推进水资源、水生态、水环境、水灾害‘四水同治’，形成河湖库坝连通、沟渠管网贯通、城乡山川覆盖、旱引汛蓄涝排、灌排畅通可控的现代水网体系。优化水资源配置格局，提高水利基本服务一体化普惠化均等化，满足重点产业高质量发展对水资源要素保障需求，助力新旧动能转换，推动产业转型升级。</w:t>
      </w:r>
    </w:p>
    <w:p>
      <w:pPr>
        <w:spacing w:line="560" w:lineRule="exact"/>
        <w:ind w:firstLine="601"/>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科技支撑，智慧管控</w:t>
      </w:r>
      <w:r>
        <w:rPr>
          <w:rFonts w:hint="default" w:ascii="Times New Roman" w:hAnsi="Times New Roman" w:eastAsia="仿宋_GB2312" w:cs="Times New Roman"/>
          <w:color w:val="auto"/>
          <w:sz w:val="32"/>
          <w:szCs w:val="32"/>
          <w:highlight w:val="none"/>
        </w:rPr>
        <w:t>。坚持科技治水兴水管水，以宁夏黄河云和水文现代化建设为抓手，构建“工程水网、数字水网、服务水网”三网融合数字治水空间，提高行业监管能力，提升水治理能力科学化现代化水平，以水利信息化助力重点特色产业高端化、绿色化、智能化、融合化发展。</w:t>
      </w:r>
    </w:p>
    <w:p>
      <w:pPr>
        <w:pStyle w:val="7"/>
        <w:spacing w:before="0"/>
        <w:rPr>
          <w:rFonts w:hint="default" w:ascii="Times New Roman" w:hAnsi="Times New Roman" w:eastAsia="仿宋_GB2312" w:cs="Times New Roman"/>
          <w:bCs/>
          <w:color w:val="auto"/>
          <w:kern w:val="2"/>
          <w:highlight w:val="none"/>
        </w:rPr>
      </w:pPr>
      <w:bookmarkStart w:id="519" w:name="_Toc28674"/>
      <w:bookmarkStart w:id="520" w:name="_Toc2923"/>
      <w:bookmarkStart w:id="521" w:name="_Toc14693"/>
      <w:bookmarkStart w:id="522" w:name="_Toc6935"/>
      <w:bookmarkStart w:id="523" w:name="_Toc386"/>
      <w:bookmarkStart w:id="524" w:name="_Toc1060"/>
      <w:bookmarkStart w:id="525" w:name="_Toc22811"/>
      <w:r>
        <w:rPr>
          <w:rFonts w:hint="default" w:ascii="Times New Roman" w:hAnsi="Times New Roman" w:eastAsia="仿宋_GB2312" w:cs="Times New Roman"/>
          <w:bCs/>
          <w:color w:val="auto"/>
          <w:kern w:val="2"/>
          <w:highlight w:val="none"/>
        </w:rPr>
        <w:t>6.1.3规划目标</w:t>
      </w:r>
      <w:bookmarkEnd w:id="519"/>
      <w:bookmarkEnd w:id="520"/>
      <w:bookmarkEnd w:id="521"/>
      <w:bookmarkEnd w:id="522"/>
      <w:bookmarkEnd w:id="523"/>
      <w:bookmarkEnd w:id="524"/>
      <w:bookmarkEnd w:id="525"/>
    </w:p>
    <w:p>
      <w:pPr>
        <w:topLinePunct/>
        <w:spacing w:line="56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本次规划的目的是为中卫市沙坡头区水资源可持续利用和管理提供规划基础，要在进一步</w:t>
      </w:r>
      <w:r>
        <w:rPr>
          <w:rFonts w:hint="default" w:ascii="Times New Roman" w:hAnsi="Times New Roman" w:eastAsia="仿宋_GB2312" w:cs="Times New Roman"/>
          <w:color w:val="auto"/>
          <w:sz w:val="32"/>
          <w:szCs w:val="32"/>
          <w:highlight w:val="none"/>
          <w:lang w:val="en-US" w:eastAsia="zh-CN"/>
        </w:rPr>
        <w:t>摸</w:t>
      </w:r>
      <w:r>
        <w:rPr>
          <w:rFonts w:hint="default" w:ascii="Times New Roman" w:hAnsi="Times New Roman" w:eastAsia="仿宋_GB2312" w:cs="Times New Roman"/>
          <w:color w:val="auto"/>
          <w:sz w:val="32"/>
          <w:szCs w:val="32"/>
          <w:highlight w:val="none"/>
        </w:rPr>
        <w:t>清沙坡头区水资源及其开发利用现状、分析和评价水资源承载能力的基础上，根据经济社会可持续发展和生态环境保护对水资源的要求，提出水资源合理开发、优化配置、高效利用、有效保护和综合治理的总体布局及实施方案，促进中卫市沙坡头区人口、资源、环境和经济的协调发展，以水资源的可持续利用支持经济社会的可持续发展。</w:t>
      </w:r>
    </w:p>
    <w:p>
      <w:pPr>
        <w:topLinePunct/>
        <w:spacing w:line="560" w:lineRule="exact"/>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全面实施节水行动，以水而定、量水而行，共同抓好大保护、协同推进大治理，以水“四定”管控，强化水资源的最大刚性约束，让黄河成为造福人民的幸福河。到2025年，基本构建与生态保护及高质量发展相适应的水资源节约保护体系，以总量约束倒逼经济社会结构调整、发展布局优化、抑制不合理用水需求，形成发展水平基本现代化、用水权益协调均衡、用水强度集约高效、用水模式绿色生态的高质量发展方向。中卫市沙坡头区水资源利用效率和效益明显提高，节水型生产和生活方式基本建立，全社会节水护水惜水意识明显增强，城乡供水安全保障程度明显增强，重点河湖水生态环境明显改善，水资源支撑黄河流域生态保护和高质量发展先行市建设的保障能力显著提升。中卫市沙坡头区取水总量控制在5.76亿m³以内，万元GDP用水量较2020年下降率为17%，万元工业值增加值</w:t>
      </w:r>
      <w:r>
        <w:rPr>
          <w:rFonts w:hint="default" w:ascii="Times New Roman" w:hAnsi="Times New Roman" w:eastAsia="仿宋_GB2312" w:cs="Times New Roman"/>
          <w:color w:val="auto"/>
          <w:sz w:val="32"/>
          <w:szCs w:val="32"/>
          <w:highlight w:val="none"/>
          <w:lang w:val="en-US" w:eastAsia="zh-CN"/>
        </w:rPr>
        <w:t>用水量</w:t>
      </w:r>
      <w:r>
        <w:rPr>
          <w:rFonts w:hint="default" w:ascii="Times New Roman" w:hAnsi="Times New Roman" w:eastAsia="仿宋_GB2312" w:cs="Times New Roman"/>
          <w:color w:val="auto"/>
          <w:sz w:val="32"/>
          <w:szCs w:val="32"/>
          <w:highlight w:val="none"/>
        </w:rPr>
        <w:t>下降率为10%，农业灌溉水利用系数达到0.6，非常规水利用率达到50%。重要河湖生态流量基本得到保障，沿黄人工绿洲生态带、重要湿地保护等生态用水需求基本保障，水生态环境显著改善，国控断面水质优良比例保持在80%以上（剔除地质本底因素），重点湖泊和入黄排水沟水质全面达标。</w:t>
      </w:r>
      <w:bookmarkStart w:id="526" w:name="_Toc2364"/>
      <w:bookmarkStart w:id="527" w:name="_Toc3860"/>
      <w:bookmarkStart w:id="528" w:name="_Toc19060"/>
      <w:bookmarkStart w:id="529" w:name="_Toc14735"/>
      <w:bookmarkStart w:id="530" w:name="_Toc21366"/>
      <w:bookmarkStart w:id="531" w:name="_Toc22586"/>
      <w:bookmarkStart w:id="532" w:name="_Toc9176"/>
      <w:bookmarkStart w:id="533" w:name="_Toc15985"/>
      <w:bookmarkStart w:id="534" w:name="_Toc345945936"/>
      <w:bookmarkStart w:id="535" w:name="_Toc17089"/>
    </w:p>
    <w:p>
      <w:pPr>
        <w:pStyle w:val="6"/>
        <w:bidi w:val="0"/>
        <w:rPr>
          <w:rFonts w:hint="default" w:ascii="Times New Roman" w:hAnsi="Times New Roman" w:eastAsia="楷体_GB2312" w:cs="Times New Roman"/>
          <w:color w:val="auto"/>
          <w:highlight w:val="none"/>
        </w:rPr>
      </w:pPr>
      <w:bookmarkStart w:id="536" w:name="_Toc24343"/>
      <w:bookmarkStart w:id="537" w:name="_Toc6694"/>
      <w:r>
        <w:rPr>
          <w:rFonts w:hint="default" w:ascii="Times New Roman" w:hAnsi="Times New Roman" w:eastAsia="楷体_GB2312" w:cs="Times New Roman"/>
          <w:color w:val="auto"/>
          <w:highlight w:val="none"/>
        </w:rPr>
        <w:t>6.2供水指标分析</w:t>
      </w:r>
      <w:bookmarkEnd w:id="526"/>
      <w:bookmarkEnd w:id="527"/>
      <w:bookmarkEnd w:id="528"/>
      <w:bookmarkEnd w:id="529"/>
      <w:bookmarkEnd w:id="530"/>
      <w:bookmarkEnd w:id="531"/>
      <w:bookmarkEnd w:id="532"/>
      <w:bookmarkEnd w:id="533"/>
      <w:bookmarkEnd w:id="536"/>
      <w:bookmarkEnd w:id="537"/>
    </w:p>
    <w:p>
      <w:pPr>
        <w:spacing w:line="560" w:lineRule="exact"/>
        <w:ind w:firstLine="600"/>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本次供水指标主要按照</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自治区人民政府办公厅关于印发宁夏“十四五”用水权管控指标方案的通知</w:t>
      </w:r>
      <w:r>
        <w:rPr>
          <w:rFonts w:hint="default" w:ascii="Times New Roman" w:hAnsi="Times New Roman" w:eastAsia="仿宋_GB2312" w:cs="Times New Roman"/>
          <w:color w:val="auto"/>
          <w:sz w:val="32"/>
          <w:szCs w:val="32"/>
          <w:highlight w:val="none"/>
        </w:rPr>
        <w:t>》</w:t>
      </w:r>
      <w:r>
        <w:rPr>
          <w:rFonts w:hint="default" w:ascii="Times New Roman" w:hAnsi="Times New Roman" w:cs="Times New Roman"/>
          <w:color w:val="auto"/>
          <w:sz w:val="32"/>
          <w:szCs w:val="32"/>
          <w:highlight w:val="none"/>
          <w:lang w:eastAsia="zh-CN"/>
        </w:rPr>
        <w:t>（宁政办发</w:t>
      </w:r>
      <w:r>
        <w:rPr>
          <w:rFonts w:hint="default" w:ascii="Times New Roman" w:hAnsi="Times New Roman" w:eastAsia="仿宋_GB2312" w:cs="Times New Roman"/>
          <w:color w:val="auto"/>
          <w:sz w:val="32"/>
          <w:szCs w:val="32"/>
          <w:highlight w:val="none"/>
        </w:rPr>
        <w:t>﹝202</w:t>
      </w:r>
      <w:r>
        <w:rPr>
          <w:rFonts w:hint="default" w:ascii="Times New Roman" w:hAnsi="Times New Roman"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w:t>
      </w:r>
      <w:r>
        <w:rPr>
          <w:rFonts w:hint="default" w:ascii="Times New Roman" w:hAnsi="Times New Roman" w:cs="Times New Roman"/>
          <w:color w:val="auto"/>
          <w:sz w:val="32"/>
          <w:szCs w:val="32"/>
          <w:highlight w:val="none"/>
          <w:lang w:val="en-US" w:eastAsia="zh-CN"/>
        </w:rPr>
        <w:t>76号）</w:t>
      </w:r>
      <w:r>
        <w:rPr>
          <w:rFonts w:hint="default" w:ascii="Times New Roman" w:hAnsi="Times New Roman" w:eastAsia="仿宋_GB2312" w:cs="Times New Roman"/>
          <w:color w:val="auto"/>
          <w:sz w:val="32"/>
          <w:szCs w:val="32"/>
          <w:highlight w:val="none"/>
          <w:lang w:val="en-US" w:eastAsia="zh-CN"/>
        </w:rPr>
        <w:t>进行分配供水，同时，结合</w:t>
      </w:r>
      <w:r>
        <w:rPr>
          <w:rFonts w:hint="default" w:ascii="Times New Roman" w:hAnsi="Times New Roman" w:eastAsia="仿宋_GB2312" w:cs="Times New Roman"/>
          <w:color w:val="auto"/>
          <w:sz w:val="32"/>
          <w:szCs w:val="32"/>
          <w:highlight w:val="none"/>
        </w:rPr>
        <w:t>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现状工程分析确定，沙坡头区主要的供水工程分为地下水供水工程、黄河水供水工程、非常规水供水工程。</w:t>
      </w:r>
    </w:p>
    <w:p>
      <w:pPr>
        <w:pStyle w:val="7"/>
        <w:spacing w:before="0"/>
        <w:rPr>
          <w:rFonts w:hint="default" w:ascii="Times New Roman" w:hAnsi="Times New Roman" w:eastAsia="仿宋_GB2312" w:cs="Times New Roman"/>
          <w:bCs/>
          <w:color w:val="auto"/>
          <w:kern w:val="2"/>
          <w:highlight w:val="none"/>
        </w:rPr>
      </w:pPr>
      <w:bookmarkStart w:id="538" w:name="_Toc8467"/>
      <w:bookmarkStart w:id="539" w:name="_Toc2960"/>
      <w:bookmarkStart w:id="540" w:name="_Toc23853"/>
      <w:bookmarkStart w:id="541" w:name="_Toc32081"/>
      <w:bookmarkStart w:id="542" w:name="_Toc12059"/>
      <w:bookmarkStart w:id="543" w:name="_Toc32698"/>
      <w:bookmarkStart w:id="544" w:name="_Toc19634"/>
      <w:bookmarkStart w:id="545" w:name="_Toc20650"/>
      <w:r>
        <w:rPr>
          <w:rFonts w:hint="default" w:ascii="Times New Roman" w:hAnsi="Times New Roman" w:eastAsia="仿宋_GB2312" w:cs="Times New Roman"/>
          <w:bCs/>
          <w:color w:val="auto"/>
          <w:kern w:val="2"/>
          <w:highlight w:val="none"/>
        </w:rPr>
        <w:t>6.2.1地下水</w:t>
      </w:r>
      <w:bookmarkEnd w:id="534"/>
      <w:bookmarkEnd w:id="535"/>
      <w:r>
        <w:rPr>
          <w:rFonts w:hint="default" w:ascii="Times New Roman" w:hAnsi="Times New Roman" w:eastAsia="仿宋_GB2312" w:cs="Times New Roman"/>
          <w:bCs/>
          <w:color w:val="auto"/>
          <w:kern w:val="2"/>
          <w:highlight w:val="none"/>
        </w:rPr>
        <w:t>供水指标分析</w:t>
      </w:r>
      <w:bookmarkEnd w:id="538"/>
      <w:bookmarkEnd w:id="539"/>
      <w:bookmarkEnd w:id="540"/>
      <w:bookmarkEnd w:id="541"/>
      <w:bookmarkEnd w:id="542"/>
      <w:bookmarkEnd w:id="543"/>
      <w:bookmarkEnd w:id="544"/>
      <w:bookmarkEnd w:id="545"/>
    </w:p>
    <w:p>
      <w:pPr>
        <w:spacing w:line="560" w:lineRule="exact"/>
        <w:ind w:firstLine="600"/>
        <w:rPr>
          <w:rFonts w:hint="default" w:ascii="Times New Roman" w:hAnsi="Times New Roman" w:eastAsia="仿宋_GB2312" w:cs="Times New Roman"/>
          <w:color w:val="auto"/>
          <w:sz w:val="32"/>
          <w:szCs w:val="32"/>
          <w:highlight w:val="none"/>
        </w:rPr>
      </w:pPr>
      <w:bookmarkStart w:id="546" w:name="_Toc345945937"/>
      <w:bookmarkStart w:id="547" w:name="_Toc4233"/>
      <w:bookmarkStart w:id="548" w:name="_Toc22882"/>
      <w:bookmarkStart w:id="549" w:name="_Toc10406"/>
      <w:bookmarkStart w:id="550" w:name="_Toc15073"/>
      <w:bookmarkStart w:id="551" w:name="_Toc18152"/>
      <w:bookmarkStart w:id="552" w:name="_Toc3249"/>
      <w:bookmarkStart w:id="553" w:name="_Toc4628"/>
      <w:bookmarkStart w:id="554" w:name="_Toc19275"/>
      <w:bookmarkStart w:id="555" w:name="_Toc22275"/>
      <w:r>
        <w:rPr>
          <w:rFonts w:hint="default" w:ascii="Times New Roman" w:hAnsi="Times New Roman" w:eastAsia="仿宋_GB2312" w:cs="Times New Roman"/>
          <w:color w:val="auto"/>
          <w:sz w:val="32"/>
          <w:szCs w:val="32"/>
          <w:highlight w:val="none"/>
        </w:rPr>
        <w:t>自治区分配给沙坡头区地下水取水指标为4500万m³，沙坡头区近两年开采量增大，年均开采量为4130万m³，未超取水指标，考虑中卫市河北地区城乡供水工程，黄河水替换地下水，同时，随着规划年高效节水及渠道砌护等节水措施的实施，地下水补给量会出现明显的减少，因此，本次水资源配置按照自治区下发沙坡头区地下水指标4500万m³确定沙坡头区2025年地下水可供水量。</w:t>
      </w:r>
    </w:p>
    <w:p>
      <w:pPr>
        <w:pStyle w:val="7"/>
        <w:spacing w:before="0"/>
        <w:rPr>
          <w:rFonts w:hint="default" w:ascii="Times New Roman" w:hAnsi="Times New Roman" w:eastAsia="仿宋_GB2312" w:cs="Times New Roman"/>
          <w:bCs/>
          <w:color w:val="auto"/>
          <w:kern w:val="2"/>
          <w:highlight w:val="none"/>
        </w:rPr>
      </w:pPr>
      <w:r>
        <w:rPr>
          <w:rFonts w:hint="default" w:ascii="Times New Roman" w:hAnsi="Times New Roman" w:eastAsia="仿宋_GB2312" w:cs="Times New Roman"/>
          <w:bCs/>
          <w:color w:val="auto"/>
          <w:kern w:val="2"/>
          <w:highlight w:val="none"/>
        </w:rPr>
        <w:t>6.2.2黄河水</w:t>
      </w:r>
      <w:bookmarkEnd w:id="546"/>
      <w:bookmarkEnd w:id="547"/>
      <w:r>
        <w:rPr>
          <w:rFonts w:hint="default" w:ascii="Times New Roman" w:hAnsi="Times New Roman" w:eastAsia="仿宋_GB2312" w:cs="Times New Roman"/>
          <w:bCs/>
          <w:color w:val="auto"/>
          <w:kern w:val="2"/>
          <w:highlight w:val="none"/>
        </w:rPr>
        <w:t>供水指标分析</w:t>
      </w:r>
      <w:bookmarkEnd w:id="548"/>
      <w:bookmarkEnd w:id="549"/>
      <w:bookmarkEnd w:id="550"/>
      <w:bookmarkEnd w:id="551"/>
      <w:bookmarkEnd w:id="552"/>
      <w:bookmarkEnd w:id="553"/>
      <w:bookmarkEnd w:id="554"/>
      <w:bookmarkEnd w:id="555"/>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宁夏以水定需管控实施方案（征求意见稿）》，中卫市沙坡头区2025年取水总量控制指标为5.76亿m³，其中，分水源取水量：黄河水5.23亿m³，地下水0.45亿m³，非常规水0.08亿m³；分行业取水量：生活0.39亿m³，工业0.3</w:t>
      </w:r>
      <w:r>
        <w:rPr>
          <w:rFonts w:hint="default" w:ascii="Times New Roman" w:hAnsi="Times New Roman" w:eastAsia="仿宋_GB2312" w:cs="Times New Roman"/>
          <w:color w:val="auto"/>
          <w:kern w:val="2"/>
          <w:sz w:val="32"/>
          <w:szCs w:val="32"/>
          <w:highlight w:val="none"/>
          <w:lang w:val="en-US" w:eastAsia="zh-CN"/>
        </w:rPr>
        <w:t>0</w:t>
      </w:r>
      <w:r>
        <w:rPr>
          <w:rFonts w:hint="default" w:ascii="Times New Roman" w:hAnsi="Times New Roman" w:eastAsia="仿宋_GB2312" w:cs="Times New Roman"/>
          <w:color w:val="auto"/>
          <w:kern w:val="2"/>
          <w:sz w:val="32"/>
          <w:szCs w:val="32"/>
          <w:highlight w:val="none"/>
        </w:rPr>
        <w:t>亿m³，农业3.78亿m³，生态1.2</w:t>
      </w:r>
      <w:r>
        <w:rPr>
          <w:rFonts w:hint="default" w:ascii="Times New Roman" w:hAnsi="Times New Roman" w:eastAsia="仿宋_GB2312" w:cs="Times New Roman"/>
          <w:color w:val="auto"/>
          <w:kern w:val="2"/>
          <w:sz w:val="32"/>
          <w:szCs w:val="32"/>
          <w:highlight w:val="none"/>
          <w:lang w:val="en-US" w:eastAsia="zh-CN"/>
        </w:rPr>
        <w:t>9</w:t>
      </w:r>
      <w:r>
        <w:rPr>
          <w:rFonts w:hint="default" w:ascii="Times New Roman" w:hAnsi="Times New Roman" w:eastAsia="仿宋_GB2312" w:cs="Times New Roman"/>
          <w:color w:val="auto"/>
          <w:kern w:val="2"/>
          <w:sz w:val="32"/>
          <w:szCs w:val="32"/>
          <w:highlight w:val="none"/>
        </w:rPr>
        <w:t>亿m³。</w:t>
      </w:r>
    </w:p>
    <w:p>
      <w:pPr>
        <w:pStyle w:val="7"/>
        <w:spacing w:before="0"/>
        <w:rPr>
          <w:rFonts w:hint="default" w:ascii="Times New Roman" w:hAnsi="Times New Roman" w:eastAsia="仿宋_GB2312" w:cs="Times New Roman"/>
          <w:bCs/>
          <w:color w:val="auto"/>
          <w:kern w:val="2"/>
          <w:highlight w:val="none"/>
        </w:rPr>
      </w:pPr>
      <w:bookmarkStart w:id="556" w:name="_Toc25243"/>
      <w:bookmarkStart w:id="557" w:name="_Toc26014"/>
      <w:bookmarkStart w:id="558" w:name="_Toc31386"/>
      <w:bookmarkStart w:id="559" w:name="_Toc2120"/>
      <w:bookmarkStart w:id="560" w:name="_Toc28086"/>
      <w:bookmarkStart w:id="561" w:name="_Toc29587"/>
      <w:r>
        <w:rPr>
          <w:rFonts w:hint="default" w:ascii="Times New Roman" w:hAnsi="Times New Roman" w:eastAsia="仿宋_GB2312" w:cs="Times New Roman"/>
          <w:bCs/>
          <w:color w:val="auto"/>
          <w:kern w:val="2"/>
          <w:highlight w:val="none"/>
        </w:rPr>
        <w:t>6.2.3非常规水供水能力分析</w:t>
      </w:r>
      <w:bookmarkEnd w:id="556"/>
      <w:bookmarkEnd w:id="557"/>
      <w:bookmarkEnd w:id="558"/>
      <w:bookmarkEnd w:id="559"/>
      <w:bookmarkEnd w:id="560"/>
      <w:bookmarkEnd w:id="561"/>
    </w:p>
    <w:p>
      <w:pPr>
        <w:pStyle w:val="7"/>
        <w:spacing w:before="0"/>
        <w:rPr>
          <w:rFonts w:hint="default" w:ascii="Times New Roman" w:hAnsi="Times New Roman" w:eastAsia="仿宋_GB2312" w:cs="Times New Roman"/>
          <w:bCs/>
          <w:color w:val="auto"/>
          <w:kern w:val="2"/>
          <w:highlight w:val="none"/>
        </w:rPr>
      </w:pPr>
      <w:r>
        <w:rPr>
          <w:rFonts w:hint="default" w:ascii="Times New Roman" w:hAnsi="Times New Roman" w:eastAsia="仿宋_GB2312" w:cs="Times New Roman"/>
          <w:bCs/>
          <w:color w:val="auto"/>
          <w:kern w:val="2"/>
          <w:highlight w:val="none"/>
        </w:rPr>
        <w:t>6.2.3.1中水供水能力分析</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沙坡头区目前已建集中式污水处理厂4座，分别为中卫市第一、第二（工业园区）、第四污水处理厂（宣和镇区）及中卫高铁站市政配套污水处理及中水回用工程，</w:t>
      </w:r>
      <w:r>
        <w:rPr>
          <w:rFonts w:hint="default" w:ascii="Times New Roman" w:hAnsi="Times New Roman" w:eastAsia="仿宋_GB2312" w:cs="Times New Roman"/>
          <w:color w:val="auto"/>
          <w:kern w:val="2"/>
          <w:sz w:val="32"/>
          <w:szCs w:val="32"/>
          <w:highlight w:val="none"/>
          <w:lang w:val="en-US" w:eastAsia="zh-CN"/>
        </w:rPr>
        <w:t>正在建设</w:t>
      </w:r>
      <w:r>
        <w:rPr>
          <w:rFonts w:hint="default" w:ascii="Times New Roman" w:hAnsi="Times New Roman" w:eastAsia="仿宋_GB2312" w:cs="Times New Roman"/>
          <w:color w:val="auto"/>
          <w:kern w:val="2"/>
          <w:sz w:val="32"/>
          <w:szCs w:val="32"/>
          <w:highlight w:val="none"/>
        </w:rPr>
        <w:t>中卫市第三污水处理厂。</w:t>
      </w:r>
    </w:p>
    <w:p>
      <w:pPr>
        <w:pStyle w:val="9"/>
        <w:rPr>
          <w:rFonts w:hint="default" w:ascii="Times New Roman" w:hAnsi="Times New Roman" w:cs="Times New Roman"/>
          <w:color w:val="auto"/>
          <w:highlight w:val="none"/>
        </w:rPr>
      </w:pPr>
      <w:r>
        <w:rPr>
          <w:rFonts w:hint="default" w:ascii="Times New Roman" w:hAnsi="Times New Roman" w:cs="Times New Roman"/>
          <w:color w:val="auto"/>
          <w:highlight w:val="none"/>
        </w:rPr>
        <w:t>（1）中卫市第一污水处理厂及配套中水厂、人工湿地</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中卫市城区生活污水目前通过中卫市第一污水处理厂+中水厂+人工湿地综合处理，污水处理厂出水部分经中水厂深度处理回用，部分通过人工湿地进一步净化排入河沿沟。入河排污口地理坐标为东经105°16'3.88"，北纬37°30'2.05"，排污口类型为改建入河排污口，性质为市政排污口，排放方式为连续排放，入河方式为自流。</w:t>
      </w:r>
    </w:p>
    <w:p>
      <w:pPr>
        <w:rPr>
          <w:rFonts w:hint="default" w:ascii="Times New Roman" w:hAnsi="Times New Roman" w:eastAsia="仿宋_GB2312" w:cs="Times New Roman"/>
          <w:b w:val="0"/>
          <w:bCs w:val="0"/>
          <w:color w:val="auto"/>
          <w:kern w:val="2"/>
          <w:sz w:val="32"/>
          <w:szCs w:val="32"/>
          <w:highlight w:val="none"/>
        </w:rPr>
      </w:pPr>
      <w:r>
        <w:rPr>
          <w:rFonts w:hint="default" w:ascii="Times New Roman" w:hAnsi="Times New Roman" w:eastAsia="仿宋_GB2312" w:cs="Times New Roman"/>
          <w:b w:val="0"/>
          <w:bCs w:val="0"/>
          <w:color w:val="auto"/>
          <w:kern w:val="2"/>
          <w:sz w:val="32"/>
          <w:szCs w:val="32"/>
          <w:highlight w:val="none"/>
        </w:rPr>
        <w:t>①中卫市第一污水处理厂</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中卫市第一污水处理厂于2005年建成投产，位于中卫市沙坡头区迎宾大道43号，地理坐标为东经105°12'54.65"，北纬37°30'31.63"，北面紧靠中卫第四排水沟（暗渠）和南苑东路，西面紧邻迎宾大道，南面紧邻中卫应理集团办公楼，现状占地面积为50460</w:t>
      </w:r>
      <w:r>
        <w:rPr>
          <w:rFonts w:hint="default" w:ascii="Times New Roman" w:hAnsi="Times New Roman" w:cs="Times New Roman"/>
          <w:color w:val="auto"/>
          <w:kern w:val="2"/>
          <w:sz w:val="32"/>
          <w:szCs w:val="32"/>
          <w:highlight w:val="none"/>
          <w:lang w:val="en-US" w:eastAsia="zh-CN"/>
        </w:rPr>
        <w:t>m</w:t>
      </w:r>
      <w:r>
        <w:rPr>
          <w:rFonts w:hint="default" w:ascii="Times New Roman" w:hAnsi="Times New Roman" w:cs="Times New Roman"/>
          <w:color w:val="auto"/>
          <w:kern w:val="2"/>
          <w:sz w:val="32"/>
          <w:szCs w:val="32"/>
          <w:highlight w:val="none"/>
          <w:vertAlign w:val="superscript"/>
          <w:lang w:val="en-US" w:eastAsia="zh-CN"/>
        </w:rPr>
        <w:t>2</w:t>
      </w:r>
      <w:r>
        <w:rPr>
          <w:rFonts w:hint="default" w:ascii="Times New Roman" w:hAnsi="Times New Roman" w:eastAsia="仿宋_GB2312" w:cs="Times New Roman"/>
          <w:color w:val="auto"/>
          <w:kern w:val="2"/>
          <w:sz w:val="32"/>
          <w:szCs w:val="32"/>
          <w:highlight w:val="none"/>
        </w:rPr>
        <w:t>。</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中卫市第一污水处理厂设计处理规模4</w:t>
      </w:r>
      <w:r>
        <w:rPr>
          <w:rFonts w:hint="default" w:ascii="Times New Roman" w:hAnsi="Times New Roman" w:cs="Times New Roman"/>
          <w:color w:val="auto"/>
          <w:kern w:val="2"/>
          <w:sz w:val="32"/>
          <w:szCs w:val="32"/>
          <w:highlight w:val="none"/>
          <w:lang w:val="en-US" w:eastAsia="zh-CN"/>
        </w:rPr>
        <w:t>.0</w:t>
      </w:r>
      <w:r>
        <w:rPr>
          <w:rFonts w:hint="default" w:ascii="Times New Roman" w:hAnsi="Times New Roman" w:eastAsia="仿宋_GB2312" w:cs="Times New Roman"/>
          <w:color w:val="auto"/>
          <w:kern w:val="2"/>
          <w:sz w:val="32"/>
          <w:szCs w:val="32"/>
          <w:highlight w:val="none"/>
        </w:rPr>
        <w:t>万m³/d，服务范围西至机场大道，东至宁钢大道，南至滨河大道，北至铁路，服务面积约25km，废污水类型以生活污水为主。城市排水干管沿南苑路、应理街、长城路、文昌街、鼓楼街、香山街、中山路、蔡桥路、怀远街、文萃路、迎宾大道、新墩街、平安大道等敷设，排水管网总长度为130km，管径</w:t>
      </w:r>
      <w:r>
        <w:rPr>
          <w:rFonts w:hint="default" w:ascii="Times New Roman" w:hAnsi="Times New Roman" w:cs="Times New Roman"/>
          <w:color w:val="auto"/>
          <w:kern w:val="2"/>
          <w:sz w:val="32"/>
          <w:szCs w:val="32"/>
          <w:highlight w:val="none"/>
          <w:lang w:val="en-US" w:eastAsia="zh-CN"/>
        </w:rPr>
        <w:t>DN</w:t>
      </w:r>
      <w:r>
        <w:rPr>
          <w:rFonts w:hint="default" w:ascii="Times New Roman" w:hAnsi="Times New Roman" w:eastAsia="仿宋_GB2312" w:cs="Times New Roman"/>
          <w:color w:val="auto"/>
          <w:kern w:val="2"/>
          <w:sz w:val="32"/>
          <w:szCs w:val="32"/>
          <w:highlight w:val="none"/>
        </w:rPr>
        <w:t>500</w:t>
      </w:r>
      <w:r>
        <w:rPr>
          <w:rFonts w:hint="default" w:ascii="Times New Roman" w:hAnsi="Times New Roman"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rPr>
        <w:t>1800mm。污水处理厂经提标改造后，采用“底部曝气+填料”流动床生物膜工艺，设计出水水质执行《城镇污水处理厂污染物排放标准》（GB18918-2002）一级A标准。</w:t>
      </w:r>
    </w:p>
    <w:p>
      <w:pPr>
        <w:rPr>
          <w:rFonts w:hint="default" w:ascii="Times New Roman" w:hAnsi="Times New Roman" w:eastAsia="仿宋_GB2312" w:cs="Times New Roman"/>
          <w:b w:val="0"/>
          <w:bCs w:val="0"/>
          <w:color w:val="auto"/>
          <w:kern w:val="2"/>
          <w:sz w:val="32"/>
          <w:szCs w:val="32"/>
          <w:highlight w:val="none"/>
        </w:rPr>
      </w:pPr>
      <w:r>
        <w:rPr>
          <w:rFonts w:hint="default" w:ascii="Times New Roman" w:hAnsi="Times New Roman" w:eastAsia="仿宋_GB2312" w:cs="Times New Roman"/>
          <w:b w:val="0"/>
          <w:bCs w:val="0"/>
          <w:color w:val="auto"/>
          <w:kern w:val="2"/>
          <w:sz w:val="32"/>
          <w:szCs w:val="32"/>
          <w:highlight w:val="none"/>
        </w:rPr>
        <w:t>②一污配套中水厂</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中水厂紧邻中卫市第一污水处理厂，位于污水处理厂南侧，设计处理规模3</w:t>
      </w:r>
      <w:r>
        <w:rPr>
          <w:rFonts w:hint="default" w:ascii="Times New Roman" w:hAnsi="Times New Roman" w:cs="Times New Roman"/>
          <w:color w:val="auto"/>
          <w:kern w:val="2"/>
          <w:sz w:val="32"/>
          <w:szCs w:val="32"/>
          <w:highlight w:val="none"/>
          <w:lang w:val="en-US" w:eastAsia="zh-CN"/>
        </w:rPr>
        <w:t>.0</w:t>
      </w:r>
      <w:r>
        <w:rPr>
          <w:rFonts w:hint="default" w:ascii="Times New Roman" w:hAnsi="Times New Roman" w:eastAsia="仿宋_GB2312" w:cs="Times New Roman"/>
          <w:color w:val="auto"/>
          <w:kern w:val="2"/>
          <w:sz w:val="32"/>
          <w:szCs w:val="32"/>
          <w:highlight w:val="none"/>
        </w:rPr>
        <w:t>万m³/d。以污水处理厂一级A标准尾水为再生水水源，出水水质达到中水回用标准后用于中卫热电厂、绿化、景观补水等。</w:t>
      </w:r>
    </w:p>
    <w:p>
      <w:pPr>
        <w:rPr>
          <w:rFonts w:hint="default" w:ascii="Times New Roman" w:hAnsi="Times New Roman" w:eastAsia="仿宋_GB2312" w:cs="Times New Roman"/>
          <w:b w:val="0"/>
          <w:bCs w:val="0"/>
          <w:color w:val="auto"/>
          <w:kern w:val="2"/>
          <w:sz w:val="32"/>
          <w:szCs w:val="32"/>
          <w:highlight w:val="none"/>
        </w:rPr>
      </w:pPr>
      <w:r>
        <w:rPr>
          <w:rFonts w:hint="default" w:ascii="Times New Roman" w:hAnsi="Times New Roman" w:eastAsia="仿宋_GB2312" w:cs="Times New Roman"/>
          <w:b w:val="0"/>
          <w:bCs w:val="0"/>
          <w:color w:val="auto"/>
          <w:kern w:val="2"/>
          <w:sz w:val="32"/>
          <w:szCs w:val="32"/>
          <w:highlight w:val="none"/>
        </w:rPr>
        <w:t>③一污配套人工湿地</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中卫市第一污水处理厂配套人工湿地于2016年开工建设，2017年10月开始投入使用，以环二路以南、滨河大道以北的空</w:t>
      </w:r>
      <w:r>
        <w:rPr>
          <w:rFonts w:hint="default" w:ascii="Times New Roman" w:hAnsi="Times New Roman" w:eastAsia="仿宋_GB2312" w:cs="Times New Roman"/>
          <w:color w:val="auto"/>
          <w:spacing w:val="-6"/>
          <w:kern w:val="2"/>
          <w:sz w:val="32"/>
          <w:szCs w:val="32"/>
          <w:highlight w:val="none"/>
        </w:rPr>
        <w:t>地及现有鱼塘区域作为人工湿地建设区，设计处理规模4</w:t>
      </w:r>
      <w:r>
        <w:rPr>
          <w:rFonts w:hint="default" w:ascii="Times New Roman" w:hAnsi="Times New Roman" w:cs="Times New Roman"/>
          <w:color w:val="auto"/>
          <w:spacing w:val="-6"/>
          <w:kern w:val="2"/>
          <w:sz w:val="32"/>
          <w:szCs w:val="32"/>
          <w:highlight w:val="none"/>
          <w:lang w:val="en-US" w:eastAsia="zh-CN"/>
        </w:rPr>
        <w:t>.0</w:t>
      </w:r>
      <w:r>
        <w:rPr>
          <w:rFonts w:hint="default" w:ascii="Times New Roman" w:hAnsi="Times New Roman" w:eastAsia="仿宋_GB2312" w:cs="Times New Roman"/>
          <w:color w:val="auto"/>
          <w:spacing w:val="-6"/>
          <w:kern w:val="2"/>
          <w:sz w:val="32"/>
          <w:szCs w:val="32"/>
          <w:highlight w:val="none"/>
        </w:rPr>
        <w:t>万m³/d。</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人工湿地采用强化潜流湿地+生态修复湿地组合工艺。人工湿地占地面积约307亩，其中，潜流湿地区170亩，生态修复区137亩。主要处理污水处理厂达到一级A标准的尾水，经人工湿地深度处理主要污染物CODcr和NH</w:t>
      </w:r>
      <w:r>
        <w:rPr>
          <w:rFonts w:hint="default" w:ascii="Times New Roman" w:hAnsi="Times New Roman" w:eastAsia="仿宋_GB2312" w:cs="Times New Roman"/>
          <w:color w:val="auto"/>
          <w:kern w:val="2"/>
          <w:sz w:val="32"/>
          <w:szCs w:val="32"/>
          <w:highlight w:val="none"/>
          <w:vertAlign w:val="subscript"/>
        </w:rPr>
        <w:t>3</w:t>
      </w:r>
      <w:r>
        <w:rPr>
          <w:rFonts w:hint="default" w:ascii="Times New Roman" w:hAnsi="Times New Roman" w:eastAsia="仿宋_GB2312" w:cs="Times New Roman"/>
          <w:color w:val="auto"/>
          <w:kern w:val="2"/>
          <w:sz w:val="32"/>
          <w:szCs w:val="32"/>
          <w:highlight w:val="none"/>
        </w:rPr>
        <w:t>-N出水水质达到《地表水环境质量标准》（GB3838-2002）</w:t>
      </w:r>
      <w:r>
        <w:rPr>
          <w:rFonts w:hint="default" w:ascii="Times New Roman" w:hAnsi="Times New Roman" w:eastAsia="仿宋_GB2312" w:cs="Times New Roman"/>
          <w:color w:val="auto"/>
          <w:kern w:val="2"/>
          <w:sz w:val="32"/>
          <w:szCs w:val="32"/>
          <w:highlight w:val="none"/>
        </w:rPr>
        <w:fldChar w:fldCharType="begin"/>
      </w:r>
      <w:r>
        <w:rPr>
          <w:rFonts w:hint="default" w:ascii="Times New Roman" w:hAnsi="Times New Roman" w:eastAsia="仿宋_GB2312" w:cs="Times New Roman"/>
          <w:color w:val="auto"/>
          <w:kern w:val="2"/>
          <w:sz w:val="32"/>
          <w:szCs w:val="32"/>
          <w:highlight w:val="none"/>
        </w:rPr>
        <w:instrText xml:space="preserve"> = 4 \* ROMAN </w:instrText>
      </w:r>
      <w:r>
        <w:rPr>
          <w:rFonts w:hint="default" w:ascii="Times New Roman" w:hAnsi="Times New Roman" w:eastAsia="仿宋_GB2312" w:cs="Times New Roman"/>
          <w:color w:val="auto"/>
          <w:kern w:val="2"/>
          <w:sz w:val="32"/>
          <w:szCs w:val="32"/>
          <w:highlight w:val="none"/>
        </w:rPr>
        <w:fldChar w:fldCharType="separate"/>
      </w:r>
      <w:r>
        <w:rPr>
          <w:rFonts w:hint="default" w:ascii="Times New Roman" w:hAnsi="Times New Roman" w:eastAsia="仿宋_GB2312" w:cs="Times New Roman"/>
          <w:color w:val="auto"/>
          <w:kern w:val="2"/>
          <w:sz w:val="32"/>
          <w:szCs w:val="32"/>
          <w:highlight w:val="none"/>
        </w:rPr>
        <w:t>IV</w:t>
      </w:r>
      <w:r>
        <w:rPr>
          <w:rFonts w:hint="default" w:ascii="Times New Roman" w:hAnsi="Times New Roman" w:eastAsia="仿宋_GB2312" w:cs="Times New Roman"/>
          <w:color w:val="auto"/>
          <w:kern w:val="2"/>
          <w:sz w:val="32"/>
          <w:szCs w:val="32"/>
          <w:highlight w:val="none"/>
        </w:rPr>
        <w:fldChar w:fldCharType="end"/>
      </w:r>
      <w:r>
        <w:rPr>
          <w:rFonts w:hint="default" w:ascii="Times New Roman" w:hAnsi="Times New Roman" w:eastAsia="仿宋_GB2312" w:cs="Times New Roman"/>
          <w:color w:val="auto"/>
          <w:kern w:val="2"/>
          <w:sz w:val="32"/>
          <w:szCs w:val="32"/>
          <w:highlight w:val="none"/>
        </w:rPr>
        <w:t>类水质标准。</w:t>
      </w:r>
    </w:p>
    <w:p>
      <w:pPr>
        <w:pStyle w:val="9"/>
        <w:rPr>
          <w:rFonts w:hint="default" w:ascii="Times New Roman" w:hAnsi="Times New Roman" w:cs="Times New Roman"/>
          <w:color w:val="auto"/>
          <w:highlight w:val="none"/>
        </w:rPr>
      </w:pPr>
      <w:r>
        <w:rPr>
          <w:rFonts w:hint="default" w:ascii="Times New Roman" w:hAnsi="Times New Roman" w:cs="Times New Roman"/>
          <w:color w:val="auto"/>
          <w:highlight w:val="none"/>
        </w:rPr>
        <w:t>（2）中卫市第二污水处理厂及配套中水厂、人工湿地</w:t>
      </w:r>
    </w:p>
    <w:p>
      <w:pPr>
        <w:pStyle w:val="27"/>
        <w:spacing w:line="560" w:lineRule="exact"/>
        <w:ind w:firstLine="600"/>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中卫市工业园区废污水通过中卫市第二污水处理厂+中水厂+人工湿地综合处理，污水处理厂</w:t>
      </w:r>
      <w:r>
        <w:rPr>
          <w:rFonts w:hint="default" w:ascii="Times New Roman" w:hAnsi="Times New Roman" w:cs="Times New Roman"/>
          <w:color w:val="auto"/>
          <w:kern w:val="2"/>
          <w:sz w:val="32"/>
          <w:szCs w:val="32"/>
          <w:highlight w:val="none"/>
          <w:lang w:eastAsia="zh-CN"/>
        </w:rPr>
        <w:t>一</w:t>
      </w:r>
      <w:r>
        <w:rPr>
          <w:rFonts w:hint="default" w:ascii="Times New Roman" w:hAnsi="Times New Roman" w:eastAsia="仿宋_GB2312" w:cs="Times New Roman"/>
          <w:color w:val="auto"/>
          <w:kern w:val="2"/>
          <w:sz w:val="32"/>
          <w:szCs w:val="32"/>
          <w:highlight w:val="none"/>
        </w:rPr>
        <w:t>部分经中水厂深度处理回用，</w:t>
      </w:r>
      <w:r>
        <w:rPr>
          <w:rFonts w:hint="default" w:ascii="Times New Roman" w:hAnsi="Times New Roman" w:cs="Times New Roman"/>
          <w:color w:val="auto"/>
          <w:kern w:val="2"/>
          <w:sz w:val="32"/>
          <w:szCs w:val="32"/>
          <w:highlight w:val="none"/>
          <w:lang w:eastAsia="zh-CN"/>
        </w:rPr>
        <w:t>另一</w:t>
      </w:r>
      <w:r>
        <w:rPr>
          <w:rFonts w:hint="default" w:ascii="Times New Roman" w:hAnsi="Times New Roman" w:eastAsia="仿宋_GB2312" w:cs="Times New Roman"/>
          <w:color w:val="auto"/>
          <w:kern w:val="2"/>
          <w:sz w:val="32"/>
          <w:szCs w:val="32"/>
          <w:highlight w:val="none"/>
        </w:rPr>
        <w:t>部分通过人工湿地进一步净化。</w:t>
      </w:r>
    </w:p>
    <w:p>
      <w:pPr>
        <w:rPr>
          <w:rFonts w:hint="default" w:ascii="Times New Roman" w:hAnsi="Times New Roman" w:eastAsia="仿宋_GB2312" w:cs="Times New Roman"/>
          <w:b w:val="0"/>
          <w:bCs w:val="0"/>
          <w:color w:val="auto"/>
          <w:kern w:val="2"/>
          <w:sz w:val="32"/>
          <w:szCs w:val="32"/>
          <w:highlight w:val="none"/>
        </w:rPr>
      </w:pPr>
      <w:r>
        <w:rPr>
          <w:rFonts w:hint="default" w:ascii="Times New Roman" w:hAnsi="Times New Roman" w:eastAsia="仿宋_GB2312" w:cs="Times New Roman"/>
          <w:b w:val="0"/>
          <w:bCs w:val="0"/>
          <w:color w:val="auto"/>
          <w:kern w:val="2"/>
          <w:sz w:val="32"/>
          <w:szCs w:val="32"/>
          <w:highlight w:val="none"/>
        </w:rPr>
        <w:t>①中卫市第二污水处理厂</w:t>
      </w:r>
    </w:p>
    <w:p>
      <w:pPr>
        <w:rPr>
          <w:rFonts w:hint="default" w:ascii="Times New Roman" w:hAnsi="Times New Roman" w:eastAsia="仿宋_GB2312" w:cs="Times New Roman"/>
          <w:color w:val="auto"/>
          <w:spacing w:val="0"/>
          <w:kern w:val="2"/>
          <w:sz w:val="32"/>
          <w:szCs w:val="32"/>
          <w:highlight w:val="none"/>
          <w:lang w:eastAsia="zh-CN"/>
        </w:rPr>
      </w:pPr>
      <w:r>
        <w:rPr>
          <w:rFonts w:hint="default" w:ascii="Times New Roman" w:hAnsi="Times New Roman" w:eastAsia="仿宋_GB2312" w:cs="Times New Roman"/>
          <w:color w:val="auto"/>
          <w:kern w:val="2"/>
          <w:sz w:val="32"/>
          <w:szCs w:val="32"/>
          <w:highlight w:val="none"/>
        </w:rPr>
        <w:t>中卫市第二污水处理厂于2012年建成投产，2014年进行提标改造，于2015年投产运行。污水处理厂位于中卫工业园区，具体位置位于宁钢大道与C5路交叉口东南角，广申大道西侧，其厂址中心地理坐标为东经105°14'14.71"，北纬37°36'51.51"。</w:t>
      </w:r>
      <w:r>
        <w:rPr>
          <w:rFonts w:hint="default" w:ascii="Times New Roman" w:hAnsi="Times New Roman" w:eastAsia="仿宋_GB2312" w:cs="Times New Roman"/>
          <w:color w:val="auto"/>
          <w:spacing w:val="0"/>
          <w:kern w:val="2"/>
          <w:sz w:val="32"/>
          <w:szCs w:val="32"/>
          <w:highlight w:val="none"/>
        </w:rPr>
        <w:t>设计处理规模3</w:t>
      </w:r>
      <w:r>
        <w:rPr>
          <w:rFonts w:hint="default" w:ascii="Times New Roman" w:hAnsi="Times New Roman" w:cs="Times New Roman"/>
          <w:color w:val="auto"/>
          <w:spacing w:val="0"/>
          <w:kern w:val="2"/>
          <w:sz w:val="32"/>
          <w:szCs w:val="32"/>
          <w:highlight w:val="none"/>
          <w:lang w:val="en-US" w:eastAsia="zh-CN"/>
        </w:rPr>
        <w:t>.0</w:t>
      </w:r>
      <w:r>
        <w:rPr>
          <w:rFonts w:hint="default" w:ascii="Times New Roman" w:hAnsi="Times New Roman" w:eastAsia="仿宋_GB2312" w:cs="Times New Roman"/>
          <w:color w:val="auto"/>
          <w:spacing w:val="0"/>
          <w:kern w:val="2"/>
          <w:sz w:val="32"/>
          <w:szCs w:val="32"/>
          <w:highlight w:val="none"/>
        </w:rPr>
        <w:t>万m³/d。</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中卫市第二污水处理厂主要处理中卫工业园区工业废水。污水处理厂原污水处理工艺采用“卡鲁塞尔2000氧化沟”，经提标改造后采用“倍增复合式高浓度有机污水强化生物脱氮（QWSTN）”处理工艺，提标改造后设计出水水质执行《城镇污水处理厂污染物排放标准》（GB18918-2002）一级A标准。</w:t>
      </w:r>
    </w:p>
    <w:p>
      <w:pPr>
        <w:rPr>
          <w:rFonts w:hint="default" w:ascii="Times New Roman" w:hAnsi="Times New Roman" w:eastAsia="仿宋_GB2312" w:cs="Times New Roman"/>
          <w:b w:val="0"/>
          <w:bCs w:val="0"/>
          <w:color w:val="auto"/>
          <w:kern w:val="2"/>
          <w:sz w:val="32"/>
          <w:szCs w:val="32"/>
          <w:highlight w:val="none"/>
        </w:rPr>
      </w:pPr>
      <w:r>
        <w:rPr>
          <w:rFonts w:hint="default" w:ascii="Times New Roman" w:hAnsi="Times New Roman" w:eastAsia="仿宋_GB2312" w:cs="Times New Roman"/>
          <w:b w:val="0"/>
          <w:bCs w:val="0"/>
          <w:color w:val="auto"/>
          <w:kern w:val="2"/>
          <w:sz w:val="32"/>
          <w:szCs w:val="32"/>
          <w:highlight w:val="none"/>
        </w:rPr>
        <w:t>②二污配套中水厂</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中卫工业园区于2011年启动中水建设项目，中水厂紧邻中卫市第二污水处理厂，位污水处理厂东侧，采用“预处理+UF超滤+RO反渗透”处理工艺，设计处理规模3</w:t>
      </w:r>
      <w:r>
        <w:rPr>
          <w:rFonts w:hint="default" w:ascii="Times New Roman" w:hAnsi="Times New Roman" w:cs="Times New Roman"/>
          <w:color w:val="auto"/>
          <w:kern w:val="2"/>
          <w:sz w:val="32"/>
          <w:szCs w:val="32"/>
          <w:highlight w:val="none"/>
          <w:lang w:val="en-US" w:eastAsia="zh-CN"/>
        </w:rPr>
        <w:t>.0</w:t>
      </w:r>
      <w:r>
        <w:rPr>
          <w:rFonts w:hint="default" w:ascii="Times New Roman" w:hAnsi="Times New Roman" w:eastAsia="仿宋_GB2312" w:cs="Times New Roman"/>
          <w:color w:val="auto"/>
          <w:kern w:val="2"/>
          <w:sz w:val="32"/>
          <w:szCs w:val="32"/>
          <w:highlight w:val="none"/>
        </w:rPr>
        <w:t>万m³/d。中水厂以污水处理厂一级A标准尾水为再生水水源，出水水质满足中水回用标准，可用于园区绿化和工业循环冷却用水。</w:t>
      </w:r>
    </w:p>
    <w:p>
      <w:pPr>
        <w:rPr>
          <w:rFonts w:hint="default" w:ascii="Times New Roman" w:hAnsi="Times New Roman" w:eastAsia="仿宋_GB2312" w:cs="Times New Roman"/>
          <w:b w:val="0"/>
          <w:bCs w:val="0"/>
          <w:color w:val="auto"/>
          <w:kern w:val="2"/>
          <w:sz w:val="32"/>
          <w:szCs w:val="32"/>
          <w:highlight w:val="none"/>
        </w:rPr>
      </w:pPr>
      <w:r>
        <w:rPr>
          <w:rFonts w:hint="default" w:ascii="Times New Roman" w:hAnsi="Times New Roman" w:eastAsia="仿宋_GB2312" w:cs="Times New Roman"/>
          <w:b w:val="0"/>
          <w:bCs w:val="0"/>
          <w:color w:val="auto"/>
          <w:kern w:val="2"/>
          <w:sz w:val="32"/>
          <w:szCs w:val="32"/>
          <w:highlight w:val="none"/>
        </w:rPr>
        <w:t>③二污配套人工湿地</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中卫市工业园区氧化塘位于中卫工业园区南侧，中卫市第二污水处理厂南侧，整块地块呈串联港湾型，地理坐标为东经105°14′33.19″，北纬37°36′4.01″。中卫工业园区氧化塘于2009年建成，用于对工业园区污水处理厂处理达标后的水进行收集和自然蒸发。2010年投入使用，氧化塘占地面积90.6万</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，设计库容534.86万m³，水量来自氧化塘周边工业园区企业排污及地下渗水。</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2015年工业园区实施启动了氧化塘改造利用项目—中卫工业园区人工湿地水质净化工程。该工程建设规模3.0万m³/d，占地面积约1500亩，其中水域面积870亩，湿地类型为表面流湿地。人工湿地主要处理污水处理厂达到一级A标准的尾水，经人工湿地深度处理主要污染物CODcr和NH</w:t>
      </w:r>
      <w:r>
        <w:rPr>
          <w:rFonts w:hint="default" w:ascii="Times New Roman" w:hAnsi="Times New Roman" w:eastAsia="仿宋_GB2312" w:cs="Times New Roman"/>
          <w:color w:val="auto"/>
          <w:kern w:val="2"/>
          <w:sz w:val="32"/>
          <w:szCs w:val="32"/>
          <w:highlight w:val="none"/>
          <w:vertAlign w:val="subscript"/>
        </w:rPr>
        <w:t>3</w:t>
      </w:r>
      <w:r>
        <w:rPr>
          <w:rFonts w:hint="default" w:ascii="Times New Roman" w:hAnsi="Times New Roman" w:eastAsia="仿宋_GB2312" w:cs="Times New Roman"/>
          <w:color w:val="auto"/>
          <w:kern w:val="2"/>
          <w:sz w:val="32"/>
          <w:szCs w:val="32"/>
          <w:highlight w:val="none"/>
        </w:rPr>
        <w:t>-N出水水质达到《地表水环境质量标准》（GB3838-2002）</w:t>
      </w:r>
      <w:r>
        <w:rPr>
          <w:rFonts w:hint="default" w:ascii="Times New Roman" w:hAnsi="Times New Roman" w:eastAsia="仿宋_GB2312" w:cs="Times New Roman"/>
          <w:color w:val="auto"/>
          <w:kern w:val="2"/>
          <w:sz w:val="32"/>
          <w:szCs w:val="32"/>
          <w:highlight w:val="none"/>
        </w:rPr>
        <w:fldChar w:fldCharType="begin"/>
      </w:r>
      <w:r>
        <w:rPr>
          <w:rFonts w:hint="default" w:ascii="Times New Roman" w:hAnsi="Times New Roman" w:eastAsia="仿宋_GB2312" w:cs="Times New Roman"/>
          <w:color w:val="auto"/>
          <w:kern w:val="2"/>
          <w:sz w:val="32"/>
          <w:szCs w:val="32"/>
          <w:highlight w:val="none"/>
        </w:rPr>
        <w:instrText xml:space="preserve"> = 4 \* ROMAN </w:instrText>
      </w:r>
      <w:r>
        <w:rPr>
          <w:rFonts w:hint="default" w:ascii="Times New Roman" w:hAnsi="Times New Roman" w:eastAsia="仿宋_GB2312" w:cs="Times New Roman"/>
          <w:color w:val="auto"/>
          <w:kern w:val="2"/>
          <w:sz w:val="32"/>
          <w:szCs w:val="32"/>
          <w:highlight w:val="none"/>
        </w:rPr>
        <w:fldChar w:fldCharType="separate"/>
      </w:r>
      <w:r>
        <w:rPr>
          <w:rFonts w:hint="default" w:ascii="Times New Roman" w:hAnsi="Times New Roman" w:eastAsia="仿宋_GB2312" w:cs="Times New Roman"/>
          <w:color w:val="auto"/>
          <w:kern w:val="2"/>
          <w:sz w:val="32"/>
          <w:szCs w:val="32"/>
          <w:highlight w:val="none"/>
        </w:rPr>
        <w:t>IV</w:t>
      </w:r>
      <w:r>
        <w:rPr>
          <w:rFonts w:hint="default" w:ascii="Times New Roman" w:hAnsi="Times New Roman" w:eastAsia="仿宋_GB2312" w:cs="Times New Roman"/>
          <w:color w:val="auto"/>
          <w:kern w:val="2"/>
          <w:sz w:val="32"/>
          <w:szCs w:val="32"/>
          <w:highlight w:val="none"/>
        </w:rPr>
        <w:fldChar w:fldCharType="end"/>
      </w:r>
      <w:r>
        <w:rPr>
          <w:rFonts w:hint="default" w:ascii="Times New Roman" w:hAnsi="Times New Roman" w:eastAsia="仿宋_GB2312" w:cs="Times New Roman"/>
          <w:color w:val="auto"/>
          <w:kern w:val="2"/>
          <w:sz w:val="32"/>
          <w:szCs w:val="32"/>
          <w:highlight w:val="none"/>
        </w:rPr>
        <w:t>类水质标准。</w:t>
      </w:r>
    </w:p>
    <w:p>
      <w:pPr>
        <w:pStyle w:val="9"/>
        <w:rPr>
          <w:rFonts w:hint="default" w:ascii="Times New Roman" w:hAnsi="Times New Roman" w:cs="Times New Roman"/>
          <w:color w:val="auto"/>
          <w:highlight w:val="none"/>
        </w:rPr>
      </w:pPr>
      <w:r>
        <w:rPr>
          <w:rFonts w:hint="default" w:ascii="Times New Roman" w:hAnsi="Times New Roman" w:cs="Times New Roman"/>
          <w:color w:val="auto"/>
          <w:highlight w:val="none"/>
        </w:rPr>
        <w:t>（3）中卫市第三污水处理厂（在建）</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中卫市第三污水处理厂建于中卫市柔远片区镇靖村、滨河大道以北、规划路以西，设计处理规模4</w:t>
      </w:r>
      <w:r>
        <w:rPr>
          <w:rFonts w:hint="default" w:ascii="Times New Roman" w:hAnsi="Times New Roman" w:cs="Times New Roman"/>
          <w:color w:val="auto"/>
          <w:kern w:val="2"/>
          <w:sz w:val="32"/>
          <w:szCs w:val="32"/>
          <w:highlight w:val="none"/>
          <w:lang w:val="en-US" w:eastAsia="zh-CN"/>
        </w:rPr>
        <w:t>.0</w:t>
      </w:r>
      <w:r>
        <w:rPr>
          <w:rFonts w:hint="default" w:ascii="Times New Roman" w:hAnsi="Times New Roman" w:eastAsia="仿宋_GB2312" w:cs="Times New Roman"/>
          <w:color w:val="auto"/>
          <w:kern w:val="2"/>
          <w:sz w:val="32"/>
          <w:szCs w:val="32"/>
          <w:highlight w:val="none"/>
        </w:rPr>
        <w:t>万m³/d，采用“串联多级AA/O生化池+二沉池+高效池+臭氧接触池及提升泵房+曝气生物滤池+V型滤池”工艺，设计出水水质执行《城镇污水处理厂水污染物排放标准》（DB11/890-2002）B标准，主要处理宁钢大道以东柔远片区及部分老城区废污水，同时还承担中卫市第一污水处理厂备用污水处理厂功能，当一污检修或超负荷运行时，一污服务范围内的部分废污水将进入三污进行处理。</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中卫市第三污水处理厂入河排污口设置论证报告》，中卫市第三污水处理厂入河排污口拟设置在边沟（地理坐标为：东经105°17'24.18"，北纬37°30'0.41"），入河排污口类型为新建入河排污口，性质为市政排污口，排放方式为连续排放，入河方式为自流，主要污染物CODcr和NH</w:t>
      </w:r>
      <w:r>
        <w:rPr>
          <w:rFonts w:hint="default" w:ascii="Times New Roman" w:hAnsi="Times New Roman" w:eastAsia="仿宋_GB2312" w:cs="Times New Roman"/>
          <w:color w:val="auto"/>
          <w:kern w:val="2"/>
          <w:sz w:val="32"/>
          <w:szCs w:val="32"/>
          <w:highlight w:val="none"/>
          <w:vertAlign w:val="subscript"/>
        </w:rPr>
        <w:t>3</w:t>
      </w:r>
      <w:r>
        <w:rPr>
          <w:rFonts w:hint="default" w:ascii="Times New Roman" w:hAnsi="Times New Roman" w:eastAsia="仿宋_GB2312" w:cs="Times New Roman"/>
          <w:color w:val="auto"/>
          <w:kern w:val="2"/>
          <w:sz w:val="32"/>
          <w:szCs w:val="32"/>
          <w:highlight w:val="none"/>
        </w:rPr>
        <w:t>-N排放浓度</w:t>
      </w:r>
      <w:r>
        <w:rPr>
          <w:rFonts w:hint="default" w:ascii="Times New Roman" w:hAnsi="Times New Roman" w:cs="Times New Roman"/>
          <w:color w:val="auto"/>
          <w:kern w:val="2"/>
          <w:sz w:val="32"/>
          <w:szCs w:val="32"/>
          <w:highlight w:val="none"/>
          <w:lang w:eastAsia="zh-CN"/>
        </w:rPr>
        <w:t>分别</w:t>
      </w:r>
      <w:r>
        <w:rPr>
          <w:rFonts w:hint="default" w:ascii="Times New Roman" w:hAnsi="Times New Roman" w:eastAsia="仿宋_GB2312" w:cs="Times New Roman"/>
          <w:color w:val="auto"/>
          <w:kern w:val="2"/>
          <w:sz w:val="32"/>
          <w:szCs w:val="32"/>
          <w:highlight w:val="none"/>
        </w:rPr>
        <w:t>为30</w:t>
      </w:r>
      <w:r>
        <w:rPr>
          <w:rFonts w:hint="default" w:ascii="Times New Roman" w:hAnsi="Times New Roman" w:cs="Times New Roman"/>
          <w:color w:val="auto"/>
          <w:kern w:val="2"/>
          <w:sz w:val="32"/>
          <w:szCs w:val="32"/>
          <w:highlight w:val="none"/>
          <w:lang w:val="en-US" w:eastAsia="zh-CN"/>
        </w:rPr>
        <w:t>.0</w:t>
      </w:r>
      <w:r>
        <w:rPr>
          <w:rFonts w:hint="default" w:ascii="Times New Roman" w:hAnsi="Times New Roman" w:eastAsia="仿宋_GB2312" w:cs="Times New Roman"/>
          <w:color w:val="auto"/>
          <w:kern w:val="2"/>
          <w:sz w:val="32"/>
          <w:szCs w:val="32"/>
          <w:highlight w:val="none"/>
          <w:lang w:val="en-US" w:eastAsia="zh-CN"/>
        </w:rPr>
        <w:t>mg</w:t>
      </w:r>
      <w:r>
        <w:rPr>
          <w:rFonts w:hint="default" w:ascii="Times New Roman" w:hAnsi="Times New Roman" w:eastAsia="仿宋_GB2312" w:cs="Times New Roman"/>
          <w:color w:val="auto"/>
          <w:kern w:val="2"/>
          <w:sz w:val="32"/>
          <w:szCs w:val="32"/>
          <w:highlight w:val="none"/>
        </w:rPr>
        <w:t>/</w:t>
      </w:r>
      <w:r>
        <w:rPr>
          <w:rFonts w:hint="default" w:ascii="Times New Roman" w:hAnsi="Times New Roman" w:eastAsia="仿宋_GB2312" w:cs="Times New Roman"/>
          <w:color w:val="auto"/>
          <w:kern w:val="2"/>
          <w:sz w:val="32"/>
          <w:szCs w:val="32"/>
          <w:highlight w:val="none"/>
          <w:lang w:val="en-US" w:eastAsia="zh-CN"/>
        </w:rPr>
        <w:t>L</w:t>
      </w:r>
      <w:r>
        <w:rPr>
          <w:rFonts w:hint="default" w:ascii="Times New Roman" w:hAnsi="Times New Roman" w:eastAsia="仿宋_GB2312" w:cs="Times New Roman"/>
          <w:color w:val="auto"/>
          <w:kern w:val="2"/>
          <w:sz w:val="32"/>
          <w:szCs w:val="32"/>
          <w:highlight w:val="none"/>
        </w:rPr>
        <w:t>和1.5</w:t>
      </w:r>
      <w:r>
        <w:rPr>
          <w:rFonts w:hint="default" w:ascii="Times New Roman" w:hAnsi="Times New Roman" w:eastAsia="仿宋_GB2312" w:cs="Times New Roman"/>
          <w:color w:val="auto"/>
          <w:kern w:val="2"/>
          <w:sz w:val="32"/>
          <w:szCs w:val="32"/>
          <w:highlight w:val="none"/>
          <w:lang w:val="en-US" w:eastAsia="zh-CN"/>
        </w:rPr>
        <w:t>mg</w:t>
      </w:r>
      <w:r>
        <w:rPr>
          <w:rFonts w:hint="default" w:ascii="Times New Roman" w:hAnsi="Times New Roman" w:eastAsia="仿宋_GB2312" w:cs="Times New Roman"/>
          <w:color w:val="auto"/>
          <w:kern w:val="2"/>
          <w:sz w:val="32"/>
          <w:szCs w:val="32"/>
          <w:highlight w:val="none"/>
        </w:rPr>
        <w:t>/</w:t>
      </w:r>
      <w:r>
        <w:rPr>
          <w:rFonts w:hint="default" w:ascii="Times New Roman" w:hAnsi="Times New Roman" w:eastAsia="仿宋_GB2312" w:cs="Times New Roman"/>
          <w:color w:val="auto"/>
          <w:kern w:val="2"/>
          <w:sz w:val="32"/>
          <w:szCs w:val="32"/>
          <w:highlight w:val="none"/>
          <w:lang w:val="en-US" w:eastAsia="zh-CN"/>
        </w:rPr>
        <w:t>L</w:t>
      </w:r>
      <w:r>
        <w:rPr>
          <w:rFonts w:hint="default" w:ascii="Times New Roman" w:hAnsi="Times New Roman" w:eastAsia="仿宋_GB2312" w:cs="Times New Roman"/>
          <w:color w:val="auto"/>
          <w:kern w:val="2"/>
          <w:sz w:val="32"/>
          <w:szCs w:val="32"/>
          <w:highlight w:val="none"/>
        </w:rPr>
        <w:t>，污水处理厂规划排污量为890万m³/a，对应主要污染物CODcr和NH</w:t>
      </w:r>
      <w:r>
        <w:rPr>
          <w:rFonts w:hint="default" w:ascii="Times New Roman" w:hAnsi="Times New Roman" w:eastAsia="仿宋_GB2312" w:cs="Times New Roman"/>
          <w:color w:val="auto"/>
          <w:kern w:val="2"/>
          <w:sz w:val="32"/>
          <w:szCs w:val="32"/>
          <w:highlight w:val="none"/>
          <w:vertAlign w:val="subscript"/>
        </w:rPr>
        <w:t>3</w:t>
      </w:r>
      <w:r>
        <w:rPr>
          <w:rFonts w:hint="default" w:ascii="Times New Roman" w:hAnsi="Times New Roman" w:eastAsia="仿宋_GB2312" w:cs="Times New Roman"/>
          <w:color w:val="auto"/>
          <w:kern w:val="2"/>
          <w:sz w:val="32"/>
          <w:szCs w:val="32"/>
          <w:highlight w:val="none"/>
        </w:rPr>
        <w:t>-N的排放总量</w:t>
      </w:r>
      <w:r>
        <w:rPr>
          <w:rFonts w:hint="default" w:ascii="Times New Roman" w:hAnsi="Times New Roman" w:cs="Times New Roman"/>
          <w:color w:val="auto"/>
          <w:kern w:val="2"/>
          <w:sz w:val="32"/>
          <w:szCs w:val="32"/>
          <w:highlight w:val="none"/>
          <w:lang w:eastAsia="zh-CN"/>
        </w:rPr>
        <w:t>分别</w:t>
      </w:r>
      <w:r>
        <w:rPr>
          <w:rFonts w:hint="default" w:ascii="Times New Roman" w:hAnsi="Times New Roman" w:eastAsia="仿宋_GB2312" w:cs="Times New Roman"/>
          <w:color w:val="auto"/>
          <w:kern w:val="2"/>
          <w:sz w:val="32"/>
          <w:szCs w:val="32"/>
          <w:highlight w:val="none"/>
        </w:rPr>
        <w:t>为267</w:t>
      </w:r>
      <w:r>
        <w:rPr>
          <w:rFonts w:hint="default" w:ascii="Times New Roman" w:hAnsi="Times New Roman" w:eastAsia="仿宋_GB2312" w:cs="Times New Roman"/>
          <w:color w:val="auto"/>
          <w:kern w:val="2"/>
          <w:sz w:val="32"/>
          <w:szCs w:val="32"/>
          <w:highlight w:val="none"/>
          <w:lang w:val="en-US" w:eastAsia="zh-CN"/>
        </w:rPr>
        <w:t>t</w:t>
      </w:r>
      <w:r>
        <w:rPr>
          <w:rFonts w:hint="default" w:ascii="Times New Roman" w:hAnsi="Times New Roman" w:eastAsia="仿宋_GB2312" w:cs="Times New Roman"/>
          <w:color w:val="auto"/>
          <w:kern w:val="2"/>
          <w:sz w:val="32"/>
          <w:szCs w:val="32"/>
          <w:highlight w:val="none"/>
        </w:rPr>
        <w:t>/</w:t>
      </w:r>
      <w:r>
        <w:rPr>
          <w:rFonts w:hint="default" w:ascii="Times New Roman" w:hAnsi="Times New Roman" w:eastAsia="仿宋_GB2312" w:cs="Times New Roman"/>
          <w:color w:val="auto"/>
          <w:kern w:val="2"/>
          <w:sz w:val="32"/>
          <w:szCs w:val="32"/>
          <w:highlight w:val="none"/>
          <w:lang w:val="en-US" w:eastAsia="zh-CN"/>
        </w:rPr>
        <w:t>a</w:t>
      </w:r>
      <w:r>
        <w:rPr>
          <w:rFonts w:hint="default" w:ascii="Times New Roman" w:hAnsi="Times New Roman" w:eastAsia="仿宋_GB2312" w:cs="Times New Roman"/>
          <w:color w:val="auto"/>
          <w:kern w:val="2"/>
          <w:sz w:val="32"/>
          <w:szCs w:val="32"/>
          <w:highlight w:val="none"/>
        </w:rPr>
        <w:t>和13.35</w:t>
      </w:r>
      <w:r>
        <w:rPr>
          <w:rFonts w:hint="default" w:ascii="Times New Roman" w:hAnsi="Times New Roman" w:eastAsia="仿宋_GB2312" w:cs="Times New Roman"/>
          <w:color w:val="auto"/>
          <w:kern w:val="2"/>
          <w:sz w:val="32"/>
          <w:szCs w:val="32"/>
          <w:highlight w:val="none"/>
          <w:lang w:val="en-US" w:eastAsia="zh-CN"/>
        </w:rPr>
        <w:t>t</w:t>
      </w:r>
      <w:r>
        <w:rPr>
          <w:rFonts w:hint="default" w:ascii="Times New Roman" w:hAnsi="Times New Roman" w:eastAsia="仿宋_GB2312" w:cs="Times New Roman"/>
          <w:color w:val="auto"/>
          <w:kern w:val="2"/>
          <w:sz w:val="32"/>
          <w:szCs w:val="32"/>
          <w:highlight w:val="none"/>
        </w:rPr>
        <w:t>/</w:t>
      </w:r>
      <w:r>
        <w:rPr>
          <w:rFonts w:hint="default" w:ascii="Times New Roman" w:hAnsi="Times New Roman" w:eastAsia="仿宋_GB2312" w:cs="Times New Roman"/>
          <w:color w:val="auto"/>
          <w:kern w:val="2"/>
          <w:sz w:val="32"/>
          <w:szCs w:val="32"/>
          <w:highlight w:val="none"/>
          <w:lang w:val="en-US" w:eastAsia="zh-CN"/>
        </w:rPr>
        <w:t>a</w:t>
      </w:r>
      <w:r>
        <w:rPr>
          <w:rFonts w:hint="default" w:ascii="Times New Roman" w:hAnsi="Times New Roman" w:eastAsia="仿宋_GB2312" w:cs="Times New Roman"/>
          <w:color w:val="auto"/>
          <w:kern w:val="2"/>
          <w:sz w:val="32"/>
          <w:szCs w:val="32"/>
          <w:highlight w:val="none"/>
        </w:rPr>
        <w:t>。</w:t>
      </w:r>
    </w:p>
    <w:p>
      <w:pPr>
        <w:pStyle w:val="9"/>
        <w:rPr>
          <w:rFonts w:hint="default" w:ascii="Times New Roman" w:hAnsi="Times New Roman" w:cs="Times New Roman"/>
          <w:color w:val="auto"/>
          <w:highlight w:val="none"/>
        </w:rPr>
      </w:pPr>
      <w:r>
        <w:rPr>
          <w:rFonts w:hint="default" w:ascii="Times New Roman" w:hAnsi="Times New Roman" w:cs="Times New Roman"/>
          <w:color w:val="auto"/>
          <w:highlight w:val="none"/>
        </w:rPr>
        <w:t>（4）中卫市第四污水处理厂</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中卫市第四污水处理厂位于宣和镇园区大道和中宝铁路相交区域的西北角，设计污水处理能力2000m³/d，服务范围为宣和镇镇区，收集城镇居民生活污水，按近期总规模为800m³/d，远期处理总规模为2000m³/d实施。工程处理工艺为粗格栅+调节池+细格栅+旋流沉砂池+综合池（A2/O生化池和二沉池和稳定池）+絮凝沉淀池+纤维转盘滤池+消毒工艺，整个项目主要新建了粗、细格栅井、旋流沉砂池、综合池、斜板絮凝沉淀池、纤维转盘滤池、计量槽，以及生产辅助用房-综合用房，管理用房-办公楼</w:t>
      </w:r>
      <w:r>
        <w:rPr>
          <w:rFonts w:hint="default" w:ascii="Times New Roman" w:hAnsi="Times New Roman" w:eastAsia="仿宋_GB2312"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新建截留及溢流干管约1.26km，管径DN500-1000</w:t>
      </w:r>
      <w:r>
        <w:rPr>
          <w:rFonts w:hint="default" w:ascii="Times New Roman" w:hAnsi="Times New Roman" w:eastAsia="仿宋_GB2312" w:cs="Times New Roman"/>
          <w:color w:val="auto"/>
          <w:kern w:val="2"/>
          <w:sz w:val="32"/>
          <w:szCs w:val="32"/>
          <w:highlight w:val="none"/>
          <w:lang w:val="en-US" w:eastAsia="zh-CN"/>
        </w:rPr>
        <w:t>mm</w:t>
      </w:r>
      <w:r>
        <w:rPr>
          <w:rFonts w:hint="default" w:ascii="Times New Roman" w:hAnsi="Times New Roman" w:eastAsia="仿宋_GB2312" w:cs="Times New Roman"/>
          <w:color w:val="auto"/>
          <w:kern w:val="2"/>
          <w:sz w:val="32"/>
          <w:szCs w:val="32"/>
          <w:highlight w:val="none"/>
        </w:rPr>
        <w:t>。工程新征用地约10亩，总用地面积为18.18亩。出水水质满足《城镇污水处理厂污染物排放标准》（GB18918-2002及2006年修改单）一级A标准后，通过入河排污口排入第六排水沟。</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中卫市第四污水处理厂外排水通过污水处理厂排放口自流排入人工湿地；经人工湿地天然净化后自流进入第六排水沟入河排污口（地理坐标为：东经105°26'30.4"，北纬37°28'25"），经第六排水沟向东输送6.7km汇入第九排水沟，第九排水沟再向东经1.8km汇入清水河。根据设计指标以及水平衡分析结果，在污染物排放量控制范围内，其每年向第六排水沟达标排放污水总量为63</w:t>
      </w:r>
      <w:r>
        <w:rPr>
          <w:rFonts w:hint="default" w:ascii="Times New Roman" w:hAnsi="Times New Roman" w:cs="Times New Roman"/>
          <w:color w:val="auto"/>
          <w:kern w:val="2"/>
          <w:sz w:val="32"/>
          <w:szCs w:val="32"/>
          <w:highlight w:val="none"/>
          <w:lang w:val="en-US" w:eastAsia="zh-CN"/>
        </w:rPr>
        <w:t>.0</w:t>
      </w:r>
      <w:r>
        <w:rPr>
          <w:rFonts w:hint="default" w:ascii="Times New Roman" w:hAnsi="Times New Roman" w:eastAsia="仿宋_GB2312" w:cs="Times New Roman"/>
          <w:color w:val="auto"/>
          <w:kern w:val="2"/>
          <w:sz w:val="32"/>
          <w:szCs w:val="32"/>
          <w:highlight w:val="none"/>
        </w:rPr>
        <w:t>万m³，外排水中主要污染物COD和NH</w:t>
      </w:r>
      <w:r>
        <w:rPr>
          <w:rFonts w:hint="default" w:ascii="Times New Roman" w:hAnsi="Times New Roman" w:eastAsia="仿宋_GB2312" w:cs="Times New Roman"/>
          <w:color w:val="auto"/>
          <w:kern w:val="2"/>
          <w:sz w:val="32"/>
          <w:szCs w:val="32"/>
          <w:highlight w:val="none"/>
          <w:vertAlign w:val="subscript"/>
        </w:rPr>
        <w:t>3</w:t>
      </w:r>
      <w:r>
        <w:rPr>
          <w:rFonts w:hint="default" w:ascii="Times New Roman" w:hAnsi="Times New Roman" w:eastAsia="仿宋_GB2312" w:cs="Times New Roman"/>
          <w:color w:val="auto"/>
          <w:kern w:val="2"/>
          <w:sz w:val="32"/>
          <w:szCs w:val="32"/>
          <w:highlight w:val="none"/>
        </w:rPr>
        <w:t>-N的年排放量分别为31.5</w:t>
      </w:r>
      <w:r>
        <w:rPr>
          <w:rFonts w:hint="default" w:ascii="Times New Roman" w:hAnsi="Times New Roman" w:eastAsia="仿宋_GB2312" w:cs="Times New Roman"/>
          <w:color w:val="auto"/>
          <w:kern w:val="2"/>
          <w:sz w:val="32"/>
          <w:szCs w:val="32"/>
          <w:highlight w:val="none"/>
          <w:lang w:val="en-US" w:eastAsia="zh-CN"/>
        </w:rPr>
        <w:t>t</w:t>
      </w:r>
      <w:r>
        <w:rPr>
          <w:rFonts w:hint="default" w:ascii="Times New Roman" w:hAnsi="Times New Roman" w:eastAsia="仿宋_GB2312" w:cs="Times New Roman"/>
          <w:color w:val="auto"/>
          <w:kern w:val="2"/>
          <w:sz w:val="32"/>
          <w:szCs w:val="32"/>
          <w:highlight w:val="none"/>
        </w:rPr>
        <w:t>/</w:t>
      </w:r>
      <w:r>
        <w:rPr>
          <w:rFonts w:hint="default" w:ascii="Times New Roman" w:hAnsi="Times New Roman" w:eastAsia="仿宋_GB2312" w:cs="Times New Roman"/>
          <w:color w:val="auto"/>
          <w:kern w:val="2"/>
          <w:sz w:val="32"/>
          <w:szCs w:val="32"/>
          <w:highlight w:val="none"/>
          <w:lang w:val="en-US" w:eastAsia="zh-CN"/>
        </w:rPr>
        <w:t>a</w:t>
      </w:r>
      <w:r>
        <w:rPr>
          <w:rFonts w:hint="default" w:ascii="Times New Roman" w:hAnsi="Times New Roman" w:eastAsia="仿宋_GB2312" w:cs="Times New Roman"/>
          <w:color w:val="auto"/>
          <w:kern w:val="2"/>
          <w:sz w:val="32"/>
          <w:szCs w:val="32"/>
          <w:highlight w:val="none"/>
        </w:rPr>
        <w:t>和3.15</w:t>
      </w:r>
      <w:r>
        <w:rPr>
          <w:rFonts w:hint="default" w:ascii="Times New Roman" w:hAnsi="Times New Roman" w:eastAsia="仿宋_GB2312" w:cs="Times New Roman"/>
          <w:color w:val="auto"/>
          <w:kern w:val="2"/>
          <w:sz w:val="32"/>
          <w:szCs w:val="32"/>
          <w:highlight w:val="none"/>
          <w:lang w:val="en-US" w:eastAsia="zh-CN"/>
        </w:rPr>
        <w:t>t</w:t>
      </w:r>
      <w:r>
        <w:rPr>
          <w:rFonts w:hint="default" w:ascii="Times New Roman" w:hAnsi="Times New Roman" w:eastAsia="仿宋_GB2312" w:cs="Times New Roman"/>
          <w:color w:val="auto"/>
          <w:kern w:val="2"/>
          <w:sz w:val="32"/>
          <w:szCs w:val="32"/>
          <w:highlight w:val="none"/>
        </w:rPr>
        <w:t>/</w:t>
      </w:r>
      <w:r>
        <w:rPr>
          <w:rFonts w:hint="default" w:ascii="Times New Roman" w:hAnsi="Times New Roman" w:eastAsia="仿宋_GB2312" w:cs="Times New Roman"/>
          <w:color w:val="auto"/>
          <w:kern w:val="2"/>
          <w:sz w:val="32"/>
          <w:szCs w:val="32"/>
          <w:highlight w:val="none"/>
          <w:lang w:val="en-US" w:eastAsia="zh-CN"/>
        </w:rPr>
        <w:t>a</w:t>
      </w:r>
      <w:r>
        <w:rPr>
          <w:rFonts w:hint="default" w:ascii="Times New Roman" w:hAnsi="Times New Roman" w:eastAsia="仿宋_GB2312" w:cs="Times New Roman"/>
          <w:color w:val="auto"/>
          <w:kern w:val="2"/>
          <w:sz w:val="32"/>
          <w:szCs w:val="32"/>
          <w:highlight w:val="none"/>
        </w:rPr>
        <w:t>。</w:t>
      </w:r>
    </w:p>
    <w:p>
      <w:pPr>
        <w:pStyle w:val="9"/>
        <w:rPr>
          <w:rFonts w:hint="default" w:ascii="Times New Roman" w:hAnsi="Times New Roman" w:eastAsia="仿宋_GB2312" w:cs="Times New Roman"/>
          <w:b/>
          <w:bCs/>
          <w:color w:val="auto"/>
          <w:kern w:val="2"/>
          <w:szCs w:val="32"/>
          <w:highlight w:val="none"/>
        </w:rPr>
      </w:pPr>
      <w:r>
        <w:rPr>
          <w:rFonts w:hint="default" w:ascii="Times New Roman" w:hAnsi="Times New Roman" w:cs="Times New Roman"/>
          <w:color w:val="auto"/>
          <w:highlight w:val="none"/>
        </w:rPr>
        <w:t>（5）中卫高铁站市政配套污水处理及中水回用工程</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中卫高铁站市政配套污水处理及中水回用工程于2018年2月底开工建设，至11月中旬基本建设完成，工程设计规模为5000m³/d，主要收集中卫市高铁及其周边商圈的污水进行处理，污水处理工艺采用“多级AAO（厌氧-缺氧-好氧三者结合系统）”，具有成熟稳定、出水水质好、运行成本低等优点，出水达到准地表水IV类水质一级A标准，可用于广场绿化、道路浇洒、公园景观用水。</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目前可利用的非常规水主要为中卫市中水厂（中卫</w:t>
      </w:r>
      <w:r>
        <w:rPr>
          <w:rFonts w:hint="default" w:ascii="Times New Roman" w:hAnsi="Times New Roman" w:cs="Times New Roman"/>
          <w:color w:val="auto"/>
          <w:kern w:val="2"/>
          <w:sz w:val="32"/>
          <w:szCs w:val="32"/>
          <w:highlight w:val="none"/>
          <w:lang w:val="en-US" w:eastAsia="zh-CN"/>
        </w:rPr>
        <w:t>第一污水厂</w:t>
      </w:r>
      <w:r>
        <w:rPr>
          <w:rFonts w:hint="default" w:ascii="Times New Roman" w:hAnsi="Times New Roman" w:eastAsia="仿宋_GB2312" w:cs="Times New Roman"/>
          <w:color w:val="auto"/>
          <w:kern w:val="2"/>
          <w:sz w:val="32"/>
          <w:szCs w:val="32"/>
          <w:highlight w:val="none"/>
        </w:rPr>
        <w:t>），按照处理规模3</w:t>
      </w:r>
      <w:r>
        <w:rPr>
          <w:rFonts w:hint="default" w:ascii="Times New Roman" w:hAnsi="Times New Roman" w:cs="Times New Roman"/>
          <w:color w:val="auto"/>
          <w:kern w:val="2"/>
          <w:sz w:val="32"/>
          <w:szCs w:val="32"/>
          <w:highlight w:val="none"/>
          <w:lang w:val="en-US" w:eastAsia="zh-CN"/>
        </w:rPr>
        <w:t>.0</w:t>
      </w:r>
      <w:r>
        <w:rPr>
          <w:rFonts w:hint="default" w:ascii="Times New Roman" w:hAnsi="Times New Roman" w:eastAsia="仿宋_GB2312" w:cs="Times New Roman"/>
          <w:color w:val="auto"/>
          <w:kern w:val="2"/>
          <w:sz w:val="32"/>
          <w:szCs w:val="32"/>
          <w:highlight w:val="none"/>
        </w:rPr>
        <w:t>万m³/d，扣除损失后可供水量为838万m³</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3×365×0.85×0.9万m³</w:t>
      </w:r>
      <w:r>
        <w:rPr>
          <w:rFonts w:hint="default" w:ascii="Times New Roman" w:hAnsi="Times New Roman" w:cs="Times New Roman"/>
          <w:color w:val="auto"/>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，根据</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自治区人民政府办公厅关于印发宁夏“十四五”用水权管控指标方案的通知</w:t>
      </w:r>
      <w:r>
        <w:rPr>
          <w:rFonts w:hint="default" w:ascii="Times New Roman" w:hAnsi="Times New Roman" w:eastAsia="仿宋_GB2312" w:cs="Times New Roman"/>
          <w:color w:val="auto"/>
          <w:sz w:val="32"/>
          <w:szCs w:val="32"/>
          <w:highlight w:val="none"/>
        </w:rPr>
        <w:t>》</w:t>
      </w:r>
      <w:r>
        <w:rPr>
          <w:rFonts w:hint="default" w:ascii="Times New Roman" w:hAnsi="Times New Roman" w:cs="Times New Roman"/>
          <w:color w:val="auto"/>
          <w:sz w:val="32"/>
          <w:szCs w:val="32"/>
          <w:highlight w:val="none"/>
          <w:lang w:eastAsia="zh-CN"/>
        </w:rPr>
        <w:t>（宁政办发</w:t>
      </w:r>
      <w:r>
        <w:rPr>
          <w:rFonts w:hint="default" w:ascii="Times New Roman" w:hAnsi="Times New Roman" w:eastAsia="仿宋_GB2312" w:cs="Times New Roman"/>
          <w:color w:val="auto"/>
          <w:sz w:val="32"/>
          <w:szCs w:val="32"/>
          <w:highlight w:val="none"/>
        </w:rPr>
        <w:t>﹝202</w:t>
      </w:r>
      <w:r>
        <w:rPr>
          <w:rFonts w:hint="default" w:ascii="Times New Roman" w:hAnsi="Times New Roman"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rPr>
        <w:t>﹞</w:t>
      </w:r>
      <w:r>
        <w:rPr>
          <w:rFonts w:hint="default" w:ascii="Times New Roman" w:hAnsi="Times New Roman" w:cs="Times New Roman"/>
          <w:color w:val="auto"/>
          <w:sz w:val="32"/>
          <w:szCs w:val="32"/>
          <w:highlight w:val="none"/>
          <w:lang w:val="en-US" w:eastAsia="zh-CN"/>
        </w:rPr>
        <w:t>76号）</w:t>
      </w:r>
      <w:r>
        <w:rPr>
          <w:rFonts w:hint="default" w:ascii="Times New Roman" w:hAnsi="Times New Roman" w:cs="Times New Roman"/>
          <w:color w:val="auto"/>
          <w:spacing w:val="0"/>
          <w:kern w:val="2"/>
          <w:sz w:val="32"/>
          <w:szCs w:val="32"/>
          <w:highlight w:val="none"/>
          <w:lang w:eastAsia="zh-CN"/>
        </w:rPr>
        <w:t>，</w:t>
      </w:r>
      <w:r>
        <w:rPr>
          <w:rFonts w:hint="default" w:ascii="Times New Roman" w:hAnsi="Times New Roman" w:eastAsia="仿宋_GB2312" w:cs="Times New Roman"/>
          <w:color w:val="auto"/>
          <w:kern w:val="2"/>
          <w:sz w:val="32"/>
          <w:szCs w:val="32"/>
          <w:highlight w:val="none"/>
        </w:rPr>
        <w:t>规划2025年沙坡头区非常规水分配指标为</w:t>
      </w:r>
      <w:r>
        <w:rPr>
          <w:rFonts w:hint="default" w:ascii="Times New Roman" w:hAnsi="Times New Roman" w:eastAsia="仿宋_GB2312" w:cs="Times New Roman"/>
          <w:color w:val="auto"/>
          <w:kern w:val="2"/>
          <w:sz w:val="32"/>
          <w:szCs w:val="32"/>
          <w:highlight w:val="none"/>
          <w:lang w:val="en-US" w:eastAsia="zh-CN"/>
        </w:rPr>
        <w:t>800</w:t>
      </w:r>
      <w:r>
        <w:rPr>
          <w:rFonts w:hint="default" w:ascii="Times New Roman" w:hAnsi="Times New Roman" w:eastAsia="仿宋_GB2312" w:cs="Times New Roman"/>
          <w:color w:val="auto"/>
          <w:kern w:val="2"/>
          <w:sz w:val="32"/>
          <w:szCs w:val="32"/>
          <w:highlight w:val="none"/>
        </w:rPr>
        <w:t>万m³。</w:t>
      </w:r>
    </w:p>
    <w:p>
      <w:pPr>
        <w:pStyle w:val="8"/>
        <w:spacing w:line="560" w:lineRule="atLeast"/>
        <w:rPr>
          <w:rFonts w:hint="default" w:ascii="Times New Roman" w:hAnsi="Times New Roman" w:eastAsia="仿宋_GB2312" w:cs="Times New Roman"/>
          <w:color w:val="auto"/>
          <w:szCs w:val="32"/>
          <w:highlight w:val="none"/>
        </w:rPr>
      </w:pPr>
      <w:r>
        <w:rPr>
          <w:rFonts w:hint="default" w:ascii="Times New Roman" w:hAnsi="Times New Roman" w:eastAsia="仿宋_GB2312" w:cs="Times New Roman"/>
          <w:color w:val="auto"/>
          <w:highlight w:val="none"/>
        </w:rPr>
        <w:t>6.2.3.2</w:t>
      </w:r>
      <w:r>
        <w:rPr>
          <w:rFonts w:hint="default" w:ascii="Times New Roman" w:hAnsi="Times New Roman" w:eastAsia="仿宋_GB2312" w:cs="Times New Roman"/>
          <w:color w:val="auto"/>
          <w:szCs w:val="32"/>
          <w:highlight w:val="none"/>
        </w:rPr>
        <w:t>苦咸水供水能力分析</w:t>
      </w:r>
    </w:p>
    <w:p>
      <w:pPr>
        <w:pStyle w:val="27"/>
        <w:spacing w:line="560" w:lineRule="exact"/>
        <w:ind w:firstLine="600"/>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宁夏水文手册》分析，沙坡头区可利用的苦咸水主要分布在香山、兴仁地区，结合矿化度分区图6.2-1，地下水矿化度基本在2.0g/L以上，位于西南部山间洼地区。香山、兴仁井灌区主要分布在山间洼地区，该区域地下水矿化度低于山丘区，可以用于当地农业灌溉。</w:t>
      </w:r>
    </w:p>
    <w:p>
      <w:pPr>
        <w:pStyle w:val="27"/>
        <w:spacing w:line="560" w:lineRule="exact"/>
        <w:ind w:firstLine="600"/>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根据《中卫市沙坡头区香山乡、兴仁镇水资源承载能力评价报告》分析，该区域地下水可利用量为790.6万m³/a。</w:t>
      </w:r>
    </w:p>
    <w:p>
      <w:pPr>
        <w:pStyle w:val="27"/>
        <w:spacing w:line="560" w:lineRule="exact"/>
        <w:ind w:firstLine="600"/>
        <w:rPr>
          <w:rFonts w:hint="default" w:ascii="Times New Roman" w:hAnsi="Times New Roman" w:eastAsia="仿宋_GB2312" w:cs="Times New Roman"/>
          <w:b w:val="0"/>
          <w:bCs w:val="0"/>
          <w:color w:val="auto"/>
          <w:sz w:val="24"/>
          <w:szCs w:val="24"/>
          <w:highlight w:val="none"/>
        </w:rPr>
      </w:pPr>
      <w:r>
        <w:rPr>
          <w:rFonts w:hint="default" w:ascii="Times New Roman" w:hAnsi="Times New Roman" w:eastAsia="仿宋_GB2312" w:cs="Times New Roman"/>
          <w:color w:val="auto"/>
          <w:kern w:val="2"/>
          <w:sz w:val="32"/>
          <w:szCs w:val="32"/>
          <w:highlight w:val="none"/>
        </w:rPr>
        <w:t>考虑中卫市香山南麓区域属于《罗山生态保护修复专项规划（2020-2025年）》中划定的关联区，要求关联区渠道渠系或供水工程覆盖范围内的农业取水井以及城市供水工程管网覆盖范围内的企业自备井全部关停，并要求同步开展地下水取水井关停区域替代水源的配套工作。因此，本次规划年香山、兴仁地区不考虑地下水水资源量。</w:t>
      </w:r>
    </w:p>
    <w:p>
      <w:pPr>
        <w:adjustRightInd/>
        <w:snapToGrid/>
        <w:spacing w:line="240" w:lineRule="auto"/>
        <w:ind w:firstLine="0" w:firstLineChars="0"/>
        <w:jc w:val="center"/>
        <w:rPr>
          <w:rFonts w:hint="default" w:ascii="Times New Roman" w:hAnsi="Times New Roman" w:eastAsia="仿宋_GB2312" w:cs="Times New Roman"/>
          <w:b w:val="0"/>
          <w:bCs w:val="0"/>
          <w:color w:val="auto"/>
          <w:sz w:val="24"/>
          <w:szCs w:val="24"/>
          <w:highlight w:val="none"/>
        </w:rPr>
      </w:pPr>
      <w:r>
        <w:rPr>
          <w:rFonts w:hint="default" w:ascii="Times New Roman" w:hAnsi="Times New Roman" w:cs="Times New Roman"/>
          <w:color w:val="auto"/>
          <w:highlight w:val="none"/>
        </w:rPr>
        <w:drawing>
          <wp:inline distT="0" distB="0" distL="114300" distR="114300">
            <wp:extent cx="5521960" cy="4709795"/>
            <wp:effectExtent l="9525" t="9525" r="12065" b="2413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5"/>
                    <a:stretch>
                      <a:fillRect/>
                    </a:stretch>
                  </pic:blipFill>
                  <pic:spPr>
                    <a:xfrm>
                      <a:off x="0" y="0"/>
                      <a:ext cx="5521960" cy="4709795"/>
                    </a:xfrm>
                    <a:prstGeom prst="rect">
                      <a:avLst/>
                    </a:prstGeom>
                    <a:noFill/>
                    <a:ln w="3175" cap="flat" cmpd="sng">
                      <a:solidFill>
                        <a:srgbClr val="000000"/>
                      </a:solidFill>
                      <a:prstDash val="solid"/>
                      <a:miter/>
                      <a:headEnd type="none" w="med" len="med"/>
                      <a:tailEnd type="none" w="med" len="med"/>
                    </a:ln>
                  </pic:spPr>
                </pic:pic>
              </a:graphicData>
            </a:graphic>
          </wp:inline>
        </w:drawing>
      </w:r>
    </w:p>
    <w:p>
      <w:pPr>
        <w:pStyle w:val="22"/>
        <w:ind w:firstLine="643" w:firstLineChars="200"/>
        <w:jc w:val="center"/>
        <w:rPr>
          <w:rFonts w:hint="default" w:ascii="Times New Roman" w:hAnsi="Times New Roman" w:eastAsia="仿宋_GB2312" w:cs="Times New Roman"/>
          <w:bCs/>
          <w:color w:val="auto"/>
          <w:sz w:val="32"/>
          <w:szCs w:val="32"/>
          <w:highlight w:val="none"/>
        </w:rPr>
      </w:pPr>
      <w:r>
        <w:rPr>
          <w:rFonts w:hint="default" w:ascii="Times New Roman" w:hAnsi="Times New Roman" w:eastAsia="仿宋_GB2312" w:cs="Times New Roman"/>
          <w:bCs/>
          <w:color w:val="auto"/>
          <w:sz w:val="32"/>
          <w:szCs w:val="32"/>
          <w:highlight w:val="none"/>
        </w:rPr>
        <w:t>图6.2-1  兴仁香山地区地下水矿化度分区图</w:t>
      </w:r>
    </w:p>
    <w:p>
      <w:pPr>
        <w:pStyle w:val="6"/>
        <w:rPr>
          <w:rFonts w:hint="default" w:ascii="Times New Roman" w:hAnsi="Times New Roman" w:eastAsia="楷体_GB2312" w:cs="Times New Roman"/>
          <w:color w:val="auto"/>
          <w:highlight w:val="none"/>
        </w:rPr>
      </w:pPr>
      <w:bookmarkStart w:id="562" w:name="_Toc22357"/>
      <w:bookmarkStart w:id="563" w:name="_Toc8583"/>
      <w:bookmarkStart w:id="564" w:name="_Toc4528"/>
      <w:bookmarkStart w:id="565" w:name="_Toc7405"/>
      <w:bookmarkStart w:id="566" w:name="_Toc30384"/>
      <w:bookmarkStart w:id="567" w:name="_Toc7170"/>
      <w:bookmarkStart w:id="568" w:name="_Toc18610"/>
      <w:bookmarkStart w:id="569" w:name="_Toc31803"/>
      <w:bookmarkStart w:id="570" w:name="_Toc19109"/>
      <w:bookmarkStart w:id="571" w:name="_Toc19531"/>
      <w:r>
        <w:rPr>
          <w:rFonts w:hint="default" w:ascii="Times New Roman" w:hAnsi="Times New Roman" w:eastAsia="楷体_GB2312" w:cs="Times New Roman"/>
          <w:color w:val="auto"/>
          <w:highlight w:val="none"/>
        </w:rPr>
        <w:t>6.3供水平衡分析</w:t>
      </w:r>
      <w:bookmarkEnd w:id="562"/>
      <w:bookmarkEnd w:id="563"/>
      <w:bookmarkEnd w:id="564"/>
      <w:bookmarkEnd w:id="565"/>
      <w:bookmarkEnd w:id="566"/>
      <w:bookmarkEnd w:id="567"/>
      <w:bookmarkEnd w:id="568"/>
      <w:bookmarkEnd w:id="569"/>
      <w:bookmarkEnd w:id="570"/>
      <w:bookmarkEnd w:id="571"/>
    </w:p>
    <w:p>
      <w:pPr>
        <w:pStyle w:val="7"/>
        <w:spacing w:before="0"/>
        <w:rPr>
          <w:rFonts w:hint="default" w:ascii="Times New Roman" w:hAnsi="Times New Roman" w:eastAsia="仿宋_GB2312" w:cs="Times New Roman"/>
          <w:bCs/>
          <w:color w:val="auto"/>
          <w:kern w:val="2"/>
          <w:highlight w:val="none"/>
        </w:rPr>
      </w:pPr>
      <w:bookmarkStart w:id="572" w:name="_Toc1533"/>
      <w:bookmarkStart w:id="573" w:name="_Toc4901"/>
      <w:bookmarkStart w:id="574" w:name="_Toc31680"/>
      <w:bookmarkStart w:id="575" w:name="_Toc7888"/>
      <w:bookmarkStart w:id="576" w:name="_Toc27969"/>
      <w:bookmarkStart w:id="577" w:name="_Toc3794"/>
      <w:bookmarkStart w:id="578" w:name="_Toc10518"/>
      <w:r>
        <w:rPr>
          <w:rFonts w:hint="default" w:ascii="Times New Roman" w:hAnsi="Times New Roman" w:eastAsia="仿宋_GB2312" w:cs="Times New Roman"/>
          <w:bCs/>
          <w:color w:val="auto"/>
          <w:kern w:val="2"/>
          <w:highlight w:val="none"/>
        </w:rPr>
        <w:t>6.3.1整体供需平衡分析</w:t>
      </w:r>
      <w:bookmarkEnd w:id="572"/>
      <w:bookmarkEnd w:id="573"/>
      <w:bookmarkEnd w:id="574"/>
      <w:bookmarkEnd w:id="575"/>
      <w:bookmarkEnd w:id="576"/>
      <w:bookmarkEnd w:id="577"/>
      <w:bookmarkEnd w:id="578"/>
    </w:p>
    <w:p>
      <w:pPr>
        <w:spacing w:line="560" w:lineRule="exact"/>
        <w:ind w:firstLine="6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本次需水预测，主要以净需水量进行计算，按照生活、工业管网损失计算其用水量，农业主要按照用水口径分析，主要为农业黄河水，用水量算至支干渠，规划2025年沙坡头区取水量为57600万m³，结合</w:t>
      </w:r>
      <w:r>
        <w:rPr>
          <w:rFonts w:hint="default" w:ascii="Times New Roman" w:hAnsi="Times New Roman" w:cs="Times New Roman"/>
          <w:color w:val="auto"/>
          <w:sz w:val="32"/>
          <w:szCs w:val="32"/>
          <w:highlight w:val="none"/>
          <w:lang w:eastAsia="zh-CN"/>
        </w:rPr>
        <w:t>《自治区水利厅关于印发宁夏回族自治区用水权确权指导意见的通知》（宁水权改发</w:t>
      </w:r>
      <w:r>
        <w:rPr>
          <w:rFonts w:hint="default" w:ascii="Times New Roman" w:hAnsi="Times New Roman" w:eastAsia="仿宋_GB2312" w:cs="Times New Roman"/>
          <w:color w:val="auto"/>
          <w:sz w:val="32"/>
          <w:szCs w:val="32"/>
          <w:highlight w:val="none"/>
        </w:rPr>
        <w:t>﹝20</w:t>
      </w:r>
      <w:r>
        <w:rPr>
          <w:rFonts w:hint="default" w:ascii="Times New Roman" w:hAnsi="Times New Roman" w:cs="Times New Roman"/>
          <w:color w:val="auto"/>
          <w:sz w:val="32"/>
          <w:szCs w:val="32"/>
          <w:highlight w:val="none"/>
          <w:lang w:val="en-US" w:eastAsia="zh-CN"/>
        </w:rPr>
        <w:t>21</w:t>
      </w:r>
      <w:r>
        <w:rPr>
          <w:rFonts w:hint="default" w:ascii="Times New Roman" w:hAnsi="Times New Roman" w:eastAsia="仿宋_GB2312" w:cs="Times New Roman"/>
          <w:color w:val="auto"/>
          <w:sz w:val="32"/>
          <w:szCs w:val="32"/>
          <w:highlight w:val="none"/>
        </w:rPr>
        <w:t>﹞</w:t>
      </w:r>
      <w:r>
        <w:rPr>
          <w:rFonts w:hint="default" w:ascii="Times New Roman" w:hAnsi="Times New Roman" w:cs="Times New Roman"/>
          <w:color w:val="auto"/>
          <w:sz w:val="32"/>
          <w:szCs w:val="32"/>
          <w:highlight w:val="none"/>
          <w:lang w:val="en-US" w:eastAsia="zh-CN"/>
        </w:rPr>
        <w:t>1号</w:t>
      </w:r>
      <w:r>
        <w:rPr>
          <w:rFonts w:hint="default" w:ascii="Times New Roman" w:hAnsi="Times New Roman" w:eastAsia="仿宋_GB2312" w:cs="Times New Roman"/>
          <w:color w:val="auto"/>
          <w:sz w:val="32"/>
          <w:szCs w:val="32"/>
          <w:highlight w:val="none"/>
        </w:rPr>
        <w:t>，自治区预留2%，各县区不预留水指标，本次配置全部用于沙坡头区的各行业。</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取水口径用水量，主要为农业、生态用水，考虑的干渠水利用系数，本次按照控制指标取、用系数进行计算，规划2025年不预留指标，全部分配，沙坡头</w:t>
      </w:r>
      <w:r>
        <w:rPr>
          <w:rFonts w:hint="default" w:ascii="Times New Roman" w:hAnsi="Times New Roman" w:eastAsia="仿宋_GB2312" w:cs="Times New Roman"/>
          <w:color w:val="auto"/>
          <w:kern w:val="2"/>
          <w:sz w:val="32"/>
          <w:szCs w:val="32"/>
          <w:highlight w:val="none"/>
          <w:lang w:val="en-US" w:eastAsia="zh-CN"/>
        </w:rPr>
        <w:t>区2025年</w:t>
      </w:r>
      <w:r>
        <w:rPr>
          <w:rFonts w:hint="default" w:ascii="Times New Roman" w:hAnsi="Times New Roman" w:eastAsia="仿宋_GB2312" w:cs="Times New Roman"/>
          <w:color w:val="auto"/>
          <w:kern w:val="2"/>
          <w:sz w:val="32"/>
          <w:szCs w:val="32"/>
          <w:highlight w:val="none"/>
        </w:rPr>
        <w:t>取水量为57600万m³。</w:t>
      </w:r>
      <w:r>
        <w:rPr>
          <w:rFonts w:hint="default" w:ascii="Times New Roman" w:hAnsi="Times New Roman" w:cs="Times New Roman"/>
          <w:color w:val="auto"/>
          <w:kern w:val="2"/>
          <w:sz w:val="32"/>
          <w:szCs w:val="32"/>
          <w:highlight w:val="none"/>
          <w:lang w:eastAsia="zh-CN"/>
        </w:rPr>
        <w:t>详</w:t>
      </w:r>
      <w:r>
        <w:rPr>
          <w:rFonts w:hint="default" w:ascii="Times New Roman" w:hAnsi="Times New Roman" w:eastAsia="仿宋_GB2312" w:cs="Times New Roman"/>
          <w:color w:val="auto"/>
          <w:kern w:val="2"/>
          <w:sz w:val="32"/>
          <w:szCs w:val="32"/>
          <w:highlight w:val="none"/>
        </w:rPr>
        <w:t>见表6.3-1</w:t>
      </w:r>
      <w:r>
        <w:rPr>
          <w:rFonts w:hint="default" w:ascii="Times New Roman" w:hAnsi="Times New Roman" w:cs="Times New Roman"/>
          <w:color w:val="auto"/>
          <w:kern w:val="2"/>
          <w:sz w:val="32"/>
          <w:szCs w:val="32"/>
          <w:highlight w:val="none"/>
          <w:lang w:eastAsia="zh-CN"/>
        </w:rPr>
        <w:t>所示</w:t>
      </w:r>
      <w:r>
        <w:rPr>
          <w:rFonts w:hint="default" w:ascii="Times New Roman" w:hAnsi="Times New Roman" w:eastAsia="仿宋_GB2312" w:cs="Times New Roman"/>
          <w:color w:val="auto"/>
          <w:kern w:val="2"/>
          <w:sz w:val="32"/>
          <w:szCs w:val="32"/>
          <w:highlight w:val="none"/>
        </w:rPr>
        <w:t>。</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表6.3-1</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沙坡头区规划2025年用水量平衡表</w:t>
      </w:r>
    </w:p>
    <w:p>
      <w:pPr>
        <w:pStyle w:val="22"/>
        <w:jc w:val="left"/>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Cs/>
          <w:color w:val="auto"/>
          <w:szCs w:val="24"/>
          <w:highlight w:val="none"/>
        </w:rPr>
        <w:t xml:space="preserve"> </w:t>
      </w:r>
      <w:r>
        <w:rPr>
          <w:rFonts w:hint="default" w:ascii="Times New Roman" w:hAnsi="Times New Roman" w:eastAsia="仿宋_GB2312" w:cs="Times New Roman"/>
          <w:bCs/>
          <w:color w:val="auto"/>
          <w:szCs w:val="24"/>
          <w:highlight w:val="none"/>
          <w:lang w:val="en-US" w:eastAsia="zh-CN"/>
        </w:rPr>
        <w:t xml:space="preserve">                                                              </w:t>
      </w:r>
      <w:r>
        <w:rPr>
          <w:rFonts w:hint="default" w:ascii="Times New Roman" w:hAnsi="Times New Roman" w:eastAsia="仿宋_GB2312" w:cs="Times New Roman"/>
          <w:b w:val="0"/>
          <w:bCs w:val="0"/>
          <w:color w:val="auto"/>
          <w:sz w:val="21"/>
          <w:szCs w:val="21"/>
          <w:highlight w:val="none"/>
        </w:rPr>
        <w:t>单位：万m³</w:t>
      </w:r>
    </w:p>
    <w:tbl>
      <w:tblPr>
        <w:tblStyle w:val="17"/>
        <w:tblW w:w="8331"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2094"/>
        <w:gridCol w:w="1018"/>
        <w:gridCol w:w="628"/>
        <w:gridCol w:w="628"/>
        <w:gridCol w:w="802"/>
        <w:gridCol w:w="642"/>
        <w:gridCol w:w="800"/>
        <w:gridCol w:w="870"/>
        <w:gridCol w:w="849"/>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60" w:hRule="atLeast"/>
          <w:jc w:val="center"/>
        </w:trPr>
        <w:tc>
          <w:tcPr>
            <w:tcW w:w="2094" w:type="dxa"/>
            <w:vMerge w:val="restart"/>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sz w:val="22"/>
                <w:szCs w:val="32"/>
                <w:highlight w:val="none"/>
                <w:lang w:val="en-US"/>
              </w:rPr>
            </w:pPr>
            <w:r>
              <w:rPr>
                <w:rFonts w:hint="default" w:ascii="Times New Roman" w:hAnsi="Times New Roman" w:eastAsia="仿宋_GB2312" w:cs="Times New Roman"/>
                <w:b/>
                <w:bCs/>
                <w:color w:val="auto"/>
                <w:kern w:val="2"/>
                <w:sz w:val="22"/>
                <w:szCs w:val="22"/>
                <w:highlight w:val="none"/>
                <w:lang w:val="en-US"/>
              </w:rPr>
              <w:t>类别</w:t>
            </w:r>
          </w:p>
        </w:tc>
        <w:tc>
          <w:tcPr>
            <w:tcW w:w="1018" w:type="dxa"/>
            <w:vMerge w:val="restart"/>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小计</w:t>
            </w:r>
          </w:p>
        </w:tc>
        <w:tc>
          <w:tcPr>
            <w:tcW w:w="2700" w:type="dxa"/>
            <w:gridSpan w:val="4"/>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按行业划分</w:t>
            </w:r>
          </w:p>
        </w:tc>
        <w:tc>
          <w:tcPr>
            <w:tcW w:w="2519" w:type="dxa"/>
            <w:gridSpan w:val="3"/>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按水源划分</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36" w:hRule="atLeast"/>
          <w:jc w:val="center"/>
        </w:trPr>
        <w:tc>
          <w:tcPr>
            <w:tcW w:w="2094" w:type="dxa"/>
            <w:vMerge w:val="continue"/>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sz w:val="22"/>
                <w:szCs w:val="32"/>
                <w:highlight w:val="none"/>
                <w:lang w:val="en-US"/>
              </w:rPr>
            </w:pPr>
          </w:p>
        </w:tc>
        <w:tc>
          <w:tcPr>
            <w:tcW w:w="101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生活</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工业</w:t>
            </w:r>
          </w:p>
        </w:tc>
        <w:tc>
          <w:tcPr>
            <w:tcW w:w="8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农业</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生态</w:t>
            </w: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黄河水</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地下水</w:t>
            </w:r>
          </w:p>
        </w:tc>
        <w:tc>
          <w:tcPr>
            <w:tcW w:w="84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其他</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36" w:hRule="atLeast"/>
          <w:jc w:val="center"/>
        </w:trPr>
        <w:tc>
          <w:tcPr>
            <w:tcW w:w="209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规划用水量</w:t>
            </w:r>
          </w:p>
        </w:tc>
        <w:tc>
          <w:tcPr>
            <w:tcW w:w="10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bidi="ar"/>
              </w:rPr>
              <w:t>57600</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bidi="ar"/>
              </w:rPr>
              <w:t>3900</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bidi="ar"/>
              </w:rPr>
              <w:t>3000</w:t>
            </w:r>
          </w:p>
        </w:tc>
        <w:tc>
          <w:tcPr>
            <w:tcW w:w="8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bidi="ar"/>
              </w:rPr>
              <w:t>37800</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bidi="ar"/>
              </w:rPr>
              <w:t>12900</w:t>
            </w: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bidi="ar"/>
              </w:rPr>
              <w:t>52300</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bidi="ar"/>
              </w:rPr>
              <w:t>4500</w:t>
            </w:r>
          </w:p>
        </w:tc>
        <w:tc>
          <w:tcPr>
            <w:tcW w:w="84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rPr>
            </w:pPr>
            <w:r>
              <w:rPr>
                <w:rFonts w:hint="default" w:ascii="Times New Roman" w:hAnsi="Times New Roman" w:eastAsia="仿宋" w:cs="Times New Roman"/>
                <w:color w:val="auto"/>
                <w:sz w:val="22"/>
                <w:szCs w:val="32"/>
                <w:highlight w:val="none"/>
                <w:lang w:val="en-US" w:bidi="ar"/>
              </w:rPr>
              <w:t>800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36" w:hRule="atLeast"/>
          <w:jc w:val="center"/>
        </w:trPr>
        <w:tc>
          <w:tcPr>
            <w:tcW w:w="2094"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2025年控制指标</w:t>
            </w:r>
          </w:p>
        </w:tc>
        <w:tc>
          <w:tcPr>
            <w:tcW w:w="10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57600</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3900</w:t>
            </w:r>
          </w:p>
        </w:tc>
        <w:tc>
          <w:tcPr>
            <w:tcW w:w="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3000</w:t>
            </w:r>
          </w:p>
        </w:tc>
        <w:tc>
          <w:tcPr>
            <w:tcW w:w="8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37800</w:t>
            </w:r>
          </w:p>
        </w:tc>
        <w:tc>
          <w:tcPr>
            <w:tcW w:w="6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12900</w:t>
            </w:r>
          </w:p>
        </w:tc>
        <w:tc>
          <w:tcPr>
            <w:tcW w:w="8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52300</w:t>
            </w:r>
          </w:p>
        </w:tc>
        <w:tc>
          <w:tcPr>
            <w:tcW w:w="8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4500</w:t>
            </w:r>
          </w:p>
        </w:tc>
        <w:tc>
          <w:tcPr>
            <w:tcW w:w="84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800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672" w:hRule="atLeast"/>
          <w:jc w:val="center"/>
        </w:trPr>
        <w:tc>
          <w:tcPr>
            <w:tcW w:w="2094" w:type="dxa"/>
            <w:tcBorders>
              <w:top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控制指标-规划用水</w:t>
            </w:r>
          </w:p>
          <w:p>
            <w:pPr>
              <w:pStyle w:val="24"/>
              <w:spacing w:after="0"/>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指标</w:t>
            </w:r>
          </w:p>
        </w:tc>
        <w:tc>
          <w:tcPr>
            <w:tcW w:w="1018"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0</w:t>
            </w:r>
          </w:p>
        </w:tc>
        <w:tc>
          <w:tcPr>
            <w:tcW w:w="628"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0</w:t>
            </w:r>
          </w:p>
        </w:tc>
        <w:tc>
          <w:tcPr>
            <w:tcW w:w="628"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0</w:t>
            </w:r>
          </w:p>
        </w:tc>
        <w:tc>
          <w:tcPr>
            <w:tcW w:w="802"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0</w:t>
            </w:r>
          </w:p>
        </w:tc>
        <w:tc>
          <w:tcPr>
            <w:tcW w:w="642"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0</w:t>
            </w:r>
          </w:p>
        </w:tc>
        <w:tc>
          <w:tcPr>
            <w:tcW w:w="800"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0</w:t>
            </w:r>
          </w:p>
        </w:tc>
        <w:tc>
          <w:tcPr>
            <w:tcW w:w="870"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0</w:t>
            </w:r>
          </w:p>
        </w:tc>
        <w:tc>
          <w:tcPr>
            <w:tcW w:w="849"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sz w:val="22"/>
                <w:szCs w:val="32"/>
                <w:highlight w:val="none"/>
                <w:lang w:val="en-US" w:eastAsia="zh-CN" w:bidi="ar"/>
              </w:rPr>
            </w:pPr>
            <w:r>
              <w:rPr>
                <w:rFonts w:hint="default" w:ascii="Times New Roman" w:hAnsi="Times New Roman" w:eastAsia="仿宋" w:cs="Times New Roman"/>
                <w:color w:val="auto"/>
                <w:sz w:val="22"/>
                <w:szCs w:val="32"/>
                <w:highlight w:val="none"/>
                <w:lang w:val="en-US" w:bidi="ar"/>
              </w:rPr>
              <w:t>0</w:t>
            </w:r>
          </w:p>
        </w:tc>
      </w:tr>
    </w:tbl>
    <w:p>
      <w:pPr>
        <w:pStyle w:val="7"/>
        <w:spacing w:before="0"/>
        <w:rPr>
          <w:rFonts w:hint="default" w:ascii="Times New Roman" w:hAnsi="Times New Roman" w:eastAsia="仿宋_GB2312" w:cs="Times New Roman"/>
          <w:bCs/>
          <w:color w:val="auto"/>
          <w:kern w:val="2"/>
          <w:highlight w:val="none"/>
        </w:rPr>
      </w:pPr>
      <w:bookmarkStart w:id="579" w:name="_Toc21233"/>
      <w:bookmarkStart w:id="580" w:name="_Toc3025"/>
      <w:bookmarkStart w:id="581" w:name="_Toc12737"/>
      <w:bookmarkStart w:id="582" w:name="_Toc6972"/>
      <w:bookmarkStart w:id="583" w:name="_Toc24840"/>
      <w:bookmarkStart w:id="584" w:name="_Toc9755"/>
      <w:bookmarkStart w:id="585" w:name="_Toc10976"/>
      <w:r>
        <w:rPr>
          <w:rFonts w:hint="default" w:ascii="Times New Roman" w:hAnsi="Times New Roman" w:eastAsia="仿宋_GB2312" w:cs="Times New Roman"/>
          <w:bCs/>
          <w:color w:val="auto"/>
          <w:kern w:val="2"/>
          <w:highlight w:val="none"/>
        </w:rPr>
        <w:t>6.3.2局部供需平衡分析</w:t>
      </w:r>
      <w:bookmarkEnd w:id="579"/>
      <w:bookmarkEnd w:id="580"/>
      <w:bookmarkEnd w:id="581"/>
      <w:bookmarkEnd w:id="582"/>
      <w:bookmarkEnd w:id="583"/>
      <w:bookmarkEnd w:id="584"/>
      <w:bookmarkEnd w:id="585"/>
    </w:p>
    <w:p>
      <w:pPr>
        <w:pStyle w:val="8"/>
        <w:rPr>
          <w:rFonts w:hint="default" w:ascii="Times New Roman" w:hAnsi="Times New Roman" w:eastAsia="仿宋_GB2312" w:cs="Times New Roman"/>
          <w:color w:val="auto"/>
          <w:szCs w:val="32"/>
          <w:highlight w:val="none"/>
        </w:rPr>
      </w:pPr>
      <w:r>
        <w:rPr>
          <w:rFonts w:hint="default" w:ascii="Times New Roman" w:hAnsi="Times New Roman" w:eastAsia="仿宋_GB2312" w:cs="Times New Roman"/>
          <w:color w:val="auto"/>
          <w:highlight w:val="none"/>
        </w:rPr>
        <w:t>6.3.2.1</w:t>
      </w:r>
      <w:r>
        <w:rPr>
          <w:rFonts w:hint="default" w:ascii="Times New Roman" w:hAnsi="Times New Roman" w:eastAsia="仿宋_GB2312" w:cs="Times New Roman"/>
          <w:color w:val="auto"/>
          <w:szCs w:val="32"/>
          <w:highlight w:val="none"/>
        </w:rPr>
        <w:t>农业供需平衡分析</w:t>
      </w:r>
    </w:p>
    <w:p>
      <w:pPr>
        <w:pStyle w:val="9"/>
        <w:rPr>
          <w:rFonts w:hint="default" w:ascii="Times New Roman" w:hAnsi="Times New Roman" w:cs="Times New Roman"/>
          <w:color w:val="auto"/>
          <w:highlight w:val="none"/>
        </w:rPr>
      </w:pPr>
      <w:r>
        <w:rPr>
          <w:rFonts w:hint="default" w:ascii="Times New Roman" w:hAnsi="Times New Roman" w:cs="Times New Roman"/>
          <w:color w:val="auto"/>
          <w:highlight w:val="none"/>
        </w:rPr>
        <w:t>（1）农业供需平衡分析</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考虑农业占据沙坡头区用水量的80%以上，本次单独对农业用水进行供需平衡分析。</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按照沙坡头区水权确权指标（用水口径）分析，考虑2013年水资源使用确权工作与2021年用水权确权的原则不同，本次农业分配指标不再与2013年水资源使用确权成果对比分析。</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按照2021年用水权确权工作的部署，本次农业需水通过种植结构调整和灌溉方式的变化，确定各渠道的需水量，且总需水量不超控制指标</w:t>
      </w:r>
      <w:r>
        <w:rPr>
          <w:rFonts w:hint="default" w:ascii="Times New Roman" w:hAnsi="Times New Roman" w:cs="Times New Roman"/>
          <w:color w:val="auto"/>
          <w:kern w:val="2"/>
          <w:sz w:val="32"/>
          <w:szCs w:val="32"/>
          <w:highlight w:val="none"/>
          <w:lang w:eastAsia="zh-CN"/>
        </w:rPr>
        <w:t>。</w:t>
      </w:r>
    </w:p>
    <w:p>
      <w:pPr>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cs="Times New Roman"/>
          <w:color w:val="auto"/>
          <w:kern w:val="2"/>
          <w:sz w:val="32"/>
          <w:szCs w:val="32"/>
          <w:highlight w:val="none"/>
          <w:lang w:val="en-US" w:eastAsia="zh-CN"/>
        </w:rPr>
        <w:t>沙坡头区规划2025年农业用水量平衡表，详见</w:t>
      </w:r>
      <w:r>
        <w:rPr>
          <w:rFonts w:hint="default" w:ascii="Times New Roman" w:hAnsi="Times New Roman" w:eastAsia="仿宋_GB2312" w:cs="Times New Roman"/>
          <w:color w:val="auto"/>
          <w:kern w:val="2"/>
          <w:sz w:val="32"/>
          <w:szCs w:val="32"/>
          <w:highlight w:val="none"/>
        </w:rPr>
        <w:t>表6.3-2</w:t>
      </w:r>
      <w:r>
        <w:rPr>
          <w:rFonts w:hint="default" w:ascii="Times New Roman" w:hAnsi="Times New Roman" w:cs="Times New Roman"/>
          <w:color w:val="auto"/>
          <w:kern w:val="2"/>
          <w:sz w:val="32"/>
          <w:szCs w:val="32"/>
          <w:highlight w:val="none"/>
          <w:lang w:eastAsia="zh-CN"/>
        </w:rPr>
        <w:t>所示。</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表6.3-2</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沙坡头区规划2025年农业用水量平衡表</w:t>
      </w:r>
    </w:p>
    <w:p>
      <w:pPr>
        <w:pStyle w:val="22"/>
        <w:ind w:firstLine="7560" w:firstLineChars="3600"/>
        <w:jc w:val="left"/>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单位：万m³</w:t>
      </w:r>
    </w:p>
    <w:tbl>
      <w:tblPr>
        <w:tblStyle w:val="17"/>
        <w:tblW w:w="8451"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2338"/>
        <w:gridCol w:w="2724"/>
        <w:gridCol w:w="3389"/>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41" w:hRule="atLeast"/>
          <w:jc w:val="center"/>
        </w:trPr>
        <w:tc>
          <w:tcPr>
            <w:tcW w:w="2338" w:type="dxa"/>
            <w:tcBorders>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供水渠道名称</w:t>
            </w:r>
          </w:p>
        </w:tc>
        <w:tc>
          <w:tcPr>
            <w:tcW w:w="2724"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净水量</w:t>
            </w:r>
          </w:p>
        </w:tc>
        <w:tc>
          <w:tcPr>
            <w:tcW w:w="3389" w:type="dxa"/>
            <w:tcBorders>
              <w:left w:val="single" w:color="000000" w:sz="4" w:space="0"/>
              <w:bottom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用水量</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31" w:hRule="atLeast"/>
          <w:jc w:val="center"/>
        </w:trPr>
        <w:tc>
          <w:tcPr>
            <w:tcW w:w="233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美利渠</w:t>
            </w:r>
          </w:p>
        </w:tc>
        <w:tc>
          <w:tcPr>
            <w:tcW w:w="2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4511</w:t>
            </w:r>
          </w:p>
        </w:tc>
        <w:tc>
          <w:tcPr>
            <w:tcW w:w="33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rPr>
            </w:pPr>
            <w:r>
              <w:rPr>
                <w:rFonts w:hint="default" w:ascii="Times New Roman" w:hAnsi="Times New Roman" w:eastAsia="仿宋" w:cs="Times New Roman"/>
                <w:color w:val="auto"/>
                <w:sz w:val="24"/>
                <w:szCs w:val="36"/>
                <w:highlight w:val="none"/>
                <w:lang w:val="en-US" w:bidi="ar"/>
              </w:rPr>
              <w:t>10937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31" w:hRule="atLeast"/>
          <w:jc w:val="center"/>
        </w:trPr>
        <w:tc>
          <w:tcPr>
            <w:tcW w:w="233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北支干渠</w:t>
            </w:r>
          </w:p>
        </w:tc>
        <w:tc>
          <w:tcPr>
            <w:tcW w:w="2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3472</w:t>
            </w:r>
          </w:p>
        </w:tc>
        <w:tc>
          <w:tcPr>
            <w:tcW w:w="33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8446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31" w:hRule="atLeast"/>
          <w:jc w:val="center"/>
        </w:trPr>
        <w:tc>
          <w:tcPr>
            <w:tcW w:w="233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七星渠</w:t>
            </w:r>
          </w:p>
        </w:tc>
        <w:tc>
          <w:tcPr>
            <w:tcW w:w="2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1147</w:t>
            </w:r>
          </w:p>
        </w:tc>
        <w:tc>
          <w:tcPr>
            <w:tcW w:w="33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2534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31" w:hRule="atLeast"/>
          <w:jc w:val="center"/>
        </w:trPr>
        <w:tc>
          <w:tcPr>
            <w:tcW w:w="233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羚羊角渠</w:t>
            </w:r>
          </w:p>
        </w:tc>
        <w:tc>
          <w:tcPr>
            <w:tcW w:w="2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267</w:t>
            </w:r>
          </w:p>
        </w:tc>
        <w:tc>
          <w:tcPr>
            <w:tcW w:w="33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407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31" w:hRule="atLeast"/>
          <w:jc w:val="center"/>
        </w:trPr>
        <w:tc>
          <w:tcPr>
            <w:tcW w:w="233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羚羊寿渠</w:t>
            </w:r>
          </w:p>
        </w:tc>
        <w:tc>
          <w:tcPr>
            <w:tcW w:w="2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914</w:t>
            </w:r>
          </w:p>
        </w:tc>
        <w:tc>
          <w:tcPr>
            <w:tcW w:w="33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1396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31" w:hRule="atLeast"/>
          <w:jc w:val="center"/>
        </w:trPr>
        <w:tc>
          <w:tcPr>
            <w:tcW w:w="233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南山台子扬水</w:t>
            </w:r>
          </w:p>
        </w:tc>
        <w:tc>
          <w:tcPr>
            <w:tcW w:w="2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4381</w:t>
            </w:r>
          </w:p>
        </w:tc>
        <w:tc>
          <w:tcPr>
            <w:tcW w:w="33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6688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31" w:hRule="atLeast"/>
          <w:jc w:val="center"/>
        </w:trPr>
        <w:tc>
          <w:tcPr>
            <w:tcW w:w="233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固海扬水</w:t>
            </w:r>
          </w:p>
        </w:tc>
        <w:tc>
          <w:tcPr>
            <w:tcW w:w="2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723</w:t>
            </w:r>
          </w:p>
        </w:tc>
        <w:tc>
          <w:tcPr>
            <w:tcW w:w="33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1252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31" w:hRule="atLeast"/>
          <w:jc w:val="center"/>
        </w:trPr>
        <w:tc>
          <w:tcPr>
            <w:tcW w:w="233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eastAsia="zh-CN"/>
              </w:rPr>
              <w:t>马滩渠等引黄</w:t>
            </w:r>
          </w:p>
        </w:tc>
        <w:tc>
          <w:tcPr>
            <w:tcW w:w="2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381</w:t>
            </w:r>
          </w:p>
        </w:tc>
        <w:tc>
          <w:tcPr>
            <w:tcW w:w="33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581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31" w:hRule="atLeast"/>
          <w:jc w:val="center"/>
        </w:trPr>
        <w:tc>
          <w:tcPr>
            <w:tcW w:w="233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碱碱湖扬水干渠</w:t>
            </w:r>
          </w:p>
        </w:tc>
        <w:tc>
          <w:tcPr>
            <w:tcW w:w="2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234</w:t>
            </w:r>
          </w:p>
        </w:tc>
        <w:tc>
          <w:tcPr>
            <w:tcW w:w="33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283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31" w:hRule="atLeast"/>
          <w:jc w:val="center"/>
        </w:trPr>
        <w:tc>
          <w:tcPr>
            <w:tcW w:w="233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峡门水库供水</w:t>
            </w:r>
          </w:p>
        </w:tc>
        <w:tc>
          <w:tcPr>
            <w:tcW w:w="2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3183</w:t>
            </w:r>
          </w:p>
        </w:tc>
        <w:tc>
          <w:tcPr>
            <w:tcW w:w="33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4091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31" w:hRule="atLeast"/>
          <w:jc w:val="center"/>
        </w:trPr>
        <w:tc>
          <w:tcPr>
            <w:tcW w:w="233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兴仁香山补灌工程</w:t>
            </w:r>
          </w:p>
        </w:tc>
        <w:tc>
          <w:tcPr>
            <w:tcW w:w="2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280</w:t>
            </w:r>
          </w:p>
        </w:tc>
        <w:tc>
          <w:tcPr>
            <w:tcW w:w="33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359</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31" w:hRule="atLeast"/>
          <w:jc w:val="center"/>
        </w:trPr>
        <w:tc>
          <w:tcPr>
            <w:tcW w:w="2338"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其他</w:t>
            </w:r>
          </w:p>
        </w:tc>
        <w:tc>
          <w:tcPr>
            <w:tcW w:w="27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643</w:t>
            </w:r>
          </w:p>
        </w:tc>
        <w:tc>
          <w:tcPr>
            <w:tcW w:w="338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826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46" w:hRule="atLeast"/>
          <w:jc w:val="center"/>
        </w:trPr>
        <w:tc>
          <w:tcPr>
            <w:tcW w:w="2338" w:type="dxa"/>
            <w:tcBorders>
              <w:top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小计</w:t>
            </w:r>
          </w:p>
        </w:tc>
        <w:tc>
          <w:tcPr>
            <w:tcW w:w="2724"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20137</w:t>
            </w:r>
          </w:p>
        </w:tc>
        <w:tc>
          <w:tcPr>
            <w:tcW w:w="3389" w:type="dxa"/>
            <w:tcBorders>
              <w:top w:val="single" w:color="000000" w:sz="4" w:space="0"/>
              <w:left w:val="single" w:color="000000" w:sz="4" w:space="0"/>
            </w:tcBorders>
            <w:tcMar>
              <w:top w:w="15" w:type="dxa"/>
              <w:left w:w="15" w:type="dxa"/>
              <w:right w:w="15" w:type="dxa"/>
            </w:tcMar>
            <w:vAlign w:val="center"/>
          </w:tcPr>
          <w:p>
            <w:pPr>
              <w:pStyle w:val="24"/>
              <w:keepNext w:val="0"/>
              <w:keepLines w:val="0"/>
              <w:pageBreakBefore w:val="0"/>
              <w:widowControl w:val="0"/>
              <w:kinsoku/>
              <w:wordWrap/>
              <w:overflowPunct/>
              <w:topLinePunct/>
              <w:autoSpaceDE/>
              <w:autoSpaceDN/>
              <w:bidi w:val="0"/>
              <w:adjustRightInd w:val="0"/>
              <w:snapToGrid w:val="0"/>
              <w:spacing w:line="300" w:lineRule="exact"/>
              <w:textAlignment w:val="auto"/>
              <w:rPr>
                <w:rFonts w:hint="default" w:ascii="Times New Roman" w:hAnsi="Times New Roman" w:eastAsia="仿宋" w:cs="Times New Roman"/>
                <w:color w:val="auto"/>
                <w:sz w:val="24"/>
                <w:szCs w:val="36"/>
                <w:highlight w:val="none"/>
                <w:lang w:val="en-US" w:eastAsia="zh-CN" w:bidi="ar"/>
              </w:rPr>
            </w:pPr>
            <w:r>
              <w:rPr>
                <w:rFonts w:hint="default" w:ascii="Times New Roman" w:hAnsi="Times New Roman" w:eastAsia="仿宋" w:cs="Times New Roman"/>
                <w:color w:val="auto"/>
                <w:sz w:val="24"/>
                <w:szCs w:val="36"/>
                <w:highlight w:val="none"/>
                <w:lang w:val="en-US" w:bidi="ar"/>
              </w:rPr>
              <w:t>37800</w:t>
            </w:r>
          </w:p>
        </w:tc>
      </w:tr>
    </w:tbl>
    <w:p>
      <w:pPr>
        <w:pStyle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（2）</w:t>
      </w:r>
      <w:r>
        <w:rPr>
          <w:rFonts w:hint="default" w:ascii="Times New Roman" w:hAnsi="Times New Roman" w:cs="Times New Roman"/>
          <w:color w:val="auto"/>
          <w:highlight w:val="none"/>
          <w:lang w:val="en-US" w:eastAsia="zh-CN"/>
        </w:rPr>
        <w:t>结论分析</w:t>
      </w:r>
    </w:p>
    <w:p>
      <w:pPr>
        <w:spacing w:line="560" w:lineRule="exact"/>
        <w:ind w:firstLine="600"/>
        <w:rPr>
          <w:rFonts w:hint="default" w:ascii="Times New Roman" w:hAnsi="Times New Roman" w:cs="Times New Roman"/>
          <w:color w:val="auto"/>
          <w:highlight w:val="none"/>
        </w:rPr>
      </w:pPr>
      <w:r>
        <w:rPr>
          <w:rFonts w:hint="default" w:ascii="Times New Roman" w:hAnsi="Times New Roman" w:eastAsia="仿宋_GB2312" w:cs="Times New Roman"/>
          <w:color w:val="auto"/>
          <w:sz w:val="32"/>
          <w:szCs w:val="32"/>
          <w:highlight w:val="none"/>
        </w:rPr>
        <w:t>供水能力方面：根据各渠道供水能力分析，其供水能力均大于分配指标，但峡门水库的供水能力目前不满足规划年需水要求，但根据目前《宁夏黄河流域生态保护和高质量发展先行区建设——中部干旱带沙坡头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香山兴仁片区生态修复与灌区供水工程建设运行方案》，规划2025年峡门水库一泵站的流量将由现状1.33m³/s达到2m³/s，即可满足本项目的分配指标。</w:t>
      </w:r>
    </w:p>
    <w:p>
      <w:pPr>
        <w:pStyle w:val="8"/>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6.3.2.2</w:t>
      </w:r>
      <w:r>
        <w:rPr>
          <w:rFonts w:hint="default" w:ascii="Times New Roman" w:hAnsi="Times New Roman" w:eastAsia="仿宋_GB2312" w:cs="Times New Roman"/>
          <w:color w:val="auto"/>
          <w:szCs w:val="32"/>
          <w:highlight w:val="none"/>
        </w:rPr>
        <w:t>工业供需平衡分析</w:t>
      </w:r>
    </w:p>
    <w:p>
      <w:pPr>
        <w:pStyle w:val="27"/>
        <w:spacing w:line="560" w:lineRule="exact"/>
        <w:ind w:firstLine="600"/>
        <w:rPr>
          <w:rFonts w:hint="default" w:ascii="Times New Roman" w:hAnsi="Times New Roman" w:eastAsia="仿宋_GB2312" w:cs="Times New Roman"/>
          <w:color w:val="auto"/>
          <w:kern w:val="2"/>
          <w:szCs w:val="30"/>
          <w:highlight w:val="none"/>
          <w:lang w:val="en-US" w:eastAsia="zh-CN"/>
        </w:rPr>
      </w:pPr>
      <w:r>
        <w:rPr>
          <w:rFonts w:hint="default" w:ascii="Times New Roman" w:hAnsi="Times New Roman" w:eastAsia="仿宋_GB2312" w:cs="Times New Roman"/>
          <w:color w:val="auto"/>
          <w:kern w:val="2"/>
          <w:sz w:val="32"/>
          <w:szCs w:val="32"/>
          <w:highlight w:val="none"/>
        </w:rPr>
        <w:t>考虑万元工业增加值用水量降低，规划2025年工业用水量达到3000万m³，新增用水量71万m³。规划2025年中卫工业园区用水量为2252万m³，小于取水指标2640万m³，满足供需平衡。详见表6.3-</w:t>
      </w:r>
      <w:r>
        <w:rPr>
          <w:rFonts w:hint="default" w:ascii="Times New Roman" w:hAnsi="Times New Roman" w:cs="Times New Roman"/>
          <w:color w:val="auto"/>
          <w:kern w:val="2"/>
          <w:sz w:val="32"/>
          <w:szCs w:val="32"/>
          <w:highlight w:val="none"/>
          <w:lang w:val="en-US" w:eastAsia="zh-CN"/>
        </w:rPr>
        <w:t>3所示。</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表6.3-3</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沙坡头区规划2025年工业用水量平衡表</w:t>
      </w:r>
    </w:p>
    <w:p>
      <w:pPr>
        <w:pStyle w:val="22"/>
        <w:ind w:firstLine="7560" w:firstLineChars="3600"/>
        <w:jc w:val="left"/>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单位：万m³</w:t>
      </w:r>
    </w:p>
    <w:tbl>
      <w:tblPr>
        <w:tblStyle w:val="17"/>
        <w:tblW w:w="8331" w:type="dxa"/>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1710"/>
        <w:gridCol w:w="1163"/>
        <w:gridCol w:w="1407"/>
        <w:gridCol w:w="1480"/>
        <w:gridCol w:w="1472"/>
        <w:gridCol w:w="1099"/>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trPr>
        <w:tc>
          <w:tcPr>
            <w:tcW w:w="1710"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年份</w:t>
            </w:r>
          </w:p>
        </w:tc>
        <w:tc>
          <w:tcPr>
            <w:tcW w:w="1163"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工业增加值（万元）</w:t>
            </w:r>
          </w:p>
        </w:tc>
        <w:tc>
          <w:tcPr>
            <w:tcW w:w="1407"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单位用水量</w:t>
            </w:r>
          </w:p>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（m³/万元）</w:t>
            </w:r>
          </w:p>
        </w:tc>
        <w:tc>
          <w:tcPr>
            <w:tcW w:w="1480"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用水量</w:t>
            </w:r>
          </w:p>
        </w:tc>
        <w:tc>
          <w:tcPr>
            <w:tcW w:w="1472"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损失</w:t>
            </w:r>
          </w:p>
        </w:tc>
        <w:tc>
          <w:tcPr>
            <w:tcW w:w="1099"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取水量</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trPr>
        <w:tc>
          <w:tcPr>
            <w:tcW w:w="1710"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2020年</w:t>
            </w:r>
          </w:p>
        </w:tc>
        <w:tc>
          <w:tcPr>
            <w:tcW w:w="11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62.59</w:t>
            </w:r>
          </w:p>
        </w:tc>
        <w:tc>
          <w:tcPr>
            <w:tcW w:w="14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39.78</w:t>
            </w:r>
          </w:p>
        </w:tc>
        <w:tc>
          <w:tcPr>
            <w:tcW w:w="14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2490</w:t>
            </w:r>
          </w:p>
        </w:tc>
        <w:tc>
          <w:tcPr>
            <w:tcW w:w="14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0.85</w:t>
            </w:r>
          </w:p>
        </w:tc>
        <w:tc>
          <w:tcPr>
            <w:tcW w:w="109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2929</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trPr>
        <w:tc>
          <w:tcPr>
            <w:tcW w:w="1710"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2025年</w:t>
            </w:r>
          </w:p>
        </w:tc>
        <w:tc>
          <w:tcPr>
            <w:tcW w:w="11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83.50</w:t>
            </w:r>
          </w:p>
        </w:tc>
        <w:tc>
          <w:tcPr>
            <w:tcW w:w="14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34.16</w:t>
            </w:r>
          </w:p>
        </w:tc>
        <w:tc>
          <w:tcPr>
            <w:tcW w:w="14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2852</w:t>
            </w:r>
          </w:p>
        </w:tc>
        <w:tc>
          <w:tcPr>
            <w:tcW w:w="147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0.95</w:t>
            </w:r>
          </w:p>
        </w:tc>
        <w:tc>
          <w:tcPr>
            <w:tcW w:w="109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3000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10" w:hRule="atLeast"/>
        </w:trPr>
        <w:tc>
          <w:tcPr>
            <w:tcW w:w="1710"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规划年较现状新增</w:t>
            </w:r>
          </w:p>
        </w:tc>
        <w:tc>
          <w:tcPr>
            <w:tcW w:w="1163"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20.91</w:t>
            </w:r>
          </w:p>
        </w:tc>
        <w:tc>
          <w:tcPr>
            <w:tcW w:w="140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-5.62</w:t>
            </w:r>
          </w:p>
        </w:tc>
        <w:tc>
          <w:tcPr>
            <w:tcW w:w="1480"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363</w:t>
            </w:r>
          </w:p>
        </w:tc>
        <w:tc>
          <w:tcPr>
            <w:tcW w:w="1472"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0.07</w:t>
            </w:r>
          </w:p>
        </w:tc>
        <w:tc>
          <w:tcPr>
            <w:tcW w:w="1099"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bidi="ar"/>
              </w:rPr>
              <w:t>71</w:t>
            </w:r>
          </w:p>
        </w:tc>
      </w:tr>
    </w:tbl>
    <w:p>
      <w:pPr>
        <w:pStyle w:val="6"/>
        <w:spacing w:line="560" w:lineRule="exact"/>
        <w:rPr>
          <w:rFonts w:hint="default" w:ascii="Times New Roman" w:hAnsi="Times New Roman" w:eastAsia="楷体_GB2312" w:cs="Times New Roman"/>
          <w:color w:val="auto"/>
          <w:highlight w:val="none"/>
        </w:rPr>
      </w:pPr>
      <w:bookmarkStart w:id="586" w:name="_Toc19804"/>
      <w:bookmarkStart w:id="587" w:name="_Toc12794"/>
      <w:bookmarkStart w:id="588" w:name="_Toc12878"/>
      <w:bookmarkStart w:id="589" w:name="_Toc14366"/>
      <w:bookmarkStart w:id="590" w:name="_Toc3114"/>
      <w:bookmarkStart w:id="591" w:name="_Toc3181"/>
      <w:bookmarkStart w:id="592" w:name="_Toc6549"/>
      <w:bookmarkStart w:id="593" w:name="_Toc6654"/>
      <w:r>
        <w:rPr>
          <w:rFonts w:hint="default" w:ascii="Times New Roman" w:hAnsi="Times New Roman" w:eastAsia="楷体_GB2312" w:cs="Times New Roman"/>
          <w:color w:val="auto"/>
          <w:highlight w:val="none"/>
        </w:rPr>
        <w:t>6.4水资源配置保障</w:t>
      </w:r>
      <w:bookmarkEnd w:id="586"/>
      <w:bookmarkEnd w:id="587"/>
      <w:bookmarkEnd w:id="588"/>
      <w:bookmarkEnd w:id="589"/>
      <w:bookmarkEnd w:id="590"/>
      <w:bookmarkEnd w:id="591"/>
      <w:bookmarkEnd w:id="592"/>
      <w:bookmarkEnd w:id="593"/>
    </w:p>
    <w:p>
      <w:pPr>
        <w:pStyle w:val="7"/>
        <w:spacing w:before="0" w:line="560" w:lineRule="exact"/>
        <w:rPr>
          <w:rFonts w:hint="default" w:ascii="Times New Roman" w:hAnsi="Times New Roman" w:eastAsia="仿宋_GB2312" w:cs="Times New Roman"/>
          <w:bCs/>
          <w:color w:val="auto"/>
          <w:kern w:val="2"/>
          <w:highlight w:val="none"/>
        </w:rPr>
      </w:pPr>
      <w:bookmarkStart w:id="594" w:name="_Toc9083"/>
      <w:bookmarkStart w:id="595" w:name="_Toc28902"/>
      <w:bookmarkStart w:id="596" w:name="_Toc19680"/>
      <w:bookmarkStart w:id="597" w:name="_Toc26313"/>
      <w:bookmarkStart w:id="598" w:name="_Toc11609"/>
      <w:bookmarkStart w:id="599" w:name="_Toc26428"/>
      <w:bookmarkStart w:id="600" w:name="_Toc207"/>
      <w:r>
        <w:rPr>
          <w:rFonts w:hint="default" w:ascii="Times New Roman" w:hAnsi="Times New Roman" w:eastAsia="仿宋_GB2312" w:cs="Times New Roman"/>
          <w:bCs/>
          <w:color w:val="auto"/>
          <w:kern w:val="2"/>
          <w:highlight w:val="none"/>
        </w:rPr>
        <w:t>6.4.1优先保证城乡居民生活用水</w:t>
      </w:r>
      <w:bookmarkEnd w:id="594"/>
      <w:bookmarkEnd w:id="595"/>
      <w:bookmarkEnd w:id="596"/>
      <w:bookmarkEnd w:id="597"/>
      <w:bookmarkEnd w:id="598"/>
      <w:bookmarkEnd w:id="599"/>
      <w:bookmarkEnd w:id="600"/>
    </w:p>
    <w:p>
      <w:pPr>
        <w:rPr>
          <w:rFonts w:hint="default" w:ascii="Times New Roman" w:hAnsi="Times New Roman" w:cs="Times New Roman"/>
          <w:color w:val="auto"/>
          <w:highlight w:val="none"/>
        </w:rPr>
      </w:pPr>
      <w:r>
        <w:rPr>
          <w:rFonts w:hint="default" w:ascii="Times New Roman" w:hAnsi="Times New Roman" w:eastAsia="仿宋_GB2312" w:cs="Times New Roman"/>
          <w:color w:val="auto"/>
          <w:kern w:val="2"/>
          <w:sz w:val="32"/>
          <w:szCs w:val="32"/>
          <w:highlight w:val="none"/>
        </w:rPr>
        <w:t>随着人口数量的增加，生态环境建设与保护和生活水平的提</w:t>
      </w:r>
      <w:r>
        <w:rPr>
          <w:rFonts w:hint="default" w:ascii="Times New Roman" w:hAnsi="Times New Roman" w:eastAsia="仿宋_GB2312" w:cs="Times New Roman"/>
          <w:color w:val="auto"/>
          <w:kern w:val="0"/>
          <w:sz w:val="32"/>
          <w:szCs w:val="20"/>
          <w:highlight w:val="none"/>
        </w:rPr>
        <w:t>高以及服务业的快速发展，对城乡生活用水的需求日益增加。根据预测成果分析，</w:t>
      </w:r>
      <w:r>
        <w:rPr>
          <w:rFonts w:hint="default" w:ascii="Times New Roman" w:hAnsi="Times New Roman" w:cs="Times New Roman"/>
          <w:color w:val="auto"/>
          <w:kern w:val="0"/>
          <w:sz w:val="32"/>
          <w:szCs w:val="20"/>
          <w:highlight w:val="none"/>
          <w:lang w:eastAsia="zh-CN"/>
        </w:rPr>
        <w:t>沙坡头区</w:t>
      </w:r>
      <w:r>
        <w:rPr>
          <w:rFonts w:hint="default" w:ascii="Times New Roman" w:hAnsi="Times New Roman" w:eastAsia="仿宋_GB2312" w:cs="Times New Roman"/>
          <w:color w:val="auto"/>
          <w:kern w:val="0"/>
          <w:sz w:val="32"/>
          <w:szCs w:val="20"/>
          <w:highlight w:val="none"/>
        </w:rPr>
        <w:t>规划</w:t>
      </w:r>
      <w:r>
        <w:rPr>
          <w:rFonts w:hint="default" w:ascii="Times New Roman" w:hAnsi="Times New Roman" w:cs="Times New Roman"/>
          <w:color w:val="auto"/>
          <w:kern w:val="0"/>
          <w:sz w:val="32"/>
          <w:szCs w:val="20"/>
          <w:highlight w:val="none"/>
          <w:lang w:val="en-US" w:eastAsia="zh-CN"/>
        </w:rPr>
        <w:t>2025</w:t>
      </w:r>
      <w:r>
        <w:rPr>
          <w:rFonts w:hint="default" w:ascii="Times New Roman" w:hAnsi="Times New Roman" w:eastAsia="仿宋_GB2312" w:cs="Times New Roman"/>
          <w:color w:val="auto"/>
          <w:kern w:val="0"/>
          <w:sz w:val="32"/>
          <w:szCs w:val="20"/>
          <w:highlight w:val="none"/>
        </w:rPr>
        <w:t>年农村</w:t>
      </w:r>
      <w:r>
        <w:rPr>
          <w:rFonts w:hint="default" w:ascii="Times New Roman" w:hAnsi="Times New Roman" w:cs="Times New Roman"/>
          <w:color w:val="auto"/>
          <w:kern w:val="0"/>
          <w:sz w:val="32"/>
          <w:szCs w:val="20"/>
          <w:highlight w:val="none"/>
          <w:lang w:eastAsia="zh-CN"/>
        </w:rPr>
        <w:t>居民</w:t>
      </w:r>
      <w:r>
        <w:rPr>
          <w:rFonts w:hint="default" w:ascii="Times New Roman" w:hAnsi="Times New Roman" w:eastAsia="仿宋_GB2312" w:cs="Times New Roman"/>
          <w:color w:val="auto"/>
          <w:kern w:val="0"/>
          <w:sz w:val="32"/>
          <w:szCs w:val="20"/>
          <w:highlight w:val="none"/>
        </w:rPr>
        <w:t>生活</w:t>
      </w:r>
      <w:r>
        <w:rPr>
          <w:rFonts w:hint="default" w:ascii="Times New Roman" w:hAnsi="Times New Roman" w:cs="Times New Roman"/>
          <w:color w:val="auto"/>
          <w:kern w:val="0"/>
          <w:sz w:val="32"/>
          <w:szCs w:val="20"/>
          <w:highlight w:val="none"/>
          <w:lang w:eastAsia="zh-CN"/>
        </w:rPr>
        <w:t>年</w:t>
      </w:r>
      <w:r>
        <w:rPr>
          <w:rFonts w:hint="default" w:ascii="Times New Roman" w:hAnsi="Times New Roman" w:eastAsia="仿宋_GB2312" w:cs="Times New Roman"/>
          <w:color w:val="auto"/>
          <w:kern w:val="0"/>
          <w:sz w:val="32"/>
          <w:szCs w:val="20"/>
          <w:highlight w:val="none"/>
        </w:rPr>
        <w:t>用水量</w:t>
      </w:r>
      <w:r>
        <w:rPr>
          <w:rFonts w:hint="default" w:ascii="Times New Roman" w:hAnsi="Times New Roman" w:cs="Times New Roman"/>
          <w:color w:val="auto"/>
          <w:kern w:val="0"/>
          <w:sz w:val="32"/>
          <w:szCs w:val="20"/>
          <w:highlight w:val="none"/>
          <w:lang w:eastAsia="zh-CN"/>
        </w:rPr>
        <w:t>较现状</w:t>
      </w:r>
      <w:r>
        <w:rPr>
          <w:rFonts w:hint="default" w:ascii="Times New Roman" w:hAnsi="Times New Roman" w:eastAsia="仿宋_GB2312" w:cs="Times New Roman"/>
          <w:color w:val="auto"/>
          <w:kern w:val="0"/>
          <w:sz w:val="32"/>
          <w:szCs w:val="20"/>
          <w:highlight w:val="none"/>
        </w:rPr>
        <w:t>增加72万m³，</w:t>
      </w:r>
      <w:r>
        <w:rPr>
          <w:rFonts w:hint="default" w:ascii="Times New Roman" w:hAnsi="Times New Roman" w:cs="Times New Roman"/>
          <w:color w:val="auto"/>
          <w:kern w:val="0"/>
          <w:sz w:val="32"/>
          <w:szCs w:val="20"/>
          <w:highlight w:val="none"/>
          <w:lang w:eastAsia="zh-CN"/>
        </w:rPr>
        <w:t>沙坡头区规划</w:t>
      </w:r>
      <w:r>
        <w:rPr>
          <w:rFonts w:hint="default" w:ascii="Times New Roman" w:hAnsi="Times New Roman" w:cs="Times New Roman"/>
          <w:color w:val="auto"/>
          <w:kern w:val="0"/>
          <w:sz w:val="32"/>
          <w:szCs w:val="20"/>
          <w:highlight w:val="none"/>
          <w:lang w:val="en-US" w:eastAsia="zh-CN"/>
        </w:rPr>
        <w:t>2025</w:t>
      </w:r>
      <w:r>
        <w:rPr>
          <w:rFonts w:hint="default" w:ascii="Times New Roman" w:hAnsi="Times New Roman" w:eastAsia="仿宋_GB2312" w:cs="Times New Roman"/>
          <w:color w:val="auto"/>
          <w:kern w:val="0"/>
          <w:sz w:val="32"/>
          <w:szCs w:val="20"/>
          <w:highlight w:val="none"/>
        </w:rPr>
        <w:t>年城</w:t>
      </w:r>
      <w:r>
        <w:rPr>
          <w:rFonts w:hint="default" w:ascii="Times New Roman" w:hAnsi="Times New Roman" w:cs="Times New Roman"/>
          <w:color w:val="auto"/>
          <w:kern w:val="0"/>
          <w:sz w:val="32"/>
          <w:szCs w:val="20"/>
          <w:highlight w:val="none"/>
          <w:lang w:eastAsia="zh-CN"/>
        </w:rPr>
        <w:t>镇居民</w:t>
      </w:r>
      <w:r>
        <w:rPr>
          <w:rFonts w:hint="default" w:ascii="Times New Roman" w:hAnsi="Times New Roman" w:eastAsia="仿宋_GB2312" w:cs="Times New Roman"/>
          <w:color w:val="auto"/>
          <w:kern w:val="0"/>
          <w:sz w:val="32"/>
          <w:szCs w:val="20"/>
          <w:highlight w:val="none"/>
        </w:rPr>
        <w:t>生活</w:t>
      </w:r>
      <w:r>
        <w:rPr>
          <w:rFonts w:hint="default" w:ascii="Times New Roman" w:hAnsi="Times New Roman" w:cs="Times New Roman"/>
          <w:color w:val="auto"/>
          <w:kern w:val="0"/>
          <w:sz w:val="32"/>
          <w:szCs w:val="20"/>
          <w:highlight w:val="none"/>
          <w:lang w:eastAsia="zh-CN"/>
        </w:rPr>
        <w:t>年用</w:t>
      </w:r>
      <w:r>
        <w:rPr>
          <w:rFonts w:hint="default" w:ascii="Times New Roman" w:hAnsi="Times New Roman" w:eastAsia="仿宋_GB2312" w:cs="Times New Roman"/>
          <w:color w:val="auto"/>
          <w:kern w:val="0"/>
          <w:sz w:val="32"/>
          <w:szCs w:val="20"/>
          <w:highlight w:val="none"/>
        </w:rPr>
        <w:t>水量较现状增加501万m³，</w:t>
      </w:r>
      <w:r>
        <w:rPr>
          <w:rFonts w:hint="default" w:ascii="Times New Roman" w:hAnsi="Times New Roman" w:cs="Times New Roman"/>
          <w:color w:val="auto"/>
          <w:kern w:val="0"/>
          <w:sz w:val="32"/>
          <w:szCs w:val="20"/>
          <w:highlight w:val="none"/>
          <w:lang w:eastAsia="zh-CN"/>
        </w:rPr>
        <w:t>城乡居民</w:t>
      </w:r>
      <w:r>
        <w:rPr>
          <w:rFonts w:hint="default" w:ascii="Times New Roman" w:hAnsi="Times New Roman" w:eastAsia="仿宋_GB2312" w:cs="Times New Roman"/>
          <w:color w:val="auto"/>
          <w:kern w:val="0"/>
          <w:sz w:val="32"/>
          <w:szCs w:val="20"/>
          <w:highlight w:val="none"/>
        </w:rPr>
        <w:t>生活总用水量较现状增加573万m³</w:t>
      </w:r>
      <w:r>
        <w:rPr>
          <w:rFonts w:hint="default" w:ascii="Times New Roman" w:hAnsi="Times New Roman" w:cs="Times New Roman"/>
          <w:color w:val="auto"/>
          <w:kern w:val="0"/>
          <w:sz w:val="32"/>
          <w:szCs w:val="20"/>
          <w:highlight w:val="none"/>
          <w:lang w:eastAsia="zh-CN"/>
        </w:rPr>
        <w:t>。</w:t>
      </w:r>
      <w:r>
        <w:rPr>
          <w:rFonts w:hint="default" w:ascii="Times New Roman" w:hAnsi="Times New Roman" w:eastAsia="仿宋_GB2312" w:cs="Times New Roman"/>
          <w:color w:val="auto"/>
          <w:kern w:val="0"/>
          <w:sz w:val="32"/>
          <w:szCs w:val="20"/>
          <w:highlight w:val="none"/>
        </w:rPr>
        <w:t>主要由于人口的增加及生活水平的提高，用水定额的提高，规划年生活用水均有所增加。</w:t>
      </w:r>
    </w:p>
    <w:p>
      <w:pPr>
        <w:rPr>
          <w:rFonts w:hint="default" w:ascii="Times New Roman" w:hAnsi="Times New Roman" w:eastAsia="仿宋_GB2312" w:cs="Times New Roman"/>
          <w:color w:val="auto"/>
          <w:kern w:val="0"/>
          <w:sz w:val="32"/>
          <w:szCs w:val="20"/>
          <w:highlight w:val="none"/>
        </w:rPr>
      </w:pPr>
      <w:r>
        <w:rPr>
          <w:rFonts w:hint="default" w:ascii="Times New Roman" w:hAnsi="Times New Roman" w:eastAsia="仿宋_GB2312" w:cs="Times New Roman"/>
          <w:color w:val="auto"/>
          <w:kern w:val="0"/>
          <w:sz w:val="32"/>
          <w:szCs w:val="20"/>
          <w:highlight w:val="none"/>
        </w:rPr>
        <w:t>城乡生活用水主要由城乡提升改造工程（河南和河北城乡供水工程）配置黄河水和地下水。黄河水主要用于河北的文昌镇、滨河镇、镇罗镇、柔远镇、东园镇和迎水桥镇6乡镇的城乡居民生活、规模化养殖、工业生产及生态环境用水。地下水主要用于河南地区中卫市常乐镇、永康镇、宣和镇三个乡镇的生活、专业户饲养畜禽以及高铁及其商圈、常乐陶瓷产业园宣和冶金产业园等企业用水。城市生活用水中配置部分中水，主要用于城市道路浇洒、环境绿化等。</w:t>
      </w:r>
    </w:p>
    <w:p>
      <w:pPr>
        <w:pStyle w:val="7"/>
        <w:spacing w:before="0"/>
        <w:rPr>
          <w:rFonts w:hint="default" w:ascii="Times New Roman" w:hAnsi="Times New Roman" w:eastAsia="仿宋_GB2312" w:cs="Times New Roman"/>
          <w:bCs/>
          <w:color w:val="auto"/>
          <w:kern w:val="2"/>
          <w:highlight w:val="none"/>
        </w:rPr>
      </w:pPr>
      <w:bookmarkStart w:id="601" w:name="_Toc16955"/>
      <w:bookmarkStart w:id="602" w:name="_Toc13978"/>
      <w:bookmarkStart w:id="603" w:name="_Toc9439"/>
      <w:bookmarkStart w:id="604" w:name="_Toc15353"/>
      <w:bookmarkStart w:id="605" w:name="_Toc11502"/>
      <w:bookmarkStart w:id="606" w:name="_Toc27346"/>
      <w:bookmarkStart w:id="607" w:name="_Toc27046"/>
      <w:r>
        <w:rPr>
          <w:rFonts w:hint="default" w:ascii="Times New Roman" w:hAnsi="Times New Roman" w:eastAsia="仿宋_GB2312" w:cs="Times New Roman"/>
          <w:bCs/>
          <w:color w:val="auto"/>
          <w:kern w:val="2"/>
          <w:highlight w:val="none"/>
        </w:rPr>
        <w:t>6.4.2保障工业发展与用水量的适度增长</w:t>
      </w:r>
      <w:bookmarkEnd w:id="601"/>
      <w:bookmarkEnd w:id="602"/>
      <w:bookmarkEnd w:id="603"/>
      <w:bookmarkEnd w:id="604"/>
      <w:bookmarkEnd w:id="605"/>
      <w:bookmarkEnd w:id="606"/>
      <w:bookmarkEnd w:id="607"/>
    </w:p>
    <w:p>
      <w:pPr>
        <w:rPr>
          <w:rFonts w:hint="default" w:ascii="Times New Roman" w:hAnsi="Times New Roman" w:eastAsia="仿宋_GB2312" w:cs="Times New Roman"/>
          <w:color w:val="auto"/>
          <w:kern w:val="2"/>
          <w:sz w:val="32"/>
          <w:szCs w:val="28"/>
          <w:highlight w:val="none"/>
        </w:rPr>
      </w:pPr>
      <w:r>
        <w:rPr>
          <w:rFonts w:hint="default" w:ascii="Times New Roman" w:hAnsi="Times New Roman" w:eastAsia="仿宋_GB2312" w:cs="Times New Roman"/>
          <w:color w:val="auto"/>
          <w:kern w:val="2"/>
          <w:sz w:val="32"/>
          <w:szCs w:val="28"/>
          <w:highlight w:val="none"/>
        </w:rPr>
        <w:t>工业用水主要集中在工业园区，工业园区规划的需水量大于现状需水量。在此，按工业增加值预测的需水量作为工业用水配置的控制指标。工业园区的水资源配置主要根据园区的水资源论证成果和园区规划指标，结合园区的工业取水总量控制指标，按照“以供定需”的原则配置；园区以外的工业用水原则上控制在现状规模以内不再增加。</w:t>
      </w:r>
    </w:p>
    <w:p>
      <w:pPr>
        <w:rPr>
          <w:rFonts w:hint="default" w:ascii="Times New Roman" w:hAnsi="Times New Roman" w:eastAsia="仿宋_GB2312" w:cs="Times New Roman"/>
          <w:color w:val="auto"/>
          <w:kern w:val="2"/>
          <w:sz w:val="32"/>
          <w:szCs w:val="28"/>
          <w:highlight w:val="none"/>
        </w:rPr>
      </w:pPr>
      <w:r>
        <w:rPr>
          <w:rFonts w:hint="default" w:ascii="Times New Roman" w:hAnsi="Times New Roman" w:eastAsia="仿宋_GB2312" w:cs="Times New Roman"/>
          <w:color w:val="auto"/>
          <w:kern w:val="2"/>
          <w:sz w:val="32"/>
          <w:szCs w:val="28"/>
          <w:highlight w:val="none"/>
        </w:rPr>
        <w:t>与现状相比，工业取用水量2025年增加171万m³。工业新增取用水重点是工业园区。为了确保中卫工业发展质量，规划期重点支</w:t>
      </w:r>
      <w:r>
        <w:rPr>
          <w:rFonts w:hint="default" w:ascii="Times New Roman" w:hAnsi="Times New Roman" w:cs="Times New Roman"/>
          <w:color w:val="auto"/>
          <w:kern w:val="2"/>
          <w:sz w:val="32"/>
          <w:szCs w:val="28"/>
          <w:highlight w:val="none"/>
          <w:lang w:val="en-US" w:eastAsia="zh-CN"/>
        </w:rPr>
        <w:t>撑</w:t>
      </w:r>
      <w:r>
        <w:rPr>
          <w:rFonts w:hint="default" w:ascii="Times New Roman" w:hAnsi="Times New Roman" w:eastAsia="仿宋_GB2312" w:cs="Times New Roman"/>
          <w:color w:val="auto"/>
          <w:kern w:val="2"/>
          <w:sz w:val="32"/>
          <w:szCs w:val="28"/>
          <w:highlight w:val="none"/>
        </w:rPr>
        <w:t>现有的和已批复建设的工业园区的用水。新增的取用水以不增加沙坡头区取用水指标为原则，主要通过工业企业自身节水改造，加大再生水利用力度及农业节水、水权交易等方式解决。工业企业必须加强水资源论证，执行节水型工业用水指标，提高水资源循环利用率。</w:t>
      </w:r>
    </w:p>
    <w:p>
      <w:pPr>
        <w:pStyle w:val="7"/>
        <w:spacing w:before="0" w:beforeLines="0" w:line="560" w:lineRule="exact"/>
        <w:rPr>
          <w:rFonts w:hint="default" w:ascii="Times New Roman" w:hAnsi="Times New Roman" w:eastAsia="仿宋_GB2312" w:cs="Times New Roman"/>
          <w:bCs/>
          <w:color w:val="auto"/>
          <w:kern w:val="2"/>
          <w:highlight w:val="none"/>
        </w:rPr>
      </w:pPr>
      <w:bookmarkStart w:id="608" w:name="_Toc3815"/>
      <w:bookmarkStart w:id="609" w:name="_Toc2397"/>
      <w:bookmarkStart w:id="610" w:name="_Toc28846"/>
      <w:bookmarkStart w:id="611" w:name="_Toc32352"/>
      <w:bookmarkStart w:id="612" w:name="_Toc2064"/>
      <w:bookmarkStart w:id="613" w:name="_Toc31047"/>
      <w:bookmarkStart w:id="614" w:name="_Toc32469"/>
      <w:r>
        <w:rPr>
          <w:rFonts w:hint="default" w:ascii="Times New Roman" w:hAnsi="Times New Roman" w:eastAsia="仿宋_GB2312" w:cs="Times New Roman"/>
          <w:bCs/>
          <w:color w:val="auto"/>
          <w:kern w:val="2"/>
          <w:highlight w:val="none"/>
        </w:rPr>
        <w:t>6.4.3农业节水支持城乡生活、工业发展用水</w:t>
      </w:r>
      <w:bookmarkEnd w:id="608"/>
      <w:bookmarkEnd w:id="609"/>
      <w:bookmarkEnd w:id="610"/>
      <w:bookmarkEnd w:id="611"/>
      <w:bookmarkEnd w:id="612"/>
      <w:bookmarkEnd w:id="613"/>
      <w:bookmarkEnd w:id="614"/>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在南水北调西线工程建成生效之前，国家没有给宁夏增加水资源的分配指标下，本次配置在宁夏取水总量指标为73.0</w:t>
      </w:r>
      <w:r>
        <w:rPr>
          <w:rFonts w:hint="default" w:ascii="Times New Roman" w:hAnsi="Times New Roman" w:eastAsia="仿宋_GB2312"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rPr>
        <w:t>73.27亿m³下进行配置，与现状基本相当。在取水总量基本不变的情况下，生活用水、工业用水刚性增加，而且生活用水优先、工业用水次保证，新增用水量只能通过农业节水解决。期间，2025年农业灌溉面积较现状增加改善面积20万亩，相应增加灌溉用水量2160万m³；生活及工业增加用水量744万m³，计入生态补水增加1573万m³，以上共计增加用水量4477万m³，与现状相比，到2025年现有老灌区农业灌溉节水4477万m³左右才能满足城乡人口增加和工业发展、农业灌溉面积增加、生态补水对水资源的需求，显然在目前的节水力度条件下是难以实现的。因此，农业灌溉用水的配置，实际上是控制灌溉面积发展和加大节水力度。</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压减农业灌溉用水的主要措施是通过结构调整、农业节水、工程节水、管理节水和全面推广以滴灌、喷灌等高效节水灌溉技术，提高农业用水效率。</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eastAsia="zh-CN"/>
        </w:rPr>
        <w:t>1</w:t>
      </w:r>
      <w:r>
        <w:rPr>
          <w:rFonts w:hint="default" w:ascii="Times New Roman" w:hAnsi="Times New Roman"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rPr>
        <w:t>严格控制灌溉面积发展。2025年除兴仁香山改善灌溉面积20万亩，原则上不考虑新增灌溉面积，2025年沙坡头区总灌溉面积控制在114万亩以内，改善灌溉面积全部采用高效节水灌溉技术。</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eastAsia="zh-CN"/>
        </w:rPr>
        <w:t>2</w:t>
      </w:r>
      <w:r>
        <w:rPr>
          <w:rFonts w:hint="default" w:ascii="Times New Roman" w:hAnsi="Times New Roman"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rPr>
        <w:t>严格控制引黄自流灌区水稻种植区域与规模，正常来水年份将水稻种植面积控制在1万亩左右，比现状减少6.3万亩。</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eastAsia="zh-CN"/>
        </w:rPr>
        <w:t>3</w:t>
      </w:r>
      <w:r>
        <w:rPr>
          <w:rFonts w:hint="default" w:ascii="Times New Roman" w:hAnsi="Times New Roman"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rPr>
        <w:t>严格控制已建在建的高效节水补灌面积的灌溉用水，按原项目批准的补灌定额配置水量。</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eastAsia="zh-CN"/>
        </w:rPr>
        <w:t>4</w:t>
      </w:r>
      <w:r>
        <w:rPr>
          <w:rFonts w:hint="default" w:ascii="Times New Roman" w:hAnsi="Times New Roman"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rPr>
        <w:t>自流灌区加快实施中卫灌区续建配套和更新改造，抓好小型农田水利设施建设，结合设施农业建设加大浅层地下水资源的开发力度，加强高效节水灌溉项目，自流灌区规划2025年，高效节水灌溉面积达到50%。</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val="en-US" w:eastAsia="zh-CN"/>
        </w:rPr>
        <w:t>5.</w:t>
      </w:r>
      <w:r>
        <w:rPr>
          <w:rFonts w:hint="default" w:ascii="Times New Roman" w:hAnsi="Times New Roman" w:eastAsia="仿宋_GB2312" w:cs="Times New Roman"/>
          <w:color w:val="auto"/>
          <w:kern w:val="2"/>
          <w:sz w:val="32"/>
          <w:szCs w:val="32"/>
          <w:highlight w:val="none"/>
        </w:rPr>
        <w:t>扬黄灌区抓好以高效节水灌溉为重点的节水改造，扬水灌区高效节灌率达到80%，推行水权分配到户，推广管道化供水，进一步提高灌溉水利用率和灌溉效益。规划2025年，沙坡头区灌溉水有效利用系数达到0.6。</w:t>
      </w:r>
    </w:p>
    <w:p>
      <w:pPr>
        <w:pStyle w:val="6"/>
        <w:keepNext w:val="0"/>
        <w:keepLines w:val="0"/>
        <w:pageBreakBefore w:val="0"/>
        <w:widowControl w:val="0"/>
        <w:kinsoku/>
        <w:wordWrap/>
        <w:overflowPunct/>
        <w:topLinePunct w:val="0"/>
        <w:autoSpaceDE/>
        <w:autoSpaceDN/>
        <w:bidi w:val="0"/>
        <w:adjustRightInd w:val="0"/>
        <w:snapToGrid w:val="0"/>
        <w:spacing w:before="0" w:beforeLines="0" w:line="520" w:lineRule="exact"/>
        <w:textAlignment w:val="auto"/>
        <w:rPr>
          <w:rFonts w:hint="default" w:ascii="Times New Roman" w:hAnsi="Times New Roman" w:eastAsia="楷体_GB2312" w:cs="Times New Roman"/>
          <w:color w:val="auto"/>
          <w:highlight w:val="none"/>
        </w:rPr>
      </w:pPr>
      <w:bookmarkStart w:id="615" w:name="_Toc28935"/>
      <w:bookmarkStart w:id="616" w:name="_Toc18344"/>
      <w:bookmarkStart w:id="617" w:name="_Toc7316"/>
      <w:bookmarkStart w:id="618" w:name="_Toc1133"/>
      <w:bookmarkStart w:id="619" w:name="_Toc2047"/>
      <w:bookmarkStart w:id="620" w:name="_Toc30768"/>
      <w:bookmarkStart w:id="621" w:name="_Toc26124"/>
      <w:bookmarkStart w:id="622" w:name="_Toc32538"/>
      <w:r>
        <w:rPr>
          <w:rFonts w:hint="default" w:ascii="Times New Roman" w:hAnsi="Times New Roman" w:eastAsia="楷体_GB2312" w:cs="Times New Roman"/>
          <w:color w:val="auto"/>
          <w:highlight w:val="none"/>
        </w:rPr>
        <w:t>6.5解决水资源供需失衡的配置措施</w:t>
      </w:r>
      <w:bookmarkEnd w:id="615"/>
      <w:bookmarkEnd w:id="616"/>
      <w:bookmarkEnd w:id="617"/>
      <w:bookmarkEnd w:id="618"/>
      <w:bookmarkEnd w:id="619"/>
      <w:bookmarkEnd w:id="620"/>
      <w:bookmarkEnd w:id="621"/>
      <w:bookmarkEnd w:id="622"/>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受国家分配指标的限制，按照前述水资源配置，不考虑农业节水潜力情况下，2025年沙坡头</w:t>
      </w:r>
      <w:r>
        <w:rPr>
          <w:rFonts w:hint="default" w:ascii="Times New Roman" w:hAnsi="Times New Roman" w:eastAsia="仿宋_GB2312" w:cs="Times New Roman"/>
          <w:color w:val="auto"/>
          <w:kern w:val="2"/>
          <w:sz w:val="32"/>
          <w:szCs w:val="32"/>
          <w:highlight w:val="none"/>
          <w:lang w:val="en-US" w:eastAsia="zh-CN"/>
        </w:rPr>
        <w:t>区</w:t>
      </w:r>
      <w:r>
        <w:rPr>
          <w:rFonts w:hint="default" w:ascii="Times New Roman" w:hAnsi="Times New Roman" w:eastAsia="仿宋_GB2312" w:cs="Times New Roman"/>
          <w:color w:val="auto"/>
          <w:kern w:val="2"/>
          <w:sz w:val="32"/>
          <w:szCs w:val="32"/>
          <w:highlight w:val="none"/>
        </w:rPr>
        <w:t>供需平衡基本平衡，但随着规划年人口、工业增加值、生态等增加，用水量增加缺口4477万m³，解决途径如下：</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b w:val="0"/>
          <w:bCs w:val="0"/>
          <w:color w:val="auto"/>
          <w:kern w:val="2"/>
          <w:sz w:val="32"/>
          <w:szCs w:val="32"/>
          <w:highlight w:val="none"/>
        </w:rPr>
        <w:t>一是</w:t>
      </w:r>
      <w:r>
        <w:rPr>
          <w:rFonts w:hint="default" w:ascii="Times New Roman" w:hAnsi="Times New Roman" w:eastAsia="仿宋_GB2312" w:cs="Times New Roman"/>
          <w:color w:val="auto"/>
          <w:kern w:val="2"/>
          <w:sz w:val="32"/>
          <w:szCs w:val="32"/>
          <w:highlight w:val="none"/>
        </w:rPr>
        <w:t>全力实施农业节水工程。以引扬黄灌区节水改造和高效节水灌溉工程为重点，大力实施节水工程措施、节水新技术推广、农艺节水、政策措施等，可以节约出引黄灌区农业引水量4268万m³，用于解决缺水。</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b w:val="0"/>
          <w:bCs w:val="0"/>
          <w:color w:val="auto"/>
          <w:kern w:val="2"/>
          <w:sz w:val="32"/>
          <w:szCs w:val="32"/>
          <w:highlight w:val="none"/>
        </w:rPr>
        <w:t>二是</w:t>
      </w:r>
      <w:r>
        <w:rPr>
          <w:rFonts w:hint="default" w:ascii="Times New Roman" w:hAnsi="Times New Roman" w:eastAsia="仿宋_GB2312" w:cs="Times New Roman"/>
          <w:color w:val="auto"/>
          <w:kern w:val="2"/>
          <w:sz w:val="32"/>
          <w:szCs w:val="32"/>
          <w:highlight w:val="none"/>
        </w:rPr>
        <w:t>按再生水利用潜力的50%考虑，再生水利用量需达到1600万m³，方可满足2025年国家分配给沙坡头区再生水利用量800万m³。目前，现状2020年实际再生水利用为370万m³，规划年新增430万m³再生水回用。</w:t>
      </w:r>
    </w:p>
    <w:p>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color w:val="auto"/>
          <w:spacing w:val="-6"/>
          <w:kern w:val="2"/>
          <w:sz w:val="32"/>
          <w:szCs w:val="30"/>
          <w:highlight w:val="none"/>
        </w:rPr>
      </w:pPr>
      <w:r>
        <w:rPr>
          <w:rFonts w:hint="default" w:ascii="Times New Roman" w:hAnsi="Times New Roman" w:eastAsia="仿宋_GB2312" w:cs="Times New Roman"/>
          <w:color w:val="auto"/>
          <w:spacing w:val="-6"/>
          <w:kern w:val="2"/>
          <w:sz w:val="32"/>
          <w:szCs w:val="32"/>
          <w:highlight w:val="none"/>
        </w:rPr>
        <w:t>综上所述，可增加供水量4698万m³，可以解决现状缺水问题。</w:t>
      </w:r>
    </w:p>
    <w:p>
      <w:pPr>
        <w:pStyle w:val="6"/>
        <w:keepNext w:val="0"/>
        <w:keepLines w:val="0"/>
        <w:pageBreakBefore w:val="0"/>
        <w:widowControl w:val="0"/>
        <w:kinsoku/>
        <w:wordWrap/>
        <w:overflowPunct/>
        <w:topLinePunct w:val="0"/>
        <w:autoSpaceDE/>
        <w:autoSpaceDN/>
        <w:bidi w:val="0"/>
        <w:adjustRightInd w:val="0"/>
        <w:snapToGrid w:val="0"/>
        <w:spacing w:before="0" w:beforeLines="0" w:line="520" w:lineRule="exact"/>
        <w:textAlignment w:val="auto"/>
        <w:rPr>
          <w:rFonts w:hint="default" w:ascii="Times New Roman" w:hAnsi="Times New Roman" w:eastAsia="楷体_GB2312" w:cs="Times New Roman"/>
          <w:color w:val="auto"/>
          <w:highlight w:val="none"/>
        </w:rPr>
      </w:pPr>
      <w:bookmarkStart w:id="623" w:name="_Toc13428"/>
      <w:bookmarkStart w:id="624" w:name="_Toc26031"/>
      <w:bookmarkStart w:id="625" w:name="_Toc20663"/>
      <w:bookmarkStart w:id="626" w:name="_Toc26396"/>
      <w:bookmarkStart w:id="627" w:name="_Toc6641"/>
      <w:bookmarkStart w:id="628" w:name="_Toc16723"/>
      <w:bookmarkStart w:id="629" w:name="_Toc20214"/>
      <w:bookmarkStart w:id="630" w:name="_Toc28855"/>
      <w:r>
        <w:rPr>
          <w:rFonts w:hint="default" w:ascii="Times New Roman" w:hAnsi="Times New Roman" w:eastAsia="楷体_GB2312" w:cs="Times New Roman"/>
          <w:color w:val="auto"/>
          <w:highlight w:val="none"/>
        </w:rPr>
        <w:t>6.6水资源配置</w:t>
      </w:r>
      <w:bookmarkEnd w:id="623"/>
      <w:bookmarkEnd w:id="624"/>
      <w:bookmarkEnd w:id="625"/>
      <w:bookmarkEnd w:id="626"/>
      <w:bookmarkEnd w:id="627"/>
      <w:bookmarkEnd w:id="628"/>
      <w:bookmarkEnd w:id="629"/>
      <w:bookmarkEnd w:id="630"/>
    </w:p>
    <w:p>
      <w:pPr>
        <w:keepNext w:val="0"/>
        <w:keepLines w:val="0"/>
        <w:pageBreakBefore w:val="0"/>
        <w:widowControl w:val="0"/>
        <w:kinsoku/>
        <w:wordWrap/>
        <w:overflowPunct/>
        <w:topLinePunct w:val="0"/>
        <w:autoSpaceDE/>
        <w:autoSpaceDN/>
        <w:bidi w:val="0"/>
        <w:adjustRightInd w:val="0"/>
        <w:snapToGrid w:val="0"/>
        <w:spacing w:line="520" w:lineRule="exact"/>
        <w:ind w:firstLine="6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val="en-US" w:eastAsia="zh-CN"/>
        </w:rPr>
        <w:t>考虑需水预测中，综合考虑了</w:t>
      </w:r>
      <w:r>
        <w:rPr>
          <w:rFonts w:hint="default" w:ascii="Times New Roman" w:hAnsi="Times New Roman" w:eastAsia="仿宋_GB2312" w:cs="Times New Roman"/>
          <w:color w:val="auto"/>
          <w:sz w:val="32"/>
          <w:szCs w:val="32"/>
          <w:highlight w:val="none"/>
        </w:rPr>
        <w:t>各业用水</w:t>
      </w:r>
      <w:r>
        <w:rPr>
          <w:rFonts w:hint="default" w:ascii="Times New Roman" w:hAnsi="Times New Roman" w:eastAsia="仿宋_GB2312" w:cs="Times New Roman"/>
          <w:color w:val="auto"/>
          <w:sz w:val="32"/>
          <w:szCs w:val="32"/>
          <w:highlight w:val="none"/>
          <w:lang w:eastAsia="zh-CN"/>
        </w:rPr>
        <w:t>和</w:t>
      </w:r>
      <w:r>
        <w:rPr>
          <w:rFonts w:hint="default" w:ascii="Times New Roman" w:hAnsi="Times New Roman" w:eastAsia="仿宋_GB2312" w:cs="Times New Roman"/>
          <w:color w:val="auto"/>
          <w:sz w:val="32"/>
          <w:szCs w:val="32"/>
          <w:highlight w:val="none"/>
          <w:lang w:val="en-US" w:eastAsia="zh-CN"/>
        </w:rPr>
        <w:t>各水源的</w:t>
      </w:r>
      <w:r>
        <w:rPr>
          <w:rFonts w:hint="default" w:ascii="Times New Roman" w:hAnsi="Times New Roman" w:eastAsia="仿宋_GB2312" w:cs="Times New Roman"/>
          <w:color w:val="auto"/>
          <w:sz w:val="32"/>
          <w:szCs w:val="32"/>
          <w:highlight w:val="none"/>
        </w:rPr>
        <w:t>管控指标</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配置严格按照管指标</w:t>
      </w:r>
      <w:r>
        <w:rPr>
          <w:rFonts w:hint="default" w:ascii="Times New Roman" w:hAnsi="Times New Roman" w:eastAsia="仿宋_GB2312" w:cs="Times New Roman"/>
          <w:color w:val="auto"/>
          <w:sz w:val="32"/>
          <w:szCs w:val="32"/>
          <w:highlight w:val="none"/>
        </w:rPr>
        <w:t>进行分析配置</w:t>
      </w:r>
      <w:r>
        <w:rPr>
          <w:rFonts w:hint="default" w:ascii="Times New Roman" w:hAnsi="Times New Roman" w:eastAsia="仿宋_GB2312" w:cs="Times New Roman"/>
          <w:color w:val="auto"/>
          <w:sz w:val="32"/>
          <w:szCs w:val="32"/>
          <w:highlight w:val="none"/>
          <w:lang w:eastAsia="zh-CN"/>
        </w:rPr>
        <w:t>。</w:t>
      </w:r>
    </w:p>
    <w:p>
      <w:pPr>
        <w:pStyle w:val="7"/>
        <w:keepNext w:val="0"/>
        <w:keepLines w:val="0"/>
        <w:pageBreakBefore w:val="0"/>
        <w:widowControl w:val="0"/>
        <w:kinsoku/>
        <w:wordWrap/>
        <w:overflowPunct/>
        <w:topLinePunct w:val="0"/>
        <w:autoSpaceDE/>
        <w:autoSpaceDN/>
        <w:bidi w:val="0"/>
        <w:adjustRightInd w:val="0"/>
        <w:snapToGrid w:val="0"/>
        <w:spacing w:before="0" w:beforeLines="0" w:line="520" w:lineRule="exact"/>
        <w:textAlignment w:val="auto"/>
        <w:rPr>
          <w:rFonts w:hint="default" w:ascii="Times New Roman" w:hAnsi="Times New Roman" w:eastAsia="仿宋_GB2312" w:cs="Times New Roman"/>
          <w:bCs/>
          <w:color w:val="auto"/>
          <w:kern w:val="2"/>
          <w:highlight w:val="none"/>
        </w:rPr>
      </w:pPr>
      <w:bookmarkStart w:id="631" w:name="_Toc2333"/>
      <w:bookmarkStart w:id="632" w:name="_Toc1223"/>
      <w:bookmarkStart w:id="633" w:name="_Toc25837"/>
      <w:bookmarkStart w:id="634" w:name="_Toc10023"/>
      <w:bookmarkStart w:id="635" w:name="_Toc27041"/>
      <w:bookmarkStart w:id="636" w:name="_Toc18024"/>
      <w:bookmarkStart w:id="637" w:name="_Toc30770"/>
      <w:r>
        <w:rPr>
          <w:rFonts w:hint="default" w:ascii="Times New Roman" w:hAnsi="Times New Roman" w:eastAsia="仿宋_GB2312" w:cs="Times New Roman"/>
          <w:bCs/>
          <w:color w:val="auto"/>
          <w:kern w:val="2"/>
          <w:highlight w:val="none"/>
        </w:rPr>
        <w:t>6.6.1生活用水水资源配置</w:t>
      </w:r>
      <w:bookmarkEnd w:id="631"/>
      <w:bookmarkEnd w:id="632"/>
      <w:bookmarkEnd w:id="633"/>
      <w:bookmarkEnd w:id="634"/>
      <w:bookmarkEnd w:id="635"/>
      <w:bookmarkEnd w:id="636"/>
      <w:bookmarkEnd w:id="637"/>
    </w:p>
    <w:p>
      <w:pPr>
        <w:pStyle w:val="8"/>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6.6.1.1</w:t>
      </w:r>
      <w:r>
        <w:rPr>
          <w:rFonts w:hint="default" w:ascii="Times New Roman" w:hAnsi="Times New Roman" w:eastAsia="仿宋_GB2312" w:cs="Times New Roman"/>
          <w:color w:val="auto"/>
          <w:szCs w:val="32"/>
          <w:highlight w:val="none"/>
        </w:rPr>
        <w:t>生活用水水资源配置</w:t>
      </w:r>
    </w:p>
    <w:p>
      <w:pPr>
        <w:keepNext w:val="0"/>
        <w:keepLines w:val="0"/>
        <w:pageBreakBefore w:val="0"/>
        <w:widowControl w:val="0"/>
        <w:kinsoku/>
        <w:wordWrap/>
        <w:overflowPunct/>
        <w:topLinePunct w:val="0"/>
        <w:autoSpaceDE/>
        <w:autoSpaceDN/>
        <w:bidi w:val="0"/>
        <w:adjustRightInd w:val="0"/>
        <w:snapToGrid w:val="0"/>
        <w:spacing w:line="520" w:lineRule="exact"/>
        <w:ind w:firstLine="600"/>
        <w:textAlignment w:val="auto"/>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rPr>
        <w:t>按照需水预测，2025年沙坡头区生活需水量为2476万m³，其中农村需水量为532万m³，城镇需水量为1944万m³。按照城乡供水工程分析，生活用水均采用黄河水和地下水，其中中卫市文昌镇、滨河镇、迎水镇、东园镇、柔远镇、镇罗镇六乡镇生活用水采用黄河水，需水量为1639万m³，由河北地区城乡供水供给；其他837万m³均采用地下水，其中437万m³由河南农村饮水安全巩固提升工程供给，其他为自备井，主要集中在香山乡和兴仁镇</w:t>
      </w:r>
      <w:r>
        <w:rPr>
          <w:rFonts w:hint="default" w:ascii="Times New Roman" w:hAnsi="Times New Roman"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沙坡头区生活用水水资源配置</w:t>
      </w:r>
      <w:r>
        <w:rPr>
          <w:rFonts w:hint="default" w:ascii="Times New Roman" w:hAnsi="Times New Roman" w:cs="Times New Roman"/>
          <w:color w:val="auto"/>
          <w:sz w:val="32"/>
          <w:szCs w:val="32"/>
          <w:highlight w:val="none"/>
          <w:lang w:eastAsia="zh-CN"/>
        </w:rPr>
        <w:t>，详</w:t>
      </w:r>
      <w:r>
        <w:rPr>
          <w:rFonts w:hint="default" w:ascii="Times New Roman" w:hAnsi="Times New Roman" w:eastAsia="仿宋_GB2312" w:cs="Times New Roman"/>
          <w:color w:val="auto"/>
          <w:sz w:val="32"/>
          <w:szCs w:val="32"/>
          <w:highlight w:val="none"/>
        </w:rPr>
        <w:t>见表6.6-1</w:t>
      </w:r>
      <w:r>
        <w:rPr>
          <w:rFonts w:hint="default" w:ascii="Times New Roman" w:hAnsi="Times New Roman" w:cs="Times New Roman"/>
          <w:color w:val="auto"/>
          <w:sz w:val="32"/>
          <w:szCs w:val="32"/>
          <w:highlight w:val="none"/>
          <w:lang w:eastAsia="zh-CN"/>
        </w:rPr>
        <w:t>所示</w:t>
      </w:r>
      <w:r>
        <w:rPr>
          <w:rFonts w:hint="default" w:ascii="Times New Roman" w:hAnsi="Times New Roman" w:eastAsia="仿宋_GB2312" w:cs="Times New Roman"/>
          <w:color w:val="auto"/>
          <w:sz w:val="32"/>
          <w:szCs w:val="32"/>
          <w:highlight w:val="none"/>
        </w:rPr>
        <w:t>。</w:t>
      </w:r>
    </w:p>
    <w:p>
      <w:pPr>
        <w:pStyle w:val="22"/>
        <w:jc w:val="center"/>
        <w:rPr>
          <w:rFonts w:hint="default" w:ascii="Times New Roman" w:hAnsi="Times New Roman" w:eastAsia="仿宋" w:cs="Times New Roman"/>
          <w:color w:val="auto"/>
          <w:highlight w:val="none"/>
        </w:rPr>
      </w:pPr>
      <w:r>
        <w:rPr>
          <w:rFonts w:hint="default" w:ascii="Times New Roman" w:hAnsi="Times New Roman" w:eastAsia="方正小标宋_GBK" w:cs="Times New Roman"/>
          <w:b w:val="0"/>
          <w:bCs w:val="0"/>
          <w:color w:val="auto"/>
          <w:sz w:val="32"/>
          <w:szCs w:val="32"/>
          <w:highlight w:val="none"/>
        </w:rPr>
        <w:t>表6.6-1</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生活用水水资源配置</w:t>
      </w:r>
    </w:p>
    <w:p>
      <w:pPr>
        <w:pStyle w:val="22"/>
        <w:ind w:firstLine="482" w:firstLineChars="200"/>
        <w:jc w:val="left"/>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 xml:space="preserve"> </w:t>
      </w:r>
      <w:r>
        <w:rPr>
          <w:rFonts w:hint="default" w:ascii="Times New Roman" w:hAnsi="Times New Roman" w:eastAsia="仿宋" w:cs="Times New Roman"/>
          <w:color w:val="auto"/>
          <w:highlight w:val="none"/>
          <w:lang w:val="en-US" w:eastAsia="zh-CN"/>
        </w:rPr>
        <w:t xml:space="preserve">                                                           </w:t>
      </w:r>
      <w:r>
        <w:rPr>
          <w:rFonts w:hint="default" w:ascii="Times New Roman" w:hAnsi="Times New Roman" w:eastAsia="仿宋_GB2312" w:cs="Times New Roman"/>
          <w:b w:val="0"/>
          <w:bCs w:val="0"/>
          <w:color w:val="auto"/>
          <w:sz w:val="21"/>
          <w:szCs w:val="21"/>
          <w:highlight w:val="none"/>
        </w:rPr>
        <w:t>单位：万m³</w:t>
      </w:r>
    </w:p>
    <w:tbl>
      <w:tblPr>
        <w:tblStyle w:val="17"/>
        <w:tblW w:w="851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2129"/>
        <w:gridCol w:w="2131"/>
        <w:gridCol w:w="2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jc w:val="center"/>
        </w:trPr>
        <w:tc>
          <w:tcPr>
            <w:tcW w:w="2128" w:type="dxa"/>
            <w:vAlign w:val="center"/>
          </w:tcPr>
          <w:p>
            <w:pPr>
              <w:pStyle w:val="24"/>
              <w:spacing w:before="0" w:beforeLines="0" w:after="0"/>
              <w:rPr>
                <w:rFonts w:hint="default" w:ascii="Times New Roman" w:hAnsi="Times New Roman" w:eastAsia="仿宋" w:cs="Times New Roman"/>
                <w:b/>
                <w:bCs/>
                <w:color w:val="auto"/>
                <w:sz w:val="24"/>
                <w:szCs w:val="36"/>
                <w:highlight w:val="none"/>
                <w:lang w:val="en-US"/>
              </w:rPr>
            </w:pPr>
            <w:r>
              <w:rPr>
                <w:rFonts w:hint="default" w:ascii="Times New Roman" w:hAnsi="Times New Roman" w:eastAsia="仿宋_GB2312" w:cs="Times New Roman"/>
                <w:b/>
                <w:bCs/>
                <w:color w:val="auto"/>
                <w:kern w:val="2"/>
                <w:sz w:val="24"/>
                <w:szCs w:val="24"/>
                <w:highlight w:val="none"/>
                <w:lang w:val="en-US"/>
              </w:rPr>
              <w:t>行业类型</w:t>
            </w:r>
          </w:p>
        </w:tc>
        <w:tc>
          <w:tcPr>
            <w:tcW w:w="2129" w:type="dxa"/>
            <w:vAlign w:val="center"/>
          </w:tcPr>
          <w:p>
            <w:pPr>
              <w:pStyle w:val="24"/>
              <w:spacing w:before="0" w:beforeLines="0" w:after="0"/>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黄河水</w:t>
            </w:r>
          </w:p>
        </w:tc>
        <w:tc>
          <w:tcPr>
            <w:tcW w:w="2131" w:type="dxa"/>
            <w:vAlign w:val="center"/>
          </w:tcPr>
          <w:p>
            <w:pPr>
              <w:pStyle w:val="24"/>
              <w:spacing w:before="0" w:beforeLines="0" w:after="0"/>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地下水</w:t>
            </w:r>
          </w:p>
        </w:tc>
        <w:tc>
          <w:tcPr>
            <w:tcW w:w="2131" w:type="dxa"/>
            <w:vAlign w:val="center"/>
          </w:tcPr>
          <w:p>
            <w:pPr>
              <w:pStyle w:val="24"/>
              <w:spacing w:before="0" w:beforeLines="0" w:after="0"/>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小计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jc w:val="center"/>
        </w:trPr>
        <w:tc>
          <w:tcPr>
            <w:tcW w:w="2128" w:type="dxa"/>
            <w:vAlign w:val="center"/>
          </w:tcPr>
          <w:p>
            <w:pPr>
              <w:pStyle w:val="24"/>
              <w:spacing w:before="0" w:beforeLines="0" w:after="0"/>
              <w:rPr>
                <w:rFonts w:hint="default" w:ascii="Times New Roman" w:hAnsi="Times New Roman" w:eastAsia="仿宋" w:cs="Times New Roman"/>
                <w:color w:val="auto"/>
                <w:sz w:val="24"/>
                <w:szCs w:val="36"/>
                <w:highlight w:val="none"/>
                <w:lang w:val="en-US"/>
              </w:rPr>
            </w:pPr>
            <w:r>
              <w:rPr>
                <w:rFonts w:hint="default" w:ascii="Times New Roman" w:hAnsi="Times New Roman" w:eastAsia="仿宋_GB2312" w:cs="Times New Roman"/>
                <w:color w:val="auto"/>
                <w:kern w:val="2"/>
                <w:sz w:val="24"/>
                <w:szCs w:val="24"/>
                <w:highlight w:val="none"/>
                <w:lang w:val="en-US"/>
              </w:rPr>
              <w:t>生活用水</w:t>
            </w:r>
          </w:p>
        </w:tc>
        <w:tc>
          <w:tcPr>
            <w:tcW w:w="2129" w:type="dxa"/>
            <w:vAlign w:val="center"/>
          </w:tcPr>
          <w:p>
            <w:pPr>
              <w:pStyle w:val="24"/>
              <w:spacing w:before="0" w:beforeLines="0" w:after="0"/>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1639</w:t>
            </w:r>
          </w:p>
        </w:tc>
        <w:tc>
          <w:tcPr>
            <w:tcW w:w="2131" w:type="dxa"/>
            <w:vAlign w:val="center"/>
          </w:tcPr>
          <w:p>
            <w:pPr>
              <w:pStyle w:val="24"/>
              <w:spacing w:before="0" w:beforeLines="0" w:after="0"/>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837</w:t>
            </w:r>
          </w:p>
        </w:tc>
        <w:tc>
          <w:tcPr>
            <w:tcW w:w="2131" w:type="dxa"/>
            <w:vAlign w:val="center"/>
          </w:tcPr>
          <w:p>
            <w:pPr>
              <w:pStyle w:val="24"/>
              <w:spacing w:before="0" w:beforeLines="0" w:after="0"/>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2476</w:t>
            </w:r>
          </w:p>
        </w:tc>
      </w:tr>
    </w:tbl>
    <w:p>
      <w:pPr>
        <w:pStyle w:val="8"/>
        <w:spacing w:line="56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6.6.1.2</w:t>
      </w:r>
      <w:r>
        <w:rPr>
          <w:rFonts w:hint="default" w:ascii="Times New Roman" w:hAnsi="Times New Roman" w:eastAsia="仿宋_GB2312" w:cs="Times New Roman"/>
          <w:color w:val="auto"/>
          <w:szCs w:val="32"/>
          <w:highlight w:val="none"/>
        </w:rPr>
        <w:t>牲畜用水水资源配置</w:t>
      </w:r>
    </w:p>
    <w:p>
      <w:pPr>
        <w:rPr>
          <w:rFonts w:hint="default" w:ascii="Times New Roman" w:hAnsi="Times New Roman" w:cs="Times New Roman"/>
          <w:color w:val="auto"/>
          <w:kern w:val="2"/>
          <w:sz w:val="32"/>
          <w:szCs w:val="32"/>
          <w:highlight w:val="none"/>
          <w:lang w:eastAsia="zh-CN"/>
        </w:rPr>
      </w:pPr>
      <w:r>
        <w:rPr>
          <w:rFonts w:hint="default" w:ascii="Times New Roman" w:hAnsi="Times New Roman" w:eastAsia="仿宋_GB2312" w:cs="Times New Roman"/>
          <w:color w:val="auto"/>
          <w:kern w:val="2"/>
          <w:sz w:val="32"/>
          <w:szCs w:val="32"/>
          <w:highlight w:val="none"/>
        </w:rPr>
        <w:t>考虑沙坡头区除河北地区城乡供水供给外，其他均采用地下水，按照本次计算成果，结合</w:t>
      </w:r>
      <w:r>
        <w:rPr>
          <w:rFonts w:hint="default" w:ascii="Times New Roman" w:hAnsi="Times New Roman" w:cs="Times New Roman"/>
          <w:color w:val="auto"/>
          <w:kern w:val="2"/>
          <w:sz w:val="32"/>
          <w:szCs w:val="32"/>
          <w:highlight w:val="none"/>
          <w:lang w:val="en-US" w:eastAsia="zh-CN"/>
        </w:rPr>
        <w:t>已批复</w:t>
      </w:r>
      <w:r>
        <w:rPr>
          <w:rFonts w:hint="default" w:ascii="Times New Roman" w:hAnsi="Times New Roman" w:eastAsia="仿宋_GB2312" w:cs="Times New Roman"/>
          <w:color w:val="auto"/>
          <w:kern w:val="2"/>
          <w:sz w:val="32"/>
          <w:szCs w:val="32"/>
          <w:highlight w:val="none"/>
        </w:rPr>
        <w:t>《中卫市河北地区城乡供水工程水资源论证报告书》</w:t>
      </w:r>
      <w:r>
        <w:rPr>
          <w:rFonts w:hint="default" w:ascii="Times New Roman" w:hAnsi="Times New Roman" w:cs="Times New Roman"/>
          <w:color w:val="auto"/>
          <w:kern w:val="2"/>
          <w:sz w:val="32"/>
          <w:szCs w:val="32"/>
          <w:highlight w:val="none"/>
          <w:lang w:val="en-US" w:eastAsia="zh-CN"/>
        </w:rPr>
        <w:t>成果</w:t>
      </w:r>
      <w:r>
        <w:rPr>
          <w:rFonts w:hint="default" w:ascii="Times New Roman" w:hAnsi="Times New Roman" w:eastAsia="仿宋_GB2312" w:cs="Times New Roman"/>
          <w:color w:val="auto"/>
          <w:kern w:val="2"/>
          <w:sz w:val="32"/>
          <w:szCs w:val="32"/>
          <w:highlight w:val="none"/>
        </w:rPr>
        <w:t>，河北地区牲畜需水量为475万m³，其他需水量94</w:t>
      </w:r>
      <w:r>
        <w:rPr>
          <w:rFonts w:hint="default" w:ascii="Times New Roman" w:hAnsi="Times New Roman" w:eastAsia="仿宋_GB2312" w:cs="Times New Roman"/>
          <w:color w:val="auto"/>
          <w:kern w:val="2"/>
          <w:sz w:val="32"/>
          <w:szCs w:val="32"/>
          <w:highlight w:val="none"/>
          <w:lang w:val="en-US" w:eastAsia="zh-CN"/>
        </w:rPr>
        <w:t>9</w:t>
      </w:r>
      <w:r>
        <w:rPr>
          <w:rFonts w:hint="default" w:ascii="Times New Roman" w:hAnsi="Times New Roman" w:eastAsia="仿宋_GB2312" w:cs="Times New Roman"/>
          <w:color w:val="auto"/>
          <w:kern w:val="2"/>
          <w:sz w:val="32"/>
          <w:szCs w:val="32"/>
          <w:highlight w:val="none"/>
        </w:rPr>
        <w:t>万m³，遵循已有成果</w:t>
      </w:r>
      <w:r>
        <w:rPr>
          <w:rFonts w:hint="default" w:ascii="Times New Roman" w:hAnsi="Times New Roman" w:cs="Times New Roman"/>
          <w:color w:val="auto"/>
          <w:kern w:val="2"/>
          <w:sz w:val="32"/>
          <w:szCs w:val="32"/>
          <w:highlight w:val="none"/>
          <w:lang w:eastAsia="zh-CN"/>
        </w:rPr>
        <w:t>。</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eastAsia="zh-CN"/>
        </w:rPr>
        <w:t>规划</w:t>
      </w:r>
      <w:r>
        <w:rPr>
          <w:rFonts w:hint="default" w:ascii="Times New Roman" w:hAnsi="Times New Roman" w:cs="Times New Roman"/>
          <w:color w:val="auto"/>
          <w:kern w:val="2"/>
          <w:sz w:val="32"/>
          <w:szCs w:val="32"/>
          <w:highlight w:val="none"/>
          <w:lang w:val="en-US" w:eastAsia="zh-CN"/>
        </w:rPr>
        <w:t>2025年沙坡头区</w:t>
      </w:r>
      <w:r>
        <w:rPr>
          <w:rFonts w:hint="default" w:ascii="Times New Roman" w:hAnsi="Times New Roman" w:eastAsia="仿宋_GB2312" w:cs="Times New Roman"/>
          <w:color w:val="auto"/>
          <w:kern w:val="2"/>
          <w:sz w:val="32"/>
          <w:szCs w:val="32"/>
          <w:highlight w:val="none"/>
        </w:rPr>
        <w:t>牲畜</w:t>
      </w:r>
      <w:r>
        <w:rPr>
          <w:rFonts w:hint="default" w:ascii="Times New Roman" w:hAnsi="Times New Roman" w:cs="Times New Roman"/>
          <w:color w:val="auto"/>
          <w:kern w:val="2"/>
          <w:sz w:val="32"/>
          <w:szCs w:val="32"/>
          <w:highlight w:val="none"/>
          <w:lang w:eastAsia="zh-CN"/>
        </w:rPr>
        <w:t>用</w:t>
      </w:r>
      <w:r>
        <w:rPr>
          <w:rFonts w:hint="default" w:ascii="Times New Roman" w:hAnsi="Times New Roman" w:eastAsia="仿宋_GB2312" w:cs="Times New Roman"/>
          <w:color w:val="auto"/>
          <w:kern w:val="2"/>
          <w:sz w:val="32"/>
          <w:szCs w:val="32"/>
          <w:highlight w:val="none"/>
        </w:rPr>
        <w:t>水资源配置</w:t>
      </w:r>
      <w:r>
        <w:rPr>
          <w:rFonts w:hint="default" w:ascii="Times New Roman" w:hAnsi="Times New Roman" w:cs="Times New Roman"/>
          <w:color w:val="auto"/>
          <w:kern w:val="2"/>
          <w:sz w:val="32"/>
          <w:szCs w:val="32"/>
          <w:highlight w:val="none"/>
          <w:lang w:eastAsia="zh-CN"/>
        </w:rPr>
        <w:t>，详</w:t>
      </w:r>
      <w:r>
        <w:rPr>
          <w:rFonts w:hint="default" w:ascii="Times New Roman" w:hAnsi="Times New Roman" w:eastAsia="仿宋_GB2312" w:cs="Times New Roman"/>
          <w:color w:val="auto"/>
          <w:kern w:val="2"/>
          <w:sz w:val="32"/>
          <w:szCs w:val="32"/>
          <w:highlight w:val="none"/>
        </w:rPr>
        <w:t>见表6.6-2所示。</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表6.6-2</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牲畜用水水资源配置</w:t>
      </w:r>
    </w:p>
    <w:p>
      <w:pPr>
        <w:pStyle w:val="22"/>
        <w:ind w:firstLine="7560" w:firstLineChars="3600"/>
        <w:jc w:val="left"/>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单位：万m³</w:t>
      </w:r>
    </w:p>
    <w:tbl>
      <w:tblPr>
        <w:tblStyle w:val="17"/>
        <w:tblW w:w="851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2129"/>
        <w:gridCol w:w="2131"/>
        <w:gridCol w:w="2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2128"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行业类型</w:t>
            </w:r>
          </w:p>
        </w:tc>
        <w:tc>
          <w:tcPr>
            <w:tcW w:w="2129"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黄河水</w:t>
            </w:r>
          </w:p>
        </w:tc>
        <w:tc>
          <w:tcPr>
            <w:tcW w:w="2131"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地下水</w:t>
            </w:r>
          </w:p>
        </w:tc>
        <w:tc>
          <w:tcPr>
            <w:tcW w:w="2131"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小计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212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牲畜用水</w:t>
            </w:r>
          </w:p>
        </w:tc>
        <w:tc>
          <w:tcPr>
            <w:tcW w:w="212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949</w:t>
            </w:r>
          </w:p>
        </w:tc>
        <w:tc>
          <w:tcPr>
            <w:tcW w:w="2131"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475</w:t>
            </w:r>
          </w:p>
        </w:tc>
        <w:tc>
          <w:tcPr>
            <w:tcW w:w="2131"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1424</w:t>
            </w:r>
          </w:p>
        </w:tc>
      </w:tr>
    </w:tbl>
    <w:p>
      <w:pPr>
        <w:pStyle w:val="8"/>
        <w:keepNext/>
        <w:keepLines/>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cs="Times New Roman"/>
          <w:color w:val="auto"/>
          <w:highlight w:val="none"/>
        </w:rPr>
      </w:pPr>
      <w:r>
        <w:rPr>
          <w:rFonts w:hint="default" w:ascii="Times New Roman" w:hAnsi="Times New Roman" w:eastAsia="仿宋_GB2312" w:cs="Times New Roman"/>
          <w:color w:val="auto"/>
          <w:szCs w:val="32"/>
          <w:highlight w:val="none"/>
        </w:rPr>
        <w:t>6.6.1.3</w:t>
      </w:r>
      <w:r>
        <w:rPr>
          <w:rFonts w:hint="default" w:ascii="Times New Roman" w:hAnsi="Times New Roman" w:eastAsia="仿宋_GB2312" w:cs="Times New Roman"/>
          <w:color w:val="auto"/>
          <w:szCs w:val="32"/>
          <w:highlight w:val="none"/>
          <w:lang w:val="en-US" w:eastAsia="zh-CN"/>
        </w:rPr>
        <w:t>结论分析</w:t>
      </w:r>
    </w:p>
    <w:p>
      <w:pPr>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按照以上分析确定，沙坡头区生活需水量为3900万m³，其中黄河水2588万m³，地下水1312万m³。</w:t>
      </w:r>
      <w:r>
        <w:rPr>
          <w:rFonts w:hint="default" w:ascii="Times New Roman" w:hAnsi="Times New Roman" w:cs="Times New Roman"/>
          <w:color w:val="auto"/>
          <w:kern w:val="2"/>
          <w:sz w:val="32"/>
          <w:szCs w:val="32"/>
          <w:highlight w:val="none"/>
          <w:lang w:eastAsia="zh-CN"/>
        </w:rPr>
        <w:t>详</w:t>
      </w:r>
      <w:r>
        <w:rPr>
          <w:rFonts w:hint="default" w:ascii="Times New Roman" w:hAnsi="Times New Roman" w:eastAsia="仿宋_GB2312" w:cs="Times New Roman"/>
          <w:color w:val="auto"/>
          <w:kern w:val="2"/>
          <w:sz w:val="32"/>
          <w:szCs w:val="32"/>
          <w:highlight w:val="none"/>
        </w:rPr>
        <w:t>见表6.6-</w:t>
      </w:r>
      <w:r>
        <w:rPr>
          <w:rFonts w:hint="default" w:ascii="Times New Roman" w:hAnsi="Times New Roman" w:cs="Times New Roman"/>
          <w:color w:val="auto"/>
          <w:kern w:val="2"/>
          <w:sz w:val="32"/>
          <w:szCs w:val="32"/>
          <w:highlight w:val="none"/>
          <w:lang w:val="en-US" w:eastAsia="zh-CN"/>
        </w:rPr>
        <w:t>3</w:t>
      </w:r>
      <w:r>
        <w:rPr>
          <w:rFonts w:hint="default" w:ascii="Times New Roman" w:hAnsi="Times New Roman" w:eastAsia="仿宋_GB2312" w:cs="Times New Roman"/>
          <w:color w:val="auto"/>
          <w:kern w:val="2"/>
          <w:sz w:val="32"/>
          <w:szCs w:val="32"/>
          <w:highlight w:val="none"/>
        </w:rPr>
        <w:t>所示。</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表6.6-3</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沙坡头区总用水水资源配置</w:t>
      </w:r>
    </w:p>
    <w:p>
      <w:pPr>
        <w:pStyle w:val="22"/>
        <w:ind w:firstLine="7560" w:firstLineChars="3600"/>
        <w:jc w:val="left"/>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单位：万m³</w:t>
      </w:r>
    </w:p>
    <w:tbl>
      <w:tblPr>
        <w:tblStyle w:val="17"/>
        <w:tblW w:w="851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2129"/>
        <w:gridCol w:w="2130"/>
        <w:gridCol w:w="21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2128"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行业类型</w:t>
            </w:r>
          </w:p>
        </w:tc>
        <w:tc>
          <w:tcPr>
            <w:tcW w:w="2129"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黄河水</w:t>
            </w:r>
          </w:p>
        </w:tc>
        <w:tc>
          <w:tcPr>
            <w:tcW w:w="2130"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地下水</w:t>
            </w:r>
          </w:p>
        </w:tc>
        <w:tc>
          <w:tcPr>
            <w:tcW w:w="2132"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小计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212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生活用水</w:t>
            </w:r>
          </w:p>
        </w:tc>
        <w:tc>
          <w:tcPr>
            <w:tcW w:w="212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2588</w:t>
            </w:r>
          </w:p>
        </w:tc>
        <w:tc>
          <w:tcPr>
            <w:tcW w:w="2130"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1312</w:t>
            </w:r>
          </w:p>
        </w:tc>
        <w:tc>
          <w:tcPr>
            <w:tcW w:w="2132"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3900</w:t>
            </w:r>
          </w:p>
        </w:tc>
      </w:tr>
    </w:tbl>
    <w:p>
      <w:pPr>
        <w:pStyle w:val="7"/>
        <w:keepNext w:val="0"/>
        <w:keepLines w:val="0"/>
        <w:pageBreakBefore w:val="0"/>
        <w:widowControl w:val="0"/>
        <w:kinsoku/>
        <w:wordWrap/>
        <w:overflowPunct/>
        <w:topLinePunct w:val="0"/>
        <w:autoSpaceDE/>
        <w:autoSpaceDN/>
        <w:bidi w:val="0"/>
        <w:adjustRightInd w:val="0"/>
        <w:snapToGrid w:val="0"/>
        <w:spacing w:before="0" w:beforeLines="0" w:line="480" w:lineRule="exact"/>
        <w:textAlignment w:val="auto"/>
        <w:rPr>
          <w:rFonts w:hint="default" w:ascii="Times New Roman" w:hAnsi="Times New Roman" w:eastAsia="仿宋_GB2312" w:cs="Times New Roman"/>
          <w:bCs/>
          <w:color w:val="auto"/>
          <w:kern w:val="2"/>
          <w:highlight w:val="none"/>
        </w:rPr>
      </w:pPr>
      <w:bookmarkStart w:id="638" w:name="_Toc8418"/>
      <w:bookmarkStart w:id="639" w:name="_Toc9196"/>
      <w:bookmarkStart w:id="640" w:name="_Toc13458"/>
      <w:bookmarkStart w:id="641" w:name="_Toc5180"/>
      <w:bookmarkStart w:id="642" w:name="_Toc18926"/>
      <w:bookmarkStart w:id="643" w:name="_Toc9742"/>
      <w:bookmarkStart w:id="644" w:name="_Toc16279"/>
      <w:r>
        <w:rPr>
          <w:rFonts w:hint="default" w:ascii="Times New Roman" w:hAnsi="Times New Roman" w:eastAsia="仿宋_GB2312" w:cs="Times New Roman"/>
          <w:bCs/>
          <w:color w:val="auto"/>
          <w:kern w:val="2"/>
          <w:highlight w:val="none"/>
        </w:rPr>
        <w:t>6.6.2工业用水水资源配置</w:t>
      </w:r>
      <w:bookmarkEnd w:id="638"/>
      <w:bookmarkEnd w:id="639"/>
      <w:bookmarkEnd w:id="640"/>
      <w:bookmarkEnd w:id="641"/>
      <w:bookmarkEnd w:id="642"/>
      <w:bookmarkEnd w:id="643"/>
      <w:bookmarkEnd w:id="644"/>
    </w:p>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按照万元增加值用水量，确定沙坡头区工业需水量为2852万m³，至取水口径为3000万m³，小于《中卫市地下水管控指标确定报告》（宁夏水文水资源勘测预警中心，2020.10）预测2025年沙坡头区工业取水量3270万m³，但与2025年分配给工业的用水指标一致，根据中卫市工业园区工业增加值计算，中卫市工业园区需水量2162万m³，取水口径为2252万m³，与目前正在编制的工业园区规划水资源论证结论基本一致。</w:t>
      </w:r>
    </w:p>
    <w:p>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按照现状实际供水情况，按水源换分，近5年地下水用于工业500万m³，维持不变，再生水规划年可利用800万m³，工业考虑50%，其他均用于生态</w:t>
      </w:r>
      <w:r>
        <w:rPr>
          <w:rFonts w:hint="default" w:ascii="Times New Roman" w:hAnsi="Times New Roman" w:cs="Times New Roman"/>
          <w:color w:val="auto"/>
          <w:kern w:val="2"/>
          <w:sz w:val="32"/>
          <w:szCs w:val="32"/>
          <w:highlight w:val="none"/>
          <w:lang w:eastAsia="zh-CN"/>
        </w:rPr>
        <w:t>。沙坡头区</w:t>
      </w:r>
      <w:r>
        <w:rPr>
          <w:rFonts w:hint="default" w:ascii="Times New Roman" w:hAnsi="Times New Roman" w:eastAsia="仿宋_GB2312" w:cs="Times New Roman"/>
          <w:color w:val="auto"/>
          <w:kern w:val="2"/>
          <w:sz w:val="32"/>
          <w:szCs w:val="32"/>
          <w:highlight w:val="none"/>
        </w:rPr>
        <w:t>工业水资源配置，</w:t>
      </w:r>
      <w:r>
        <w:rPr>
          <w:rFonts w:hint="default" w:ascii="Times New Roman" w:hAnsi="Times New Roman" w:cs="Times New Roman"/>
          <w:color w:val="auto"/>
          <w:kern w:val="2"/>
          <w:sz w:val="32"/>
          <w:szCs w:val="32"/>
          <w:highlight w:val="none"/>
          <w:lang w:eastAsia="zh-CN"/>
        </w:rPr>
        <w:t>详</w:t>
      </w:r>
      <w:r>
        <w:rPr>
          <w:rFonts w:hint="default" w:ascii="Times New Roman" w:hAnsi="Times New Roman" w:eastAsia="仿宋_GB2312" w:cs="Times New Roman"/>
          <w:color w:val="auto"/>
          <w:kern w:val="2"/>
          <w:sz w:val="32"/>
          <w:szCs w:val="32"/>
          <w:highlight w:val="none"/>
        </w:rPr>
        <w:t>见表6.6-4所示。</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表6.6-4</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工业用水水资源配置</w:t>
      </w:r>
    </w:p>
    <w:p>
      <w:pPr>
        <w:pStyle w:val="22"/>
        <w:ind w:firstLine="420" w:firstLineChars="200"/>
        <w:jc w:val="left"/>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 xml:space="preserve"> </w:t>
      </w:r>
      <w:r>
        <w:rPr>
          <w:rFonts w:hint="default" w:ascii="Times New Roman" w:hAnsi="Times New Roman" w:eastAsia="仿宋_GB2312" w:cs="Times New Roman"/>
          <w:b w:val="0"/>
          <w:bCs w:val="0"/>
          <w:color w:val="auto"/>
          <w:sz w:val="21"/>
          <w:szCs w:val="21"/>
          <w:highlight w:val="none"/>
          <w:lang w:val="en-US" w:eastAsia="zh-CN"/>
        </w:rPr>
        <w:t xml:space="preserve">                                                                   </w:t>
      </w:r>
      <w:r>
        <w:rPr>
          <w:rFonts w:hint="default" w:ascii="Times New Roman" w:hAnsi="Times New Roman" w:eastAsia="仿宋_GB2312" w:cs="Times New Roman"/>
          <w:b w:val="0"/>
          <w:bCs w:val="0"/>
          <w:color w:val="auto"/>
          <w:sz w:val="21"/>
          <w:szCs w:val="21"/>
          <w:highlight w:val="none"/>
        </w:rPr>
        <w:t>单位：万m³</w:t>
      </w:r>
    </w:p>
    <w:tbl>
      <w:tblPr>
        <w:tblStyle w:val="17"/>
        <w:tblW w:w="851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703"/>
        <w:gridCol w:w="1705"/>
        <w:gridCol w:w="1705"/>
        <w:gridCol w:w="17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jc w:val="center"/>
        </w:trPr>
        <w:tc>
          <w:tcPr>
            <w:tcW w:w="1699"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行业类型</w:t>
            </w:r>
          </w:p>
        </w:tc>
        <w:tc>
          <w:tcPr>
            <w:tcW w:w="1703"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黄河水</w:t>
            </w:r>
          </w:p>
        </w:tc>
        <w:tc>
          <w:tcPr>
            <w:tcW w:w="1705"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地下水</w:t>
            </w:r>
          </w:p>
        </w:tc>
        <w:tc>
          <w:tcPr>
            <w:tcW w:w="1705"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其他</w:t>
            </w:r>
          </w:p>
        </w:tc>
        <w:tc>
          <w:tcPr>
            <w:tcW w:w="1707"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小计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169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工业用水</w:t>
            </w:r>
          </w:p>
        </w:tc>
        <w:tc>
          <w:tcPr>
            <w:tcW w:w="1703"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2100</w:t>
            </w:r>
          </w:p>
        </w:tc>
        <w:tc>
          <w:tcPr>
            <w:tcW w:w="1705"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500</w:t>
            </w:r>
          </w:p>
        </w:tc>
        <w:tc>
          <w:tcPr>
            <w:tcW w:w="1705"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400</w:t>
            </w:r>
          </w:p>
        </w:tc>
        <w:tc>
          <w:tcPr>
            <w:tcW w:w="1707"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3000</w:t>
            </w:r>
          </w:p>
        </w:tc>
      </w:tr>
    </w:tbl>
    <w:p>
      <w:pPr>
        <w:pStyle w:val="7"/>
        <w:spacing w:before="0" w:beforeLines="0" w:line="560" w:lineRule="exact"/>
        <w:rPr>
          <w:rFonts w:hint="default" w:ascii="Times New Roman" w:hAnsi="Times New Roman" w:eastAsia="仿宋_GB2312" w:cs="Times New Roman"/>
          <w:bCs/>
          <w:color w:val="auto"/>
          <w:kern w:val="2"/>
          <w:highlight w:val="none"/>
        </w:rPr>
      </w:pPr>
      <w:bookmarkStart w:id="645" w:name="_Toc12936"/>
      <w:bookmarkStart w:id="646" w:name="_Toc2911"/>
      <w:bookmarkStart w:id="647" w:name="_Toc3063"/>
      <w:bookmarkStart w:id="648" w:name="_Toc15790"/>
      <w:bookmarkStart w:id="649" w:name="_Toc28256"/>
      <w:bookmarkStart w:id="650" w:name="_Toc10663"/>
      <w:bookmarkStart w:id="651" w:name="_Toc12588"/>
      <w:r>
        <w:rPr>
          <w:rFonts w:hint="default" w:ascii="Times New Roman" w:hAnsi="Times New Roman" w:eastAsia="仿宋_GB2312" w:cs="Times New Roman"/>
          <w:bCs/>
          <w:color w:val="auto"/>
          <w:kern w:val="2"/>
          <w:highlight w:val="none"/>
        </w:rPr>
        <w:t>6.6.3农业用水水资源配置</w:t>
      </w:r>
      <w:bookmarkEnd w:id="645"/>
      <w:bookmarkEnd w:id="646"/>
      <w:bookmarkEnd w:id="647"/>
      <w:bookmarkEnd w:id="648"/>
      <w:bookmarkEnd w:id="649"/>
      <w:bookmarkEnd w:id="650"/>
      <w:bookmarkEnd w:id="651"/>
    </w:p>
    <w:p>
      <w:pPr>
        <w:spacing w:line="560" w:lineRule="exact"/>
        <w:ind w:firstLine="640" w:firstLineChars="2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考虑农业节水情况下，</w:t>
      </w:r>
      <w:r>
        <w:rPr>
          <w:rFonts w:hint="default" w:ascii="Times New Roman" w:hAnsi="Times New Roman" w:cs="Times New Roman"/>
          <w:color w:val="auto"/>
          <w:sz w:val="32"/>
          <w:szCs w:val="32"/>
          <w:highlight w:val="none"/>
          <w:lang w:eastAsia="zh-CN"/>
        </w:rPr>
        <w:t>沙坡头区</w:t>
      </w:r>
      <w:r>
        <w:rPr>
          <w:rFonts w:hint="default" w:ascii="Times New Roman" w:hAnsi="Times New Roman" w:eastAsia="仿宋_GB2312" w:cs="Times New Roman"/>
          <w:color w:val="auto"/>
          <w:sz w:val="32"/>
          <w:szCs w:val="32"/>
          <w:highlight w:val="none"/>
        </w:rPr>
        <w:t>农业</w:t>
      </w:r>
      <w:r>
        <w:rPr>
          <w:rFonts w:hint="default" w:ascii="Times New Roman" w:hAnsi="Times New Roman" w:cs="Times New Roman"/>
          <w:color w:val="auto"/>
          <w:sz w:val="32"/>
          <w:szCs w:val="32"/>
          <w:highlight w:val="none"/>
          <w:lang w:eastAsia="zh-CN"/>
        </w:rPr>
        <w:t>用水配置表，详见表</w:t>
      </w:r>
      <w:r>
        <w:rPr>
          <w:rFonts w:hint="default" w:ascii="Times New Roman" w:hAnsi="Times New Roman" w:cs="Times New Roman"/>
          <w:color w:val="auto"/>
          <w:sz w:val="32"/>
          <w:szCs w:val="32"/>
          <w:highlight w:val="none"/>
          <w:lang w:val="en-US" w:eastAsia="zh-CN"/>
        </w:rPr>
        <w:t>6.6-5~-6所示</w:t>
      </w:r>
      <w:r>
        <w:rPr>
          <w:rFonts w:hint="default" w:ascii="Times New Roman" w:hAnsi="Times New Roman" w:eastAsia="仿宋_GB2312" w:cs="Times New Roman"/>
          <w:color w:val="auto"/>
          <w:sz w:val="32"/>
          <w:szCs w:val="32"/>
          <w:highlight w:val="none"/>
        </w:rPr>
        <w:t>。</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表6.6-5</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农业用水配置表</w:t>
      </w:r>
    </w:p>
    <w:p>
      <w:pPr>
        <w:pStyle w:val="22"/>
        <w:jc w:val="left"/>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 xml:space="preserve"> </w:t>
      </w:r>
      <w:r>
        <w:rPr>
          <w:rFonts w:hint="default" w:ascii="Times New Roman" w:hAnsi="Times New Roman" w:eastAsia="仿宋_GB2312" w:cs="Times New Roman"/>
          <w:b w:val="0"/>
          <w:bCs w:val="0"/>
          <w:color w:val="auto"/>
          <w:sz w:val="21"/>
          <w:szCs w:val="21"/>
          <w:highlight w:val="none"/>
          <w:lang w:val="en-US" w:eastAsia="zh-CN"/>
        </w:rPr>
        <w:t xml:space="preserve">                                                                        </w:t>
      </w:r>
      <w:r>
        <w:rPr>
          <w:rFonts w:hint="default" w:ascii="Times New Roman" w:hAnsi="Times New Roman" w:eastAsia="仿宋_GB2312" w:cs="Times New Roman"/>
          <w:b w:val="0"/>
          <w:bCs w:val="0"/>
          <w:color w:val="auto"/>
          <w:sz w:val="21"/>
          <w:szCs w:val="21"/>
          <w:highlight w:val="none"/>
        </w:rPr>
        <w:t>单位：万m³</w:t>
      </w:r>
    </w:p>
    <w:tbl>
      <w:tblPr>
        <w:tblStyle w:val="17"/>
        <w:tblW w:w="8333"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3231"/>
        <w:gridCol w:w="1242"/>
        <w:gridCol w:w="1539"/>
        <w:gridCol w:w="2321"/>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80" w:hRule="atLeast"/>
          <w:tblHeader/>
          <w:jc w:val="center"/>
        </w:trPr>
        <w:tc>
          <w:tcPr>
            <w:tcW w:w="3231" w:type="dxa"/>
            <w:tcBorders>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渠道名称</w:t>
            </w:r>
          </w:p>
        </w:tc>
        <w:tc>
          <w:tcPr>
            <w:tcW w:w="1242"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净水量</w:t>
            </w:r>
          </w:p>
        </w:tc>
        <w:tc>
          <w:tcPr>
            <w:tcW w:w="153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取水量</w:t>
            </w:r>
          </w:p>
        </w:tc>
        <w:tc>
          <w:tcPr>
            <w:tcW w:w="2321" w:type="dxa"/>
            <w:tcBorders>
              <w:left w:val="single" w:color="000000" w:sz="4" w:space="0"/>
              <w:bottom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配置水量</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50" w:hRule="atLeast"/>
          <w:jc w:val="center"/>
        </w:trPr>
        <w:tc>
          <w:tcPr>
            <w:tcW w:w="323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美利渠</w:t>
            </w:r>
          </w:p>
        </w:tc>
        <w:tc>
          <w:tcPr>
            <w:tcW w:w="12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4511</w:t>
            </w:r>
          </w:p>
        </w:tc>
        <w:tc>
          <w:tcPr>
            <w:tcW w:w="1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10937</w:t>
            </w:r>
          </w:p>
        </w:tc>
        <w:tc>
          <w:tcPr>
            <w:tcW w:w="232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10937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50" w:hRule="atLeast"/>
          <w:jc w:val="center"/>
        </w:trPr>
        <w:tc>
          <w:tcPr>
            <w:tcW w:w="323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after="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北支干渠</w:t>
            </w:r>
          </w:p>
        </w:tc>
        <w:tc>
          <w:tcPr>
            <w:tcW w:w="12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3472</w:t>
            </w:r>
          </w:p>
        </w:tc>
        <w:tc>
          <w:tcPr>
            <w:tcW w:w="1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8446</w:t>
            </w:r>
          </w:p>
        </w:tc>
        <w:tc>
          <w:tcPr>
            <w:tcW w:w="232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8446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68" w:hRule="atLeast"/>
          <w:jc w:val="center"/>
        </w:trPr>
        <w:tc>
          <w:tcPr>
            <w:tcW w:w="323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七星渠</w:t>
            </w:r>
          </w:p>
        </w:tc>
        <w:tc>
          <w:tcPr>
            <w:tcW w:w="12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1147</w:t>
            </w:r>
          </w:p>
        </w:tc>
        <w:tc>
          <w:tcPr>
            <w:tcW w:w="1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2534</w:t>
            </w:r>
          </w:p>
        </w:tc>
        <w:tc>
          <w:tcPr>
            <w:tcW w:w="232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2534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68" w:hRule="atLeast"/>
          <w:jc w:val="center"/>
        </w:trPr>
        <w:tc>
          <w:tcPr>
            <w:tcW w:w="323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羚羊角渠</w:t>
            </w:r>
          </w:p>
        </w:tc>
        <w:tc>
          <w:tcPr>
            <w:tcW w:w="12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267</w:t>
            </w:r>
          </w:p>
        </w:tc>
        <w:tc>
          <w:tcPr>
            <w:tcW w:w="1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407</w:t>
            </w:r>
          </w:p>
        </w:tc>
        <w:tc>
          <w:tcPr>
            <w:tcW w:w="232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407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68" w:hRule="atLeast"/>
          <w:jc w:val="center"/>
        </w:trPr>
        <w:tc>
          <w:tcPr>
            <w:tcW w:w="323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羚羊寿渠</w:t>
            </w:r>
          </w:p>
        </w:tc>
        <w:tc>
          <w:tcPr>
            <w:tcW w:w="12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914</w:t>
            </w:r>
          </w:p>
        </w:tc>
        <w:tc>
          <w:tcPr>
            <w:tcW w:w="1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1396</w:t>
            </w:r>
          </w:p>
        </w:tc>
        <w:tc>
          <w:tcPr>
            <w:tcW w:w="232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1396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68" w:hRule="atLeast"/>
          <w:jc w:val="center"/>
        </w:trPr>
        <w:tc>
          <w:tcPr>
            <w:tcW w:w="323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南山台子扬水</w:t>
            </w:r>
          </w:p>
        </w:tc>
        <w:tc>
          <w:tcPr>
            <w:tcW w:w="12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4381</w:t>
            </w:r>
          </w:p>
        </w:tc>
        <w:tc>
          <w:tcPr>
            <w:tcW w:w="1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6688</w:t>
            </w:r>
          </w:p>
        </w:tc>
        <w:tc>
          <w:tcPr>
            <w:tcW w:w="232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6688</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68" w:hRule="atLeast"/>
          <w:jc w:val="center"/>
        </w:trPr>
        <w:tc>
          <w:tcPr>
            <w:tcW w:w="323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固海扬水</w:t>
            </w:r>
          </w:p>
        </w:tc>
        <w:tc>
          <w:tcPr>
            <w:tcW w:w="12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723</w:t>
            </w:r>
          </w:p>
        </w:tc>
        <w:tc>
          <w:tcPr>
            <w:tcW w:w="1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1252</w:t>
            </w:r>
          </w:p>
        </w:tc>
        <w:tc>
          <w:tcPr>
            <w:tcW w:w="232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1252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68" w:hRule="atLeast"/>
          <w:jc w:val="center"/>
        </w:trPr>
        <w:tc>
          <w:tcPr>
            <w:tcW w:w="323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eastAsia="zh-CN"/>
              </w:rPr>
            </w:pPr>
            <w:r>
              <w:rPr>
                <w:rFonts w:hint="default" w:ascii="Times New Roman" w:hAnsi="Times New Roman" w:eastAsia="仿宋_GB2312" w:cs="Times New Roman"/>
                <w:color w:val="auto"/>
                <w:kern w:val="2"/>
                <w:szCs w:val="21"/>
                <w:highlight w:val="none"/>
                <w:lang w:val="en-US" w:eastAsia="zh-CN"/>
              </w:rPr>
              <w:t>马滩渠等引黄</w:t>
            </w:r>
          </w:p>
        </w:tc>
        <w:tc>
          <w:tcPr>
            <w:tcW w:w="12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381</w:t>
            </w:r>
          </w:p>
        </w:tc>
        <w:tc>
          <w:tcPr>
            <w:tcW w:w="1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581</w:t>
            </w:r>
          </w:p>
        </w:tc>
        <w:tc>
          <w:tcPr>
            <w:tcW w:w="232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581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68" w:hRule="atLeast"/>
          <w:jc w:val="center"/>
        </w:trPr>
        <w:tc>
          <w:tcPr>
            <w:tcW w:w="323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碱碱湖扬水干渠</w:t>
            </w:r>
          </w:p>
        </w:tc>
        <w:tc>
          <w:tcPr>
            <w:tcW w:w="12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234</w:t>
            </w:r>
          </w:p>
        </w:tc>
        <w:tc>
          <w:tcPr>
            <w:tcW w:w="1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283</w:t>
            </w:r>
          </w:p>
        </w:tc>
        <w:tc>
          <w:tcPr>
            <w:tcW w:w="232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283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68" w:hRule="atLeast"/>
          <w:jc w:val="center"/>
        </w:trPr>
        <w:tc>
          <w:tcPr>
            <w:tcW w:w="323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峡门水库供水</w:t>
            </w:r>
          </w:p>
        </w:tc>
        <w:tc>
          <w:tcPr>
            <w:tcW w:w="12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3183</w:t>
            </w:r>
          </w:p>
        </w:tc>
        <w:tc>
          <w:tcPr>
            <w:tcW w:w="1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4091</w:t>
            </w:r>
          </w:p>
        </w:tc>
        <w:tc>
          <w:tcPr>
            <w:tcW w:w="232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4091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68" w:hRule="atLeast"/>
          <w:jc w:val="center"/>
        </w:trPr>
        <w:tc>
          <w:tcPr>
            <w:tcW w:w="323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兴仁香山补灌工程</w:t>
            </w:r>
          </w:p>
        </w:tc>
        <w:tc>
          <w:tcPr>
            <w:tcW w:w="12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280</w:t>
            </w:r>
          </w:p>
        </w:tc>
        <w:tc>
          <w:tcPr>
            <w:tcW w:w="1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359</w:t>
            </w:r>
          </w:p>
        </w:tc>
        <w:tc>
          <w:tcPr>
            <w:tcW w:w="232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359</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268" w:hRule="atLeast"/>
          <w:jc w:val="center"/>
        </w:trPr>
        <w:tc>
          <w:tcPr>
            <w:tcW w:w="3231"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其他</w:t>
            </w:r>
          </w:p>
        </w:tc>
        <w:tc>
          <w:tcPr>
            <w:tcW w:w="12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643</w:t>
            </w:r>
          </w:p>
        </w:tc>
        <w:tc>
          <w:tcPr>
            <w:tcW w:w="15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826</w:t>
            </w:r>
          </w:p>
        </w:tc>
        <w:tc>
          <w:tcPr>
            <w:tcW w:w="2321"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826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57" w:hRule="atLeast"/>
          <w:jc w:val="center"/>
        </w:trPr>
        <w:tc>
          <w:tcPr>
            <w:tcW w:w="3231" w:type="dxa"/>
            <w:tcBorders>
              <w:top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小计</w:t>
            </w:r>
          </w:p>
        </w:tc>
        <w:tc>
          <w:tcPr>
            <w:tcW w:w="1242"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20137</w:t>
            </w:r>
          </w:p>
        </w:tc>
        <w:tc>
          <w:tcPr>
            <w:tcW w:w="153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37800</w:t>
            </w:r>
          </w:p>
        </w:tc>
        <w:tc>
          <w:tcPr>
            <w:tcW w:w="2321" w:type="dxa"/>
            <w:tcBorders>
              <w:top w:val="single" w:color="000000" w:sz="4" w:space="0"/>
              <w:left w:val="single" w:color="000000" w:sz="4" w:space="0"/>
            </w:tcBorders>
            <w:tcMar>
              <w:top w:w="15" w:type="dxa"/>
              <w:left w:w="15" w:type="dxa"/>
              <w:right w:w="15" w:type="dxa"/>
            </w:tcMar>
            <w:vAlign w:val="center"/>
          </w:tcPr>
          <w:p>
            <w:pPr>
              <w:pStyle w:val="24"/>
              <w:spacing w:before="0" w:beforeLines="0"/>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bidi="ar"/>
              </w:rPr>
              <w:t>37800</w:t>
            </w:r>
          </w:p>
        </w:tc>
      </w:tr>
    </w:tbl>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表6.6-6</w:t>
      </w:r>
      <w:r>
        <w:rPr>
          <w:rFonts w:hint="default" w:ascii="Times New Roman" w:hAnsi="Times New Roman" w:eastAsia="方正小标宋_GBK" w:cs="Times New Roman"/>
          <w:b w:val="0"/>
          <w:bCs w:val="0"/>
          <w:color w:val="auto"/>
          <w:sz w:val="32"/>
          <w:szCs w:val="32"/>
          <w:highlight w:val="none"/>
          <w:lang w:val="en-US" w:eastAsia="zh-CN"/>
        </w:rPr>
        <w:t xml:space="preserve">  </w:t>
      </w:r>
      <w:r>
        <w:rPr>
          <w:rFonts w:hint="default" w:ascii="Times New Roman" w:hAnsi="Times New Roman" w:eastAsia="方正小标宋_GBK" w:cs="Times New Roman"/>
          <w:b w:val="0"/>
          <w:bCs w:val="0"/>
          <w:color w:val="auto"/>
          <w:sz w:val="32"/>
          <w:szCs w:val="32"/>
          <w:highlight w:val="none"/>
        </w:rPr>
        <w:t>农业用水水资源配置</w:t>
      </w:r>
    </w:p>
    <w:p>
      <w:pPr>
        <w:pStyle w:val="22"/>
        <w:ind w:firstLine="7770" w:firstLineChars="3700"/>
        <w:jc w:val="left"/>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单位：万m³</w:t>
      </w:r>
    </w:p>
    <w:tbl>
      <w:tblPr>
        <w:tblStyle w:val="17"/>
        <w:tblW w:w="851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2182"/>
        <w:gridCol w:w="2185"/>
        <w:gridCol w:w="2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2071"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行业类型</w:t>
            </w:r>
          </w:p>
        </w:tc>
        <w:tc>
          <w:tcPr>
            <w:tcW w:w="2182"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黄河水</w:t>
            </w:r>
          </w:p>
        </w:tc>
        <w:tc>
          <w:tcPr>
            <w:tcW w:w="2185"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地下水</w:t>
            </w:r>
          </w:p>
        </w:tc>
        <w:tc>
          <w:tcPr>
            <w:tcW w:w="2081"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小计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2071"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农业取水</w:t>
            </w:r>
          </w:p>
        </w:tc>
        <w:tc>
          <w:tcPr>
            <w:tcW w:w="2182"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36000</w:t>
            </w:r>
          </w:p>
        </w:tc>
        <w:tc>
          <w:tcPr>
            <w:tcW w:w="2185"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1800</w:t>
            </w:r>
          </w:p>
        </w:tc>
        <w:tc>
          <w:tcPr>
            <w:tcW w:w="2081"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37800</w:t>
            </w:r>
          </w:p>
        </w:tc>
      </w:tr>
    </w:tbl>
    <w:p>
      <w:pPr>
        <w:ind w:firstLine="640"/>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本次农业用水配置，主要参考已有相关文件及重点产业规划后，种植结构调整，高效节水灌溉面积的实施进行需水计算，结合灌溉水有效利用系数确定支斗口用水量，一般配置水量为用水量，但考虑沙坡头区现状实际高效节水落实及农民接受情况，本次配置按照敏感因素的制约，考虑15%，最终配置各渠道用水量，农业黄河水取水量为36000万m³，地下水1800万m³。</w:t>
      </w:r>
    </w:p>
    <w:p>
      <w:pPr>
        <w:pStyle w:val="7"/>
        <w:spacing w:before="0" w:beforeLines="0" w:line="560" w:lineRule="exact"/>
        <w:rPr>
          <w:rFonts w:hint="default" w:ascii="Times New Roman" w:hAnsi="Times New Roman" w:eastAsia="仿宋_GB2312" w:cs="Times New Roman"/>
          <w:bCs/>
          <w:color w:val="auto"/>
          <w:kern w:val="2"/>
          <w:highlight w:val="none"/>
        </w:rPr>
      </w:pPr>
      <w:bookmarkStart w:id="652" w:name="_Toc13042"/>
      <w:bookmarkStart w:id="653" w:name="_Toc23718"/>
      <w:bookmarkStart w:id="654" w:name="_Toc23675"/>
      <w:bookmarkStart w:id="655" w:name="_Toc28527"/>
      <w:bookmarkStart w:id="656" w:name="_Toc18094"/>
      <w:bookmarkStart w:id="657" w:name="_Toc385"/>
      <w:bookmarkStart w:id="658" w:name="_Toc25139"/>
      <w:r>
        <w:rPr>
          <w:rFonts w:hint="default" w:ascii="Times New Roman" w:hAnsi="Times New Roman" w:eastAsia="仿宋_GB2312" w:cs="Times New Roman"/>
          <w:bCs/>
          <w:color w:val="auto"/>
          <w:kern w:val="2"/>
          <w:highlight w:val="none"/>
        </w:rPr>
        <w:t>6.6.4生态用水水资源配置</w:t>
      </w:r>
      <w:bookmarkEnd w:id="652"/>
      <w:bookmarkEnd w:id="653"/>
      <w:bookmarkEnd w:id="654"/>
      <w:bookmarkEnd w:id="655"/>
      <w:bookmarkEnd w:id="656"/>
      <w:bookmarkEnd w:id="657"/>
      <w:bookmarkEnd w:id="658"/>
    </w:p>
    <w:p>
      <w:pPr>
        <w:ind w:firstLine="640"/>
        <w:rPr>
          <w:rFonts w:hint="default" w:ascii="Times New Roman" w:hAnsi="Times New Roman" w:eastAsia="仿宋_GB2312" w:cs="Times New Roman"/>
          <w:color w:val="auto"/>
          <w:kern w:val="2"/>
          <w:szCs w:val="30"/>
          <w:highlight w:val="none"/>
        </w:rPr>
      </w:pPr>
      <w:r>
        <w:rPr>
          <w:rFonts w:hint="default" w:ascii="Times New Roman" w:hAnsi="Times New Roman" w:eastAsia="仿宋_GB2312" w:cs="Times New Roman"/>
          <w:color w:val="auto"/>
          <w:kern w:val="2"/>
          <w:szCs w:val="30"/>
          <w:highlight w:val="none"/>
        </w:rPr>
        <w:t>生态补水含城市的绿化用水，绿化用水全部采用城市非常规水（中水）灌溉，生态用水按照中水处理规模，共计采用400万m³，为了与2025年控制指标口径一致，农业冬灌用水量划入生态用水，按照干渠水利用系数计算，</w:t>
      </w:r>
      <w:r>
        <w:rPr>
          <w:rFonts w:hint="default" w:ascii="Times New Roman" w:hAnsi="Times New Roman" w:cs="Times New Roman"/>
          <w:color w:val="auto"/>
          <w:kern w:val="2"/>
          <w:szCs w:val="30"/>
          <w:highlight w:val="none"/>
          <w:lang w:eastAsia="zh-CN"/>
        </w:rPr>
        <w:t>农业</w:t>
      </w:r>
      <w:r>
        <w:rPr>
          <w:rFonts w:hint="default" w:ascii="Times New Roman" w:hAnsi="Times New Roman" w:eastAsia="仿宋_GB2312" w:cs="Times New Roman"/>
          <w:color w:val="auto"/>
          <w:kern w:val="2"/>
          <w:szCs w:val="30"/>
          <w:highlight w:val="none"/>
        </w:rPr>
        <w:t>冬灌灌溉用水量，详见表6.6-7</w:t>
      </w:r>
      <w:r>
        <w:rPr>
          <w:rFonts w:hint="default" w:ascii="Times New Roman" w:hAnsi="Times New Roman" w:cs="Times New Roman"/>
          <w:color w:val="auto"/>
          <w:kern w:val="2"/>
          <w:szCs w:val="30"/>
          <w:highlight w:val="none"/>
          <w:lang w:eastAsia="zh-CN"/>
        </w:rPr>
        <w:t>所示</w:t>
      </w:r>
      <w:r>
        <w:rPr>
          <w:rFonts w:hint="default" w:ascii="Times New Roman" w:hAnsi="Times New Roman" w:eastAsia="仿宋_GB2312" w:cs="Times New Roman"/>
          <w:color w:val="auto"/>
          <w:kern w:val="2"/>
          <w:szCs w:val="30"/>
          <w:highlight w:val="none"/>
        </w:rPr>
        <w:t>，生态总取水量为12900万m³。本次生态用水水资源配置</w:t>
      </w:r>
      <w:r>
        <w:rPr>
          <w:rFonts w:hint="default" w:ascii="Times New Roman" w:hAnsi="Times New Roman" w:cs="Times New Roman"/>
          <w:color w:val="auto"/>
          <w:kern w:val="2"/>
          <w:szCs w:val="30"/>
          <w:highlight w:val="none"/>
          <w:lang w:eastAsia="zh-CN"/>
        </w:rPr>
        <w:t>，详</w:t>
      </w:r>
      <w:r>
        <w:rPr>
          <w:rFonts w:hint="default" w:ascii="Times New Roman" w:hAnsi="Times New Roman" w:eastAsia="仿宋_GB2312" w:cs="Times New Roman"/>
          <w:color w:val="auto"/>
          <w:kern w:val="2"/>
          <w:szCs w:val="30"/>
          <w:highlight w:val="none"/>
        </w:rPr>
        <w:t>见表6.6-8所示。</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表6.6-</w:t>
      </w:r>
      <w:r>
        <w:rPr>
          <w:rFonts w:hint="default" w:ascii="Times New Roman" w:hAnsi="Times New Roman" w:eastAsia="方正小标宋_GBK" w:cs="Times New Roman"/>
          <w:b w:val="0"/>
          <w:bCs w:val="0"/>
          <w:color w:val="auto"/>
          <w:sz w:val="32"/>
          <w:szCs w:val="32"/>
          <w:highlight w:val="none"/>
          <w:lang w:val="en-US" w:eastAsia="zh-CN"/>
        </w:rPr>
        <w:t xml:space="preserve">7  </w:t>
      </w:r>
      <w:r>
        <w:rPr>
          <w:rFonts w:hint="default" w:ascii="Times New Roman" w:hAnsi="Times New Roman" w:eastAsia="方正小标宋_GBK" w:cs="Times New Roman"/>
          <w:b w:val="0"/>
          <w:bCs w:val="0"/>
          <w:color w:val="auto"/>
          <w:sz w:val="32"/>
          <w:szCs w:val="32"/>
          <w:highlight w:val="none"/>
        </w:rPr>
        <w:t>农业冬灌用水水资源配置</w:t>
      </w:r>
    </w:p>
    <w:p>
      <w:pPr>
        <w:pStyle w:val="22"/>
        <w:jc w:val="left"/>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Cs/>
          <w:color w:val="auto"/>
          <w:szCs w:val="24"/>
          <w:highlight w:val="none"/>
        </w:rPr>
        <w:t xml:space="preserve"> </w:t>
      </w:r>
      <w:r>
        <w:rPr>
          <w:rFonts w:hint="default" w:ascii="Times New Roman" w:hAnsi="Times New Roman" w:eastAsia="仿宋_GB2312" w:cs="Times New Roman"/>
          <w:bCs/>
          <w:color w:val="auto"/>
          <w:szCs w:val="24"/>
          <w:highlight w:val="none"/>
          <w:lang w:val="en-US" w:eastAsia="zh-CN"/>
        </w:rPr>
        <w:t xml:space="preserve">                                                             </w:t>
      </w:r>
      <w:r>
        <w:rPr>
          <w:rFonts w:hint="default" w:ascii="Times New Roman" w:hAnsi="Times New Roman" w:eastAsia="仿宋_GB2312" w:cs="Times New Roman"/>
          <w:b w:val="0"/>
          <w:bCs w:val="0"/>
          <w:color w:val="auto"/>
          <w:sz w:val="21"/>
          <w:szCs w:val="21"/>
          <w:highlight w:val="none"/>
        </w:rPr>
        <w:t>单位：万m³</w:t>
      </w:r>
    </w:p>
    <w:tbl>
      <w:tblPr>
        <w:tblStyle w:val="17"/>
        <w:tblW w:w="8333"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3795"/>
        <w:gridCol w:w="1809"/>
        <w:gridCol w:w="2729"/>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tblHeader/>
          <w:jc w:val="center"/>
        </w:trPr>
        <w:tc>
          <w:tcPr>
            <w:tcW w:w="3795" w:type="dxa"/>
            <w:tcBorders>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渠道名称</w:t>
            </w:r>
          </w:p>
        </w:tc>
        <w:tc>
          <w:tcPr>
            <w:tcW w:w="1809"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取水量</w:t>
            </w:r>
          </w:p>
        </w:tc>
        <w:tc>
          <w:tcPr>
            <w:tcW w:w="2729" w:type="dxa"/>
            <w:tcBorders>
              <w:left w:val="single" w:color="000000" w:sz="4" w:space="0"/>
              <w:bottom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b/>
                <w:bCs/>
                <w:color w:val="auto"/>
                <w:kern w:val="2"/>
                <w:sz w:val="24"/>
                <w:szCs w:val="24"/>
                <w:highlight w:val="none"/>
                <w:lang w:val="en-US"/>
              </w:rPr>
            </w:pPr>
            <w:r>
              <w:rPr>
                <w:rFonts w:hint="default" w:ascii="Times New Roman" w:hAnsi="Times New Roman" w:eastAsia="仿宋_GB2312" w:cs="Times New Roman"/>
                <w:b/>
                <w:bCs/>
                <w:color w:val="auto"/>
                <w:kern w:val="2"/>
                <w:sz w:val="24"/>
                <w:szCs w:val="24"/>
                <w:highlight w:val="none"/>
                <w:lang w:val="en-US"/>
              </w:rPr>
              <w:t>配置水量</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3795"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美利渠</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662</w:t>
            </w:r>
          </w:p>
        </w:tc>
        <w:tc>
          <w:tcPr>
            <w:tcW w:w="272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662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3795"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spacing w:after="0"/>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北支干渠</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685</w:t>
            </w:r>
          </w:p>
        </w:tc>
        <w:tc>
          <w:tcPr>
            <w:tcW w:w="272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685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3795"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七星渠</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184</w:t>
            </w:r>
          </w:p>
        </w:tc>
        <w:tc>
          <w:tcPr>
            <w:tcW w:w="272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184</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3795" w:type="dxa"/>
            <w:tcBorders>
              <w:top w:val="single" w:color="000000" w:sz="4" w:space="0"/>
              <w:bottom w:val="single" w:color="auto" w:sz="2" w:space="0"/>
              <w:right w:val="single" w:color="auto" w:sz="2"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羚羊角渠</w:t>
            </w:r>
          </w:p>
        </w:tc>
        <w:tc>
          <w:tcPr>
            <w:tcW w:w="1809" w:type="dxa"/>
            <w:tcBorders>
              <w:top w:val="single" w:color="000000" w:sz="4" w:space="0"/>
              <w:left w:val="single" w:color="auto" w:sz="2" w:space="0"/>
              <w:bottom w:val="single" w:color="auto" w:sz="2" w:space="0"/>
              <w:right w:val="single" w:color="auto" w:sz="2"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47</w:t>
            </w:r>
          </w:p>
        </w:tc>
        <w:tc>
          <w:tcPr>
            <w:tcW w:w="2729" w:type="dxa"/>
            <w:tcBorders>
              <w:top w:val="single" w:color="000000" w:sz="4" w:space="0"/>
              <w:left w:val="single" w:color="auto" w:sz="2" w:space="0"/>
              <w:bottom w:val="single" w:color="auto" w:sz="2"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47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3795" w:type="dxa"/>
            <w:tcBorders>
              <w:top w:val="single" w:color="auto" w:sz="2" w:space="0"/>
              <w:bottom w:val="single" w:color="auto" w:sz="2" w:space="0"/>
              <w:right w:val="single" w:color="auto" w:sz="2"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羚羊寿渠</w:t>
            </w:r>
          </w:p>
        </w:tc>
        <w:tc>
          <w:tcPr>
            <w:tcW w:w="1809" w:type="dxa"/>
            <w:tcBorders>
              <w:top w:val="single" w:color="auto" w:sz="2" w:space="0"/>
              <w:left w:val="single" w:color="auto" w:sz="2" w:space="0"/>
              <w:bottom w:val="single" w:color="auto" w:sz="2" w:space="0"/>
              <w:right w:val="single" w:color="auto" w:sz="2"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160</w:t>
            </w:r>
          </w:p>
        </w:tc>
        <w:tc>
          <w:tcPr>
            <w:tcW w:w="2729" w:type="dxa"/>
            <w:tcBorders>
              <w:top w:val="single" w:color="auto" w:sz="2" w:space="0"/>
              <w:left w:val="single" w:color="auto" w:sz="2" w:space="0"/>
              <w:bottom w:val="single" w:color="auto" w:sz="2"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160</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3795" w:type="dxa"/>
            <w:tcBorders>
              <w:top w:val="single" w:color="auto" w:sz="2" w:space="0"/>
              <w:bottom w:val="single" w:color="000000" w:sz="4" w:space="0"/>
              <w:right w:val="single" w:color="auto" w:sz="2"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rPr>
              <w:t>南山台子扬水</w:t>
            </w:r>
          </w:p>
        </w:tc>
        <w:tc>
          <w:tcPr>
            <w:tcW w:w="1809" w:type="dxa"/>
            <w:tcBorders>
              <w:top w:val="single" w:color="auto" w:sz="2" w:space="0"/>
              <w:left w:val="single" w:color="auto" w:sz="2" w:space="0"/>
              <w:bottom w:val="single" w:color="000000" w:sz="4" w:space="0"/>
              <w:right w:val="single" w:color="auto" w:sz="2"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rPr>
              <w:t>1063</w:t>
            </w:r>
          </w:p>
        </w:tc>
        <w:tc>
          <w:tcPr>
            <w:tcW w:w="2729" w:type="dxa"/>
            <w:tcBorders>
              <w:top w:val="single" w:color="auto" w:sz="2" w:space="0"/>
              <w:left w:val="single" w:color="auto" w:sz="2" w:space="0"/>
              <w:bottom w:val="single" w:color="000000" w:sz="4" w:space="0"/>
            </w:tcBorders>
            <w:tcMar>
              <w:top w:w="15" w:type="dxa"/>
              <w:left w:w="15" w:type="dxa"/>
              <w:right w:w="15" w:type="dxa"/>
            </w:tcMar>
            <w:vAlign w:val="center"/>
          </w:tcPr>
          <w:p>
            <w:pPr>
              <w:pStyle w:val="24"/>
              <w:ind w:left="0" w:leftChars="0" w:firstLine="0" w:firstLineChars="0"/>
              <w:rPr>
                <w:rFonts w:hint="default" w:ascii="Times New Roman" w:hAnsi="Times New Roman" w:eastAsia="仿宋_GB2312" w:cs="Times New Roman"/>
                <w:color w:val="auto"/>
                <w:kern w:val="2"/>
                <w:sz w:val="24"/>
                <w:szCs w:val="24"/>
                <w:highlight w:val="none"/>
                <w:lang w:val="en-US" w:eastAsia="zh-CN" w:bidi="ar-SA"/>
              </w:rPr>
            </w:pPr>
            <w:r>
              <w:rPr>
                <w:rFonts w:hint="default" w:ascii="Times New Roman" w:hAnsi="Times New Roman" w:eastAsia="仿宋_GB2312" w:cs="Times New Roman"/>
                <w:color w:val="auto"/>
                <w:kern w:val="2"/>
                <w:sz w:val="24"/>
                <w:szCs w:val="24"/>
                <w:highlight w:val="none"/>
                <w:lang w:val="en-US"/>
              </w:rPr>
              <w:t>1063</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3795"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固海扬水</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122</w:t>
            </w:r>
          </w:p>
        </w:tc>
        <w:tc>
          <w:tcPr>
            <w:tcW w:w="272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122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3795"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eastAsia="zh-CN"/>
              </w:rPr>
              <w:t>马滩渠等引黄</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86</w:t>
            </w:r>
          </w:p>
        </w:tc>
        <w:tc>
          <w:tcPr>
            <w:tcW w:w="272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86</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3795"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碱碱湖扬水干渠</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41</w:t>
            </w:r>
          </w:p>
        </w:tc>
        <w:tc>
          <w:tcPr>
            <w:tcW w:w="272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41</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3795"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峡门水库供水</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2492</w:t>
            </w:r>
          </w:p>
        </w:tc>
        <w:tc>
          <w:tcPr>
            <w:tcW w:w="272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2492</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3795"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兴仁香山补灌工程</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155</w:t>
            </w:r>
          </w:p>
        </w:tc>
        <w:tc>
          <w:tcPr>
            <w:tcW w:w="272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155</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3795" w:type="dxa"/>
            <w:tcBorders>
              <w:top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其他</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147</w:t>
            </w:r>
          </w:p>
        </w:tc>
        <w:tc>
          <w:tcPr>
            <w:tcW w:w="2729" w:type="dxa"/>
            <w:tcBorders>
              <w:top w:val="single" w:color="000000" w:sz="4" w:space="0"/>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147</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454" w:hRule="atLeast"/>
          <w:jc w:val="center"/>
        </w:trPr>
        <w:tc>
          <w:tcPr>
            <w:tcW w:w="3795"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rPr>
            </w:pPr>
            <w:r>
              <w:rPr>
                <w:rFonts w:hint="default" w:ascii="Times New Roman" w:hAnsi="Times New Roman" w:eastAsia="仿宋_GB2312" w:cs="Times New Roman"/>
                <w:color w:val="auto"/>
                <w:kern w:val="2"/>
                <w:sz w:val="24"/>
                <w:szCs w:val="24"/>
                <w:highlight w:val="none"/>
                <w:lang w:val="en-US"/>
              </w:rPr>
              <w:t>小计</w:t>
            </w:r>
          </w:p>
        </w:tc>
        <w:tc>
          <w:tcPr>
            <w:tcW w:w="1809"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5844</w:t>
            </w:r>
          </w:p>
        </w:tc>
        <w:tc>
          <w:tcPr>
            <w:tcW w:w="2729"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 w:val="24"/>
                <w:szCs w:val="24"/>
                <w:highlight w:val="none"/>
                <w:lang w:val="en-US" w:eastAsia="zh-CN"/>
              </w:rPr>
            </w:pPr>
            <w:r>
              <w:rPr>
                <w:rFonts w:hint="default" w:ascii="Times New Roman" w:hAnsi="Times New Roman" w:eastAsia="仿宋_GB2312" w:cs="Times New Roman"/>
                <w:color w:val="auto"/>
                <w:kern w:val="2"/>
                <w:sz w:val="24"/>
                <w:szCs w:val="24"/>
                <w:highlight w:val="none"/>
                <w:lang w:val="en-US"/>
              </w:rPr>
              <w:t>5844</w:t>
            </w:r>
          </w:p>
        </w:tc>
      </w:tr>
    </w:tbl>
    <w:p>
      <w:pPr>
        <w:pStyle w:val="22"/>
        <w:jc w:val="center"/>
        <w:rPr>
          <w:rFonts w:hint="default" w:ascii="Times New Roman" w:hAnsi="Times New Roman" w:eastAsia="方正小标宋_GBK" w:cs="Times New Roman"/>
          <w:b w:val="0"/>
          <w:bCs w:val="0"/>
          <w:color w:val="auto"/>
          <w:sz w:val="32"/>
          <w:szCs w:val="32"/>
          <w:highlight w:val="none"/>
        </w:rPr>
      </w:pP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rPr>
        <w:t>表6.6-</w:t>
      </w:r>
      <w:r>
        <w:rPr>
          <w:rFonts w:hint="default" w:ascii="Times New Roman" w:hAnsi="Times New Roman" w:eastAsia="方正小标宋_GBK" w:cs="Times New Roman"/>
          <w:b w:val="0"/>
          <w:bCs w:val="0"/>
          <w:color w:val="auto"/>
          <w:sz w:val="32"/>
          <w:szCs w:val="32"/>
          <w:highlight w:val="none"/>
          <w:lang w:val="en-US" w:eastAsia="zh-CN"/>
        </w:rPr>
        <w:t xml:space="preserve">8  </w:t>
      </w:r>
      <w:r>
        <w:rPr>
          <w:rFonts w:hint="default" w:ascii="Times New Roman" w:hAnsi="Times New Roman" w:eastAsia="方正小标宋_GBK" w:cs="Times New Roman"/>
          <w:b w:val="0"/>
          <w:bCs w:val="0"/>
          <w:color w:val="auto"/>
          <w:sz w:val="32"/>
          <w:szCs w:val="32"/>
          <w:highlight w:val="none"/>
        </w:rPr>
        <w:t>生态用水水资源配置</w:t>
      </w:r>
    </w:p>
    <w:p>
      <w:pPr>
        <w:pStyle w:val="22"/>
        <w:ind w:firstLine="7770" w:firstLineChars="3700"/>
        <w:jc w:val="left"/>
        <w:rPr>
          <w:rFonts w:hint="default" w:ascii="Times New Roman" w:hAnsi="Times New Roman" w:eastAsia="仿宋_GB2312" w:cs="Times New Roman"/>
          <w:b w:val="0"/>
          <w:bCs w:val="0"/>
          <w:color w:val="auto"/>
          <w:sz w:val="21"/>
          <w:szCs w:val="21"/>
          <w:highlight w:val="none"/>
        </w:rPr>
      </w:pPr>
      <w:r>
        <w:rPr>
          <w:rFonts w:hint="default" w:ascii="Times New Roman" w:hAnsi="Times New Roman" w:eastAsia="仿宋_GB2312" w:cs="Times New Roman"/>
          <w:b w:val="0"/>
          <w:bCs w:val="0"/>
          <w:color w:val="auto"/>
          <w:sz w:val="21"/>
          <w:szCs w:val="21"/>
          <w:highlight w:val="none"/>
        </w:rPr>
        <w:t>单位：万m³</w:t>
      </w:r>
    </w:p>
    <w:tbl>
      <w:tblPr>
        <w:tblStyle w:val="17"/>
        <w:tblW w:w="851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3"/>
        <w:gridCol w:w="1705"/>
        <w:gridCol w:w="1705"/>
        <w:gridCol w:w="17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01"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行业类型</w:t>
            </w:r>
          </w:p>
        </w:tc>
        <w:tc>
          <w:tcPr>
            <w:tcW w:w="1703"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黄河水</w:t>
            </w:r>
          </w:p>
        </w:tc>
        <w:tc>
          <w:tcPr>
            <w:tcW w:w="1705"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地下水</w:t>
            </w:r>
          </w:p>
        </w:tc>
        <w:tc>
          <w:tcPr>
            <w:tcW w:w="1705"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其他</w:t>
            </w:r>
          </w:p>
        </w:tc>
        <w:tc>
          <w:tcPr>
            <w:tcW w:w="1705"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小计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701"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生态取水</w:t>
            </w:r>
          </w:p>
        </w:tc>
        <w:tc>
          <w:tcPr>
            <w:tcW w:w="1703" w:type="dxa"/>
            <w:vAlign w:val="center"/>
          </w:tcPr>
          <w:p>
            <w:pPr>
              <w:pStyle w:val="24"/>
              <w:widowControl/>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11612</w:t>
            </w:r>
          </w:p>
        </w:tc>
        <w:tc>
          <w:tcPr>
            <w:tcW w:w="1705" w:type="dxa"/>
            <w:vAlign w:val="center"/>
          </w:tcPr>
          <w:p>
            <w:pPr>
              <w:pStyle w:val="24"/>
              <w:widowControl/>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888</w:t>
            </w:r>
          </w:p>
        </w:tc>
        <w:tc>
          <w:tcPr>
            <w:tcW w:w="1705" w:type="dxa"/>
            <w:vAlign w:val="center"/>
          </w:tcPr>
          <w:p>
            <w:pPr>
              <w:pStyle w:val="24"/>
              <w:widowControl/>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400</w:t>
            </w:r>
          </w:p>
        </w:tc>
        <w:tc>
          <w:tcPr>
            <w:tcW w:w="1705"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12900</w:t>
            </w:r>
          </w:p>
        </w:tc>
      </w:tr>
    </w:tbl>
    <w:p>
      <w:pPr>
        <w:pStyle w:val="7"/>
        <w:keepNext/>
        <w:keepLines/>
        <w:pageBreakBefore w:val="0"/>
        <w:widowControl w:val="0"/>
        <w:kinsoku/>
        <w:wordWrap/>
        <w:overflowPunct/>
        <w:topLinePunct w:val="0"/>
        <w:autoSpaceDE/>
        <w:autoSpaceDN/>
        <w:bidi w:val="0"/>
        <w:adjustRightInd w:val="0"/>
        <w:snapToGrid w:val="0"/>
        <w:spacing w:before="0" w:beforeLines="0" w:line="560" w:lineRule="exact"/>
        <w:textAlignment w:val="auto"/>
        <w:rPr>
          <w:rFonts w:hint="default" w:ascii="Times New Roman" w:hAnsi="Times New Roman" w:eastAsia="仿宋_GB2312" w:cs="Times New Roman"/>
          <w:bCs/>
          <w:color w:val="auto"/>
          <w:kern w:val="2"/>
          <w:highlight w:val="none"/>
        </w:rPr>
      </w:pPr>
      <w:bookmarkStart w:id="659" w:name="_Toc15972"/>
      <w:bookmarkStart w:id="660" w:name="_Toc17078"/>
      <w:bookmarkStart w:id="661" w:name="_Toc18857"/>
      <w:bookmarkStart w:id="662" w:name="_Toc31802"/>
      <w:bookmarkStart w:id="663" w:name="_Toc19677"/>
      <w:bookmarkStart w:id="664" w:name="_Toc3888"/>
      <w:bookmarkStart w:id="665" w:name="_Toc15359"/>
      <w:r>
        <w:rPr>
          <w:rFonts w:hint="default" w:ascii="Times New Roman" w:hAnsi="Times New Roman" w:eastAsia="仿宋_GB2312" w:cs="Times New Roman"/>
          <w:bCs/>
          <w:color w:val="auto"/>
          <w:kern w:val="2"/>
          <w:highlight w:val="none"/>
        </w:rPr>
        <w:t>6.6.5</w:t>
      </w:r>
      <w:r>
        <w:rPr>
          <w:rFonts w:hint="default" w:ascii="Times New Roman" w:hAnsi="Times New Roman" w:eastAsia="仿宋_GB2312" w:cs="Times New Roman"/>
          <w:bCs/>
          <w:color w:val="auto"/>
          <w:kern w:val="2"/>
          <w:highlight w:val="none"/>
          <w:lang w:val="en-US" w:eastAsia="zh-CN"/>
        </w:rPr>
        <w:t>结论分析</w:t>
      </w:r>
      <w:bookmarkEnd w:id="659"/>
      <w:bookmarkEnd w:id="660"/>
      <w:bookmarkEnd w:id="661"/>
      <w:bookmarkEnd w:id="662"/>
      <w:bookmarkEnd w:id="663"/>
      <w:bookmarkEnd w:id="664"/>
      <w:bookmarkEnd w:id="665"/>
    </w:p>
    <w:p>
      <w:pPr>
        <w:spacing w:line="560" w:lineRule="atLeast"/>
        <w:ind w:firstLine="600"/>
        <w:rPr>
          <w:rFonts w:hint="default" w:ascii="Times New Roman" w:hAnsi="Times New Roman" w:cs="Times New Roman"/>
          <w:color w:val="auto"/>
          <w:highlight w:val="none"/>
        </w:rPr>
      </w:pPr>
      <w:r>
        <w:rPr>
          <w:rFonts w:hint="default" w:ascii="Times New Roman" w:hAnsi="Times New Roman" w:eastAsia="仿宋_GB2312" w:cs="Times New Roman"/>
          <w:color w:val="auto"/>
          <w:sz w:val="32"/>
          <w:szCs w:val="32"/>
          <w:highlight w:val="none"/>
        </w:rPr>
        <w:t>按照各行业各水源对沙坡头区水资源配置，通过配置分析，各行业各水源均在控制指标范围内</w:t>
      </w:r>
      <w:r>
        <w:rPr>
          <w:rFonts w:hint="default" w:ascii="Times New Roman" w:hAnsi="Times New Roman" w:cs="Times New Roman"/>
          <w:color w:val="auto"/>
          <w:sz w:val="32"/>
          <w:szCs w:val="32"/>
          <w:highlight w:val="none"/>
          <w:lang w:eastAsia="zh-CN"/>
        </w:rPr>
        <w:t>。详</w:t>
      </w:r>
      <w:r>
        <w:rPr>
          <w:rFonts w:hint="default" w:ascii="Times New Roman" w:hAnsi="Times New Roman" w:eastAsia="仿宋_GB2312" w:cs="Times New Roman"/>
          <w:color w:val="auto"/>
          <w:sz w:val="32"/>
          <w:szCs w:val="32"/>
          <w:highlight w:val="none"/>
        </w:rPr>
        <w:t>见表6.6-</w:t>
      </w:r>
      <w:r>
        <w:rPr>
          <w:rFonts w:hint="default" w:ascii="Times New Roman" w:hAnsi="Times New Roman" w:cs="Times New Roman"/>
          <w:color w:val="auto"/>
          <w:sz w:val="32"/>
          <w:szCs w:val="32"/>
          <w:highlight w:val="none"/>
          <w:lang w:eastAsia="zh-CN"/>
        </w:rPr>
        <w:t>9</w:t>
      </w:r>
      <w:r>
        <w:rPr>
          <w:rFonts w:hint="default" w:ascii="Times New Roman" w:hAnsi="Times New Roman" w:eastAsia="仿宋_GB2312" w:cs="Times New Roman"/>
          <w:color w:val="auto"/>
          <w:sz w:val="32"/>
          <w:szCs w:val="32"/>
          <w:highlight w:val="none"/>
        </w:rPr>
        <w:t>所示。</w:t>
      </w:r>
    </w:p>
    <w:p>
      <w:pPr>
        <w:pStyle w:val="22"/>
        <w:jc w:val="center"/>
        <w:rPr>
          <w:rFonts w:hint="default" w:ascii="Times New Roman" w:hAnsi="Times New Roman" w:eastAsia="仿宋_GB2312" w:cs="Times New Roman"/>
          <w:bCs/>
          <w:color w:val="auto"/>
          <w:szCs w:val="24"/>
          <w:highlight w:val="none"/>
        </w:rPr>
      </w:pPr>
      <w:r>
        <w:rPr>
          <w:rFonts w:hint="default" w:ascii="Times New Roman" w:hAnsi="Times New Roman" w:eastAsia="方正小标宋_GBK" w:cs="Times New Roman"/>
          <w:b w:val="0"/>
          <w:bCs w:val="0"/>
          <w:color w:val="auto"/>
          <w:sz w:val="32"/>
          <w:szCs w:val="32"/>
          <w:highlight w:val="none"/>
          <w:lang w:val="en-US" w:eastAsia="zh-CN"/>
        </w:rPr>
        <w:t>表6.6-9  沙坡头区各行业各水源水资源配置（取水口径）</w:t>
      </w:r>
    </w:p>
    <w:p>
      <w:pPr>
        <w:pStyle w:val="22"/>
        <w:jc w:val="left"/>
        <w:rPr>
          <w:rFonts w:hint="default" w:ascii="Times New Roman" w:hAnsi="Times New Roman" w:eastAsia="仿宋_GB2312" w:cs="Times New Roman"/>
          <w:bCs/>
          <w:color w:val="auto"/>
          <w:szCs w:val="24"/>
          <w:highlight w:val="none"/>
        </w:rPr>
      </w:pPr>
      <w:r>
        <w:rPr>
          <w:rFonts w:hint="default" w:ascii="Times New Roman" w:hAnsi="Times New Roman" w:eastAsia="仿宋_GB2312" w:cs="Times New Roman"/>
          <w:bCs/>
          <w:color w:val="auto"/>
          <w:szCs w:val="24"/>
          <w:highlight w:val="none"/>
        </w:rPr>
        <w:t xml:space="preserve"> </w:t>
      </w:r>
      <w:r>
        <w:rPr>
          <w:rFonts w:hint="default" w:ascii="Times New Roman" w:hAnsi="Times New Roman" w:eastAsia="仿宋_GB2312" w:cs="Times New Roman"/>
          <w:bCs/>
          <w:color w:val="auto"/>
          <w:szCs w:val="24"/>
          <w:highlight w:val="none"/>
          <w:lang w:val="en-US" w:eastAsia="zh-CN"/>
        </w:rPr>
        <w:t xml:space="preserve">                                                                </w:t>
      </w:r>
      <w:r>
        <w:rPr>
          <w:rFonts w:hint="default" w:ascii="Times New Roman" w:hAnsi="Times New Roman" w:eastAsia="仿宋_GB2312" w:cs="Times New Roman"/>
          <w:b w:val="0"/>
          <w:bCs w:val="0"/>
          <w:color w:val="auto"/>
          <w:sz w:val="21"/>
          <w:szCs w:val="21"/>
          <w:highlight w:val="none"/>
        </w:rPr>
        <w:t>单位：万m³</w:t>
      </w:r>
    </w:p>
    <w:tbl>
      <w:tblPr>
        <w:tblStyle w:val="17"/>
        <w:tblW w:w="857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1713"/>
        <w:gridCol w:w="1716"/>
        <w:gridCol w:w="1716"/>
        <w:gridCol w:w="17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1712"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行业类型</w:t>
            </w:r>
          </w:p>
        </w:tc>
        <w:tc>
          <w:tcPr>
            <w:tcW w:w="1713"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黄河水</w:t>
            </w:r>
          </w:p>
        </w:tc>
        <w:tc>
          <w:tcPr>
            <w:tcW w:w="1716"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地下水</w:t>
            </w:r>
          </w:p>
        </w:tc>
        <w:tc>
          <w:tcPr>
            <w:tcW w:w="1716"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其他</w:t>
            </w:r>
          </w:p>
        </w:tc>
        <w:tc>
          <w:tcPr>
            <w:tcW w:w="1718"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小计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712"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生活</w:t>
            </w:r>
          </w:p>
        </w:tc>
        <w:tc>
          <w:tcPr>
            <w:tcW w:w="1713"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2588</w:t>
            </w:r>
          </w:p>
        </w:tc>
        <w:tc>
          <w:tcPr>
            <w:tcW w:w="1716"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1312</w:t>
            </w:r>
          </w:p>
        </w:tc>
        <w:tc>
          <w:tcPr>
            <w:tcW w:w="1716" w:type="dxa"/>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71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3900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712"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工业</w:t>
            </w:r>
          </w:p>
        </w:tc>
        <w:tc>
          <w:tcPr>
            <w:tcW w:w="1713"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2100</w:t>
            </w:r>
          </w:p>
        </w:tc>
        <w:tc>
          <w:tcPr>
            <w:tcW w:w="1716"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500</w:t>
            </w:r>
          </w:p>
        </w:tc>
        <w:tc>
          <w:tcPr>
            <w:tcW w:w="1716"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400</w:t>
            </w:r>
          </w:p>
        </w:tc>
        <w:tc>
          <w:tcPr>
            <w:tcW w:w="171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712"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农业</w:t>
            </w:r>
          </w:p>
        </w:tc>
        <w:tc>
          <w:tcPr>
            <w:tcW w:w="1713"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36000</w:t>
            </w:r>
          </w:p>
        </w:tc>
        <w:tc>
          <w:tcPr>
            <w:tcW w:w="1716"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1800</w:t>
            </w:r>
          </w:p>
        </w:tc>
        <w:tc>
          <w:tcPr>
            <w:tcW w:w="1716" w:type="dxa"/>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71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37800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1712"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生态</w:t>
            </w:r>
          </w:p>
        </w:tc>
        <w:tc>
          <w:tcPr>
            <w:tcW w:w="1713"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11612</w:t>
            </w:r>
          </w:p>
        </w:tc>
        <w:tc>
          <w:tcPr>
            <w:tcW w:w="1716"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888</w:t>
            </w:r>
          </w:p>
        </w:tc>
        <w:tc>
          <w:tcPr>
            <w:tcW w:w="1716"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400</w:t>
            </w:r>
          </w:p>
        </w:tc>
        <w:tc>
          <w:tcPr>
            <w:tcW w:w="171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12900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1712"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小计</w:t>
            </w:r>
          </w:p>
        </w:tc>
        <w:tc>
          <w:tcPr>
            <w:tcW w:w="1713"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52300</w:t>
            </w:r>
          </w:p>
        </w:tc>
        <w:tc>
          <w:tcPr>
            <w:tcW w:w="1716"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4500</w:t>
            </w:r>
          </w:p>
        </w:tc>
        <w:tc>
          <w:tcPr>
            <w:tcW w:w="1716"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bidi="ar"/>
              </w:rPr>
              <w:t>800</w:t>
            </w:r>
          </w:p>
        </w:tc>
        <w:tc>
          <w:tcPr>
            <w:tcW w:w="1718"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57600</w:t>
            </w:r>
          </w:p>
        </w:tc>
      </w:tr>
    </w:tbl>
    <w:p>
      <w:pPr>
        <w:pStyle w:val="5"/>
        <w:spacing w:before="0" w:after="0" w:line="240" w:lineRule="auto"/>
        <w:rPr>
          <w:rFonts w:hint="default" w:ascii="Times New Roman" w:hAnsi="Times New Roman" w:cs="Times New Roman"/>
          <w:color w:val="auto"/>
          <w:highlight w:val="none"/>
        </w:rPr>
      </w:pPr>
      <w:bookmarkStart w:id="666" w:name="_Toc10720"/>
      <w:bookmarkStart w:id="667" w:name="_Toc20393"/>
      <w:bookmarkStart w:id="668" w:name="_Toc19766"/>
      <w:bookmarkStart w:id="669" w:name="_Toc11152"/>
      <w:bookmarkStart w:id="670" w:name="_Toc9165"/>
      <w:bookmarkStart w:id="671" w:name="_Toc25888"/>
      <w:bookmarkStart w:id="672" w:name="_Toc22122"/>
      <w:bookmarkStart w:id="673" w:name="_Toc16684"/>
      <w:bookmarkStart w:id="674" w:name="_Toc18142"/>
      <w:bookmarkStart w:id="675" w:name="_Toc3549"/>
      <w:r>
        <w:rPr>
          <w:rFonts w:hint="default" w:ascii="Times New Roman" w:hAnsi="Times New Roman" w:cs="Times New Roman"/>
          <w:color w:val="auto"/>
          <w:highlight w:val="none"/>
        </w:rPr>
        <w:t>第七章  水资源保护</w:t>
      </w:r>
      <w:bookmarkEnd w:id="666"/>
      <w:bookmarkEnd w:id="667"/>
      <w:bookmarkEnd w:id="668"/>
      <w:bookmarkEnd w:id="669"/>
      <w:bookmarkEnd w:id="670"/>
      <w:bookmarkEnd w:id="671"/>
      <w:bookmarkEnd w:id="672"/>
      <w:bookmarkEnd w:id="673"/>
      <w:bookmarkStart w:id="676" w:name="_Toc402104340"/>
      <w:bookmarkStart w:id="677" w:name="_Toc419380519"/>
    </w:p>
    <w:p>
      <w:pPr>
        <w:spacing w:line="560" w:lineRule="atLeast"/>
        <w:rPr>
          <w:rFonts w:hint="default" w:ascii="Times New Roman" w:hAnsi="Times New Roman" w:eastAsia="仿宋_GB2312" w:cs="Times New Roman"/>
          <w:color w:val="auto"/>
          <w:kern w:val="2"/>
          <w:sz w:val="32"/>
          <w:szCs w:val="32"/>
          <w:highlight w:val="none"/>
        </w:rPr>
      </w:pPr>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水资源保护是水资源综合规划的一个重要组成部分，在综合考虑水资源的自然属性和社会属性、水资源开发利用现状和规划的前提下，更注重水资源的承载能力及节约保护，以促进水环境质量的改善和水生态的良性循环。要实现水资源保护，改善水环境，必须控制污染物入河量。根据污染物入河量和纳污能力，确定入河污染物控制量和削减量，并拟定污水处理设施建设规划。针对沙坡头区水环境污染的具体情况，提出针对地表水资源、地下水资源污染的防治措施。对于水源地，划分水源地保护区，并提出针对地表水水源地、地下水源地的保护措施。</w:t>
      </w:r>
    </w:p>
    <w:p>
      <w:pPr>
        <w:pStyle w:val="6"/>
        <w:spacing w:line="560" w:lineRule="atLeast"/>
        <w:rPr>
          <w:rFonts w:hint="default" w:ascii="Times New Roman" w:hAnsi="Times New Roman" w:eastAsia="楷体_GB2312" w:cs="Times New Roman"/>
          <w:color w:val="auto"/>
          <w:highlight w:val="none"/>
        </w:rPr>
      </w:pPr>
      <w:bookmarkStart w:id="678" w:name="_Toc973"/>
      <w:bookmarkStart w:id="679" w:name="_Toc13536"/>
      <w:bookmarkStart w:id="680" w:name="_Toc10533"/>
      <w:bookmarkStart w:id="681" w:name="_Toc10432"/>
      <w:bookmarkStart w:id="682" w:name="_Toc14484"/>
      <w:bookmarkStart w:id="683" w:name="_Toc21363"/>
      <w:bookmarkStart w:id="684" w:name="_Toc14010"/>
      <w:bookmarkStart w:id="685" w:name="_Toc28622"/>
      <w:r>
        <w:rPr>
          <w:rFonts w:hint="default" w:ascii="Times New Roman" w:hAnsi="Times New Roman" w:eastAsia="楷体_GB2312" w:cs="Times New Roman"/>
          <w:color w:val="auto"/>
          <w:highlight w:val="none"/>
        </w:rPr>
        <w:t>7.1水功能区划分和水质保护目标</w:t>
      </w:r>
      <w:bookmarkEnd w:id="678"/>
      <w:bookmarkEnd w:id="679"/>
      <w:bookmarkEnd w:id="680"/>
      <w:bookmarkEnd w:id="681"/>
      <w:bookmarkEnd w:id="682"/>
      <w:bookmarkEnd w:id="683"/>
      <w:bookmarkEnd w:id="684"/>
      <w:bookmarkEnd w:id="685"/>
    </w:p>
    <w:p>
      <w:pPr>
        <w:spacing w:line="560" w:lineRule="atLeast"/>
        <w:ind w:firstLine="600"/>
        <w:rPr>
          <w:rFonts w:hint="default" w:ascii="Times New Roman" w:hAnsi="Times New Roman" w:cs="Times New Roman"/>
          <w:color w:val="auto"/>
          <w:highlight w:val="none"/>
        </w:rPr>
      </w:pPr>
      <w:r>
        <w:rPr>
          <w:rFonts w:hint="default" w:ascii="Times New Roman" w:hAnsi="Times New Roman" w:eastAsia="仿宋_GB2312" w:cs="Times New Roman"/>
          <w:color w:val="auto"/>
          <w:szCs w:val="30"/>
          <w:highlight w:val="none"/>
        </w:rPr>
        <w:t>合理划分水（环境）功能区对保护水源、改善环境、维护生态平衡、合理</w:t>
      </w:r>
      <w:r>
        <w:rPr>
          <w:rFonts w:hint="default" w:ascii="Times New Roman" w:hAnsi="Times New Roman" w:eastAsia="仿宋_GB2312" w:cs="Times New Roman"/>
          <w:color w:val="auto"/>
          <w:szCs w:val="32"/>
          <w:highlight w:val="none"/>
        </w:rPr>
        <w:t>利用</w:t>
      </w:r>
      <w:r>
        <w:rPr>
          <w:rFonts w:hint="default" w:ascii="Times New Roman" w:hAnsi="Times New Roman" w:eastAsia="仿宋_GB2312" w:cs="Times New Roman"/>
          <w:color w:val="auto"/>
          <w:szCs w:val="30"/>
          <w:highlight w:val="none"/>
        </w:rPr>
        <w:t>水资源、促进经济发展具有重要意义，水域功能区划分是实现水资源综合开发、合理利用、积极保护、科学管理的基础。</w:t>
      </w:r>
    </w:p>
    <w:p>
      <w:pPr>
        <w:pStyle w:val="7"/>
        <w:spacing w:before="0" w:line="560" w:lineRule="exact"/>
        <w:rPr>
          <w:rFonts w:hint="default" w:ascii="Times New Roman" w:hAnsi="Times New Roman" w:eastAsia="仿宋_GB2312" w:cs="Times New Roman"/>
          <w:bCs/>
          <w:color w:val="auto"/>
          <w:kern w:val="2"/>
          <w:highlight w:val="none"/>
        </w:rPr>
      </w:pPr>
      <w:bookmarkStart w:id="686" w:name="_Toc17458"/>
      <w:bookmarkStart w:id="687" w:name="_Toc18611"/>
      <w:bookmarkStart w:id="688" w:name="_Toc17739"/>
      <w:bookmarkStart w:id="689" w:name="_Toc17133"/>
      <w:bookmarkStart w:id="690" w:name="_Toc11860"/>
      <w:bookmarkStart w:id="691" w:name="_Toc30547"/>
      <w:bookmarkStart w:id="692" w:name="_Toc9373"/>
      <w:r>
        <w:rPr>
          <w:rFonts w:hint="default" w:ascii="Times New Roman" w:hAnsi="Times New Roman" w:eastAsia="仿宋_GB2312" w:cs="Times New Roman"/>
          <w:bCs/>
          <w:color w:val="auto"/>
          <w:kern w:val="2"/>
          <w:highlight w:val="none"/>
        </w:rPr>
        <w:t>7.1.1水功能区划分</w:t>
      </w:r>
      <w:bookmarkEnd w:id="686"/>
      <w:bookmarkEnd w:id="687"/>
      <w:bookmarkEnd w:id="688"/>
      <w:bookmarkEnd w:id="689"/>
      <w:bookmarkEnd w:id="690"/>
      <w:bookmarkEnd w:id="691"/>
      <w:bookmarkEnd w:id="692"/>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根据自治区人民政府印发的《宁夏水功能区划》（宁政办发</w:t>
      </w:r>
      <w:r>
        <w:rPr>
          <w:rFonts w:hint="default" w:ascii="Times New Roman" w:hAnsi="Times New Roman" w:eastAsia="仿宋_GB2312" w:cs="Times New Roman"/>
          <w:color w:val="auto"/>
          <w:szCs w:val="30"/>
          <w:highlight w:val="none"/>
        </w:rPr>
        <w:t>﹝20</w:t>
      </w:r>
      <w:r>
        <w:rPr>
          <w:rFonts w:hint="default" w:ascii="Times New Roman" w:hAnsi="Times New Roman" w:cs="Times New Roman"/>
          <w:color w:val="auto"/>
          <w:szCs w:val="30"/>
          <w:highlight w:val="none"/>
          <w:lang w:val="en-US" w:eastAsia="zh-CN"/>
        </w:rPr>
        <w:t>03</w:t>
      </w:r>
      <w:r>
        <w:rPr>
          <w:rFonts w:hint="default" w:ascii="Times New Roman" w:hAnsi="Times New Roman" w:eastAsia="仿宋_GB2312" w:cs="Times New Roman"/>
          <w:color w:val="auto"/>
          <w:szCs w:val="30"/>
          <w:highlight w:val="none"/>
        </w:rPr>
        <w:t>﹞</w:t>
      </w:r>
      <w:r>
        <w:rPr>
          <w:rFonts w:hint="default" w:ascii="Times New Roman" w:hAnsi="Times New Roman" w:eastAsia="仿宋_GB2312" w:cs="Times New Roman"/>
          <w:color w:val="auto"/>
          <w:kern w:val="2"/>
          <w:sz w:val="32"/>
          <w:szCs w:val="32"/>
          <w:highlight w:val="none"/>
        </w:rPr>
        <w:t>158号），沙坡头区共有一级水功能区1个，黄河宁甘缓冲区。</w:t>
      </w:r>
    </w:p>
    <w:p>
      <w:pPr>
        <w:pStyle w:val="7"/>
        <w:spacing w:before="0" w:line="560" w:lineRule="exact"/>
        <w:rPr>
          <w:rFonts w:hint="default" w:ascii="Times New Roman" w:hAnsi="Times New Roman" w:eastAsia="仿宋_GB2312" w:cs="Times New Roman"/>
          <w:bCs/>
          <w:color w:val="auto"/>
          <w:kern w:val="2"/>
          <w:highlight w:val="none"/>
        </w:rPr>
      </w:pPr>
      <w:bookmarkStart w:id="693" w:name="_Toc17054"/>
      <w:bookmarkStart w:id="694" w:name="_Toc19066"/>
      <w:bookmarkStart w:id="695" w:name="_Toc6107"/>
      <w:bookmarkStart w:id="696" w:name="_Toc15043"/>
      <w:bookmarkStart w:id="697" w:name="_Toc21064"/>
      <w:bookmarkStart w:id="698" w:name="_Toc14611"/>
      <w:bookmarkStart w:id="699" w:name="_Toc19244"/>
      <w:r>
        <w:rPr>
          <w:rFonts w:hint="default" w:ascii="Times New Roman" w:hAnsi="Times New Roman" w:eastAsia="仿宋_GB2312" w:cs="Times New Roman"/>
          <w:bCs/>
          <w:color w:val="auto"/>
          <w:kern w:val="2"/>
          <w:highlight w:val="none"/>
        </w:rPr>
        <w:t>7.1.2水功能区水质达标目标及达标情况</w:t>
      </w:r>
      <w:bookmarkEnd w:id="693"/>
      <w:bookmarkEnd w:id="694"/>
      <w:bookmarkEnd w:id="695"/>
      <w:bookmarkEnd w:id="696"/>
      <w:bookmarkEnd w:id="697"/>
      <w:bookmarkEnd w:id="698"/>
      <w:bookmarkEnd w:id="699"/>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2025年沙坡头区重要江河湖泊水功能区水质达标率控制目标为80%。</w:t>
      </w:r>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根据宁夏回族自治区生态环境厅关于《宁夏回族自治区地表水环境质量状况月报》分析，沙坡头区国家考核断面仅为中卫下河沿断面，根据检查数据分析，该断面水质总体良好</w:t>
      </w:r>
      <w:r>
        <w:rPr>
          <w:rFonts w:hint="default" w:ascii="Times New Roman" w:hAnsi="Times New Roman" w:cs="Times New Roman"/>
          <w:color w:val="auto"/>
          <w:kern w:val="2"/>
          <w:sz w:val="32"/>
          <w:szCs w:val="32"/>
          <w:highlight w:val="none"/>
          <w:lang w:eastAsia="zh-CN"/>
        </w:rPr>
        <w:t>。沙坡头区黄河干流断面水质类别比较，详</w:t>
      </w:r>
      <w:r>
        <w:rPr>
          <w:rFonts w:hint="default" w:ascii="Times New Roman" w:hAnsi="Times New Roman" w:eastAsia="仿宋_GB2312" w:cs="Times New Roman"/>
          <w:color w:val="auto"/>
          <w:kern w:val="2"/>
          <w:sz w:val="32"/>
          <w:szCs w:val="32"/>
          <w:highlight w:val="none"/>
        </w:rPr>
        <w:t>见表7.1-1所示</w:t>
      </w:r>
      <w:r>
        <w:rPr>
          <w:rFonts w:hint="default" w:ascii="Times New Roman" w:hAnsi="Times New Roman" w:cs="Times New Roman"/>
          <w:color w:val="auto"/>
          <w:kern w:val="2"/>
          <w:sz w:val="32"/>
          <w:szCs w:val="32"/>
          <w:highlight w:val="none"/>
          <w:lang w:eastAsia="zh-CN"/>
        </w:rPr>
        <w:t>。</w:t>
      </w:r>
    </w:p>
    <w:p>
      <w:pPr>
        <w:pStyle w:val="22"/>
        <w:jc w:val="center"/>
        <w:rPr>
          <w:rFonts w:hint="default" w:ascii="Times New Roman" w:hAnsi="Times New Roman" w:eastAsia="方正小标宋_GBK" w:cs="Times New Roman"/>
          <w:b w:val="0"/>
          <w:bCs w:val="0"/>
          <w:color w:val="auto"/>
          <w:sz w:val="32"/>
          <w:szCs w:val="32"/>
          <w:highlight w:val="none"/>
          <w:lang w:val="en-US" w:eastAsia="zh-CN"/>
        </w:rPr>
      </w:pPr>
      <w:r>
        <w:rPr>
          <w:rFonts w:hint="default" w:ascii="Times New Roman" w:hAnsi="Times New Roman" w:eastAsia="方正小标宋_GBK" w:cs="Times New Roman"/>
          <w:b w:val="0"/>
          <w:bCs w:val="0"/>
          <w:color w:val="auto"/>
          <w:sz w:val="32"/>
          <w:szCs w:val="32"/>
          <w:highlight w:val="none"/>
          <w:lang w:val="en-US" w:eastAsia="zh-CN"/>
        </w:rPr>
        <w:t>表7.1-1  沙坡头区黄河干流断面水质类别比较</w:t>
      </w:r>
    </w:p>
    <w:tbl>
      <w:tblPr>
        <w:tblStyle w:val="17"/>
        <w:tblW w:w="8334" w:type="dxa"/>
        <w:jc w:val="center"/>
        <w:tblInd w:w="0" w:type="dxa"/>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
      <w:tblGrid>
        <w:gridCol w:w="1666"/>
        <w:gridCol w:w="1667"/>
        <w:gridCol w:w="1667"/>
        <w:gridCol w:w="1667"/>
        <w:gridCol w:w="1667"/>
      </w:tblGrid>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67" w:hRule="atLeast"/>
          <w:jc w:val="center"/>
        </w:trPr>
        <w:tc>
          <w:tcPr>
            <w:tcW w:w="1666" w:type="dxa"/>
            <w:tcBorders>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_GB2312" w:cs="Times New Roman"/>
                <w:b/>
                <w:bCs/>
                <w:color w:val="auto"/>
                <w:kern w:val="2"/>
                <w:szCs w:val="21"/>
                <w:highlight w:val="none"/>
                <w:lang w:val="en-US"/>
              </w:rPr>
              <w:t>断面名称</w:t>
            </w:r>
          </w:p>
        </w:tc>
        <w:tc>
          <w:tcPr>
            <w:tcW w:w="1667"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lang w:val="en-US"/>
              </w:rPr>
              <w:t>断面属性</w:t>
            </w:r>
          </w:p>
        </w:tc>
        <w:tc>
          <w:tcPr>
            <w:tcW w:w="1667"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lang w:val="en-US"/>
              </w:rPr>
              <w:t>断面功能</w:t>
            </w:r>
          </w:p>
        </w:tc>
        <w:tc>
          <w:tcPr>
            <w:tcW w:w="1667" w:type="dxa"/>
            <w:tcBorders>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lang w:val="en-US"/>
              </w:rPr>
              <w:t>考核目标</w:t>
            </w:r>
          </w:p>
        </w:tc>
        <w:tc>
          <w:tcPr>
            <w:tcW w:w="1667" w:type="dxa"/>
            <w:tcBorders>
              <w:left w:val="single" w:color="000000" w:sz="4" w:space="0"/>
              <w:bottom w:val="single" w:color="000000" w:sz="4" w:space="0"/>
            </w:tcBorders>
            <w:tcMar>
              <w:top w:w="15" w:type="dxa"/>
              <w:left w:w="15" w:type="dxa"/>
              <w:right w:w="15" w:type="dxa"/>
            </w:tcMar>
            <w:vAlign w:val="center"/>
          </w:tcPr>
          <w:p>
            <w:pPr>
              <w:pStyle w:val="24"/>
              <w:rPr>
                <w:rFonts w:hint="default" w:ascii="Times New Roman" w:hAnsi="Times New Roman" w:eastAsia="仿宋" w:cs="Times New Roman"/>
                <w:b/>
                <w:bCs/>
                <w:color w:val="auto"/>
                <w:highlight w:val="none"/>
              </w:rPr>
            </w:pPr>
            <w:r>
              <w:rPr>
                <w:rFonts w:hint="default" w:ascii="Times New Roman" w:hAnsi="Times New Roman" w:eastAsia="仿宋" w:cs="Times New Roman"/>
                <w:b/>
                <w:bCs/>
                <w:color w:val="auto"/>
                <w:highlight w:val="none"/>
                <w:lang w:val="en-US"/>
              </w:rPr>
              <w:t>现状水质</w:t>
            </w:r>
          </w:p>
        </w:tc>
      </w:tr>
      <w:tr>
        <w:tblPrEx>
          <w:tblBorders>
            <w:top w:val="single" w:color="auto" w:sz="12" w:space="0"/>
            <w:left w:val="single" w:color="auto" w:sz="12" w:space="0"/>
            <w:bottom w:val="single" w:color="auto" w:sz="12" w:space="0"/>
            <w:right w:val="single" w:color="auto" w:sz="12" w:space="0"/>
            <w:insideH w:val="none" w:color="auto" w:sz="4" w:space="0"/>
            <w:insideV w:val="none" w:color="auto" w:sz="4" w:space="0"/>
          </w:tblBorders>
          <w:tblLayout w:type="fixed"/>
          <w:tblCellMar>
            <w:top w:w="0" w:type="dxa"/>
            <w:left w:w="0" w:type="dxa"/>
            <w:bottom w:w="0" w:type="dxa"/>
            <w:right w:w="0" w:type="dxa"/>
          </w:tblCellMar>
        </w:tblPrEx>
        <w:trPr>
          <w:trHeight w:val="567" w:hRule="atLeast"/>
          <w:jc w:val="center"/>
        </w:trPr>
        <w:tc>
          <w:tcPr>
            <w:tcW w:w="1666" w:type="dxa"/>
            <w:tcBorders>
              <w:top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中卫下河沿</w:t>
            </w:r>
          </w:p>
        </w:tc>
        <w:tc>
          <w:tcPr>
            <w:tcW w:w="166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国控</w:t>
            </w:r>
          </w:p>
        </w:tc>
        <w:tc>
          <w:tcPr>
            <w:tcW w:w="166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甘肃—宁夏省界</w:t>
            </w:r>
          </w:p>
        </w:tc>
        <w:tc>
          <w:tcPr>
            <w:tcW w:w="1667" w:type="dxa"/>
            <w:tcBorders>
              <w:top w:val="single" w:color="000000" w:sz="4" w:space="0"/>
              <w:left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Ⅱ类</w:t>
            </w:r>
          </w:p>
        </w:tc>
        <w:tc>
          <w:tcPr>
            <w:tcW w:w="1667" w:type="dxa"/>
            <w:tcBorders>
              <w:top w:val="single" w:color="000000" w:sz="4" w:space="0"/>
              <w:left w:val="single" w:color="000000" w:sz="4" w:space="0"/>
            </w:tcBorders>
            <w:tcMar>
              <w:top w:w="15" w:type="dxa"/>
              <w:left w:w="15" w:type="dxa"/>
              <w:right w:w="15" w:type="dxa"/>
            </w:tcMar>
            <w:vAlign w:val="center"/>
          </w:tcPr>
          <w:p>
            <w:pPr>
              <w:pStyle w:val="24"/>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rPr>
              <w:t>Ⅱ类</w:t>
            </w:r>
          </w:p>
        </w:tc>
      </w:tr>
    </w:tbl>
    <w:p>
      <w:pPr>
        <w:spacing w:line="240" w:lineRule="auto"/>
        <w:rPr>
          <w:rFonts w:hint="default" w:ascii="Times New Roman" w:hAnsi="Times New Roman" w:eastAsia="仿宋_GB2312" w:cs="Times New Roman"/>
          <w:color w:val="auto"/>
          <w:sz w:val="21"/>
          <w:szCs w:val="21"/>
          <w:highlight w:val="none"/>
          <w:shd w:val="clear" w:color="auto" w:fill="FFFFFF"/>
        </w:rPr>
      </w:pPr>
      <w:r>
        <w:rPr>
          <w:rFonts w:hint="default" w:ascii="Times New Roman" w:hAnsi="Times New Roman" w:eastAsia="仿宋_GB2312" w:cs="Times New Roman"/>
          <w:b/>
          <w:bCs/>
          <w:color w:val="auto"/>
          <w:sz w:val="21"/>
          <w:szCs w:val="21"/>
          <w:highlight w:val="none"/>
          <w:shd w:val="clear" w:color="auto" w:fill="FFFFFF"/>
        </w:rPr>
        <w:t>注释：2020年9月水质月报，国家考核断面数据均采用国家采测分离数据。</w:t>
      </w:r>
    </w:p>
    <w:p>
      <w:pPr>
        <w:spacing w:line="560" w:lineRule="atLeast"/>
        <w:rPr>
          <w:rFonts w:hint="default" w:ascii="Times New Roman" w:hAnsi="Times New Roman" w:eastAsia="仿宋_GB2312" w:cs="Times New Roman"/>
          <w:bCs w:val="0"/>
          <w:color w:val="auto"/>
          <w:szCs w:val="32"/>
          <w:highlight w:val="none"/>
          <w:lang w:val="en-US" w:eastAsia="zh-CN"/>
        </w:rPr>
      </w:pPr>
      <w:r>
        <w:rPr>
          <w:rFonts w:hint="default" w:ascii="Times New Roman" w:hAnsi="Times New Roman" w:eastAsia="仿宋_GB2312" w:cs="Times New Roman"/>
          <w:bCs w:val="0"/>
          <w:color w:val="auto"/>
          <w:szCs w:val="32"/>
          <w:highlight w:val="none"/>
          <w:lang w:eastAsia="zh-CN"/>
        </w:rPr>
        <w:t>沙坡头区黄河支流断面水质类别比较，详见表</w:t>
      </w:r>
      <w:r>
        <w:rPr>
          <w:rFonts w:hint="default" w:ascii="Times New Roman" w:hAnsi="Times New Roman" w:eastAsia="仿宋_GB2312" w:cs="Times New Roman"/>
          <w:bCs w:val="0"/>
          <w:color w:val="auto"/>
          <w:szCs w:val="32"/>
          <w:highlight w:val="none"/>
          <w:lang w:val="en-US" w:eastAsia="zh-CN"/>
        </w:rPr>
        <w:t>7.1-2所示。</w:t>
      </w:r>
    </w:p>
    <w:p>
      <w:pPr>
        <w:pStyle w:val="22"/>
        <w:jc w:val="center"/>
        <w:rPr>
          <w:rFonts w:hint="default" w:ascii="Times New Roman" w:hAnsi="Times New Roman" w:eastAsia="方正小标宋_GBK" w:cs="Times New Roman"/>
          <w:b w:val="0"/>
          <w:bCs w:val="0"/>
          <w:color w:val="auto"/>
          <w:sz w:val="32"/>
          <w:szCs w:val="32"/>
          <w:highlight w:val="none"/>
          <w:lang w:val="en-US" w:eastAsia="zh-CN"/>
        </w:rPr>
      </w:pPr>
      <w:r>
        <w:rPr>
          <w:rFonts w:hint="default" w:ascii="Times New Roman" w:hAnsi="Times New Roman" w:eastAsia="方正小标宋_GBK" w:cs="Times New Roman"/>
          <w:b w:val="0"/>
          <w:bCs w:val="0"/>
          <w:color w:val="auto"/>
          <w:sz w:val="32"/>
          <w:szCs w:val="32"/>
          <w:highlight w:val="none"/>
          <w:lang w:val="en-US" w:eastAsia="zh-CN"/>
        </w:rPr>
        <w:t>表7.1-2  沙坡头区黄河支流断面水质类别比较</w:t>
      </w:r>
    </w:p>
    <w:tbl>
      <w:tblPr>
        <w:tblStyle w:val="17"/>
        <w:tblW w:w="8333" w:type="dxa"/>
        <w:tblInd w:w="0" w:type="dxa"/>
        <w:tblLayout w:type="fixed"/>
        <w:tblCellMar>
          <w:top w:w="0" w:type="dxa"/>
          <w:left w:w="0" w:type="dxa"/>
          <w:bottom w:w="0" w:type="dxa"/>
          <w:right w:w="0" w:type="dxa"/>
        </w:tblCellMar>
      </w:tblPr>
      <w:tblGrid>
        <w:gridCol w:w="1387"/>
        <w:gridCol w:w="2779"/>
        <w:gridCol w:w="1389"/>
        <w:gridCol w:w="1389"/>
        <w:gridCol w:w="1389"/>
      </w:tblGrid>
      <w:tr>
        <w:tblPrEx>
          <w:tblLayout w:type="fixed"/>
          <w:tblCellMar>
            <w:top w:w="0" w:type="dxa"/>
            <w:left w:w="0" w:type="dxa"/>
            <w:bottom w:w="0" w:type="dxa"/>
            <w:right w:w="0" w:type="dxa"/>
          </w:tblCellMar>
        </w:tblPrEx>
        <w:trPr>
          <w:trHeight w:val="510" w:hRule="atLeast"/>
        </w:trPr>
        <w:tc>
          <w:tcPr>
            <w:tcW w:w="1387" w:type="dxa"/>
            <w:tcBorders>
              <w:top w:val="single" w:color="auto" w:sz="12" w:space="0"/>
              <w:left w:val="single" w:color="auto" w:sz="12"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城市</w:t>
            </w:r>
          </w:p>
        </w:tc>
        <w:tc>
          <w:tcPr>
            <w:tcW w:w="2779" w:type="dxa"/>
            <w:tcBorders>
              <w:top w:val="single" w:color="auto" w:sz="12"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断面名称</w:t>
            </w:r>
          </w:p>
        </w:tc>
        <w:tc>
          <w:tcPr>
            <w:tcW w:w="1389" w:type="dxa"/>
            <w:tcBorders>
              <w:top w:val="single" w:color="auto" w:sz="12"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断面属性</w:t>
            </w:r>
          </w:p>
        </w:tc>
        <w:tc>
          <w:tcPr>
            <w:tcW w:w="1389" w:type="dxa"/>
            <w:tcBorders>
              <w:top w:val="single" w:color="auto" w:sz="12"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水质类别</w:t>
            </w:r>
          </w:p>
        </w:tc>
        <w:tc>
          <w:tcPr>
            <w:tcW w:w="1389" w:type="dxa"/>
            <w:tcBorders>
              <w:top w:val="single" w:color="auto" w:sz="12" w:space="0"/>
              <w:left w:val="single" w:color="000000" w:sz="4" w:space="0"/>
              <w:bottom w:val="single" w:color="000000" w:sz="4" w:space="0"/>
              <w:right w:val="single" w:color="auto" w:sz="12" w:space="0"/>
            </w:tcBorders>
            <w:tcMar>
              <w:top w:w="15" w:type="dxa"/>
              <w:left w:w="15" w:type="dxa"/>
              <w:right w:w="15" w:type="dxa"/>
            </w:tcMar>
            <w:vAlign w:val="center"/>
          </w:tcPr>
          <w:p>
            <w:pPr>
              <w:pStyle w:val="24"/>
              <w:rPr>
                <w:rFonts w:hint="default" w:ascii="Times New Roman" w:hAnsi="Times New Roman" w:eastAsia="仿宋_GB2312" w:cs="Times New Roman"/>
                <w:b/>
                <w:bCs/>
                <w:color w:val="auto"/>
                <w:kern w:val="2"/>
                <w:szCs w:val="21"/>
                <w:highlight w:val="none"/>
                <w:lang w:val="en-US"/>
              </w:rPr>
            </w:pPr>
            <w:r>
              <w:rPr>
                <w:rFonts w:hint="default" w:ascii="Times New Roman" w:hAnsi="Times New Roman" w:eastAsia="仿宋_GB2312" w:cs="Times New Roman"/>
                <w:b/>
                <w:bCs/>
                <w:color w:val="auto"/>
                <w:kern w:val="2"/>
                <w:szCs w:val="21"/>
                <w:highlight w:val="none"/>
                <w:lang w:val="en-US"/>
              </w:rPr>
              <w:t>现状水质</w:t>
            </w:r>
          </w:p>
        </w:tc>
      </w:tr>
      <w:tr>
        <w:tblPrEx>
          <w:tblLayout w:type="fixed"/>
          <w:tblCellMar>
            <w:top w:w="0" w:type="dxa"/>
            <w:left w:w="0" w:type="dxa"/>
            <w:bottom w:w="0" w:type="dxa"/>
            <w:right w:w="0" w:type="dxa"/>
          </w:tblCellMar>
        </w:tblPrEx>
        <w:trPr>
          <w:trHeight w:val="510" w:hRule="atLeast"/>
        </w:trPr>
        <w:tc>
          <w:tcPr>
            <w:tcW w:w="1387" w:type="dxa"/>
            <w:vMerge w:val="restart"/>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中卫市</w:t>
            </w:r>
          </w:p>
        </w:tc>
        <w:tc>
          <w:tcPr>
            <w:tcW w:w="27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第四排水沟</w:t>
            </w:r>
          </w:p>
        </w:tc>
        <w:tc>
          <w:tcPr>
            <w:tcW w:w="138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区控</w:t>
            </w:r>
          </w:p>
        </w:tc>
        <w:tc>
          <w:tcPr>
            <w:tcW w:w="138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Ⅳ类</w:t>
            </w:r>
          </w:p>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Ⅳ类</w:t>
            </w:r>
          </w:p>
        </w:tc>
        <w:tc>
          <w:tcPr>
            <w:tcW w:w="1389" w:type="dxa"/>
            <w:vMerge w:val="restart"/>
            <w:tcBorders>
              <w:top w:val="single" w:color="000000" w:sz="4" w:space="0"/>
              <w:left w:val="single" w:color="000000" w:sz="4" w:space="0"/>
              <w:bottom w:val="single" w:color="000000" w:sz="4" w:space="0"/>
              <w:right w:val="single" w:color="auto" w:sz="12"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Ⅲ类</w:t>
            </w:r>
          </w:p>
          <w:p>
            <w:pPr>
              <w:pStyle w:val="24"/>
              <w:rPr>
                <w:rFonts w:hint="default" w:ascii="Times New Roman" w:hAnsi="Times New Roman" w:eastAsia="仿宋_GB2312" w:cs="Times New Roman"/>
                <w:color w:val="auto"/>
                <w:kern w:val="2"/>
                <w:szCs w:val="21"/>
                <w:highlight w:val="none"/>
                <w:lang w:val="en-US"/>
              </w:rPr>
            </w:pPr>
          </w:p>
        </w:tc>
      </w:tr>
      <w:tr>
        <w:tblPrEx>
          <w:tblLayout w:type="fixed"/>
          <w:tblCellMar>
            <w:top w:w="0" w:type="dxa"/>
            <w:left w:w="0" w:type="dxa"/>
            <w:bottom w:w="0" w:type="dxa"/>
            <w:right w:w="0" w:type="dxa"/>
          </w:tblCellMar>
        </w:tblPrEx>
        <w:trPr>
          <w:trHeight w:val="510" w:hRule="atLeast"/>
        </w:trPr>
        <w:tc>
          <w:tcPr>
            <w:tcW w:w="1387" w:type="dxa"/>
            <w:vMerge w:val="continue"/>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p>
        </w:tc>
        <w:tc>
          <w:tcPr>
            <w:tcW w:w="27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（与原七排交汇处）</w:t>
            </w:r>
          </w:p>
        </w:tc>
        <w:tc>
          <w:tcPr>
            <w:tcW w:w="13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p>
        </w:tc>
        <w:tc>
          <w:tcPr>
            <w:tcW w:w="13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p>
        </w:tc>
        <w:tc>
          <w:tcPr>
            <w:tcW w:w="1389" w:type="dxa"/>
            <w:vMerge w:val="continue"/>
            <w:tcBorders>
              <w:top w:val="single" w:color="000000" w:sz="4" w:space="0"/>
              <w:left w:val="single" w:color="000000" w:sz="4" w:space="0"/>
              <w:bottom w:val="single" w:color="000000" w:sz="4" w:space="0"/>
              <w:right w:val="single" w:color="auto" w:sz="12"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p>
        </w:tc>
      </w:tr>
      <w:tr>
        <w:tblPrEx>
          <w:tblLayout w:type="fixed"/>
          <w:tblCellMar>
            <w:top w:w="0" w:type="dxa"/>
            <w:left w:w="0" w:type="dxa"/>
            <w:bottom w:w="0" w:type="dxa"/>
            <w:right w:w="0" w:type="dxa"/>
          </w:tblCellMar>
        </w:tblPrEx>
        <w:trPr>
          <w:trHeight w:val="510" w:hRule="atLeast"/>
        </w:trPr>
        <w:tc>
          <w:tcPr>
            <w:tcW w:w="1387" w:type="dxa"/>
            <w:vMerge w:val="continue"/>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p>
        </w:tc>
        <w:tc>
          <w:tcPr>
            <w:tcW w:w="27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第一排水沟入黄口</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区控</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Ⅳ类</w:t>
            </w:r>
          </w:p>
        </w:tc>
        <w:tc>
          <w:tcPr>
            <w:tcW w:w="1389" w:type="dxa"/>
            <w:tcBorders>
              <w:top w:val="single" w:color="000000" w:sz="4" w:space="0"/>
              <w:left w:val="single" w:color="000000" w:sz="4" w:space="0"/>
              <w:bottom w:val="single" w:color="000000" w:sz="4" w:space="0"/>
              <w:right w:val="single" w:color="auto" w:sz="12"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Ⅲ类</w:t>
            </w:r>
          </w:p>
        </w:tc>
      </w:tr>
      <w:tr>
        <w:tblPrEx>
          <w:tblLayout w:type="fixed"/>
          <w:tblCellMar>
            <w:top w:w="0" w:type="dxa"/>
            <w:left w:w="0" w:type="dxa"/>
            <w:bottom w:w="0" w:type="dxa"/>
            <w:right w:w="0" w:type="dxa"/>
          </w:tblCellMar>
        </w:tblPrEx>
        <w:trPr>
          <w:trHeight w:val="510" w:hRule="atLeast"/>
        </w:trPr>
        <w:tc>
          <w:tcPr>
            <w:tcW w:w="1387" w:type="dxa"/>
            <w:vMerge w:val="continue"/>
            <w:tcBorders>
              <w:top w:val="single" w:color="000000" w:sz="4" w:space="0"/>
              <w:left w:val="single" w:color="auto" w:sz="12"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p>
        </w:tc>
        <w:tc>
          <w:tcPr>
            <w:tcW w:w="277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第九排水沟入清水河</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区控</w:t>
            </w:r>
          </w:p>
        </w:tc>
        <w:tc>
          <w:tcPr>
            <w:tcW w:w="13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Ⅳ类</w:t>
            </w:r>
          </w:p>
        </w:tc>
        <w:tc>
          <w:tcPr>
            <w:tcW w:w="1389" w:type="dxa"/>
            <w:tcBorders>
              <w:top w:val="single" w:color="000000" w:sz="4" w:space="0"/>
              <w:left w:val="single" w:color="000000" w:sz="4" w:space="0"/>
              <w:bottom w:val="single" w:color="000000" w:sz="4" w:space="0"/>
              <w:right w:val="single" w:color="auto" w:sz="12" w:space="0"/>
            </w:tcBorders>
            <w:tcMar>
              <w:top w:w="15" w:type="dxa"/>
              <w:left w:w="15" w:type="dxa"/>
              <w:right w:w="15" w:type="dxa"/>
            </w:tcMar>
            <w:vAlign w:val="center"/>
          </w:tcPr>
          <w:p>
            <w:pPr>
              <w:pStyle w:val="24"/>
              <w:rPr>
                <w:rFonts w:hint="default" w:ascii="Times New Roman" w:hAnsi="Times New Roman" w:eastAsia="仿宋_GB2312" w:cs="Times New Roman"/>
                <w:color w:val="auto"/>
                <w:kern w:val="2"/>
                <w:szCs w:val="21"/>
                <w:highlight w:val="none"/>
                <w:lang w:val="en-US"/>
              </w:rPr>
            </w:pPr>
            <w:r>
              <w:rPr>
                <w:rFonts w:hint="default" w:ascii="Times New Roman" w:hAnsi="Times New Roman" w:eastAsia="仿宋_GB2312" w:cs="Times New Roman"/>
                <w:color w:val="auto"/>
                <w:kern w:val="2"/>
                <w:szCs w:val="21"/>
                <w:highlight w:val="none"/>
                <w:lang w:val="en-US"/>
              </w:rPr>
              <w:t>Ⅲ类</w:t>
            </w:r>
          </w:p>
        </w:tc>
      </w:tr>
    </w:tbl>
    <w:p>
      <w:pPr>
        <w:spacing w:line="240" w:lineRule="auto"/>
        <w:rPr>
          <w:rFonts w:hint="default" w:ascii="Times New Roman" w:hAnsi="Times New Roman" w:eastAsia="仿宋_GB2312" w:cs="Times New Roman"/>
          <w:b/>
          <w:bCs/>
          <w:color w:val="auto"/>
          <w:sz w:val="21"/>
          <w:szCs w:val="21"/>
          <w:highlight w:val="none"/>
          <w:shd w:val="clear" w:color="auto" w:fill="FFFFFF"/>
        </w:rPr>
      </w:pPr>
      <w:r>
        <w:rPr>
          <w:rFonts w:hint="default" w:ascii="Times New Roman" w:hAnsi="Times New Roman" w:cs="Times New Roman"/>
          <w:b/>
          <w:bCs/>
          <w:color w:val="auto"/>
          <w:sz w:val="21"/>
          <w:szCs w:val="21"/>
          <w:highlight w:val="none"/>
          <w:shd w:val="clear" w:color="auto" w:fill="FFFFFF"/>
          <w:lang w:eastAsia="zh-CN"/>
        </w:rPr>
        <w:t>注释</w:t>
      </w:r>
      <w:r>
        <w:rPr>
          <w:rFonts w:hint="default" w:ascii="Times New Roman" w:hAnsi="Times New Roman" w:eastAsia="仿宋_GB2312" w:cs="Times New Roman"/>
          <w:b/>
          <w:bCs/>
          <w:color w:val="auto"/>
          <w:sz w:val="21"/>
          <w:szCs w:val="21"/>
          <w:highlight w:val="none"/>
          <w:shd w:val="clear" w:color="auto" w:fill="FFFFFF"/>
        </w:rPr>
        <w:t>：按照《2020年全区水污染防治重点工作安排》，沙坡头区排水沟监测断面水质考核目标均为Ⅳ类。</w:t>
      </w:r>
    </w:p>
    <w:bookmarkEnd w:id="676"/>
    <w:bookmarkEnd w:id="677"/>
    <w:p>
      <w:pPr>
        <w:pStyle w:val="7"/>
        <w:spacing w:before="0" w:beforeLines="0" w:line="560" w:lineRule="exact"/>
        <w:rPr>
          <w:rFonts w:hint="default" w:ascii="Times New Roman" w:hAnsi="Times New Roman" w:eastAsia="仿宋_GB2312" w:cs="Times New Roman"/>
          <w:bCs/>
          <w:color w:val="auto"/>
          <w:kern w:val="2"/>
          <w:highlight w:val="none"/>
        </w:rPr>
      </w:pPr>
      <w:bookmarkStart w:id="700" w:name="_Toc27626"/>
      <w:bookmarkStart w:id="701" w:name="_Toc31775"/>
      <w:bookmarkStart w:id="702" w:name="_Toc1467"/>
      <w:bookmarkStart w:id="703" w:name="_Toc315"/>
      <w:bookmarkStart w:id="704" w:name="_Toc13931"/>
      <w:bookmarkStart w:id="705" w:name="_Toc27052"/>
      <w:bookmarkStart w:id="706" w:name="_Toc26274"/>
      <w:r>
        <w:rPr>
          <w:rFonts w:hint="default" w:ascii="Times New Roman" w:hAnsi="Times New Roman" w:eastAsia="仿宋_GB2312" w:cs="Times New Roman"/>
          <w:bCs/>
          <w:color w:val="auto"/>
          <w:kern w:val="2"/>
          <w:highlight w:val="none"/>
        </w:rPr>
        <w:t>7.1.3目前重要水功能区保护工作情况</w:t>
      </w:r>
      <w:bookmarkEnd w:id="700"/>
      <w:bookmarkEnd w:id="701"/>
      <w:bookmarkEnd w:id="702"/>
      <w:bookmarkEnd w:id="703"/>
      <w:bookmarkEnd w:id="704"/>
      <w:bookmarkEnd w:id="705"/>
      <w:bookmarkEnd w:id="706"/>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eastAsia="zh-CN"/>
        </w:rPr>
        <w:t>1</w:t>
      </w:r>
      <w:r>
        <w:rPr>
          <w:rFonts w:hint="default" w:ascii="Times New Roman" w:hAnsi="Times New Roman"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rPr>
        <w:t>水功能区按照取水许可、入河排污口设置、工程建设等分类实行分级管理。</w:t>
      </w:r>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eastAsia="zh-CN"/>
        </w:rPr>
        <w:t>2</w:t>
      </w:r>
      <w:r>
        <w:rPr>
          <w:rFonts w:hint="default" w:ascii="Times New Roman" w:hAnsi="Times New Roman"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rPr>
        <w:t>落实水功能区限制排污总量指标体系。自治区印发了《实行最严格水资源管理制度考核办法的通知》</w:t>
      </w:r>
      <w:r>
        <w:rPr>
          <w:rFonts w:hint="default" w:ascii="Times New Roman" w:hAnsi="Times New Roman" w:eastAsia="仿宋_GB2312" w:cs="Times New Roman"/>
          <w:color w:val="auto"/>
          <w:sz w:val="32"/>
          <w:szCs w:val="32"/>
          <w:highlight w:val="none"/>
          <w:lang w:val="en-US" w:eastAsia="zh-CN"/>
        </w:rPr>
        <w:t>（宁水发</w:t>
      </w:r>
      <w:r>
        <w:rPr>
          <w:rFonts w:hint="default" w:ascii="Times New Roman" w:hAnsi="Times New Roman" w:eastAsia="仿宋_GB2312" w:cs="Times New Roman"/>
          <w:color w:val="auto"/>
          <w:sz w:val="32"/>
          <w:szCs w:val="32"/>
          <w:highlight w:val="none"/>
        </w:rPr>
        <w:t>﹝20</w:t>
      </w:r>
      <w:r>
        <w:rPr>
          <w:rFonts w:hint="default" w:ascii="Times New Roman" w:hAnsi="Times New Roman" w:cs="Times New Roman"/>
          <w:color w:val="auto"/>
          <w:sz w:val="32"/>
          <w:szCs w:val="32"/>
          <w:highlight w:val="none"/>
          <w:lang w:val="en-US" w:eastAsia="zh-CN"/>
        </w:rPr>
        <w:t>13</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109号）</w:t>
      </w:r>
      <w:r>
        <w:rPr>
          <w:rFonts w:hint="default" w:ascii="Times New Roman" w:hAnsi="Times New Roman" w:eastAsia="仿宋_GB2312" w:cs="Times New Roman"/>
          <w:color w:val="auto"/>
          <w:kern w:val="2"/>
          <w:sz w:val="32"/>
          <w:szCs w:val="32"/>
          <w:highlight w:val="none"/>
        </w:rPr>
        <w:t>，落实行政区域水功能区水质达标体系。</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eastAsia="zh-CN"/>
        </w:rPr>
        <w:t>3</w:t>
      </w:r>
      <w:r>
        <w:rPr>
          <w:rFonts w:hint="default" w:ascii="Times New Roman" w:hAnsi="Times New Roman"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rPr>
        <w:t>落实考核制度。严格按照《宁夏实行最严格水资源管理制度和节水型社会建设考核工作实施方案》，最严格水资源管理情况进行了考核。</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eastAsia="zh-CN"/>
        </w:rPr>
        <w:t>4</w:t>
      </w:r>
      <w:r>
        <w:rPr>
          <w:rFonts w:hint="default" w:ascii="Times New Roman" w:hAnsi="Times New Roman"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rPr>
        <w:t>建立水环境管理联动工作机制。沙坡头区水务局、环境保护局建立了水环境保护联动工作机制。</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eastAsia="zh-CN"/>
        </w:rPr>
        <w:t>5</w:t>
      </w:r>
      <w:r>
        <w:rPr>
          <w:rFonts w:hint="default" w:ascii="Times New Roman" w:hAnsi="Times New Roman"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rPr>
        <w:t>整治入河湖排污口。</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cs="Times New Roman"/>
          <w:color w:val="auto"/>
          <w:sz w:val="32"/>
          <w:szCs w:val="32"/>
          <w:highlight w:val="none"/>
        </w:rPr>
      </w:pPr>
      <w:r>
        <w:rPr>
          <w:rFonts w:hint="default" w:ascii="Times New Roman" w:hAnsi="Times New Roman" w:cs="Times New Roman"/>
          <w:color w:val="auto"/>
          <w:kern w:val="2"/>
          <w:sz w:val="32"/>
          <w:szCs w:val="32"/>
          <w:highlight w:val="none"/>
          <w:lang w:eastAsia="zh-CN"/>
        </w:rPr>
        <w:t>6</w:t>
      </w:r>
      <w:r>
        <w:rPr>
          <w:rFonts w:hint="default" w:ascii="Times New Roman" w:hAnsi="Times New Roman" w:cs="Times New Roman"/>
          <w:color w:val="auto"/>
          <w:kern w:val="2"/>
          <w:sz w:val="32"/>
          <w:szCs w:val="32"/>
          <w:highlight w:val="none"/>
          <w:lang w:val="en-US" w:eastAsia="zh-CN"/>
        </w:rPr>
        <w:t>.</w:t>
      </w:r>
      <w:r>
        <w:rPr>
          <w:rFonts w:hint="default" w:ascii="Times New Roman" w:hAnsi="Times New Roman" w:eastAsia="仿宋_GB2312" w:cs="Times New Roman"/>
          <w:color w:val="auto"/>
          <w:kern w:val="2"/>
          <w:sz w:val="32"/>
          <w:szCs w:val="32"/>
          <w:highlight w:val="none"/>
        </w:rPr>
        <w:t>治理主要排水沟。充分利用农田退水、雨洪水，实施河湖连通工程，改善了人居环境。</w:t>
      </w:r>
    </w:p>
    <w:p>
      <w:pPr>
        <w:pStyle w:val="7"/>
        <w:keepNext w:val="0"/>
        <w:keepLines w:val="0"/>
        <w:pageBreakBefore w:val="0"/>
        <w:widowControl w:val="0"/>
        <w:kinsoku/>
        <w:wordWrap/>
        <w:overflowPunct/>
        <w:topLinePunct w:val="0"/>
        <w:autoSpaceDE/>
        <w:autoSpaceDN/>
        <w:bidi w:val="0"/>
        <w:adjustRightInd w:val="0"/>
        <w:snapToGrid w:val="0"/>
        <w:spacing w:before="0" w:beforeLines="0" w:line="500" w:lineRule="exact"/>
        <w:textAlignment w:val="auto"/>
        <w:rPr>
          <w:rFonts w:hint="default" w:ascii="Times New Roman" w:hAnsi="Times New Roman" w:eastAsia="仿宋_GB2312" w:cs="Times New Roman"/>
          <w:bCs/>
          <w:color w:val="auto"/>
          <w:kern w:val="2"/>
          <w:highlight w:val="none"/>
        </w:rPr>
      </w:pPr>
      <w:bookmarkStart w:id="707" w:name="_Toc3596"/>
      <w:bookmarkStart w:id="708" w:name="_Toc5064"/>
      <w:bookmarkStart w:id="709" w:name="_Toc8530"/>
      <w:bookmarkStart w:id="710" w:name="_Toc3079"/>
      <w:bookmarkStart w:id="711" w:name="_Toc24992"/>
      <w:bookmarkStart w:id="712" w:name="_Toc7195"/>
      <w:bookmarkStart w:id="713" w:name="_Toc32428"/>
      <w:r>
        <w:rPr>
          <w:rFonts w:hint="default" w:ascii="Times New Roman" w:hAnsi="Times New Roman" w:eastAsia="仿宋_GB2312" w:cs="Times New Roman"/>
          <w:bCs/>
          <w:color w:val="auto"/>
          <w:kern w:val="2"/>
          <w:highlight w:val="none"/>
        </w:rPr>
        <w:t>7.1.4主要措施</w:t>
      </w:r>
      <w:bookmarkEnd w:id="707"/>
      <w:bookmarkEnd w:id="708"/>
      <w:bookmarkEnd w:id="709"/>
      <w:bookmarkEnd w:id="710"/>
      <w:bookmarkEnd w:id="711"/>
      <w:bookmarkEnd w:id="712"/>
      <w:bookmarkEnd w:id="713"/>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lang w:val="en-US" w:eastAsia="zh-CN"/>
        </w:rPr>
        <w:t>1.</w:t>
      </w:r>
      <w:r>
        <w:rPr>
          <w:rFonts w:hint="default" w:ascii="Times New Roman" w:hAnsi="Times New Roman" w:eastAsia="仿宋_GB2312" w:cs="Times New Roman"/>
          <w:color w:val="auto"/>
          <w:kern w:val="2"/>
          <w:sz w:val="32"/>
          <w:szCs w:val="32"/>
          <w:highlight w:val="none"/>
        </w:rPr>
        <w:t>严格控制入河湖排污总量</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落实全国重要江河湖泊水功能区划，制定重要水功能区纳污能力和限制排污总量。负责实施水功能区限制排污总量控制红线管理，强化水功能区管理。严格入河湖排污口监督管理，限制审批新增严格入河湖排污口。同时，加强入河排污口整治力度，力争水质达标。</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lang w:val="en-US" w:eastAsia="zh-CN"/>
        </w:rPr>
        <w:t>2.</w:t>
      </w:r>
      <w:r>
        <w:rPr>
          <w:rFonts w:hint="default" w:ascii="Times New Roman" w:hAnsi="Times New Roman" w:eastAsia="仿宋_GB2312" w:cs="Times New Roman"/>
          <w:color w:val="auto"/>
          <w:kern w:val="2"/>
          <w:sz w:val="32"/>
          <w:szCs w:val="32"/>
          <w:highlight w:val="none"/>
        </w:rPr>
        <w:t>加快水生态系统保护与修复</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加强中小河流、水土流失和盐碱地综合治理，加强城乡饮用水源涵养区和引黄灌区湿地的保护，推进生态脆弱河流和引黄灌区水生态修复。实现水生态体系完整、水生态环境优美。根据国家有关政策，逐步建立健全水生态补偿机制。</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lang w:val="en-US" w:eastAsia="zh-CN"/>
        </w:rPr>
        <w:t>3.</w:t>
      </w:r>
      <w:r>
        <w:rPr>
          <w:rFonts w:hint="default" w:ascii="Times New Roman" w:hAnsi="Times New Roman" w:eastAsia="仿宋_GB2312" w:cs="Times New Roman"/>
          <w:color w:val="auto"/>
          <w:kern w:val="2"/>
          <w:sz w:val="32"/>
          <w:szCs w:val="32"/>
          <w:highlight w:val="none"/>
        </w:rPr>
        <w:t>严格规范水系建设</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按照自治区最严格水资源管理制度，严格实行用水总量控制，以水定需、量水而行、因水制宜，按照尊重、顺应、保护自然的原则，基本上保持现有湖泊湿地规模，原则上不增加水系面积。凡增加水系面积，按照《宁夏回族自治区湿地保护条例》要求，应开展水资源论证报告，并按照分级管理权限，报水行政主管部门审查。</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lang w:val="en-US" w:eastAsia="zh-CN"/>
        </w:rPr>
        <w:t>4.</w:t>
      </w:r>
      <w:r>
        <w:rPr>
          <w:rFonts w:hint="default" w:ascii="Times New Roman" w:hAnsi="Times New Roman" w:eastAsia="仿宋_GB2312" w:cs="Times New Roman"/>
          <w:color w:val="auto"/>
          <w:kern w:val="2"/>
          <w:sz w:val="32"/>
          <w:szCs w:val="32"/>
          <w:highlight w:val="none"/>
        </w:rPr>
        <w:t>加强监测及能力建设</w:t>
      </w:r>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建立重要水功能区水质监测和通报制度，定期检测、通报。</w:t>
      </w:r>
    </w:p>
    <w:p>
      <w:pPr>
        <w:pStyle w:val="6"/>
        <w:keepNext w:val="0"/>
        <w:keepLines w:val="0"/>
        <w:pageBreakBefore w:val="0"/>
        <w:widowControl w:val="0"/>
        <w:kinsoku/>
        <w:wordWrap/>
        <w:overflowPunct/>
        <w:topLinePunct w:val="0"/>
        <w:autoSpaceDE/>
        <w:autoSpaceDN/>
        <w:bidi w:val="0"/>
        <w:adjustRightInd w:val="0"/>
        <w:snapToGrid w:val="0"/>
        <w:spacing w:before="0" w:beforeLines="0" w:line="500" w:lineRule="exact"/>
        <w:textAlignment w:val="auto"/>
        <w:rPr>
          <w:rFonts w:hint="default" w:ascii="Times New Roman" w:hAnsi="Times New Roman" w:eastAsia="楷体_GB2312" w:cs="Times New Roman"/>
          <w:color w:val="auto"/>
          <w:highlight w:val="none"/>
        </w:rPr>
      </w:pPr>
      <w:bookmarkStart w:id="714" w:name="_Toc18919"/>
      <w:bookmarkStart w:id="715" w:name="_Toc27625"/>
      <w:bookmarkStart w:id="716" w:name="_Toc13547"/>
      <w:bookmarkStart w:id="717" w:name="_Toc9785"/>
      <w:bookmarkStart w:id="718" w:name="_Toc28"/>
      <w:bookmarkStart w:id="719" w:name="_Toc1916"/>
      <w:bookmarkStart w:id="720" w:name="_Toc419380520"/>
      <w:bookmarkStart w:id="721" w:name="_Toc26393"/>
      <w:bookmarkStart w:id="722" w:name="_Toc24100"/>
      <w:bookmarkStart w:id="723" w:name="_Toc402104341"/>
      <w:r>
        <w:rPr>
          <w:rFonts w:hint="default" w:ascii="Times New Roman" w:hAnsi="Times New Roman" w:eastAsia="楷体_GB2312" w:cs="Times New Roman"/>
          <w:color w:val="auto"/>
          <w:highlight w:val="none"/>
        </w:rPr>
        <w:t>7.2饮用水源地保护</w:t>
      </w:r>
      <w:bookmarkEnd w:id="714"/>
      <w:bookmarkEnd w:id="715"/>
      <w:bookmarkEnd w:id="716"/>
      <w:bookmarkEnd w:id="717"/>
      <w:bookmarkEnd w:id="718"/>
      <w:bookmarkEnd w:id="719"/>
      <w:bookmarkEnd w:id="720"/>
      <w:bookmarkEnd w:id="721"/>
      <w:bookmarkEnd w:id="722"/>
      <w:bookmarkEnd w:id="723"/>
    </w:p>
    <w:p>
      <w:pPr>
        <w:pStyle w:val="7"/>
        <w:keepNext w:val="0"/>
        <w:keepLines w:val="0"/>
        <w:pageBreakBefore w:val="0"/>
        <w:widowControl w:val="0"/>
        <w:kinsoku/>
        <w:wordWrap/>
        <w:overflowPunct/>
        <w:topLinePunct w:val="0"/>
        <w:autoSpaceDE/>
        <w:autoSpaceDN/>
        <w:bidi w:val="0"/>
        <w:adjustRightInd w:val="0"/>
        <w:snapToGrid w:val="0"/>
        <w:spacing w:before="0" w:beforeLines="0" w:line="500" w:lineRule="exact"/>
        <w:textAlignment w:val="auto"/>
        <w:rPr>
          <w:rFonts w:hint="default" w:ascii="Times New Roman" w:hAnsi="Times New Roman" w:eastAsia="仿宋_GB2312" w:cs="Times New Roman"/>
          <w:bCs/>
          <w:color w:val="auto"/>
          <w:kern w:val="2"/>
          <w:highlight w:val="none"/>
        </w:rPr>
      </w:pPr>
      <w:bookmarkStart w:id="724" w:name="_Toc27229"/>
      <w:bookmarkStart w:id="725" w:name="_Toc31774"/>
      <w:bookmarkStart w:id="726" w:name="_Toc3938"/>
      <w:bookmarkStart w:id="727" w:name="_Toc18777"/>
      <w:bookmarkStart w:id="728" w:name="_Toc14340"/>
      <w:bookmarkStart w:id="729" w:name="_Toc26705"/>
      <w:bookmarkStart w:id="730" w:name="_Toc30898"/>
      <w:r>
        <w:rPr>
          <w:rFonts w:hint="default" w:ascii="Times New Roman" w:hAnsi="Times New Roman" w:eastAsia="仿宋_GB2312" w:cs="Times New Roman"/>
          <w:bCs/>
          <w:color w:val="auto"/>
          <w:kern w:val="2"/>
          <w:highlight w:val="none"/>
        </w:rPr>
        <w:t>7.2.1集中水源地基本情况</w:t>
      </w:r>
      <w:bookmarkEnd w:id="724"/>
      <w:bookmarkEnd w:id="725"/>
      <w:bookmarkEnd w:id="726"/>
      <w:bookmarkEnd w:id="727"/>
      <w:bookmarkEnd w:id="728"/>
      <w:bookmarkEnd w:id="729"/>
      <w:bookmarkEnd w:id="730"/>
    </w:p>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_GB2312" w:cs="Times New Roman"/>
          <w:color w:val="auto"/>
          <w:kern w:val="2"/>
          <w:szCs w:val="30"/>
          <w:highlight w:val="none"/>
        </w:rPr>
      </w:pPr>
      <w:r>
        <w:rPr>
          <w:rFonts w:hint="default" w:ascii="Times New Roman" w:hAnsi="Times New Roman" w:eastAsia="仿宋_GB2312" w:cs="Times New Roman"/>
          <w:color w:val="auto"/>
          <w:kern w:val="2"/>
          <w:sz w:val="32"/>
          <w:szCs w:val="32"/>
          <w:highlight w:val="none"/>
        </w:rPr>
        <w:t>沙坡头区集中式供水饮用水水源地1处，</w:t>
      </w:r>
      <w:r>
        <w:rPr>
          <w:rFonts w:hint="default" w:ascii="Times New Roman" w:hAnsi="Times New Roman" w:cs="Times New Roman"/>
          <w:color w:val="auto"/>
          <w:kern w:val="2"/>
          <w:sz w:val="32"/>
          <w:szCs w:val="32"/>
          <w:highlight w:val="none"/>
          <w:lang w:eastAsia="zh-CN"/>
        </w:rPr>
        <w:t>详</w:t>
      </w:r>
      <w:r>
        <w:rPr>
          <w:rFonts w:hint="default" w:ascii="Times New Roman" w:hAnsi="Times New Roman" w:eastAsia="仿宋_GB2312" w:cs="Times New Roman"/>
          <w:color w:val="auto"/>
          <w:kern w:val="2"/>
          <w:sz w:val="32"/>
          <w:szCs w:val="32"/>
          <w:highlight w:val="none"/>
        </w:rPr>
        <w:t>见表7.2-1</w:t>
      </w:r>
      <w:r>
        <w:rPr>
          <w:rFonts w:hint="default" w:ascii="Times New Roman" w:hAnsi="Times New Roman" w:cs="Times New Roman"/>
          <w:color w:val="auto"/>
          <w:kern w:val="2"/>
          <w:sz w:val="32"/>
          <w:szCs w:val="32"/>
          <w:highlight w:val="none"/>
          <w:lang w:eastAsia="zh-CN"/>
        </w:rPr>
        <w:t>所示</w:t>
      </w:r>
      <w:r>
        <w:rPr>
          <w:rFonts w:hint="default" w:ascii="Times New Roman" w:hAnsi="Times New Roman" w:eastAsia="仿宋_GB2312" w:cs="Times New Roman"/>
          <w:color w:val="auto"/>
          <w:kern w:val="2"/>
          <w:sz w:val="32"/>
          <w:szCs w:val="32"/>
          <w:highlight w:val="none"/>
        </w:rPr>
        <w:t>。</w:t>
      </w:r>
    </w:p>
    <w:p>
      <w:pPr>
        <w:pStyle w:val="22"/>
        <w:jc w:val="center"/>
        <w:rPr>
          <w:rFonts w:hint="default" w:ascii="Times New Roman" w:hAnsi="Times New Roman" w:eastAsia="方正小标宋_GBK" w:cs="Times New Roman"/>
          <w:b w:val="0"/>
          <w:bCs w:val="0"/>
          <w:color w:val="auto"/>
          <w:sz w:val="32"/>
          <w:szCs w:val="32"/>
          <w:highlight w:val="none"/>
          <w:lang w:val="en-US" w:eastAsia="zh-CN"/>
        </w:rPr>
      </w:pPr>
      <w:r>
        <w:rPr>
          <w:rFonts w:hint="default" w:ascii="Times New Roman" w:hAnsi="Times New Roman" w:eastAsia="方正小标宋_GBK" w:cs="Times New Roman"/>
          <w:b w:val="0"/>
          <w:bCs w:val="0"/>
          <w:color w:val="auto"/>
          <w:sz w:val="32"/>
          <w:szCs w:val="32"/>
          <w:highlight w:val="none"/>
          <w:lang w:val="en-US" w:eastAsia="zh-CN"/>
        </w:rPr>
        <w:t>表7.2-1  沙坡头区集中式饮用水水源地保护区划分情况统计表</w:t>
      </w:r>
    </w:p>
    <w:tbl>
      <w:tblPr>
        <w:tblStyle w:val="17"/>
        <w:tblW w:w="851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1"/>
        <w:gridCol w:w="1116"/>
        <w:gridCol w:w="1033"/>
        <w:gridCol w:w="845"/>
        <w:gridCol w:w="600"/>
        <w:gridCol w:w="1207"/>
        <w:gridCol w:w="989"/>
        <w:gridCol w:w="1074"/>
        <w:gridCol w:w="9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1" w:hRule="atLeast"/>
          <w:jc w:val="center"/>
        </w:trPr>
        <w:tc>
          <w:tcPr>
            <w:tcW w:w="731" w:type="dxa"/>
            <w:vMerge w:val="restart"/>
            <w:vAlign w:val="center"/>
          </w:tcPr>
          <w:p>
            <w:pPr>
              <w:pStyle w:val="24"/>
              <w:rPr>
                <w:rFonts w:hint="default" w:ascii="Times New Roman" w:hAnsi="Times New Roman" w:eastAsia="仿宋" w:cs="Times New Roman"/>
                <w:b/>
                <w:bCs/>
                <w:color w:val="auto"/>
                <w:sz w:val="21"/>
                <w:szCs w:val="28"/>
                <w:highlight w:val="none"/>
                <w:lang w:val="en-US"/>
              </w:rPr>
            </w:pPr>
            <w:r>
              <w:rPr>
                <w:rFonts w:hint="default" w:ascii="Times New Roman" w:hAnsi="Times New Roman" w:eastAsia="仿宋_GB2312" w:cs="Times New Roman"/>
                <w:b/>
                <w:bCs/>
                <w:color w:val="auto"/>
                <w:kern w:val="2"/>
                <w:sz w:val="21"/>
                <w:szCs w:val="21"/>
                <w:highlight w:val="none"/>
                <w:lang w:val="en-US"/>
              </w:rPr>
              <w:t>序号</w:t>
            </w:r>
          </w:p>
        </w:tc>
        <w:tc>
          <w:tcPr>
            <w:tcW w:w="1116" w:type="dxa"/>
            <w:vMerge w:val="restart"/>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县（区）级</w:t>
            </w:r>
          </w:p>
        </w:tc>
        <w:tc>
          <w:tcPr>
            <w:tcW w:w="1033" w:type="dxa"/>
            <w:vMerge w:val="restart"/>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水源地</w:t>
            </w:r>
          </w:p>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名称</w:t>
            </w:r>
          </w:p>
        </w:tc>
        <w:tc>
          <w:tcPr>
            <w:tcW w:w="845" w:type="dxa"/>
            <w:vMerge w:val="restart"/>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类型</w:t>
            </w:r>
          </w:p>
        </w:tc>
        <w:tc>
          <w:tcPr>
            <w:tcW w:w="600" w:type="dxa"/>
            <w:vMerge w:val="restart"/>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使用状态</w:t>
            </w:r>
          </w:p>
        </w:tc>
        <w:tc>
          <w:tcPr>
            <w:tcW w:w="1207" w:type="dxa"/>
            <w:vMerge w:val="restart"/>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保护区</w:t>
            </w:r>
          </w:p>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划定情况</w:t>
            </w:r>
          </w:p>
        </w:tc>
        <w:tc>
          <w:tcPr>
            <w:tcW w:w="2987" w:type="dxa"/>
            <w:gridSpan w:val="3"/>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保护区面积（km</w:t>
            </w:r>
            <w:r>
              <w:rPr>
                <w:rFonts w:hint="default" w:ascii="Times New Roman" w:hAnsi="Times New Roman" w:eastAsia="仿宋_GB2312" w:cs="Times New Roman"/>
                <w:b/>
                <w:bCs/>
                <w:color w:val="auto"/>
                <w:kern w:val="2"/>
                <w:sz w:val="21"/>
                <w:szCs w:val="21"/>
                <w:highlight w:val="none"/>
                <w:vertAlign w:val="superscript"/>
                <w:lang w:val="en-US" w:eastAsia="zh-CN"/>
              </w:rPr>
              <w:t>2</w:t>
            </w:r>
            <w:r>
              <w:rPr>
                <w:rFonts w:hint="default" w:ascii="Times New Roman" w:hAnsi="Times New Roman" w:eastAsia="仿宋_GB2312" w:cs="Times New Roman"/>
                <w:b/>
                <w:bCs/>
                <w:color w:val="auto"/>
                <w:kern w:val="2"/>
                <w:sz w:val="21"/>
                <w:szCs w:val="21"/>
                <w:highlight w:val="none"/>
                <w:lang w:val="en-U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715" w:hRule="atLeast"/>
          <w:jc w:val="center"/>
        </w:trPr>
        <w:tc>
          <w:tcPr>
            <w:tcW w:w="731" w:type="dxa"/>
            <w:vMerge w:val="continue"/>
            <w:vAlign w:val="center"/>
          </w:tcPr>
          <w:p>
            <w:pPr>
              <w:pStyle w:val="24"/>
              <w:rPr>
                <w:rFonts w:hint="default" w:ascii="Times New Roman" w:hAnsi="Times New Roman" w:eastAsia="仿宋" w:cs="Times New Roman"/>
                <w:color w:val="auto"/>
                <w:sz w:val="21"/>
                <w:szCs w:val="28"/>
                <w:highlight w:val="none"/>
                <w:lang w:val="en-US"/>
              </w:rPr>
            </w:pPr>
          </w:p>
        </w:tc>
        <w:tc>
          <w:tcPr>
            <w:tcW w:w="1116" w:type="dxa"/>
            <w:vMerge w:val="continue"/>
            <w:vAlign w:val="center"/>
          </w:tcPr>
          <w:p>
            <w:pPr>
              <w:pStyle w:val="24"/>
              <w:rPr>
                <w:rFonts w:hint="default" w:ascii="Times New Roman" w:hAnsi="Times New Roman" w:eastAsia="仿宋_GB2312" w:cs="Times New Roman"/>
                <w:color w:val="auto"/>
                <w:kern w:val="2"/>
                <w:sz w:val="21"/>
                <w:szCs w:val="21"/>
                <w:highlight w:val="none"/>
                <w:lang w:val="en-US"/>
              </w:rPr>
            </w:pPr>
          </w:p>
        </w:tc>
        <w:tc>
          <w:tcPr>
            <w:tcW w:w="1033" w:type="dxa"/>
            <w:vMerge w:val="continue"/>
            <w:vAlign w:val="center"/>
          </w:tcPr>
          <w:p>
            <w:pPr>
              <w:pStyle w:val="24"/>
              <w:rPr>
                <w:rFonts w:hint="default" w:ascii="Times New Roman" w:hAnsi="Times New Roman" w:eastAsia="仿宋_GB2312" w:cs="Times New Roman"/>
                <w:color w:val="auto"/>
                <w:kern w:val="2"/>
                <w:sz w:val="21"/>
                <w:szCs w:val="21"/>
                <w:highlight w:val="none"/>
                <w:lang w:val="en-US"/>
              </w:rPr>
            </w:pPr>
          </w:p>
        </w:tc>
        <w:tc>
          <w:tcPr>
            <w:tcW w:w="845" w:type="dxa"/>
            <w:vMerge w:val="continue"/>
            <w:vAlign w:val="center"/>
          </w:tcPr>
          <w:p>
            <w:pPr>
              <w:pStyle w:val="24"/>
              <w:rPr>
                <w:rFonts w:hint="default" w:ascii="Times New Roman" w:hAnsi="Times New Roman" w:eastAsia="仿宋_GB2312" w:cs="Times New Roman"/>
                <w:color w:val="auto"/>
                <w:kern w:val="2"/>
                <w:sz w:val="21"/>
                <w:szCs w:val="21"/>
                <w:highlight w:val="none"/>
                <w:lang w:val="en-US"/>
              </w:rPr>
            </w:pPr>
          </w:p>
        </w:tc>
        <w:tc>
          <w:tcPr>
            <w:tcW w:w="600" w:type="dxa"/>
            <w:vMerge w:val="continue"/>
            <w:vAlign w:val="center"/>
          </w:tcPr>
          <w:p>
            <w:pPr>
              <w:pStyle w:val="24"/>
              <w:rPr>
                <w:rFonts w:hint="default" w:ascii="Times New Roman" w:hAnsi="Times New Roman" w:eastAsia="仿宋_GB2312" w:cs="Times New Roman"/>
                <w:color w:val="auto"/>
                <w:kern w:val="2"/>
                <w:sz w:val="21"/>
                <w:szCs w:val="21"/>
                <w:highlight w:val="none"/>
                <w:lang w:val="en-US"/>
              </w:rPr>
            </w:pPr>
          </w:p>
        </w:tc>
        <w:tc>
          <w:tcPr>
            <w:tcW w:w="1207" w:type="dxa"/>
            <w:vMerge w:val="continue"/>
            <w:vAlign w:val="center"/>
          </w:tcPr>
          <w:p>
            <w:pPr>
              <w:pStyle w:val="24"/>
              <w:rPr>
                <w:rFonts w:hint="default" w:ascii="Times New Roman" w:hAnsi="Times New Roman" w:eastAsia="仿宋_GB2312" w:cs="Times New Roman"/>
                <w:b/>
                <w:bCs/>
                <w:color w:val="auto"/>
                <w:kern w:val="2"/>
                <w:sz w:val="21"/>
                <w:szCs w:val="21"/>
                <w:highlight w:val="none"/>
                <w:lang w:val="en-US"/>
              </w:rPr>
            </w:pPr>
          </w:p>
        </w:tc>
        <w:tc>
          <w:tcPr>
            <w:tcW w:w="989" w:type="dxa"/>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一级</w:t>
            </w:r>
          </w:p>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保护区</w:t>
            </w:r>
          </w:p>
        </w:tc>
        <w:tc>
          <w:tcPr>
            <w:tcW w:w="1074" w:type="dxa"/>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二级</w:t>
            </w:r>
          </w:p>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保护区</w:t>
            </w:r>
          </w:p>
        </w:tc>
        <w:tc>
          <w:tcPr>
            <w:tcW w:w="924" w:type="dxa"/>
            <w:vAlign w:val="center"/>
          </w:tcPr>
          <w:p>
            <w:pPr>
              <w:pStyle w:val="24"/>
              <w:rPr>
                <w:rFonts w:hint="default" w:ascii="Times New Roman" w:hAnsi="Times New Roman" w:eastAsia="仿宋_GB2312" w:cs="Times New Roman"/>
                <w:b/>
                <w:bCs/>
                <w:color w:val="auto"/>
                <w:kern w:val="2"/>
                <w:sz w:val="21"/>
                <w:szCs w:val="21"/>
                <w:highlight w:val="none"/>
                <w:lang w:val="en-US"/>
              </w:rPr>
            </w:pPr>
            <w:r>
              <w:rPr>
                <w:rFonts w:hint="default" w:ascii="Times New Roman" w:hAnsi="Times New Roman" w:eastAsia="仿宋_GB2312" w:cs="Times New Roman"/>
                <w:b/>
                <w:bCs/>
                <w:color w:val="auto"/>
                <w:kern w:val="2"/>
                <w:sz w:val="21"/>
                <w:szCs w:val="21"/>
                <w:highlight w:val="none"/>
                <w:lang w:val="en-US"/>
              </w:rPr>
              <w:t>准保护区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29" w:hRule="atLeast"/>
          <w:jc w:val="center"/>
        </w:trPr>
        <w:tc>
          <w:tcPr>
            <w:tcW w:w="731" w:type="dxa"/>
            <w:vAlign w:val="center"/>
          </w:tcPr>
          <w:p>
            <w:pPr>
              <w:pStyle w:val="24"/>
              <w:rPr>
                <w:rFonts w:hint="default" w:ascii="Times New Roman" w:hAnsi="Times New Roman" w:eastAsia="仿宋" w:cs="Times New Roman"/>
                <w:color w:val="auto"/>
                <w:sz w:val="21"/>
                <w:szCs w:val="28"/>
                <w:highlight w:val="none"/>
                <w:lang w:val="en-US"/>
              </w:rPr>
            </w:pPr>
            <w:r>
              <w:rPr>
                <w:rFonts w:hint="default" w:ascii="Times New Roman" w:hAnsi="Times New Roman" w:eastAsia="仿宋_GB2312" w:cs="Times New Roman"/>
                <w:color w:val="auto"/>
                <w:kern w:val="2"/>
                <w:sz w:val="21"/>
                <w:szCs w:val="21"/>
                <w:highlight w:val="none"/>
                <w:lang w:val="en-US"/>
              </w:rPr>
              <w:t>1</w:t>
            </w:r>
          </w:p>
        </w:tc>
        <w:tc>
          <w:tcPr>
            <w:tcW w:w="1116" w:type="dxa"/>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rPr>
              <w:t>沙坡头区</w:t>
            </w:r>
          </w:p>
        </w:tc>
        <w:tc>
          <w:tcPr>
            <w:tcW w:w="1033" w:type="dxa"/>
            <w:vAlign w:val="center"/>
          </w:tcPr>
          <w:p>
            <w:pPr>
              <w:pStyle w:val="24"/>
              <w:rPr>
                <w:rFonts w:hint="default" w:ascii="Times New Roman" w:hAnsi="Times New Roman" w:eastAsia="仿宋_GB2312" w:cs="Times New Roman"/>
                <w:color w:val="auto"/>
                <w:kern w:val="2"/>
                <w:sz w:val="21"/>
                <w:szCs w:val="21"/>
                <w:highlight w:val="none"/>
                <w:lang w:val="en-US" w:eastAsia="zh-CN"/>
              </w:rPr>
            </w:pPr>
            <w:r>
              <w:rPr>
                <w:rFonts w:hint="default" w:ascii="Times New Roman" w:hAnsi="Times New Roman" w:eastAsia="仿宋_GB2312" w:cs="Times New Roman"/>
                <w:color w:val="auto"/>
                <w:kern w:val="2"/>
                <w:sz w:val="21"/>
                <w:szCs w:val="21"/>
                <w:highlight w:val="none"/>
                <w:lang w:val="en-US"/>
              </w:rPr>
              <w:t>沙坡头</w:t>
            </w:r>
            <w:r>
              <w:rPr>
                <w:rFonts w:hint="default" w:ascii="Times New Roman" w:hAnsi="Times New Roman" w:eastAsia="仿宋_GB2312" w:cs="Times New Roman"/>
                <w:color w:val="auto"/>
                <w:kern w:val="2"/>
                <w:sz w:val="21"/>
                <w:szCs w:val="21"/>
                <w:highlight w:val="none"/>
                <w:lang w:val="en-US" w:eastAsia="zh-CN"/>
              </w:rPr>
              <w:t>区</w:t>
            </w:r>
          </w:p>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rPr>
              <w:t>水源地</w:t>
            </w:r>
          </w:p>
        </w:tc>
        <w:tc>
          <w:tcPr>
            <w:tcW w:w="845" w:type="dxa"/>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rPr>
              <w:t>地下水</w:t>
            </w:r>
          </w:p>
        </w:tc>
        <w:tc>
          <w:tcPr>
            <w:tcW w:w="600" w:type="dxa"/>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rPr>
              <w:t>现用</w:t>
            </w:r>
          </w:p>
        </w:tc>
        <w:tc>
          <w:tcPr>
            <w:tcW w:w="1207" w:type="dxa"/>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rPr>
              <w:t>划分</w:t>
            </w:r>
          </w:p>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rPr>
              <w:t>已批复</w:t>
            </w:r>
          </w:p>
        </w:tc>
        <w:tc>
          <w:tcPr>
            <w:tcW w:w="989" w:type="dxa"/>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rPr>
              <w:t>19.5</w:t>
            </w:r>
          </w:p>
        </w:tc>
        <w:tc>
          <w:tcPr>
            <w:tcW w:w="1074" w:type="dxa"/>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rPr>
              <w:t>40</w:t>
            </w:r>
          </w:p>
        </w:tc>
        <w:tc>
          <w:tcPr>
            <w:tcW w:w="924" w:type="dxa"/>
            <w:vAlign w:val="center"/>
          </w:tcPr>
          <w:p>
            <w:pPr>
              <w:pStyle w:val="24"/>
              <w:rPr>
                <w:rFonts w:hint="default" w:ascii="Times New Roman" w:hAnsi="Times New Roman" w:eastAsia="仿宋_GB2312" w:cs="Times New Roman"/>
                <w:color w:val="auto"/>
                <w:kern w:val="2"/>
                <w:sz w:val="21"/>
                <w:szCs w:val="21"/>
                <w:highlight w:val="none"/>
                <w:lang w:val="en-US"/>
              </w:rPr>
            </w:pPr>
            <w:r>
              <w:rPr>
                <w:rFonts w:hint="default" w:ascii="Times New Roman" w:hAnsi="Times New Roman" w:eastAsia="仿宋_GB2312" w:cs="Times New Roman"/>
                <w:color w:val="auto"/>
                <w:kern w:val="2"/>
                <w:sz w:val="21"/>
                <w:szCs w:val="21"/>
                <w:highlight w:val="none"/>
                <w:lang w:val="en-US"/>
              </w:rPr>
              <w:t>—</w:t>
            </w:r>
          </w:p>
        </w:tc>
      </w:tr>
    </w:tbl>
    <w:p>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按照《自治区人民政府印发关于落实全国城市饮用水水源地环境保护规划（2008-2020年）实施意见的通知》（宁政发</w:t>
      </w:r>
      <w:r>
        <w:rPr>
          <w:rFonts w:hint="default" w:ascii="Times New Roman" w:hAnsi="Times New Roman" w:eastAsia="仿宋_GB2312" w:cs="Times New Roman"/>
          <w:color w:val="auto"/>
          <w:szCs w:val="30"/>
          <w:highlight w:val="none"/>
        </w:rPr>
        <w:t>﹝201</w:t>
      </w:r>
      <w:r>
        <w:rPr>
          <w:rFonts w:hint="default" w:ascii="Times New Roman" w:hAnsi="Times New Roman" w:cs="Times New Roman"/>
          <w:color w:val="auto"/>
          <w:szCs w:val="30"/>
          <w:highlight w:val="none"/>
          <w:lang w:val="en-US" w:eastAsia="zh-CN"/>
        </w:rPr>
        <w:t>3</w:t>
      </w:r>
      <w:r>
        <w:rPr>
          <w:rFonts w:hint="default" w:ascii="Times New Roman" w:hAnsi="Times New Roman" w:eastAsia="仿宋_GB2312" w:cs="Times New Roman"/>
          <w:color w:val="auto"/>
          <w:szCs w:val="30"/>
          <w:highlight w:val="none"/>
        </w:rPr>
        <w:t>﹞</w:t>
      </w:r>
      <w:r>
        <w:rPr>
          <w:rFonts w:hint="default" w:ascii="Times New Roman" w:hAnsi="Times New Roman" w:eastAsia="仿宋_GB2312" w:cs="Times New Roman"/>
          <w:color w:val="auto"/>
          <w:kern w:val="2"/>
          <w:sz w:val="32"/>
          <w:szCs w:val="32"/>
          <w:highlight w:val="none"/>
        </w:rPr>
        <w:t>9号），将水源地总体目标按水质状况、保护区划分与管理、一级保护区整治、水源地监管能力分为4类共5项指标</w:t>
      </w:r>
      <w:r>
        <w:rPr>
          <w:rFonts w:hint="default" w:ascii="Times New Roman" w:hAnsi="Times New Roman" w:cs="Times New Roman"/>
          <w:color w:val="auto"/>
          <w:kern w:val="2"/>
          <w:sz w:val="32"/>
          <w:szCs w:val="32"/>
          <w:highlight w:val="none"/>
          <w:lang w:eastAsia="zh-CN"/>
        </w:rPr>
        <w:t>。详</w:t>
      </w:r>
      <w:r>
        <w:rPr>
          <w:rFonts w:hint="default" w:ascii="Times New Roman" w:hAnsi="Times New Roman" w:eastAsia="仿宋_GB2312" w:cs="Times New Roman"/>
          <w:color w:val="auto"/>
          <w:kern w:val="2"/>
          <w:sz w:val="32"/>
          <w:szCs w:val="32"/>
          <w:highlight w:val="none"/>
        </w:rPr>
        <w:t>见表7.2-2</w:t>
      </w:r>
      <w:r>
        <w:rPr>
          <w:rFonts w:hint="default" w:ascii="Times New Roman" w:hAnsi="Times New Roman" w:cs="Times New Roman"/>
          <w:color w:val="auto"/>
          <w:kern w:val="2"/>
          <w:sz w:val="32"/>
          <w:szCs w:val="32"/>
          <w:highlight w:val="none"/>
          <w:lang w:eastAsia="zh-CN"/>
        </w:rPr>
        <w:t>所示</w:t>
      </w:r>
      <w:r>
        <w:rPr>
          <w:rFonts w:hint="default" w:ascii="Times New Roman" w:hAnsi="Times New Roman" w:eastAsia="仿宋_GB2312" w:cs="Times New Roman"/>
          <w:color w:val="auto"/>
          <w:kern w:val="2"/>
          <w:sz w:val="32"/>
          <w:szCs w:val="32"/>
          <w:highlight w:val="none"/>
        </w:rPr>
        <w:t>。</w:t>
      </w:r>
    </w:p>
    <w:p>
      <w:pPr>
        <w:pStyle w:val="22"/>
        <w:jc w:val="center"/>
        <w:rPr>
          <w:rFonts w:hint="default" w:ascii="Times New Roman" w:hAnsi="Times New Roman" w:eastAsia="方正小标宋_GBK" w:cs="Times New Roman"/>
          <w:b w:val="0"/>
          <w:bCs w:val="0"/>
          <w:color w:val="auto"/>
          <w:sz w:val="32"/>
          <w:szCs w:val="32"/>
          <w:highlight w:val="none"/>
          <w:lang w:val="en-US" w:eastAsia="zh-CN"/>
        </w:rPr>
      </w:pPr>
      <w:r>
        <w:rPr>
          <w:rFonts w:hint="default" w:ascii="Times New Roman" w:hAnsi="Times New Roman" w:eastAsia="方正小标宋_GBK" w:cs="Times New Roman"/>
          <w:b w:val="0"/>
          <w:bCs w:val="0"/>
          <w:color w:val="auto"/>
          <w:sz w:val="32"/>
          <w:szCs w:val="32"/>
          <w:highlight w:val="none"/>
          <w:lang w:val="en-US" w:eastAsia="zh-CN"/>
        </w:rPr>
        <w:t>表7.2-2  水源地主要指标表</w:t>
      </w:r>
    </w:p>
    <w:tbl>
      <w:tblPr>
        <w:tblStyle w:val="17"/>
        <w:tblW w:w="873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4"/>
        <w:gridCol w:w="1919"/>
        <w:gridCol w:w="3079"/>
        <w:gridCol w:w="923"/>
        <w:gridCol w:w="879"/>
        <w:gridCol w:w="1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exact"/>
          <w:jc w:val="center"/>
        </w:trPr>
        <w:tc>
          <w:tcPr>
            <w:tcW w:w="704" w:type="dxa"/>
            <w:vMerge w:val="restart"/>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序号</w:t>
            </w:r>
          </w:p>
        </w:tc>
        <w:tc>
          <w:tcPr>
            <w:tcW w:w="1919" w:type="dxa"/>
            <w:vMerge w:val="restart"/>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分类</w:t>
            </w:r>
          </w:p>
        </w:tc>
        <w:tc>
          <w:tcPr>
            <w:tcW w:w="3079" w:type="dxa"/>
            <w:vMerge w:val="restart"/>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规划指标</w:t>
            </w:r>
          </w:p>
        </w:tc>
        <w:tc>
          <w:tcPr>
            <w:tcW w:w="1802" w:type="dxa"/>
            <w:gridSpan w:val="2"/>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目标</w:t>
            </w:r>
          </w:p>
        </w:tc>
        <w:tc>
          <w:tcPr>
            <w:tcW w:w="1231"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04" w:type="dxa"/>
            <w:vMerge w:val="continue"/>
            <w:vAlign w:val="center"/>
          </w:tcPr>
          <w:p>
            <w:pPr>
              <w:pStyle w:val="24"/>
              <w:rPr>
                <w:rFonts w:hint="default" w:ascii="Times New Roman" w:hAnsi="Times New Roman" w:eastAsia="仿宋_GB2312" w:cs="Times New Roman"/>
                <w:b/>
                <w:bCs/>
                <w:color w:val="auto"/>
                <w:kern w:val="2"/>
                <w:sz w:val="22"/>
                <w:szCs w:val="22"/>
                <w:highlight w:val="none"/>
                <w:lang w:val="en-US"/>
              </w:rPr>
            </w:pPr>
          </w:p>
        </w:tc>
        <w:tc>
          <w:tcPr>
            <w:tcW w:w="1919" w:type="dxa"/>
            <w:vMerge w:val="continue"/>
            <w:vAlign w:val="center"/>
          </w:tcPr>
          <w:p>
            <w:pPr>
              <w:pStyle w:val="24"/>
              <w:rPr>
                <w:rFonts w:hint="default" w:ascii="Times New Roman" w:hAnsi="Times New Roman" w:eastAsia="仿宋_GB2312" w:cs="Times New Roman"/>
                <w:b/>
                <w:bCs/>
                <w:color w:val="auto"/>
                <w:kern w:val="2"/>
                <w:sz w:val="22"/>
                <w:szCs w:val="22"/>
                <w:highlight w:val="none"/>
                <w:lang w:val="en-US"/>
              </w:rPr>
            </w:pPr>
          </w:p>
        </w:tc>
        <w:tc>
          <w:tcPr>
            <w:tcW w:w="3079" w:type="dxa"/>
            <w:vMerge w:val="continue"/>
            <w:vAlign w:val="center"/>
          </w:tcPr>
          <w:p>
            <w:pPr>
              <w:pStyle w:val="24"/>
              <w:rPr>
                <w:rFonts w:hint="default" w:ascii="Times New Roman" w:hAnsi="Times New Roman" w:eastAsia="仿宋_GB2312" w:cs="Times New Roman"/>
                <w:b/>
                <w:bCs/>
                <w:color w:val="auto"/>
                <w:kern w:val="2"/>
                <w:sz w:val="22"/>
                <w:szCs w:val="22"/>
                <w:highlight w:val="none"/>
                <w:lang w:val="en-US"/>
              </w:rPr>
            </w:pPr>
          </w:p>
        </w:tc>
        <w:tc>
          <w:tcPr>
            <w:tcW w:w="923"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20</w:t>
            </w:r>
            <w:r>
              <w:rPr>
                <w:rFonts w:hint="default" w:ascii="Times New Roman" w:hAnsi="Times New Roman" w:eastAsia="仿宋_GB2312" w:cs="Times New Roman"/>
                <w:b/>
                <w:bCs/>
                <w:color w:val="auto"/>
                <w:kern w:val="2"/>
                <w:sz w:val="22"/>
                <w:szCs w:val="22"/>
                <w:highlight w:val="none"/>
                <w:lang w:val="en-US" w:eastAsia="zh-CN"/>
              </w:rPr>
              <w:t>20</w:t>
            </w:r>
            <w:r>
              <w:rPr>
                <w:rFonts w:hint="default" w:ascii="Times New Roman" w:hAnsi="Times New Roman" w:eastAsia="仿宋_GB2312" w:cs="Times New Roman"/>
                <w:b/>
                <w:bCs/>
                <w:color w:val="auto"/>
                <w:kern w:val="2"/>
                <w:sz w:val="22"/>
                <w:szCs w:val="22"/>
                <w:highlight w:val="none"/>
                <w:lang w:val="en-US"/>
              </w:rPr>
              <w:t>年</w:t>
            </w:r>
          </w:p>
        </w:tc>
        <w:tc>
          <w:tcPr>
            <w:tcW w:w="879"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2025年</w:t>
            </w:r>
          </w:p>
        </w:tc>
        <w:tc>
          <w:tcPr>
            <w:tcW w:w="1231" w:type="dxa"/>
            <w:vAlign w:val="center"/>
          </w:tcPr>
          <w:p>
            <w:pPr>
              <w:pStyle w:val="24"/>
              <w:rPr>
                <w:rFonts w:hint="default" w:ascii="Times New Roman" w:hAnsi="Times New Roman" w:eastAsia="仿宋_GB2312" w:cs="Times New Roman"/>
                <w:b/>
                <w:bCs/>
                <w:color w:val="auto"/>
                <w:kern w:val="2"/>
                <w:sz w:val="22"/>
                <w:szCs w:val="22"/>
                <w:highlight w:val="none"/>
                <w:lang w:val="en-US"/>
              </w:rPr>
            </w:pPr>
            <w:r>
              <w:rPr>
                <w:rFonts w:hint="default" w:ascii="Times New Roman" w:hAnsi="Times New Roman" w:eastAsia="仿宋_GB2312" w:cs="Times New Roman"/>
                <w:b/>
                <w:bCs/>
                <w:color w:val="auto"/>
                <w:kern w:val="2"/>
                <w:sz w:val="22"/>
                <w:szCs w:val="22"/>
                <w:highlight w:val="none"/>
                <w:lang w:val="en-U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04"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w:t>
            </w:r>
          </w:p>
        </w:tc>
        <w:tc>
          <w:tcPr>
            <w:tcW w:w="191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水质状况</w:t>
            </w:r>
          </w:p>
        </w:tc>
        <w:tc>
          <w:tcPr>
            <w:tcW w:w="307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水质达标的水源地比例（%）</w:t>
            </w:r>
          </w:p>
        </w:tc>
        <w:tc>
          <w:tcPr>
            <w:tcW w:w="923"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95</w:t>
            </w:r>
          </w:p>
        </w:tc>
        <w:tc>
          <w:tcPr>
            <w:tcW w:w="87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100</w:t>
            </w:r>
          </w:p>
        </w:tc>
        <w:tc>
          <w:tcPr>
            <w:tcW w:w="1231"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04"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2</w:t>
            </w:r>
          </w:p>
        </w:tc>
        <w:tc>
          <w:tcPr>
            <w:tcW w:w="191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保护区划分与管理</w:t>
            </w:r>
          </w:p>
        </w:tc>
        <w:tc>
          <w:tcPr>
            <w:tcW w:w="307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水源地保护区审批完成率（%）</w:t>
            </w:r>
          </w:p>
        </w:tc>
        <w:tc>
          <w:tcPr>
            <w:tcW w:w="923"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100</w:t>
            </w:r>
          </w:p>
        </w:tc>
        <w:tc>
          <w:tcPr>
            <w:tcW w:w="87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100</w:t>
            </w:r>
          </w:p>
        </w:tc>
        <w:tc>
          <w:tcPr>
            <w:tcW w:w="1231"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04"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3</w:t>
            </w:r>
          </w:p>
        </w:tc>
        <w:tc>
          <w:tcPr>
            <w:tcW w:w="191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一级保护区整治</w:t>
            </w:r>
          </w:p>
        </w:tc>
        <w:tc>
          <w:tcPr>
            <w:tcW w:w="307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一级保护区违章建筑清拆率（%）</w:t>
            </w:r>
          </w:p>
        </w:tc>
        <w:tc>
          <w:tcPr>
            <w:tcW w:w="923"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100</w:t>
            </w:r>
          </w:p>
        </w:tc>
        <w:tc>
          <w:tcPr>
            <w:tcW w:w="87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100</w:t>
            </w:r>
          </w:p>
        </w:tc>
        <w:tc>
          <w:tcPr>
            <w:tcW w:w="1231"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04" w:type="dxa"/>
            <w:vMerge w:val="restart"/>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4</w:t>
            </w:r>
          </w:p>
        </w:tc>
        <w:tc>
          <w:tcPr>
            <w:tcW w:w="1919" w:type="dxa"/>
            <w:vMerge w:val="restart"/>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水源地监管能力</w:t>
            </w:r>
          </w:p>
        </w:tc>
        <w:tc>
          <w:tcPr>
            <w:tcW w:w="307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常规指标监测覆盖率（%）</w:t>
            </w:r>
          </w:p>
        </w:tc>
        <w:tc>
          <w:tcPr>
            <w:tcW w:w="923"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100</w:t>
            </w:r>
          </w:p>
        </w:tc>
        <w:tc>
          <w:tcPr>
            <w:tcW w:w="87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100</w:t>
            </w:r>
          </w:p>
        </w:tc>
        <w:tc>
          <w:tcPr>
            <w:tcW w:w="1231"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全部城市水源地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exact"/>
          <w:jc w:val="center"/>
        </w:trPr>
        <w:tc>
          <w:tcPr>
            <w:tcW w:w="704" w:type="dxa"/>
            <w:vMerge w:val="continue"/>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1919" w:type="dxa"/>
            <w:vMerge w:val="continue"/>
            <w:vAlign w:val="center"/>
          </w:tcPr>
          <w:p>
            <w:pPr>
              <w:pStyle w:val="24"/>
              <w:rPr>
                <w:rFonts w:hint="default" w:ascii="Times New Roman" w:hAnsi="Times New Roman" w:eastAsia="仿宋_GB2312" w:cs="Times New Roman"/>
                <w:color w:val="auto"/>
                <w:kern w:val="2"/>
                <w:sz w:val="22"/>
                <w:szCs w:val="22"/>
                <w:highlight w:val="none"/>
                <w:lang w:val="en-US"/>
              </w:rPr>
            </w:pPr>
          </w:p>
        </w:tc>
        <w:tc>
          <w:tcPr>
            <w:tcW w:w="307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有毒有机物监测能力比例（%）</w:t>
            </w:r>
          </w:p>
        </w:tc>
        <w:tc>
          <w:tcPr>
            <w:tcW w:w="923"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100</w:t>
            </w:r>
          </w:p>
        </w:tc>
        <w:tc>
          <w:tcPr>
            <w:tcW w:w="879"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100</w:t>
            </w:r>
          </w:p>
        </w:tc>
        <w:tc>
          <w:tcPr>
            <w:tcW w:w="1231" w:type="dxa"/>
            <w:vAlign w:val="center"/>
          </w:tcPr>
          <w:p>
            <w:pPr>
              <w:pStyle w:val="24"/>
              <w:rPr>
                <w:rFonts w:hint="default" w:ascii="Times New Roman" w:hAnsi="Times New Roman" w:eastAsia="仿宋_GB2312" w:cs="Times New Roman"/>
                <w:color w:val="auto"/>
                <w:kern w:val="2"/>
                <w:sz w:val="22"/>
                <w:szCs w:val="22"/>
                <w:highlight w:val="none"/>
                <w:lang w:val="en-US"/>
              </w:rPr>
            </w:pPr>
            <w:r>
              <w:rPr>
                <w:rFonts w:hint="default" w:ascii="Times New Roman" w:hAnsi="Times New Roman" w:eastAsia="仿宋_GB2312" w:cs="Times New Roman"/>
                <w:color w:val="auto"/>
                <w:kern w:val="2"/>
                <w:sz w:val="22"/>
                <w:szCs w:val="22"/>
                <w:highlight w:val="none"/>
                <w:lang w:val="en-US"/>
              </w:rPr>
              <w:t>环境保护重点城市</w:t>
            </w:r>
          </w:p>
        </w:tc>
      </w:tr>
    </w:tbl>
    <w:p>
      <w:pPr>
        <w:pStyle w:val="7"/>
        <w:spacing w:before="0" w:beforeLines="0" w:line="560" w:lineRule="exact"/>
        <w:rPr>
          <w:rFonts w:hint="default" w:ascii="Times New Roman" w:hAnsi="Times New Roman" w:eastAsia="仿宋_GB2312" w:cs="Times New Roman"/>
          <w:bCs/>
          <w:color w:val="auto"/>
          <w:kern w:val="2"/>
          <w:highlight w:val="none"/>
        </w:rPr>
      </w:pPr>
      <w:bookmarkStart w:id="731" w:name="_Toc28330"/>
      <w:bookmarkStart w:id="732" w:name="_Toc6228"/>
      <w:bookmarkStart w:id="733" w:name="_Toc22480"/>
      <w:bookmarkStart w:id="734" w:name="_Toc29783"/>
      <w:bookmarkStart w:id="735" w:name="_Toc4924"/>
      <w:bookmarkStart w:id="736" w:name="_Toc29029"/>
      <w:bookmarkStart w:id="737" w:name="_Toc1877"/>
      <w:r>
        <w:rPr>
          <w:rFonts w:hint="default" w:ascii="Times New Roman" w:hAnsi="Times New Roman" w:eastAsia="仿宋_GB2312" w:cs="Times New Roman"/>
          <w:bCs/>
          <w:color w:val="auto"/>
          <w:kern w:val="2"/>
          <w:highlight w:val="none"/>
        </w:rPr>
        <w:t>7.2.2存在的问题</w:t>
      </w:r>
      <w:bookmarkEnd w:id="731"/>
      <w:bookmarkEnd w:id="732"/>
      <w:bookmarkEnd w:id="733"/>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lang w:val="en-US" w:eastAsia="zh-CN"/>
        </w:rPr>
        <w:t>一、二级保护区内居住的居民较多，生活垃圾、生活污水仍未得到有效解决</w:t>
      </w:r>
      <w:r>
        <w:rPr>
          <w:rFonts w:hint="default" w:ascii="Times New Roman" w:hAnsi="Times New Roman" w:eastAsia="仿宋_GB2312" w:cs="Times New Roman"/>
          <w:color w:val="auto"/>
          <w:kern w:val="2"/>
          <w:sz w:val="32"/>
          <w:szCs w:val="32"/>
          <w:highlight w:val="none"/>
          <w:lang w:eastAsia="zh-CN"/>
        </w:rPr>
        <w:t>；群众自觉参与水源地保护的意识较为淡薄，倾倒垃圾等现象时有发生，监督执法难度较大</w:t>
      </w:r>
      <w:r>
        <w:rPr>
          <w:rFonts w:hint="default" w:ascii="Times New Roman" w:hAnsi="Times New Roman" w:eastAsia="仿宋_GB2312" w:cs="Times New Roman"/>
          <w:color w:val="auto"/>
          <w:kern w:val="2"/>
          <w:sz w:val="32"/>
          <w:szCs w:val="32"/>
          <w:highlight w:val="none"/>
          <w:lang w:val="en-US" w:eastAsia="zh-CN"/>
        </w:rPr>
        <w:t>，水源地保护区中仍然存在建筑垃圾、堆放草料、经营农家乐等现象。</w:t>
      </w:r>
    </w:p>
    <w:p>
      <w:pPr>
        <w:pStyle w:val="7"/>
        <w:spacing w:before="0" w:beforeLines="0" w:line="560" w:lineRule="exact"/>
        <w:rPr>
          <w:rFonts w:hint="default" w:ascii="Times New Roman" w:hAnsi="Times New Roman" w:eastAsia="仿宋_GB2312" w:cs="Times New Roman"/>
          <w:bCs/>
          <w:color w:val="auto"/>
          <w:kern w:val="2"/>
          <w:highlight w:val="none"/>
        </w:rPr>
      </w:pPr>
      <w:bookmarkStart w:id="738" w:name="_Toc19209"/>
      <w:bookmarkStart w:id="739" w:name="_Toc19456"/>
      <w:bookmarkStart w:id="740" w:name="_Toc14767"/>
      <w:r>
        <w:rPr>
          <w:rFonts w:hint="default" w:ascii="Times New Roman" w:hAnsi="Times New Roman" w:eastAsia="仿宋_GB2312" w:cs="Times New Roman"/>
          <w:bCs/>
          <w:color w:val="auto"/>
          <w:kern w:val="2"/>
          <w:highlight w:val="none"/>
        </w:rPr>
        <w:t>7.2.3主要保护措施</w:t>
      </w:r>
      <w:bookmarkEnd w:id="738"/>
      <w:bookmarkEnd w:id="739"/>
      <w:bookmarkEnd w:id="740"/>
    </w:p>
    <w:p>
      <w:pPr>
        <w:pStyle w:val="9"/>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（1）加强领导，建立和完善长效管理机制</w:t>
      </w:r>
    </w:p>
    <w:p>
      <w:pPr>
        <w:spacing w:line="560" w:lineRule="atLeast"/>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要进一步完善饮用水水源地保护和综合治理方案，积极探索保障饮用水安全的长效管理机制，将保障饮用水安全问题纳入政府重要议事日程，建立健全水源、水厂和管网的水质预警系统，完善水质监测自动化网络，提高数据远程收集处理能力和信息化管理水平。建立水源地安全保障部门联动机制，住房建设、生态环境、水利、自然资源、卫生健康、应急管理等各部门协同配合，紧密配合，共同开展，实行资源共享和重大事项会商制度。</w:t>
      </w:r>
    </w:p>
    <w:p>
      <w:pPr>
        <w:pStyle w:val="9"/>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rPr>
        <w:t>（2）增加投入，提高水源地保护工程建设标准</w:t>
      </w:r>
    </w:p>
    <w:p>
      <w:pPr>
        <w:pageBreakBefore w:val="0"/>
        <w:widowControl w:val="0"/>
        <w:kinsoku/>
        <w:wordWrap/>
        <w:overflowPunct/>
        <w:topLinePunct w:val="0"/>
        <w:autoSpaceDE/>
        <w:autoSpaceDN/>
        <w:bidi w:val="0"/>
        <w:adjustRightInd w:val="0"/>
        <w:snapToGrid w:val="0"/>
        <w:spacing w:line="560" w:lineRule="atLeast"/>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地方财政加大对水源地保护投入力度，同时充分发挥市场机制，形成多元化的投入格局。按照划定的饮用水源保护区，积极开展城镇饮用水源地安全保障达标建设，保护饮用水水源地边界、保护区边界警示标志，提高水源地工程建设标准。2025年城镇饮用水源地安全保障达标率100%，城镇供水水源地水质全面达标。</w:t>
      </w:r>
    </w:p>
    <w:p>
      <w:pPr>
        <w:pageBreakBefore w:val="0"/>
        <w:widowControl w:val="0"/>
        <w:kinsoku/>
        <w:wordWrap/>
        <w:overflowPunct/>
        <w:topLinePunct w:val="0"/>
        <w:autoSpaceDE/>
        <w:autoSpaceDN/>
        <w:bidi w:val="0"/>
        <w:adjustRightInd w:val="0"/>
        <w:snapToGrid w:val="0"/>
        <w:spacing w:line="560" w:lineRule="atLeast"/>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rPr>
        <w:t>（3）信息共享，强化监测能力及应急能力建设</w:t>
      </w:r>
    </w:p>
    <w:p>
      <w:pPr>
        <w:pageBreakBefore w:val="0"/>
        <w:widowControl w:val="0"/>
        <w:kinsoku/>
        <w:wordWrap/>
        <w:overflowPunct/>
        <w:topLinePunct w:val="0"/>
        <w:autoSpaceDE/>
        <w:autoSpaceDN/>
        <w:bidi w:val="0"/>
        <w:adjustRightInd w:val="0"/>
        <w:snapToGrid w:val="0"/>
        <w:spacing w:line="560" w:lineRule="atLeast"/>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建立覆盖沙坡头区的应用水源信息管理系统，实现各相关部门间的信息共享，为水源地日常管理、应急决策和供水企业生产及饮用水卫生监管提供信息支持。加强饮用水水源地监测设施建设，提高监测能力和水平。制定应对突发水污染事件、洪水和干旱等特殊条件下供水安全保障的应急预案；建立应对突发事件的人员、物资储备机制和技术保障体系。</w:t>
      </w:r>
    </w:p>
    <w:p>
      <w:pPr>
        <w:pStyle w:val="9"/>
        <w:rPr>
          <w:rFonts w:hint="default" w:ascii="Times New Roman" w:hAnsi="Times New Roman" w:eastAsia="仿宋_GB2312" w:cs="Times New Roman"/>
          <w:b w:val="0"/>
          <w:bCs w:val="0"/>
          <w:color w:val="auto"/>
          <w:kern w:val="2"/>
          <w:sz w:val="32"/>
          <w:szCs w:val="32"/>
          <w:highlight w:val="none"/>
          <w:lang w:val="en-US" w:eastAsia="zh-CN"/>
        </w:rPr>
      </w:pPr>
      <w:r>
        <w:rPr>
          <w:rFonts w:hint="default" w:ascii="Times New Roman" w:hAnsi="Times New Roman" w:eastAsia="仿宋_GB2312" w:cs="Times New Roman"/>
          <w:b w:val="0"/>
          <w:bCs w:val="0"/>
          <w:color w:val="auto"/>
          <w:kern w:val="2"/>
          <w:sz w:val="32"/>
          <w:szCs w:val="32"/>
          <w:highlight w:val="none"/>
          <w:lang w:val="en-US" w:eastAsia="zh-CN"/>
        </w:rPr>
        <w:t>（4）多措并举，严格水源地规范化管理</w:t>
      </w:r>
    </w:p>
    <w:p>
      <w:pPr>
        <w:spacing w:line="560" w:lineRule="atLeast"/>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严厉打击水源地内随意倾倒垃圾、乱排生活污水等环境违法行为；对水源地内原住居民进行改厕，对生活污水、垃圾进行集中收集处置，对需要搬迁的居民按照相关政策及时组织实施搬迁，建设水源地视频在线监测等设施；要紧盯城市集中水源地“一源一策”整改清单未整改问题和自治区环境保护督察遗留问题的整改，加快整改进度；沙坡头区要将城市水源地中房屋拆迁后建筑垃圾、空地中堆放草料等杂物进行彻底清理。</w:t>
      </w:r>
    </w:p>
    <w:bookmarkEnd w:id="734"/>
    <w:bookmarkEnd w:id="735"/>
    <w:bookmarkEnd w:id="736"/>
    <w:bookmarkEnd w:id="737"/>
    <w:p>
      <w:pPr>
        <w:pStyle w:val="6"/>
        <w:spacing w:before="0" w:beforeLines="0" w:line="560" w:lineRule="exact"/>
        <w:rPr>
          <w:rFonts w:hint="default" w:ascii="Times New Roman" w:hAnsi="Times New Roman" w:eastAsia="楷体_GB2312" w:cs="Times New Roman"/>
          <w:color w:val="auto"/>
          <w:highlight w:val="none"/>
        </w:rPr>
      </w:pPr>
      <w:bookmarkStart w:id="741" w:name="_Toc15503"/>
      <w:bookmarkStart w:id="742" w:name="_Toc9729"/>
      <w:bookmarkStart w:id="743" w:name="_Toc11537"/>
      <w:bookmarkStart w:id="744" w:name="_Toc12206"/>
      <w:bookmarkStart w:id="745" w:name="_Toc402104342"/>
      <w:bookmarkStart w:id="746" w:name="_Toc10462"/>
      <w:bookmarkStart w:id="747" w:name="_Toc14733"/>
      <w:bookmarkStart w:id="748" w:name="_Toc419380521"/>
      <w:bookmarkStart w:id="749" w:name="_Toc11053"/>
      <w:bookmarkStart w:id="750" w:name="_Toc12962"/>
      <w:r>
        <w:rPr>
          <w:rFonts w:hint="default" w:ascii="Times New Roman" w:hAnsi="Times New Roman" w:eastAsia="楷体_GB2312" w:cs="Times New Roman"/>
          <w:color w:val="auto"/>
          <w:highlight w:val="none"/>
        </w:rPr>
        <w:t>7.3地下水保护</w:t>
      </w:r>
      <w:bookmarkEnd w:id="741"/>
      <w:bookmarkEnd w:id="742"/>
      <w:bookmarkEnd w:id="743"/>
      <w:bookmarkEnd w:id="744"/>
      <w:bookmarkEnd w:id="745"/>
      <w:bookmarkEnd w:id="746"/>
      <w:bookmarkEnd w:id="747"/>
      <w:bookmarkEnd w:id="748"/>
      <w:bookmarkEnd w:id="749"/>
      <w:bookmarkEnd w:id="750"/>
    </w:p>
    <w:p>
      <w:pPr>
        <w:pStyle w:val="7"/>
        <w:spacing w:before="0" w:beforeLines="0" w:line="560" w:lineRule="exact"/>
        <w:rPr>
          <w:rFonts w:hint="default" w:ascii="Times New Roman" w:hAnsi="Times New Roman" w:eastAsia="仿宋_GB2312" w:cs="Times New Roman"/>
          <w:bCs/>
          <w:color w:val="auto"/>
          <w:kern w:val="2"/>
          <w:highlight w:val="none"/>
        </w:rPr>
      </w:pPr>
      <w:bookmarkStart w:id="751" w:name="_Toc11435"/>
      <w:bookmarkStart w:id="752" w:name="_Toc8785"/>
      <w:bookmarkStart w:id="753" w:name="_Toc664"/>
      <w:bookmarkStart w:id="754" w:name="_Toc18830"/>
      <w:bookmarkStart w:id="755" w:name="_Toc15314"/>
      <w:bookmarkStart w:id="756" w:name="_Toc7475"/>
      <w:bookmarkStart w:id="757" w:name="_Toc20460"/>
      <w:r>
        <w:rPr>
          <w:rFonts w:hint="default" w:ascii="Times New Roman" w:hAnsi="Times New Roman" w:eastAsia="仿宋_GB2312" w:cs="Times New Roman"/>
          <w:bCs/>
          <w:color w:val="auto"/>
          <w:kern w:val="2"/>
          <w:highlight w:val="none"/>
        </w:rPr>
        <w:t>7.3.1基本情况</w:t>
      </w:r>
      <w:bookmarkEnd w:id="751"/>
      <w:bookmarkEnd w:id="752"/>
      <w:bookmarkEnd w:id="753"/>
      <w:bookmarkEnd w:id="754"/>
      <w:bookmarkEnd w:id="755"/>
      <w:bookmarkEnd w:id="756"/>
      <w:bookmarkEnd w:id="757"/>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根据自治区下达的地下水取水总量控制指标2025年为4500</w:t>
      </w:r>
      <w:r>
        <w:rPr>
          <w:rFonts w:hint="default" w:ascii="Times New Roman" w:hAnsi="Times New Roman" w:eastAsia="仿宋_GB2312" w:cs="Times New Roman"/>
          <w:color w:val="auto"/>
          <w:spacing w:val="-6"/>
          <w:kern w:val="2"/>
          <w:sz w:val="32"/>
          <w:szCs w:val="32"/>
          <w:highlight w:val="none"/>
        </w:rPr>
        <w:t>万m³。现状地下水开采量2880万m³，规划年按照控制指标分配。</w:t>
      </w:r>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根据《宁夏回族自治区地下水通报（2020年度）》，沙坡头区无超采区，根据国家地下水监测工程宁夏水质监测资料，按地下水质量标准（GB/T14848-2017）的三类水指标评价宁夏浅层地下水水质，2020年中卫市沙坡头区香山地区地下水总硬度、溶解性总固体、氯化物超标。</w:t>
      </w:r>
    </w:p>
    <w:p>
      <w:pPr>
        <w:pStyle w:val="7"/>
        <w:spacing w:before="0" w:beforeLines="0" w:line="560" w:lineRule="exact"/>
        <w:rPr>
          <w:rFonts w:hint="default" w:ascii="Times New Roman" w:hAnsi="Times New Roman" w:eastAsia="仿宋_GB2312" w:cs="Times New Roman"/>
          <w:bCs/>
          <w:color w:val="auto"/>
          <w:kern w:val="2"/>
          <w:highlight w:val="none"/>
        </w:rPr>
      </w:pPr>
      <w:bookmarkStart w:id="758" w:name="_Toc18210"/>
      <w:bookmarkStart w:id="759" w:name="_Toc30488"/>
      <w:bookmarkStart w:id="760" w:name="_Toc22242"/>
      <w:bookmarkStart w:id="761" w:name="_Toc5997"/>
      <w:bookmarkStart w:id="762" w:name="_Toc1517"/>
      <w:bookmarkStart w:id="763" w:name="_Toc25728"/>
      <w:bookmarkStart w:id="764" w:name="_Toc29428"/>
      <w:r>
        <w:rPr>
          <w:rFonts w:hint="default" w:ascii="Times New Roman" w:hAnsi="Times New Roman" w:eastAsia="仿宋_GB2312" w:cs="Times New Roman"/>
          <w:bCs/>
          <w:color w:val="auto"/>
          <w:kern w:val="2"/>
          <w:highlight w:val="none"/>
        </w:rPr>
        <w:t>7.3.2存在的问题</w:t>
      </w:r>
      <w:bookmarkEnd w:id="758"/>
      <w:bookmarkEnd w:id="759"/>
      <w:bookmarkEnd w:id="760"/>
      <w:bookmarkEnd w:id="761"/>
      <w:bookmarkEnd w:id="762"/>
      <w:bookmarkEnd w:id="763"/>
      <w:bookmarkEnd w:id="764"/>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val="en-US" w:eastAsia="zh-CN"/>
        </w:rPr>
        <w:t>1.</w:t>
      </w:r>
      <w:r>
        <w:rPr>
          <w:rFonts w:hint="default" w:ascii="Times New Roman" w:hAnsi="Times New Roman" w:eastAsia="仿宋_GB2312" w:cs="Times New Roman"/>
          <w:color w:val="auto"/>
          <w:kern w:val="2"/>
          <w:sz w:val="32"/>
          <w:szCs w:val="32"/>
          <w:highlight w:val="none"/>
        </w:rPr>
        <w:t>地下水未批先开采、擅自打井无证取水现象普遍存在。一些地方或企业不履行取水许可报批手续，在未办理取水许可证的情况下擅自凿井、违规取用地下水的问题突出；部分违规打井拒不执行水政监察机关停止违规取水的决定</w:t>
      </w:r>
      <w:r>
        <w:rPr>
          <w:rFonts w:hint="default" w:ascii="Times New Roman" w:hAnsi="Times New Roman" w:eastAsia="仿宋_GB2312" w:cs="Times New Roman"/>
          <w:color w:val="auto"/>
          <w:kern w:val="2"/>
          <w:sz w:val="32"/>
          <w:szCs w:val="32"/>
          <w:highlight w:val="none"/>
          <w:lang w:eastAsia="zh-CN"/>
        </w:rPr>
        <w:t>难以执行</w:t>
      </w:r>
      <w:r>
        <w:rPr>
          <w:rFonts w:hint="default" w:ascii="Times New Roman" w:hAnsi="Times New Roman" w:eastAsia="仿宋_GB2312" w:cs="Times New Roman"/>
          <w:color w:val="auto"/>
          <w:kern w:val="2"/>
          <w:sz w:val="32"/>
          <w:szCs w:val="32"/>
          <w:highlight w:val="none"/>
        </w:rPr>
        <w:t>。</w:t>
      </w:r>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val="en-US" w:eastAsia="zh-CN"/>
        </w:rPr>
        <w:t>2.</w:t>
      </w:r>
      <w:r>
        <w:rPr>
          <w:rFonts w:hint="default" w:ascii="Times New Roman" w:hAnsi="Times New Roman" w:eastAsia="仿宋_GB2312" w:cs="Times New Roman"/>
          <w:color w:val="auto"/>
          <w:kern w:val="2"/>
          <w:sz w:val="32"/>
          <w:szCs w:val="32"/>
          <w:highlight w:val="none"/>
        </w:rPr>
        <w:t>地下水环境监管体系不健全。目前，地下水资源的监管由国土、水利、环保等部门实施，但地下水监测仪器、设备投入不足，地下水监测孔人为破坏严重，</w:t>
      </w:r>
      <w:r>
        <w:rPr>
          <w:rFonts w:hint="default" w:ascii="Times New Roman" w:hAnsi="Times New Roman" w:eastAsia="仿宋_GB2312" w:cs="Times New Roman"/>
          <w:color w:val="auto"/>
          <w:kern w:val="2"/>
          <w:sz w:val="32"/>
          <w:szCs w:val="32"/>
          <w:highlight w:val="none"/>
          <w:lang w:eastAsia="zh-CN"/>
        </w:rPr>
        <w:t>无专门</w:t>
      </w:r>
      <w:r>
        <w:rPr>
          <w:rFonts w:hint="default" w:ascii="Times New Roman" w:hAnsi="Times New Roman" w:eastAsia="仿宋_GB2312" w:cs="Times New Roman"/>
          <w:color w:val="auto"/>
          <w:kern w:val="2"/>
          <w:sz w:val="32"/>
          <w:szCs w:val="32"/>
          <w:highlight w:val="none"/>
        </w:rPr>
        <w:t>监测队伍。地下水监测网络还没有形成，无法实现监测信息共享。</w:t>
      </w:r>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cs="Times New Roman"/>
          <w:color w:val="auto"/>
          <w:kern w:val="2"/>
          <w:sz w:val="32"/>
          <w:szCs w:val="32"/>
          <w:highlight w:val="none"/>
          <w:lang w:val="en-US" w:eastAsia="zh-CN"/>
        </w:rPr>
        <w:t>3.</w:t>
      </w:r>
      <w:r>
        <w:rPr>
          <w:rFonts w:hint="default" w:ascii="Times New Roman" w:hAnsi="Times New Roman" w:eastAsia="仿宋_GB2312" w:cs="Times New Roman"/>
          <w:color w:val="auto"/>
          <w:kern w:val="2"/>
          <w:sz w:val="32"/>
          <w:szCs w:val="32"/>
          <w:highlight w:val="none"/>
        </w:rPr>
        <w:t>地下水污染风险防范体系缺失。重点工业园区及其周边环境安全隐患定期评估工作开展不够，农业面源污染监控体系缺</w:t>
      </w:r>
      <w:r>
        <w:rPr>
          <w:rFonts w:hint="default" w:ascii="Times New Roman" w:hAnsi="Times New Roman" w:eastAsia="仿宋_GB2312" w:cs="Times New Roman"/>
          <w:color w:val="auto"/>
          <w:spacing w:val="-6"/>
          <w:kern w:val="2"/>
          <w:sz w:val="32"/>
          <w:szCs w:val="32"/>
          <w:highlight w:val="none"/>
        </w:rPr>
        <w:t>失，不能有效防范工业污水和农业面源污染对地下水的污染影响。</w:t>
      </w:r>
    </w:p>
    <w:p>
      <w:pPr>
        <w:pStyle w:val="7"/>
        <w:spacing w:before="0" w:beforeLines="0" w:line="560" w:lineRule="exact"/>
        <w:rPr>
          <w:rFonts w:hint="default" w:ascii="Times New Roman" w:hAnsi="Times New Roman" w:eastAsia="仿宋_GB2312" w:cs="Times New Roman"/>
          <w:bCs/>
          <w:color w:val="auto"/>
          <w:kern w:val="2"/>
          <w:highlight w:val="none"/>
        </w:rPr>
      </w:pPr>
      <w:bookmarkStart w:id="765" w:name="_Toc1499"/>
      <w:bookmarkStart w:id="766" w:name="_Toc22058"/>
      <w:bookmarkStart w:id="767" w:name="_Toc18156"/>
      <w:bookmarkStart w:id="768" w:name="_Toc8208"/>
      <w:bookmarkStart w:id="769" w:name="_Toc20389"/>
      <w:bookmarkStart w:id="770" w:name="_Toc12358"/>
      <w:bookmarkStart w:id="771" w:name="_Toc5577"/>
      <w:r>
        <w:rPr>
          <w:rFonts w:hint="default" w:ascii="Times New Roman" w:hAnsi="Times New Roman" w:eastAsia="仿宋_GB2312" w:cs="Times New Roman"/>
          <w:bCs/>
          <w:color w:val="auto"/>
          <w:kern w:val="2"/>
          <w:highlight w:val="none"/>
        </w:rPr>
        <w:t>7.3.3主要措施</w:t>
      </w:r>
      <w:bookmarkEnd w:id="765"/>
      <w:bookmarkEnd w:id="766"/>
      <w:bookmarkEnd w:id="767"/>
      <w:bookmarkEnd w:id="768"/>
      <w:bookmarkEnd w:id="769"/>
      <w:bookmarkEnd w:id="770"/>
      <w:bookmarkEnd w:id="771"/>
    </w:p>
    <w:p>
      <w:pPr>
        <w:pStyle w:val="8"/>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7.3.3.1严格地下水审批管理</w:t>
      </w:r>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严格执行《地下水资源管理暂行办法》，地下水取水许可实行分级审批制度，严禁越权审批和化大为小的审批做法，严禁未批擅自开采地下水。</w:t>
      </w:r>
    </w:p>
    <w:p>
      <w:pPr>
        <w:pStyle w:val="8"/>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7.3.3.2严格地下水管理</w:t>
      </w:r>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水行政主管部门按照分级管理权限和范围，负责辖区内地下水资源管理和监督工作。地下水开采实行取水总量控制和水资源论证制度。地下水开发利用和保护应服从</w:t>
      </w:r>
      <w:r>
        <w:rPr>
          <w:rFonts w:hint="default" w:ascii="Times New Roman" w:hAnsi="Times New Roman" w:eastAsia="仿宋_GB2312" w:cs="Times New Roman"/>
          <w:color w:val="auto"/>
          <w:kern w:val="2"/>
          <w:sz w:val="32"/>
          <w:szCs w:val="32"/>
          <w:highlight w:val="none"/>
          <w:lang w:val="en-US" w:eastAsia="zh-CN"/>
        </w:rPr>
        <w:t>自治区</w:t>
      </w:r>
      <w:r>
        <w:rPr>
          <w:rFonts w:hint="default" w:ascii="Times New Roman" w:hAnsi="Times New Roman" w:eastAsia="仿宋_GB2312" w:cs="Times New Roman"/>
          <w:color w:val="auto"/>
          <w:kern w:val="2"/>
          <w:sz w:val="32"/>
          <w:szCs w:val="32"/>
          <w:highlight w:val="none"/>
        </w:rPr>
        <w:t>地下水开发利用保护规划，地下水实际开采量应控制在自治区分配给沙坡头区的</w:t>
      </w:r>
      <w:r>
        <w:rPr>
          <w:rFonts w:hint="default" w:ascii="Times New Roman" w:hAnsi="Times New Roman" w:eastAsia="仿宋_GB2312" w:cs="Times New Roman"/>
          <w:color w:val="auto"/>
          <w:kern w:val="2"/>
          <w:sz w:val="32"/>
          <w:szCs w:val="32"/>
          <w:highlight w:val="none"/>
          <w:lang w:val="en-US" w:eastAsia="zh-CN"/>
        </w:rPr>
        <w:t>地下水</w:t>
      </w:r>
      <w:r>
        <w:rPr>
          <w:rFonts w:hint="default" w:ascii="Times New Roman" w:hAnsi="Times New Roman" w:eastAsia="仿宋_GB2312" w:cs="Times New Roman"/>
          <w:color w:val="auto"/>
          <w:kern w:val="2"/>
          <w:sz w:val="32"/>
          <w:szCs w:val="32"/>
          <w:highlight w:val="none"/>
        </w:rPr>
        <w:t>控制指标内，并应当符合总体布局和取水层位、采补平衡的要求。在引黄灌区，农业灌溉应支持合理开采利用浅层地下水，实行井渠结合灌溉。在因地下水位过高而形成的土地盐渍化的灌区，应当鼓励开采浅层地下水，以灌代排，合理调控地下水水位。地下水开采利用实行节水“三同时”制度。</w:t>
      </w:r>
    </w:p>
    <w:p>
      <w:pPr>
        <w:pStyle w:val="8"/>
        <w:rPr>
          <w:rFonts w:hint="default" w:ascii="Times New Roman" w:hAnsi="Times New Roman" w:eastAsia="仿宋_GB2312" w:cs="Times New Roman"/>
          <w:b/>
          <w:bCs/>
          <w:color w:val="auto"/>
          <w:kern w:val="2"/>
          <w:sz w:val="32"/>
          <w:szCs w:val="32"/>
          <w:highlight w:val="none"/>
        </w:rPr>
      </w:pPr>
      <w:r>
        <w:rPr>
          <w:rFonts w:hint="default" w:ascii="Times New Roman" w:hAnsi="Times New Roman" w:eastAsia="仿宋_GB2312" w:cs="Times New Roman"/>
          <w:b/>
          <w:bCs/>
          <w:color w:val="auto"/>
          <w:highlight w:val="none"/>
          <w:lang w:val="en-US" w:eastAsia="zh-CN"/>
        </w:rPr>
        <w:t>7.3.3.3</w:t>
      </w:r>
      <w:r>
        <w:rPr>
          <w:rFonts w:hint="default" w:ascii="Times New Roman" w:hAnsi="Times New Roman" w:eastAsia="仿宋_GB2312" w:cs="Times New Roman"/>
          <w:b/>
          <w:bCs/>
          <w:color w:val="auto"/>
          <w:kern w:val="2"/>
          <w:sz w:val="32"/>
          <w:szCs w:val="32"/>
          <w:highlight w:val="none"/>
        </w:rPr>
        <w:t>加快公共供水管网覆盖范围内自备水源井关停</w:t>
      </w:r>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rPr>
        <w:t>除农业灌溉外，在城乡公共供水管网已覆盖并能够满足用水需求的区域，应当停止取用地下水，并拆除或封闭地下水取水工程。沙坡头区水行政主管部门对辖区城市公共供水管网覆盖范围内自备水源井关闭工作。对未关闭的自备井，要严格按照《宁夏回族自治区水资源税改革试点实施办法》（宁政办发</w:t>
      </w:r>
      <w:r>
        <w:rPr>
          <w:rFonts w:hint="default" w:ascii="Times New Roman" w:hAnsi="Times New Roman" w:eastAsia="仿宋_GB2312" w:cs="Times New Roman"/>
          <w:color w:val="auto"/>
          <w:sz w:val="32"/>
          <w:szCs w:val="32"/>
          <w:highlight w:val="none"/>
        </w:rPr>
        <w:t>﹝20</w:t>
      </w:r>
      <w:r>
        <w:rPr>
          <w:rFonts w:hint="default" w:ascii="Times New Roman" w:hAnsi="Times New Roman" w:cs="Times New Roman"/>
          <w:color w:val="auto"/>
          <w:sz w:val="32"/>
          <w:szCs w:val="32"/>
          <w:highlight w:val="none"/>
          <w:lang w:val="en-US" w:eastAsia="zh-CN"/>
        </w:rPr>
        <w:t>17</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kern w:val="2"/>
          <w:sz w:val="32"/>
          <w:szCs w:val="32"/>
          <w:highlight w:val="none"/>
        </w:rPr>
        <w:t>17号文件）标准征收水资源税。</w:t>
      </w:r>
    </w:p>
    <w:p>
      <w:pPr>
        <w:pStyle w:val="8"/>
        <w:rPr>
          <w:rFonts w:hint="default" w:ascii="Times New Roman" w:hAnsi="Times New Roman" w:eastAsia="仿宋_GB2312" w:cs="Times New Roman"/>
          <w:b/>
          <w:bCs/>
          <w:color w:val="auto"/>
          <w:spacing w:val="-11"/>
          <w:sz w:val="32"/>
          <w:highlight w:val="none"/>
          <w:lang w:val="en-US" w:eastAsia="zh-CN"/>
        </w:rPr>
      </w:pPr>
      <w:r>
        <w:rPr>
          <w:rFonts w:hint="default" w:ascii="Times New Roman" w:hAnsi="Times New Roman" w:eastAsia="仿宋_GB2312" w:cs="Times New Roman"/>
          <w:b/>
          <w:bCs/>
          <w:color w:val="auto"/>
          <w:highlight w:val="none"/>
          <w:lang w:val="en-US" w:eastAsia="zh-CN"/>
        </w:rPr>
        <w:t>7.3.3.4</w:t>
      </w:r>
      <w:r>
        <w:rPr>
          <w:rFonts w:hint="default" w:ascii="Times New Roman" w:hAnsi="Times New Roman" w:eastAsia="仿宋_GB2312" w:cs="Times New Roman"/>
          <w:b/>
          <w:bCs/>
          <w:color w:val="auto"/>
          <w:spacing w:val="-11"/>
          <w:sz w:val="32"/>
          <w:highlight w:val="none"/>
          <w:lang w:val="en-US" w:eastAsia="zh-CN"/>
        </w:rPr>
        <w:t>加大地下水监测的投资力度，实现地下水监测的自动化</w:t>
      </w:r>
    </w:p>
    <w:p>
      <w:pPr>
        <w:spacing w:line="560" w:lineRule="atLeast"/>
        <w:rPr>
          <w:rFonts w:hint="default" w:ascii="Times New Roman" w:hAnsi="Times New Roman" w:eastAsia="仿宋_GB2312" w:cs="Times New Roman"/>
          <w:color w:val="auto"/>
          <w:kern w:val="2"/>
          <w:sz w:val="32"/>
          <w:szCs w:val="32"/>
          <w:highlight w:val="none"/>
        </w:rPr>
      </w:pPr>
      <w:r>
        <w:rPr>
          <w:rFonts w:hint="default" w:ascii="Times New Roman" w:hAnsi="Times New Roman" w:eastAsia="仿宋_GB2312" w:cs="Times New Roman"/>
          <w:color w:val="auto"/>
          <w:kern w:val="2"/>
          <w:sz w:val="32"/>
          <w:szCs w:val="32"/>
          <w:highlight w:val="none"/>
          <w:lang w:eastAsia="zh-CN"/>
        </w:rPr>
        <w:t>可以</w:t>
      </w:r>
      <w:r>
        <w:rPr>
          <w:rFonts w:hint="default" w:ascii="Times New Roman" w:hAnsi="Times New Roman" w:eastAsia="仿宋_GB2312" w:cs="Times New Roman"/>
          <w:color w:val="auto"/>
          <w:kern w:val="2"/>
          <w:sz w:val="32"/>
          <w:szCs w:val="32"/>
          <w:highlight w:val="none"/>
        </w:rPr>
        <w:t>通过</w:t>
      </w:r>
      <w:r>
        <w:rPr>
          <w:rFonts w:hint="default" w:ascii="Times New Roman" w:hAnsi="Times New Roman" w:eastAsia="仿宋_GB2312" w:cs="Times New Roman"/>
          <w:color w:val="auto"/>
          <w:kern w:val="2"/>
          <w:sz w:val="32"/>
          <w:szCs w:val="32"/>
          <w:highlight w:val="none"/>
          <w:lang w:eastAsia="zh-CN"/>
        </w:rPr>
        <w:t>地方</w:t>
      </w:r>
      <w:r>
        <w:rPr>
          <w:rFonts w:hint="default" w:ascii="Times New Roman" w:hAnsi="Times New Roman" w:eastAsia="仿宋_GB2312" w:cs="Times New Roman"/>
          <w:color w:val="auto"/>
          <w:kern w:val="2"/>
          <w:sz w:val="32"/>
          <w:szCs w:val="32"/>
          <w:highlight w:val="none"/>
        </w:rPr>
        <w:t>立法的形</w:t>
      </w:r>
      <w:r>
        <w:rPr>
          <w:rFonts w:hint="default" w:ascii="Times New Roman" w:hAnsi="Times New Roman" w:eastAsia="仿宋_GB2312" w:cs="Times New Roman"/>
          <w:color w:val="auto"/>
          <w:kern w:val="2"/>
          <w:sz w:val="32"/>
          <w:szCs w:val="32"/>
          <w:highlight w:val="none"/>
          <w:lang w:eastAsia="zh-CN"/>
        </w:rPr>
        <w:t>式</w:t>
      </w:r>
      <w:r>
        <w:rPr>
          <w:rFonts w:hint="default" w:ascii="Times New Roman" w:hAnsi="Times New Roman" w:eastAsia="仿宋_GB2312" w:cs="Times New Roman"/>
          <w:color w:val="auto"/>
          <w:kern w:val="2"/>
          <w:sz w:val="32"/>
          <w:szCs w:val="32"/>
          <w:highlight w:val="none"/>
        </w:rPr>
        <w:t>，有效保护地下水监测孔安全运营，使地下水保护落到实处。</w:t>
      </w:r>
    </w:p>
    <w:p>
      <w:pPr>
        <w:bidi w:val="0"/>
        <w:rPr>
          <w:rFonts w:hint="default" w:ascii="Times New Roman" w:hAnsi="Times New Roman" w:eastAsia="仿宋_GB2312" w:cs="Times New Roman"/>
          <w:kern w:val="2"/>
          <w:sz w:val="32"/>
          <w:szCs w:val="28"/>
          <w:lang w:val="en-US" w:eastAsia="zh-CN" w:bidi="ar-SA"/>
        </w:rPr>
      </w:pPr>
    </w:p>
    <w:p>
      <w:pPr>
        <w:tabs>
          <w:tab w:val="left" w:pos="3219"/>
        </w:tabs>
        <w:bidi w:val="0"/>
        <w:ind w:left="0" w:leftChars="0" w:firstLine="0" w:firstLineChars="0"/>
        <w:jc w:val="center"/>
        <w:rPr>
          <w:rFonts w:hint="default" w:ascii="Times New Roman" w:hAnsi="Times New Roman" w:eastAsia="黑体" w:cs="Times New Roman"/>
          <w:color w:val="auto"/>
          <w:highlight w:val="none"/>
        </w:rPr>
      </w:pPr>
      <w:bookmarkStart w:id="772" w:name="_Toc7030"/>
      <w:bookmarkStart w:id="773" w:name="_Toc20246"/>
      <w:bookmarkStart w:id="774" w:name="_Toc15409"/>
      <w:bookmarkStart w:id="775" w:name="_Toc13334"/>
      <w:bookmarkStart w:id="776" w:name="_Toc32700"/>
      <w:bookmarkStart w:id="777" w:name="_Toc14305"/>
      <w:bookmarkStart w:id="778" w:name="_Toc10998"/>
      <w:bookmarkStart w:id="779" w:name="_Toc4612"/>
      <w:r>
        <w:rPr>
          <w:rFonts w:hint="default" w:ascii="Times New Roman" w:hAnsi="Times New Roman" w:eastAsia="黑体" w:cs="Times New Roman"/>
          <w:color w:val="auto"/>
          <w:highlight w:val="none"/>
        </w:rPr>
        <w:t>第八章  保障措施</w:t>
      </w:r>
      <w:bookmarkEnd w:id="674"/>
      <w:bookmarkEnd w:id="675"/>
      <w:bookmarkEnd w:id="772"/>
      <w:bookmarkEnd w:id="773"/>
      <w:bookmarkEnd w:id="774"/>
      <w:bookmarkEnd w:id="775"/>
      <w:bookmarkEnd w:id="776"/>
      <w:bookmarkEnd w:id="777"/>
      <w:bookmarkEnd w:id="778"/>
      <w:bookmarkEnd w:id="779"/>
    </w:p>
    <w:p>
      <w:pPr>
        <w:spacing w:line="560" w:lineRule="exact"/>
        <w:ind w:firstLine="600"/>
        <w:rPr>
          <w:rFonts w:hint="default" w:ascii="Times New Roman" w:hAnsi="Times New Roman" w:eastAsia="仿宋_GB2312" w:cs="Times New Roman"/>
          <w:color w:val="auto"/>
          <w:sz w:val="32"/>
          <w:szCs w:val="32"/>
          <w:highlight w:val="none"/>
        </w:rPr>
      </w:pPr>
      <w:bookmarkStart w:id="780" w:name="_Toc402104344"/>
      <w:bookmarkStart w:id="781" w:name="_Toc419380523"/>
    </w:p>
    <w:p>
      <w:pPr>
        <w:spacing w:line="560" w:lineRule="exact"/>
        <w:ind w:firstLine="600"/>
        <w:rPr>
          <w:rFonts w:hint="default" w:ascii="Times New Roman" w:hAnsi="Times New Roman" w:cs="Times New Roman"/>
          <w:color w:val="auto"/>
          <w:sz w:val="32"/>
          <w:szCs w:val="32"/>
          <w:highlight w:val="none"/>
        </w:rPr>
      </w:pPr>
      <w:r>
        <w:rPr>
          <w:rFonts w:hint="default" w:ascii="Times New Roman" w:hAnsi="Times New Roman" w:eastAsia="仿宋_GB2312" w:cs="Times New Roman"/>
          <w:color w:val="auto"/>
          <w:sz w:val="32"/>
          <w:szCs w:val="32"/>
          <w:highlight w:val="none"/>
        </w:rPr>
        <w:t>站在新的起点上，中卫市沙坡头区水利部门综合分析特殊区情水情，2020年已基本建成与全面小康社会相适应的水安全保障体系；提出到2035年全面建成与中国特色社会主义现代化相协调的水治理体系，基本实现“资源利用集约化，基础设施网络化，水利服务均等化，开发保护科学化，管理能力信息化，治理体系法治化”的水治理现代化；到2050年全面实现水治理体系和治理能力现代化，基本实现人水和谐发展，以有限的水资源支撑黄河流域生态保护和高质量发展，满足人民美好生活需要。</w:t>
      </w:r>
    </w:p>
    <w:p>
      <w:pPr>
        <w:pStyle w:val="6"/>
        <w:spacing w:before="0" w:beforeLines="0" w:line="560" w:lineRule="exact"/>
        <w:rPr>
          <w:rFonts w:hint="default" w:ascii="Times New Roman" w:hAnsi="Times New Roman" w:eastAsia="楷体_GB2312" w:cs="Times New Roman"/>
          <w:color w:val="auto"/>
          <w:highlight w:val="none"/>
        </w:rPr>
      </w:pPr>
      <w:bookmarkStart w:id="782" w:name="_Toc26334"/>
      <w:bookmarkStart w:id="783" w:name="_Toc29066"/>
      <w:bookmarkStart w:id="784" w:name="_Toc9195"/>
      <w:bookmarkStart w:id="785" w:name="_Toc13762"/>
      <w:bookmarkStart w:id="786" w:name="_Toc3217"/>
      <w:bookmarkStart w:id="787" w:name="_Toc11693"/>
      <w:bookmarkStart w:id="788" w:name="_Toc1221"/>
      <w:bookmarkStart w:id="789" w:name="_Toc3976"/>
      <w:bookmarkStart w:id="790" w:name="_Toc1910"/>
      <w:bookmarkStart w:id="791" w:name="_Toc7608"/>
      <w:r>
        <w:rPr>
          <w:rFonts w:hint="default" w:ascii="Times New Roman" w:hAnsi="Times New Roman" w:eastAsia="楷体_GB2312" w:cs="Times New Roman"/>
          <w:color w:val="auto"/>
          <w:highlight w:val="none"/>
        </w:rPr>
        <w:t>8.1全面落实最严格水资源管理制度</w:t>
      </w:r>
      <w:bookmarkEnd w:id="780"/>
      <w:bookmarkEnd w:id="781"/>
      <w:bookmarkEnd w:id="782"/>
      <w:bookmarkEnd w:id="783"/>
      <w:bookmarkEnd w:id="784"/>
      <w:bookmarkEnd w:id="785"/>
      <w:bookmarkEnd w:id="786"/>
      <w:bookmarkEnd w:id="787"/>
      <w:bookmarkEnd w:id="788"/>
      <w:bookmarkEnd w:id="789"/>
      <w:bookmarkEnd w:id="790"/>
      <w:bookmarkEnd w:id="791"/>
    </w:p>
    <w:p>
      <w:pPr>
        <w:keepNext w:val="0"/>
        <w:keepLines w:val="0"/>
        <w:widowControl/>
        <w:suppressLineNumbers w:val="0"/>
        <w:jc w:val="left"/>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自治区政府印发了《实行最严格水资源管理制度考核办法的通知》</w:t>
      </w:r>
      <w:r>
        <w:rPr>
          <w:rFonts w:hint="default" w:ascii="Times New Roman" w:hAnsi="Times New Roman" w:eastAsia="仿宋_GB2312" w:cs="Times New Roman"/>
          <w:color w:val="auto"/>
          <w:sz w:val="32"/>
          <w:szCs w:val="32"/>
          <w:highlight w:val="none"/>
          <w:lang w:val="en-US" w:eastAsia="zh-CN"/>
        </w:rPr>
        <w:t>（宁水发</w:t>
      </w:r>
      <w:r>
        <w:rPr>
          <w:rFonts w:hint="default" w:ascii="Times New Roman" w:hAnsi="Times New Roman" w:eastAsia="仿宋_GB2312" w:cs="Times New Roman"/>
          <w:color w:val="auto"/>
          <w:sz w:val="32"/>
          <w:szCs w:val="32"/>
          <w:highlight w:val="none"/>
        </w:rPr>
        <w:t>﹝20</w:t>
      </w:r>
      <w:r>
        <w:rPr>
          <w:rFonts w:hint="default" w:ascii="Times New Roman" w:hAnsi="Times New Roman" w:cs="Times New Roman"/>
          <w:color w:val="auto"/>
          <w:sz w:val="32"/>
          <w:szCs w:val="32"/>
          <w:highlight w:val="none"/>
          <w:lang w:val="en-US" w:eastAsia="zh-CN"/>
        </w:rPr>
        <w:t>13</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109号）</w:t>
      </w:r>
      <w:r>
        <w:rPr>
          <w:rFonts w:hint="default" w:ascii="Times New Roman" w:hAnsi="Times New Roman" w:eastAsia="仿宋_GB2312" w:cs="Times New Roman"/>
          <w:color w:val="auto"/>
          <w:sz w:val="32"/>
          <w:szCs w:val="32"/>
          <w:highlight w:val="none"/>
        </w:rPr>
        <w:t>，已将“三条红线”指标分配到市县，并将最严格水资源管理内容纳入市、县（市、区）政府的任期工作目标考核。建设项目水资源论证、取水许可制度、计划用水为抓手，加强用水总量控制，严格规划管理和水资源论证，将建设项目水资源论证制度作为项目审批、核准和开工建设的前置条件，严格部分高耗水、高污染行业水资源论证的审批；加强计划用水和取水许可监管，从严核定用水计划，加强取用水申报、下达、核查等环节管理。对取用水总量已达到或超过控制指标的地区，暂停审批建设项目新增取水；对不符合国家产业政策或列入国家产业结构调整指导目录中淘汰类的，工业产品或农业灌溉不符合行业用水定额标准的，以及地下水已严重超采的地区取用</w:t>
      </w:r>
      <w:r>
        <w:rPr>
          <w:rFonts w:hint="default" w:ascii="Times New Roman" w:hAnsi="Times New Roman" w:eastAsia="仿宋_GB2312" w:cs="Times New Roman"/>
          <w:color w:val="auto"/>
          <w:spacing w:val="-6"/>
          <w:sz w:val="32"/>
          <w:szCs w:val="32"/>
          <w:highlight w:val="none"/>
        </w:rPr>
        <w:t>地下水的建设项目取水申请等不符合规定的，审批机关不予批准。</w:t>
      </w:r>
    </w:p>
    <w:p>
      <w:pPr>
        <w:pStyle w:val="6"/>
        <w:spacing w:before="0" w:beforeLines="0" w:line="560" w:lineRule="exact"/>
        <w:rPr>
          <w:rFonts w:hint="default" w:ascii="Times New Roman" w:hAnsi="Times New Roman" w:eastAsia="楷体_GB2312" w:cs="Times New Roman"/>
          <w:color w:val="auto"/>
          <w:highlight w:val="none"/>
        </w:rPr>
      </w:pPr>
      <w:bookmarkStart w:id="792" w:name="_Toc6222"/>
      <w:bookmarkStart w:id="793" w:name="_Toc3330"/>
      <w:bookmarkStart w:id="794" w:name="_Toc30038"/>
      <w:bookmarkStart w:id="795" w:name="_Toc22592"/>
      <w:bookmarkStart w:id="796" w:name="_Toc1214"/>
      <w:bookmarkStart w:id="797" w:name="_Toc12483"/>
      <w:bookmarkStart w:id="798" w:name="_Toc11798"/>
      <w:bookmarkStart w:id="799" w:name="_Toc30709"/>
      <w:bookmarkStart w:id="800" w:name="_Toc13425"/>
      <w:bookmarkStart w:id="801" w:name="_Toc3855"/>
      <w:r>
        <w:rPr>
          <w:rFonts w:hint="default" w:ascii="Times New Roman" w:hAnsi="Times New Roman" w:eastAsia="楷体_GB2312" w:cs="Times New Roman"/>
          <w:color w:val="auto"/>
          <w:highlight w:val="none"/>
        </w:rPr>
        <w:t>8.2坚持总量控制，强化水资源刚性约束</w:t>
      </w:r>
      <w:bookmarkEnd w:id="792"/>
      <w:bookmarkEnd w:id="793"/>
      <w:bookmarkEnd w:id="794"/>
      <w:bookmarkEnd w:id="795"/>
      <w:bookmarkEnd w:id="796"/>
      <w:bookmarkEnd w:id="797"/>
      <w:bookmarkEnd w:id="798"/>
      <w:bookmarkEnd w:id="799"/>
      <w:bookmarkEnd w:id="800"/>
      <w:bookmarkEnd w:id="801"/>
    </w:p>
    <w:p>
      <w:pPr>
        <w:pStyle w:val="7"/>
        <w:rPr>
          <w:rFonts w:hint="default" w:ascii="Times New Roman" w:hAnsi="Times New Roman" w:eastAsia="仿宋_GB2312" w:cs="Times New Roman"/>
          <w:color w:val="auto"/>
          <w:highlight w:val="none"/>
        </w:rPr>
      </w:pPr>
      <w:bookmarkStart w:id="802" w:name="_Toc9575"/>
      <w:r>
        <w:rPr>
          <w:rFonts w:hint="default" w:ascii="Times New Roman" w:hAnsi="Times New Roman" w:eastAsia="仿宋_GB2312" w:cs="Times New Roman"/>
          <w:color w:val="auto"/>
          <w:highlight w:val="none"/>
          <w:lang w:val="en-US" w:eastAsia="zh-CN"/>
        </w:rPr>
        <w:t>8.2.1</w:t>
      </w:r>
      <w:r>
        <w:rPr>
          <w:rFonts w:hint="default" w:ascii="Times New Roman" w:hAnsi="Times New Roman" w:eastAsia="仿宋_GB2312" w:cs="Times New Roman"/>
          <w:color w:val="auto"/>
          <w:highlight w:val="none"/>
        </w:rPr>
        <w:t>将水资源作为最大刚性约束</w:t>
      </w:r>
      <w:bookmarkEnd w:id="802"/>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水资源刚性约束下的高质量发展，实际是要顺应自然规律、生态规律、经济规律、社会规律，强化水资源开发利用上线的刚性约束，提高利用水平，以有限的水资源支撑中卫市沙坡头区高质量发展。因此，要严格落实最严格水资源管理制度，把水资源水生态水环境承载力作为推进绿色发展的前提条件，除中卫市人民政府批复的用地外，不得新增灌溉面积。</w:t>
      </w:r>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要进一步开展取水工程或设施核查，摸清取用水设施现状，重点从监测、评价、预警、管控体系等方面建立水资源承载能力监测预警机制，对于水资源开发利用处于临界状态的地区进行预警，对于超载地区实行项目和用水“双限批”。到2025年，中卫市沙坡头区用水总量控制在5.76亿m³（其中：黄河水5.23亿m³；地下水0.45亿m³；非常规水0.08亿m³）。</w:t>
      </w:r>
    </w:p>
    <w:p>
      <w:pPr>
        <w:pStyle w:val="7"/>
        <w:rPr>
          <w:rFonts w:hint="default" w:ascii="Times New Roman" w:hAnsi="Times New Roman" w:eastAsia="仿宋_GB2312" w:cs="Times New Roman"/>
          <w:color w:val="auto"/>
          <w:highlight w:val="none"/>
          <w:lang w:val="en-US" w:eastAsia="zh-CN"/>
        </w:rPr>
      </w:pPr>
      <w:bookmarkStart w:id="803" w:name="_Toc11284"/>
      <w:r>
        <w:rPr>
          <w:rFonts w:hint="default" w:ascii="Times New Roman" w:hAnsi="Times New Roman" w:eastAsia="仿宋_GB2312" w:cs="Times New Roman"/>
          <w:color w:val="auto"/>
          <w:highlight w:val="none"/>
          <w:lang w:val="en-US" w:eastAsia="zh-CN"/>
        </w:rPr>
        <w:t>8.2.2严格落实“四定”管控要求</w:t>
      </w:r>
      <w:bookmarkEnd w:id="803"/>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习近平总书记在黄河流域生态保护和高质量发展座谈会上提出，要“以水而定、量水而行”，“坚持</w:t>
      </w:r>
      <w:r>
        <w:rPr>
          <w:rFonts w:hint="default" w:ascii="Times New Roman" w:hAnsi="Times New Roman" w:eastAsia="仿宋_GB2312" w:cs="Times New Roman"/>
          <w:color w:val="auto"/>
          <w:sz w:val="32"/>
          <w:szCs w:val="32"/>
          <w:highlight w:val="none"/>
          <w:lang w:val="en-US" w:eastAsia="zh-CN"/>
        </w:rPr>
        <w:t>四定原则</w:t>
      </w:r>
      <w:r>
        <w:rPr>
          <w:rFonts w:hint="default" w:ascii="Times New Roman" w:hAnsi="Times New Roman" w:eastAsia="仿宋_GB2312" w:cs="Times New Roman"/>
          <w:color w:val="auto"/>
          <w:sz w:val="32"/>
          <w:szCs w:val="32"/>
          <w:highlight w:val="none"/>
        </w:rPr>
        <w:t>，合理规划人口、城市和产业发展，坚决抑制不合理用水需求”等要求，为水资源开发利用工作指明了方向。“四水四定”核心是水资源约束条</w:t>
      </w:r>
      <w:r>
        <w:rPr>
          <w:rFonts w:hint="default" w:ascii="Times New Roman" w:hAnsi="Times New Roman" w:eastAsia="仿宋_GB2312" w:cs="Times New Roman"/>
          <w:color w:val="auto"/>
          <w:spacing w:val="-6"/>
          <w:sz w:val="32"/>
          <w:szCs w:val="32"/>
          <w:highlight w:val="none"/>
        </w:rPr>
        <w:t>件下社会经济发展规模控制，关键是控制目标和发展需求的关系。</w:t>
      </w:r>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因此，要按照空间均衡要求，建立健全黄河水资源管控指标体系，严格取用水总量控制，落实取水许可和水资源论证制度，推动区域社会经济发展规划、城市发展规划、能源基地建设规划、各类工业园区建设开展规划水资源论证，从源头上推动建立与水资源支撑条件相适应的经济社会发展规模和布局。</w:t>
      </w:r>
    </w:p>
    <w:p>
      <w:pPr>
        <w:pStyle w:val="7"/>
        <w:rPr>
          <w:rFonts w:hint="default" w:ascii="Times New Roman" w:hAnsi="Times New Roman" w:eastAsia="仿宋_GB2312" w:cs="Times New Roman"/>
          <w:color w:val="auto"/>
          <w:highlight w:val="none"/>
        </w:rPr>
      </w:pPr>
      <w:bookmarkStart w:id="804" w:name="_Toc1951"/>
      <w:r>
        <w:rPr>
          <w:rFonts w:hint="default" w:ascii="Times New Roman" w:hAnsi="Times New Roman" w:eastAsia="仿宋_GB2312" w:cs="Times New Roman"/>
          <w:color w:val="auto"/>
          <w:highlight w:val="none"/>
        </w:rPr>
        <w:t>8.2.3强化用水全过程管理</w:t>
      </w:r>
      <w:bookmarkEnd w:id="804"/>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严控水资源开发利用强度，有效提高水资源利用效率和效益，规划、新建、改扩建的项目必须开展水资源论证和节水评价。严格计划用水与定额管理、用水效率与退水管理。健全节水用水统计制度，建立重点取用水企业、城镇供水单位、万亩以上灌区取（用）水台账，定期发布重点监控用水单位名录，加强对重点用水户、特殊行业用水户的监督管理与节水效果评估。继续推进水资源税改革，完善取用水在线计量监测。</w:t>
      </w:r>
    </w:p>
    <w:p>
      <w:pPr>
        <w:pStyle w:val="7"/>
        <w:rPr>
          <w:rFonts w:hint="default" w:ascii="Times New Roman" w:hAnsi="Times New Roman" w:eastAsia="仿宋_GB2312" w:cs="Times New Roman"/>
          <w:color w:val="auto"/>
          <w:highlight w:val="none"/>
        </w:rPr>
      </w:pPr>
      <w:bookmarkStart w:id="805" w:name="_Toc18873"/>
      <w:r>
        <w:rPr>
          <w:rFonts w:hint="default" w:ascii="Times New Roman" w:hAnsi="Times New Roman" w:eastAsia="仿宋_GB2312" w:cs="Times New Roman"/>
          <w:color w:val="auto"/>
          <w:highlight w:val="none"/>
          <w:lang w:val="en-US" w:eastAsia="zh-CN"/>
        </w:rPr>
        <w:t>8.2.4</w:t>
      </w:r>
      <w:r>
        <w:rPr>
          <w:rFonts w:hint="default" w:ascii="Times New Roman" w:hAnsi="Times New Roman" w:eastAsia="仿宋_GB2312" w:cs="Times New Roman"/>
          <w:color w:val="auto"/>
          <w:highlight w:val="none"/>
        </w:rPr>
        <w:t>深化水权制度改革</w:t>
      </w:r>
      <w:bookmarkEnd w:id="805"/>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要建立水商品意识，用市场手段破解中卫市沙坡头区面临的水资源短缺问题。积极推进水权改革，培育水权交易市场，开展水权收储和交易，盘活水资源存量。推进取水许可审批制度改革，建立许可水量动态调整机制，进一步优化用水结构和水资源配置格局，保障用户的基本利益和区域经济社会发展，实现水权动态化管理。</w:t>
      </w:r>
    </w:p>
    <w:p>
      <w:pPr>
        <w:pStyle w:val="6"/>
        <w:spacing w:before="0" w:beforeLines="0" w:line="560" w:lineRule="exact"/>
        <w:rPr>
          <w:rFonts w:hint="default" w:ascii="Times New Roman" w:hAnsi="Times New Roman" w:eastAsia="楷体_GB2312" w:cs="Times New Roman"/>
          <w:color w:val="auto"/>
          <w:highlight w:val="none"/>
        </w:rPr>
      </w:pPr>
      <w:bookmarkStart w:id="806" w:name="_Toc29149"/>
      <w:bookmarkStart w:id="807" w:name="_Toc30160"/>
      <w:bookmarkStart w:id="808" w:name="_Toc26745"/>
      <w:bookmarkStart w:id="809" w:name="_Toc1250"/>
      <w:bookmarkStart w:id="810" w:name="_Toc16318"/>
      <w:bookmarkStart w:id="811" w:name="_Toc6570"/>
      <w:bookmarkStart w:id="812" w:name="_Toc23278"/>
      <w:bookmarkStart w:id="813" w:name="_Toc31599"/>
      <w:bookmarkStart w:id="814" w:name="_Toc15321"/>
      <w:bookmarkStart w:id="815" w:name="_Toc17820"/>
      <w:r>
        <w:rPr>
          <w:rFonts w:hint="default" w:ascii="Times New Roman" w:hAnsi="Times New Roman" w:eastAsia="楷体_GB2312" w:cs="Times New Roman"/>
          <w:color w:val="auto"/>
          <w:highlight w:val="none"/>
        </w:rPr>
        <w:t>8.3坚持节水优先，加大水资源节约集约利用</w:t>
      </w:r>
      <w:bookmarkEnd w:id="806"/>
      <w:bookmarkEnd w:id="807"/>
      <w:bookmarkEnd w:id="808"/>
      <w:bookmarkEnd w:id="809"/>
      <w:bookmarkEnd w:id="810"/>
      <w:bookmarkEnd w:id="811"/>
      <w:bookmarkEnd w:id="812"/>
      <w:bookmarkEnd w:id="813"/>
      <w:bookmarkEnd w:id="814"/>
      <w:bookmarkEnd w:id="815"/>
    </w:p>
    <w:p>
      <w:pPr>
        <w:pStyle w:val="7"/>
        <w:rPr>
          <w:rFonts w:hint="default" w:ascii="Times New Roman" w:hAnsi="Times New Roman" w:eastAsia="仿宋_GB2312" w:cs="Times New Roman"/>
          <w:color w:val="auto"/>
          <w:highlight w:val="none"/>
          <w:lang w:val="en-US" w:eastAsia="zh-CN"/>
        </w:rPr>
      </w:pPr>
      <w:bookmarkStart w:id="816" w:name="_Toc24500"/>
      <w:r>
        <w:rPr>
          <w:rFonts w:hint="default" w:ascii="Times New Roman" w:hAnsi="Times New Roman" w:eastAsia="仿宋_GB2312" w:cs="Times New Roman"/>
          <w:color w:val="auto"/>
          <w:highlight w:val="none"/>
          <w:lang w:val="en-US" w:eastAsia="zh-CN"/>
        </w:rPr>
        <w:t>8.3.1深入实施国家节水行动</w:t>
      </w:r>
      <w:bookmarkEnd w:id="816"/>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强化水资源节约集约利用，提高水资源承载能力，以“农业节水领跑、工业节水增效、城市节水普及、全民节水文明”四大节水行动为引领，把节水作为水资源开发、利用、保护、配置、调度的前提和基础，进一步提高水资源利用效率，形成全社会节水的良好风尚。根据水资源条件，推进适水种植、量水生产，加</w:t>
      </w:r>
      <w:r>
        <w:rPr>
          <w:rFonts w:hint="default" w:ascii="Times New Roman" w:hAnsi="Times New Roman" w:eastAsia="仿宋_GB2312" w:cs="Times New Roman"/>
          <w:color w:val="auto"/>
          <w:spacing w:val="-11"/>
          <w:sz w:val="32"/>
          <w:szCs w:val="32"/>
          <w:highlight w:val="none"/>
        </w:rPr>
        <w:t>快引黄灌区续建配套和现代化改造，打造全国现代化灌区建设试点。</w:t>
      </w:r>
    </w:p>
    <w:p>
      <w:pPr>
        <w:pStyle w:val="7"/>
        <w:rPr>
          <w:rFonts w:hint="default" w:ascii="Times New Roman" w:hAnsi="Times New Roman" w:eastAsia="仿宋_GB2312" w:cs="Times New Roman"/>
          <w:color w:val="auto"/>
          <w:highlight w:val="none"/>
          <w:lang w:val="en-US" w:eastAsia="zh-CN"/>
        </w:rPr>
      </w:pPr>
      <w:bookmarkStart w:id="817" w:name="_Toc28892"/>
      <w:r>
        <w:rPr>
          <w:rFonts w:hint="default" w:ascii="Times New Roman" w:hAnsi="Times New Roman" w:eastAsia="仿宋_GB2312" w:cs="Times New Roman"/>
          <w:color w:val="auto"/>
          <w:highlight w:val="none"/>
          <w:lang w:val="en-US" w:eastAsia="zh-CN"/>
        </w:rPr>
        <w:t>8.3.2深入实施国家节水行动</w:t>
      </w:r>
      <w:bookmarkEnd w:id="817"/>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大力推行“互联网+供水”模式，逐步实现城乡供水一体化。以中卫市工业园区为重点，大力发展清洁生产和循环经济，推进节水型企业、节水型园区建设，设定工业项目水耗准入门槛，严格控制高耗水、高污染项目。严格落实城市节水各项基础管理制度，加大管网改造力度，有效降低管网漏损率，严格执行建筑设计节水标准，将节水贯穿到城市规划、建设、管理全过程。</w:t>
      </w:r>
    </w:p>
    <w:p>
      <w:pPr>
        <w:pStyle w:val="7"/>
        <w:rPr>
          <w:rFonts w:hint="default" w:ascii="Times New Roman" w:hAnsi="Times New Roman" w:eastAsia="仿宋_GB2312" w:cs="Times New Roman"/>
          <w:color w:val="auto"/>
          <w:highlight w:val="none"/>
          <w:lang w:val="en-US" w:eastAsia="zh-CN"/>
        </w:rPr>
      </w:pPr>
      <w:bookmarkStart w:id="818" w:name="_Toc17302"/>
      <w:r>
        <w:rPr>
          <w:rFonts w:hint="default" w:ascii="Times New Roman" w:hAnsi="Times New Roman" w:eastAsia="仿宋_GB2312" w:cs="Times New Roman"/>
          <w:color w:val="auto"/>
          <w:highlight w:val="none"/>
          <w:lang w:val="en-US" w:eastAsia="zh-CN"/>
        </w:rPr>
        <w:t>8.3.3大力发展节水产业和技术</w:t>
      </w:r>
      <w:bookmarkEnd w:id="818"/>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规模化推进喷灌、滴灌、微灌以及绿色一体化精准高效灌溉技术，提高农业灌溉效率和效益。大力开展先进节水技术创新，不断应用先进技术，实现技术节水。大力推广高效冷却、洗涤、循环用水、废污水再生利用、高耗水生产工艺替代等节水工艺和技术。</w:t>
      </w:r>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快推进节水技术成果转化，培育壮大节水产业，鼓励企业加大现代节水装备及新产品的产业化，开展苦咸水、矿井疏干水、城市污水、农村污水等非常规水回用处理技术的联合攻关。加强大数据、人工智能、区块链等信息技术的应用，推动节水技术与工艺创新，发展第三方节水服务企业，提供社会化、专业化、规范化节水服务。</w:t>
      </w:r>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大力调整用水结构。坚持以水定地，以水调结构。聚焦“1+4”特色优势产业，调整优化农业种植结构，降低高耗水产品出口规模，实施虚拟水战略，实现高质量发展。通过节水将农业用水更多的转向生活、工业和服务业用水，提高用水效率和发展质量。到2025年水稻种植面积压减到1万亩，农业用水（3.78亿m³）占比下降到80%以下，生态用水（1.2</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亿m³）占比从现状的5%提高到15%以上。</w:t>
      </w:r>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加大非常规水综合利用。再生水水质介于正常水与污水之间，也被称为中水。随着水荒在全球范围内的蔓延，再生水</w:t>
      </w:r>
      <w:r>
        <w:rPr>
          <w:rFonts w:hint="default" w:ascii="Times New Roman" w:hAnsi="Times New Roman" w:cs="Times New Roman"/>
          <w:color w:val="auto"/>
          <w:sz w:val="32"/>
          <w:szCs w:val="32"/>
          <w:highlight w:val="none"/>
          <w:lang w:eastAsia="zh-CN"/>
        </w:rPr>
        <w:t>逐渐</w:t>
      </w:r>
      <w:r>
        <w:rPr>
          <w:rFonts w:hint="default" w:ascii="Times New Roman" w:hAnsi="Times New Roman" w:eastAsia="仿宋_GB2312" w:cs="Times New Roman"/>
          <w:color w:val="auto"/>
          <w:sz w:val="32"/>
          <w:szCs w:val="32"/>
          <w:highlight w:val="none"/>
        </w:rPr>
        <w:t>成为一种重要的水资源，不仅用于工业生产和农业灌溉，还可以用来改善生态环境。要实行非常规水资源配额制，加大再生水、矿井疏干水、雨洪水等非常规水综合利用，建立非常规水利用精准补贴和节水奖励机制，鼓励使用非常规水，强化考核和引导，倒逼各地加大非常规水利用率。</w:t>
      </w:r>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推进机关、学校、医院、宾馆、居民小区等雨水、再生水一体化利用。争取到2025年，非常规水利用率达到50%。</w:t>
      </w:r>
    </w:p>
    <w:p>
      <w:pPr>
        <w:pStyle w:val="6"/>
        <w:spacing w:before="0" w:beforeLines="0" w:line="560" w:lineRule="exact"/>
        <w:rPr>
          <w:rFonts w:hint="default" w:ascii="Times New Roman" w:hAnsi="Times New Roman" w:eastAsia="楷体_GB2312" w:cs="Times New Roman"/>
          <w:color w:val="auto"/>
          <w:highlight w:val="none"/>
        </w:rPr>
      </w:pPr>
      <w:bookmarkStart w:id="819" w:name="_Toc8833"/>
      <w:bookmarkStart w:id="820" w:name="_Toc27116"/>
      <w:bookmarkStart w:id="821" w:name="_Toc11084"/>
      <w:bookmarkStart w:id="822" w:name="_Toc6246"/>
      <w:bookmarkStart w:id="823" w:name="_Toc29185"/>
      <w:bookmarkStart w:id="824" w:name="_Toc19395"/>
      <w:bookmarkStart w:id="825" w:name="_Toc11780"/>
      <w:bookmarkStart w:id="826" w:name="_Toc10232"/>
      <w:bookmarkStart w:id="827" w:name="_Toc2606"/>
      <w:bookmarkStart w:id="828" w:name="_Toc14074"/>
      <w:r>
        <w:rPr>
          <w:rFonts w:hint="default" w:ascii="Times New Roman" w:hAnsi="Times New Roman" w:eastAsia="楷体_GB2312" w:cs="Times New Roman"/>
          <w:color w:val="auto"/>
          <w:highlight w:val="none"/>
        </w:rPr>
        <w:t>8.4坚持生态优先，不断加大水生态修复力度</w:t>
      </w:r>
      <w:bookmarkEnd w:id="819"/>
      <w:bookmarkEnd w:id="820"/>
      <w:bookmarkEnd w:id="821"/>
      <w:bookmarkEnd w:id="822"/>
      <w:bookmarkEnd w:id="823"/>
      <w:bookmarkEnd w:id="824"/>
      <w:bookmarkEnd w:id="825"/>
      <w:bookmarkEnd w:id="826"/>
      <w:bookmarkEnd w:id="827"/>
      <w:bookmarkEnd w:id="828"/>
    </w:p>
    <w:p>
      <w:pPr>
        <w:pStyle w:val="7"/>
        <w:rPr>
          <w:rFonts w:hint="default" w:ascii="Times New Roman" w:hAnsi="Times New Roman" w:eastAsia="仿宋_GB2312" w:cs="Times New Roman"/>
          <w:b/>
          <w:bCs w:val="0"/>
          <w:color w:val="auto"/>
          <w:sz w:val="32"/>
          <w:szCs w:val="32"/>
          <w:highlight w:val="none"/>
        </w:rPr>
      </w:pPr>
      <w:bookmarkStart w:id="829" w:name="_Toc13403"/>
      <w:r>
        <w:rPr>
          <w:rFonts w:hint="default" w:ascii="Times New Roman" w:hAnsi="Times New Roman" w:eastAsia="仿宋_GB2312" w:cs="Times New Roman"/>
          <w:b/>
          <w:bCs w:val="0"/>
          <w:color w:val="auto"/>
          <w:sz w:val="32"/>
          <w:szCs w:val="32"/>
          <w:highlight w:val="none"/>
          <w:lang w:eastAsia="zh-CN"/>
        </w:rPr>
        <w:t>8</w:t>
      </w:r>
      <w:r>
        <w:rPr>
          <w:rFonts w:hint="default" w:ascii="Times New Roman" w:hAnsi="Times New Roman" w:eastAsia="仿宋_GB2312" w:cs="Times New Roman"/>
          <w:b/>
          <w:bCs w:val="0"/>
          <w:color w:val="auto"/>
          <w:sz w:val="32"/>
          <w:szCs w:val="32"/>
          <w:highlight w:val="none"/>
          <w:lang w:val="en-US" w:eastAsia="zh-CN"/>
        </w:rPr>
        <w:t>.4.1</w:t>
      </w:r>
      <w:r>
        <w:rPr>
          <w:rFonts w:hint="default" w:ascii="Times New Roman" w:hAnsi="Times New Roman" w:eastAsia="仿宋_GB2312" w:cs="Times New Roman"/>
          <w:b/>
          <w:bCs w:val="0"/>
          <w:color w:val="auto"/>
          <w:sz w:val="32"/>
          <w:szCs w:val="32"/>
          <w:highlight w:val="none"/>
        </w:rPr>
        <w:t>切实保障生态水量</w:t>
      </w:r>
      <w:bookmarkEnd w:id="829"/>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积极开展重要河湖生态水量管控机制研究，合理确定河湖生态水量指标，加强现有水利工程生态调度，提高水环境容量，建设优美水环境水生态。继续开展向香山湖、腾格里湖、中央大道水系等湖泊补水不少于3000万m³，向照壁山水库补给水量2550万m³，小湖、千岛湖采取补水措施保障小湖、千岛湖等重要湖泊湿地生态补水，促进水生态系统逐步修复。推进重点河湖生态流量水量管控，保障河湖生态基本用水，确保重要河道不断流、水质不超标。</w:t>
      </w:r>
    </w:p>
    <w:p>
      <w:pPr>
        <w:pStyle w:val="7"/>
        <w:rPr>
          <w:rFonts w:hint="default" w:ascii="Times New Roman" w:hAnsi="Times New Roman" w:eastAsia="仿宋_GB2312" w:cs="Times New Roman"/>
          <w:b/>
          <w:bCs w:val="0"/>
          <w:color w:val="auto"/>
          <w:sz w:val="32"/>
          <w:szCs w:val="32"/>
          <w:highlight w:val="none"/>
          <w:lang w:eastAsia="zh-CN"/>
        </w:rPr>
      </w:pPr>
      <w:bookmarkStart w:id="830" w:name="_Toc12452"/>
      <w:r>
        <w:rPr>
          <w:rFonts w:hint="default" w:ascii="Times New Roman" w:hAnsi="Times New Roman" w:eastAsia="仿宋_GB2312" w:cs="Times New Roman"/>
          <w:b/>
          <w:bCs w:val="0"/>
          <w:color w:val="auto"/>
          <w:sz w:val="32"/>
          <w:szCs w:val="32"/>
          <w:highlight w:val="none"/>
          <w:lang w:eastAsia="zh-CN"/>
        </w:rPr>
        <w:t>8</w:t>
      </w:r>
      <w:r>
        <w:rPr>
          <w:rFonts w:hint="default" w:ascii="Times New Roman" w:hAnsi="Times New Roman" w:eastAsia="仿宋_GB2312" w:cs="Times New Roman"/>
          <w:b/>
          <w:bCs w:val="0"/>
          <w:color w:val="auto"/>
          <w:sz w:val="32"/>
          <w:szCs w:val="32"/>
          <w:highlight w:val="none"/>
          <w:lang w:val="en-US" w:eastAsia="zh-CN"/>
        </w:rPr>
        <w:t>.4.2</w:t>
      </w:r>
      <w:r>
        <w:rPr>
          <w:rFonts w:hint="default" w:ascii="Times New Roman" w:hAnsi="Times New Roman" w:eastAsia="仿宋_GB2312" w:cs="Times New Roman"/>
          <w:b/>
          <w:bCs w:val="0"/>
          <w:color w:val="auto"/>
          <w:sz w:val="32"/>
          <w:szCs w:val="32"/>
          <w:highlight w:val="none"/>
          <w:lang w:eastAsia="zh-CN"/>
        </w:rPr>
        <w:t>严格地下水管理保护</w:t>
      </w:r>
      <w:bookmarkEnd w:id="830"/>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加大地下水保护力度，建立健全地下水管控指标体系，研究确定保障宁夏中卫市绿洲生态健康的地下水最低控制线、湖泊湿地最小补水量，严控地下水开采。加强地下水管理和超采区综合治理，采取节水、水源置换、农业种植结构调整、水价改革等综合措施，完成地下水超采区治理。强化地下水动态监测分析与成果运用，做好地下水动态分析、预测预警，准确把握区域地下水开发利用和动态变化，科学制定实施监管政策措施，维护灌区生态绿洲平衡。</w:t>
      </w:r>
    </w:p>
    <w:p>
      <w:pPr>
        <w:pStyle w:val="7"/>
        <w:rPr>
          <w:rFonts w:hint="default" w:ascii="Times New Roman" w:hAnsi="Times New Roman" w:eastAsia="仿宋_GB2312" w:cs="Times New Roman"/>
          <w:b/>
          <w:bCs w:val="0"/>
          <w:color w:val="auto"/>
          <w:sz w:val="32"/>
          <w:szCs w:val="32"/>
          <w:highlight w:val="none"/>
          <w:lang w:eastAsia="zh-CN"/>
        </w:rPr>
      </w:pPr>
      <w:bookmarkStart w:id="831" w:name="_Toc11590"/>
      <w:r>
        <w:rPr>
          <w:rFonts w:hint="default" w:ascii="Times New Roman" w:hAnsi="Times New Roman" w:eastAsia="仿宋_GB2312" w:cs="Times New Roman"/>
          <w:b/>
          <w:bCs w:val="0"/>
          <w:color w:val="auto"/>
          <w:sz w:val="32"/>
          <w:szCs w:val="32"/>
          <w:highlight w:val="none"/>
          <w:lang w:eastAsia="zh-CN"/>
        </w:rPr>
        <w:t>8</w:t>
      </w:r>
      <w:r>
        <w:rPr>
          <w:rFonts w:hint="default" w:ascii="Times New Roman" w:hAnsi="Times New Roman" w:eastAsia="仿宋_GB2312" w:cs="Times New Roman"/>
          <w:b/>
          <w:bCs w:val="0"/>
          <w:color w:val="auto"/>
          <w:sz w:val="32"/>
          <w:szCs w:val="32"/>
          <w:highlight w:val="none"/>
          <w:lang w:val="en-US" w:eastAsia="zh-CN"/>
        </w:rPr>
        <w:t>.4.3</w:t>
      </w:r>
      <w:r>
        <w:rPr>
          <w:rFonts w:hint="default" w:ascii="Times New Roman" w:hAnsi="Times New Roman" w:eastAsia="仿宋_GB2312" w:cs="Times New Roman"/>
          <w:b/>
          <w:bCs w:val="0"/>
          <w:color w:val="auto"/>
          <w:sz w:val="32"/>
          <w:szCs w:val="32"/>
          <w:highlight w:val="none"/>
          <w:lang w:eastAsia="zh-CN"/>
        </w:rPr>
        <w:t>深入推进河湖长制</w:t>
      </w:r>
      <w:bookmarkEnd w:id="831"/>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坚持生态优先、绿色发展，深入推进河湖长制落地生效，以水而定、量水而行，因地制宜、分类施策，切实管好“盛水的盆”和“盆里的水”。严格贯彻落实《河湖管理保护条例》，充分发挥河长、湖长作用，调动各部门技术和力量，大力实施“清河”行动，持续开展河湖“清四乱”，紧盯节水减排，减少废污水排放量，推动河湖生态系统持续向好。</w:t>
      </w:r>
    </w:p>
    <w:p>
      <w:pPr>
        <w:pStyle w:val="6"/>
        <w:spacing w:before="0" w:beforeLines="0" w:line="560" w:lineRule="exact"/>
        <w:rPr>
          <w:rFonts w:hint="default" w:ascii="Times New Roman" w:hAnsi="Times New Roman" w:eastAsia="楷体_GB2312" w:cs="Times New Roman"/>
          <w:color w:val="auto"/>
          <w:highlight w:val="none"/>
        </w:rPr>
      </w:pPr>
      <w:bookmarkStart w:id="832" w:name="_Toc21456"/>
      <w:bookmarkStart w:id="833" w:name="_Toc2102"/>
      <w:bookmarkStart w:id="834" w:name="_Toc31626"/>
      <w:bookmarkStart w:id="835" w:name="_Toc20943"/>
      <w:bookmarkStart w:id="836" w:name="_Toc31027"/>
      <w:bookmarkStart w:id="837" w:name="_Toc6214"/>
      <w:bookmarkStart w:id="838" w:name="_Toc13259"/>
      <w:bookmarkStart w:id="839" w:name="_Toc31282"/>
      <w:bookmarkStart w:id="840" w:name="_Toc6047"/>
      <w:bookmarkStart w:id="841" w:name="_Toc26587"/>
      <w:r>
        <w:rPr>
          <w:rFonts w:hint="default" w:ascii="Times New Roman" w:hAnsi="Times New Roman" w:eastAsia="楷体_GB2312" w:cs="Times New Roman"/>
          <w:color w:val="auto"/>
          <w:highlight w:val="none"/>
        </w:rPr>
        <w:t>8.5坚持优化配置，不断完善水资源供给网络</w:t>
      </w:r>
      <w:bookmarkEnd w:id="832"/>
      <w:bookmarkEnd w:id="833"/>
      <w:bookmarkEnd w:id="834"/>
      <w:bookmarkEnd w:id="835"/>
      <w:bookmarkEnd w:id="836"/>
      <w:bookmarkEnd w:id="837"/>
      <w:bookmarkEnd w:id="838"/>
      <w:bookmarkEnd w:id="839"/>
      <w:bookmarkEnd w:id="840"/>
      <w:bookmarkEnd w:id="841"/>
    </w:p>
    <w:p>
      <w:pPr>
        <w:pStyle w:val="7"/>
        <w:rPr>
          <w:rFonts w:hint="default" w:ascii="Times New Roman" w:hAnsi="Times New Roman" w:eastAsia="仿宋_GB2312" w:cs="Times New Roman"/>
          <w:b/>
          <w:bCs w:val="0"/>
          <w:color w:val="auto"/>
          <w:sz w:val="32"/>
          <w:szCs w:val="32"/>
          <w:highlight w:val="none"/>
          <w:lang w:eastAsia="zh-CN"/>
        </w:rPr>
      </w:pPr>
      <w:bookmarkStart w:id="842" w:name="_Toc22493"/>
      <w:r>
        <w:rPr>
          <w:rFonts w:hint="default" w:ascii="Times New Roman" w:hAnsi="Times New Roman" w:eastAsia="仿宋_GB2312" w:cs="Times New Roman"/>
          <w:b/>
          <w:bCs w:val="0"/>
          <w:color w:val="auto"/>
          <w:sz w:val="32"/>
          <w:szCs w:val="32"/>
          <w:highlight w:val="none"/>
          <w:lang w:eastAsia="zh-CN"/>
        </w:rPr>
        <w:t>8</w:t>
      </w:r>
      <w:r>
        <w:rPr>
          <w:rFonts w:hint="default" w:ascii="Times New Roman" w:hAnsi="Times New Roman" w:eastAsia="仿宋_GB2312" w:cs="Times New Roman"/>
          <w:b/>
          <w:bCs w:val="0"/>
          <w:color w:val="auto"/>
          <w:sz w:val="32"/>
          <w:szCs w:val="32"/>
          <w:highlight w:val="none"/>
          <w:lang w:val="en-US" w:eastAsia="zh-CN"/>
        </w:rPr>
        <w:t>.5.1</w:t>
      </w:r>
      <w:r>
        <w:rPr>
          <w:rFonts w:hint="default" w:ascii="Times New Roman" w:hAnsi="Times New Roman" w:eastAsia="仿宋_GB2312" w:cs="Times New Roman"/>
          <w:b/>
          <w:bCs w:val="0"/>
          <w:color w:val="auto"/>
          <w:sz w:val="32"/>
          <w:szCs w:val="32"/>
          <w:highlight w:val="none"/>
          <w:lang w:eastAsia="zh-CN"/>
        </w:rPr>
        <w:t>构建城乡用水安全保障体系</w:t>
      </w:r>
      <w:bookmarkEnd w:id="842"/>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照确有需要、生态安全、可以持续的原则，以保障和改善民生、推动中卫市城乡供水工程等重点水资源配置工程。坚持以大中小微工程并举，启动城乡供水连通和管网更新改造工程，提升水资源配置能力。加快城乡供水备用水源工程建设，推进更新改造工程建设。加快升级现代基础设施水网，构建沙坡头区引节供“三位一体”水资源配置体系。到2025年，基本实现城乡供水一体化，有效增强水安全整体保障能力。</w:t>
      </w:r>
    </w:p>
    <w:p>
      <w:pPr>
        <w:pStyle w:val="7"/>
        <w:rPr>
          <w:rFonts w:hint="default" w:ascii="Times New Roman" w:hAnsi="Times New Roman" w:eastAsia="仿宋_GB2312" w:cs="Times New Roman"/>
          <w:b/>
          <w:bCs w:val="0"/>
          <w:color w:val="auto"/>
          <w:sz w:val="32"/>
          <w:szCs w:val="32"/>
          <w:highlight w:val="none"/>
        </w:rPr>
      </w:pPr>
      <w:bookmarkStart w:id="843" w:name="_Toc21766"/>
      <w:r>
        <w:rPr>
          <w:rFonts w:hint="default" w:ascii="Times New Roman" w:hAnsi="Times New Roman" w:eastAsia="仿宋_GB2312" w:cs="Times New Roman"/>
          <w:b/>
          <w:bCs w:val="0"/>
          <w:color w:val="auto"/>
          <w:sz w:val="32"/>
          <w:szCs w:val="32"/>
          <w:highlight w:val="none"/>
          <w:lang w:eastAsia="zh-CN"/>
        </w:rPr>
        <w:t>8</w:t>
      </w:r>
      <w:r>
        <w:rPr>
          <w:rFonts w:hint="default" w:ascii="Times New Roman" w:hAnsi="Times New Roman" w:eastAsia="仿宋_GB2312" w:cs="Times New Roman"/>
          <w:b/>
          <w:bCs w:val="0"/>
          <w:color w:val="auto"/>
          <w:sz w:val="32"/>
          <w:szCs w:val="32"/>
          <w:highlight w:val="none"/>
          <w:lang w:val="en-US" w:eastAsia="zh-CN"/>
        </w:rPr>
        <w:t>.5.2</w:t>
      </w:r>
      <w:r>
        <w:rPr>
          <w:rFonts w:hint="default" w:ascii="Times New Roman" w:hAnsi="Times New Roman" w:eastAsia="仿宋_GB2312" w:cs="Times New Roman"/>
          <w:b/>
          <w:bCs w:val="0"/>
          <w:color w:val="auto"/>
          <w:sz w:val="32"/>
          <w:szCs w:val="32"/>
          <w:highlight w:val="none"/>
        </w:rPr>
        <w:t>加快完善水资源配置工程格局</w:t>
      </w:r>
      <w:bookmarkEnd w:id="843"/>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照“强化节水、精用客水、增供中水、应急备水”的基本思路，加快完善沙坡头区供水网络体系短板，合理优化区域、行业之间的水资源配置格局，提高水资源配置与经济发展布局的匹配性，提升中卫市沙坡头区的供水安全保障，加快实施中卫市城乡供水工程建设，加快推进城乡供水一体化，解决城乡和产业发展用水问题。加快形成“总量可控、高效利用、供水安全、调度灵活”的水资源管理格局。</w:t>
      </w:r>
    </w:p>
    <w:p>
      <w:pPr>
        <w:pStyle w:val="7"/>
        <w:rPr>
          <w:rFonts w:hint="default" w:ascii="Times New Roman" w:hAnsi="Times New Roman" w:eastAsia="仿宋_GB2312" w:cs="Times New Roman"/>
          <w:b/>
          <w:bCs w:val="0"/>
          <w:color w:val="auto"/>
          <w:sz w:val="32"/>
          <w:szCs w:val="32"/>
          <w:highlight w:val="none"/>
        </w:rPr>
      </w:pPr>
      <w:bookmarkStart w:id="844" w:name="_Toc12461"/>
      <w:r>
        <w:rPr>
          <w:rFonts w:hint="default" w:ascii="Times New Roman" w:hAnsi="Times New Roman" w:eastAsia="仿宋_GB2312" w:cs="Times New Roman"/>
          <w:b/>
          <w:bCs w:val="0"/>
          <w:color w:val="auto"/>
          <w:sz w:val="32"/>
          <w:szCs w:val="32"/>
          <w:highlight w:val="none"/>
          <w:lang w:eastAsia="zh-CN"/>
        </w:rPr>
        <w:t>8</w:t>
      </w:r>
      <w:r>
        <w:rPr>
          <w:rFonts w:hint="default" w:ascii="Times New Roman" w:hAnsi="Times New Roman" w:eastAsia="仿宋_GB2312" w:cs="Times New Roman"/>
          <w:b/>
          <w:bCs w:val="0"/>
          <w:color w:val="auto"/>
          <w:sz w:val="32"/>
          <w:szCs w:val="32"/>
          <w:highlight w:val="none"/>
          <w:lang w:val="en-US" w:eastAsia="zh-CN"/>
        </w:rPr>
        <w:t>.5.3</w:t>
      </w:r>
      <w:r>
        <w:rPr>
          <w:rFonts w:hint="default" w:ascii="Times New Roman" w:hAnsi="Times New Roman" w:eastAsia="仿宋_GB2312" w:cs="Times New Roman"/>
          <w:b/>
          <w:bCs w:val="0"/>
          <w:color w:val="auto"/>
          <w:sz w:val="32"/>
          <w:szCs w:val="32"/>
          <w:highlight w:val="none"/>
        </w:rPr>
        <w:t>统筹多水源联合调配</w:t>
      </w:r>
      <w:bookmarkEnd w:id="844"/>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落实黄河和重要支流水量分配方案，统筹各类水源，合理安排各业用水。进一步完善水资源统一调度体系，将地表水、地下水、非常规水资源纳入水资源统一配置和调度，保障基本生态水量，建立健全生态水量监测预警机制，保障</w:t>
      </w:r>
      <w:r>
        <w:rPr>
          <w:rFonts w:hint="default" w:ascii="Times New Roman" w:hAnsi="Times New Roman" w:eastAsia="仿宋_GB2312" w:cs="Times New Roman"/>
          <w:color w:val="auto"/>
          <w:sz w:val="32"/>
          <w:szCs w:val="32"/>
          <w:highlight w:val="none"/>
          <w:lang w:val="en-US" w:eastAsia="zh-CN"/>
        </w:rPr>
        <w:t>沙坡头区</w:t>
      </w:r>
      <w:r>
        <w:rPr>
          <w:rFonts w:hint="default" w:ascii="Times New Roman" w:hAnsi="Times New Roman" w:eastAsia="仿宋_GB2312" w:cs="Times New Roman"/>
          <w:color w:val="auto"/>
          <w:sz w:val="32"/>
          <w:szCs w:val="32"/>
          <w:highlight w:val="none"/>
        </w:rPr>
        <w:t>供水安全和水生态安全，维护黄河健康生命。</w:t>
      </w:r>
    </w:p>
    <w:p>
      <w:pPr>
        <w:pStyle w:val="7"/>
        <w:rPr>
          <w:rFonts w:hint="default" w:ascii="Times New Roman" w:hAnsi="Times New Roman" w:eastAsia="仿宋_GB2312" w:cs="Times New Roman"/>
          <w:b/>
          <w:bCs w:val="0"/>
          <w:color w:val="auto"/>
          <w:sz w:val="32"/>
          <w:szCs w:val="32"/>
          <w:highlight w:val="none"/>
        </w:rPr>
      </w:pPr>
      <w:bookmarkStart w:id="845" w:name="_Toc13376"/>
      <w:r>
        <w:rPr>
          <w:rFonts w:hint="default" w:ascii="Times New Roman" w:hAnsi="Times New Roman" w:eastAsia="仿宋_GB2312" w:cs="Times New Roman"/>
          <w:b/>
          <w:bCs w:val="0"/>
          <w:color w:val="auto"/>
          <w:sz w:val="32"/>
          <w:szCs w:val="32"/>
          <w:highlight w:val="none"/>
          <w:lang w:eastAsia="zh-CN"/>
        </w:rPr>
        <w:t>8</w:t>
      </w:r>
      <w:r>
        <w:rPr>
          <w:rFonts w:hint="default" w:ascii="Times New Roman" w:hAnsi="Times New Roman" w:eastAsia="仿宋_GB2312" w:cs="Times New Roman"/>
          <w:b/>
          <w:bCs w:val="0"/>
          <w:color w:val="auto"/>
          <w:sz w:val="32"/>
          <w:szCs w:val="32"/>
          <w:highlight w:val="none"/>
          <w:lang w:val="en-US" w:eastAsia="zh-CN"/>
        </w:rPr>
        <w:t>.5.4</w:t>
      </w:r>
      <w:r>
        <w:rPr>
          <w:rFonts w:hint="default" w:ascii="Times New Roman" w:hAnsi="Times New Roman" w:eastAsia="仿宋_GB2312" w:cs="Times New Roman"/>
          <w:b/>
          <w:bCs w:val="0"/>
          <w:color w:val="auto"/>
          <w:sz w:val="32"/>
          <w:szCs w:val="32"/>
          <w:highlight w:val="none"/>
        </w:rPr>
        <w:t>推动黄河黑山峡河段开发</w:t>
      </w:r>
      <w:bookmarkEnd w:id="845"/>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从长远着手，开源是解决缺水的唯一出路，将积极争取黄河黑山峡水利枢纽工程立项建设，增加宁夏水资源总量指标，同时，可为沙坡头区黄河流域生态保护和高质量发展提供坚实的水安全保障。</w:t>
      </w:r>
    </w:p>
    <w:p>
      <w:pPr>
        <w:pStyle w:val="6"/>
        <w:spacing w:before="0" w:beforeLines="0" w:line="560" w:lineRule="exact"/>
        <w:rPr>
          <w:rFonts w:hint="default" w:ascii="Times New Roman" w:hAnsi="Times New Roman" w:eastAsia="楷体_GB2312" w:cs="Times New Roman"/>
          <w:color w:val="auto"/>
          <w:highlight w:val="none"/>
        </w:rPr>
      </w:pPr>
      <w:bookmarkStart w:id="846" w:name="_Toc25528"/>
      <w:bookmarkStart w:id="847" w:name="_Toc31152"/>
      <w:bookmarkStart w:id="848" w:name="_Toc12120"/>
      <w:bookmarkStart w:id="849" w:name="_Toc30956"/>
      <w:bookmarkStart w:id="850" w:name="_Toc19423"/>
      <w:bookmarkStart w:id="851" w:name="_Toc27841"/>
      <w:bookmarkStart w:id="852" w:name="_Toc30244"/>
      <w:bookmarkStart w:id="853" w:name="_Toc15781"/>
      <w:bookmarkStart w:id="854" w:name="_Toc4293"/>
      <w:bookmarkStart w:id="855" w:name="_Toc4805"/>
      <w:r>
        <w:rPr>
          <w:rFonts w:hint="default" w:ascii="Times New Roman" w:hAnsi="Times New Roman" w:eastAsia="楷体_GB2312" w:cs="Times New Roman"/>
          <w:color w:val="auto"/>
          <w:highlight w:val="none"/>
        </w:rPr>
        <w:t>8.6坚持一盘棋思想，完善水资源管理体制机制</w:t>
      </w:r>
      <w:bookmarkEnd w:id="846"/>
      <w:bookmarkEnd w:id="847"/>
      <w:bookmarkEnd w:id="848"/>
      <w:bookmarkEnd w:id="849"/>
      <w:bookmarkEnd w:id="850"/>
      <w:bookmarkEnd w:id="851"/>
      <w:bookmarkEnd w:id="852"/>
      <w:bookmarkEnd w:id="853"/>
      <w:bookmarkEnd w:id="854"/>
      <w:bookmarkEnd w:id="855"/>
    </w:p>
    <w:p>
      <w:pPr>
        <w:pStyle w:val="7"/>
        <w:rPr>
          <w:rFonts w:hint="default" w:ascii="Times New Roman" w:hAnsi="Times New Roman" w:eastAsia="仿宋_GB2312" w:cs="Times New Roman"/>
          <w:b/>
          <w:bCs w:val="0"/>
          <w:color w:val="auto"/>
          <w:sz w:val="32"/>
          <w:szCs w:val="32"/>
          <w:highlight w:val="none"/>
        </w:rPr>
      </w:pPr>
      <w:bookmarkStart w:id="856" w:name="_Toc23056"/>
      <w:r>
        <w:rPr>
          <w:rFonts w:hint="default" w:ascii="Times New Roman" w:hAnsi="Times New Roman" w:eastAsia="仿宋_GB2312" w:cs="Times New Roman"/>
          <w:b/>
          <w:bCs w:val="0"/>
          <w:color w:val="auto"/>
          <w:sz w:val="32"/>
          <w:szCs w:val="32"/>
          <w:highlight w:val="none"/>
          <w:lang w:eastAsia="zh-CN"/>
        </w:rPr>
        <w:t>8</w:t>
      </w:r>
      <w:r>
        <w:rPr>
          <w:rFonts w:hint="default" w:ascii="Times New Roman" w:hAnsi="Times New Roman" w:eastAsia="仿宋_GB2312" w:cs="Times New Roman"/>
          <w:b/>
          <w:bCs w:val="0"/>
          <w:color w:val="auto"/>
          <w:sz w:val="32"/>
          <w:szCs w:val="32"/>
          <w:highlight w:val="none"/>
          <w:lang w:val="en-US" w:eastAsia="zh-CN"/>
        </w:rPr>
        <w:t>.6.1</w:t>
      </w:r>
      <w:r>
        <w:rPr>
          <w:rFonts w:hint="default" w:ascii="Times New Roman" w:hAnsi="Times New Roman" w:eastAsia="仿宋_GB2312" w:cs="Times New Roman"/>
          <w:b/>
          <w:bCs w:val="0"/>
          <w:color w:val="auto"/>
          <w:sz w:val="32"/>
          <w:szCs w:val="32"/>
          <w:highlight w:val="none"/>
        </w:rPr>
        <w:t>建立多层次、多渠道、多元化的投融资体制</w:t>
      </w:r>
      <w:bookmarkEnd w:id="856"/>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方面要积极争取国家投入，加快落实重大的开源、节流工程项目。另一方面是借助市场机制两手发力，对城市供水、再生水利用等公共服务项目给予一定优惠政策，吸引社会资金和外资投向城市节水、污水处理项目的建设和运营。此外，通过政策机制、价格补贴等方式，激励企业、个人等用水户优先利用节水设施，鼓励再生水利用。通过政策和市场机制推动有利于水资源开发利用效率提升的综合投资体制。</w:t>
      </w:r>
    </w:p>
    <w:p>
      <w:pPr>
        <w:pStyle w:val="7"/>
        <w:rPr>
          <w:rFonts w:hint="default" w:ascii="Times New Roman" w:hAnsi="Times New Roman" w:eastAsia="仿宋_GB2312" w:cs="Times New Roman"/>
          <w:color w:val="auto"/>
          <w:sz w:val="32"/>
          <w:szCs w:val="32"/>
          <w:highlight w:val="none"/>
        </w:rPr>
      </w:pPr>
      <w:bookmarkStart w:id="857" w:name="_Toc17203"/>
      <w:r>
        <w:rPr>
          <w:rFonts w:hint="default" w:ascii="Times New Roman" w:hAnsi="Times New Roman" w:eastAsia="仿宋_GB2312" w:cs="Times New Roman"/>
          <w:b/>
          <w:bCs w:val="0"/>
          <w:color w:val="auto"/>
          <w:sz w:val="32"/>
          <w:szCs w:val="32"/>
          <w:highlight w:val="none"/>
          <w:lang w:eastAsia="zh-CN"/>
        </w:rPr>
        <w:t>8</w:t>
      </w:r>
      <w:r>
        <w:rPr>
          <w:rFonts w:hint="default" w:ascii="Times New Roman" w:hAnsi="Times New Roman" w:eastAsia="仿宋_GB2312" w:cs="Times New Roman"/>
          <w:b/>
          <w:bCs w:val="0"/>
          <w:color w:val="auto"/>
          <w:sz w:val="32"/>
          <w:szCs w:val="32"/>
          <w:highlight w:val="none"/>
          <w:lang w:val="en-US" w:eastAsia="zh-CN"/>
        </w:rPr>
        <w:t>.6.2</w:t>
      </w:r>
      <w:r>
        <w:rPr>
          <w:rFonts w:hint="default" w:ascii="Times New Roman" w:hAnsi="Times New Roman" w:eastAsia="仿宋_GB2312" w:cs="Times New Roman"/>
          <w:b/>
          <w:bCs w:val="0"/>
          <w:color w:val="auto"/>
          <w:sz w:val="32"/>
          <w:szCs w:val="32"/>
          <w:highlight w:val="none"/>
        </w:rPr>
        <w:t>推进水权水价机制改革</w:t>
      </w:r>
      <w:bookmarkEnd w:id="857"/>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在没有新增用水指标的前提下，积极推进水权改革，培育水权交易市场，解决经济社会发展用水短缺问题。主动探索水权交易，推进取水许可审批制度改革，建立许可水量动态调整机制，推动实施水权转让与交易，进一步优化用水结构，破解缺水困局，盘活水资源存量，优化水资源配置格局，保障用户的基本利益和区域经济社会发展，实现水权动态化管理。建立激励节约用水的供水价格机制，促进水资源保护和合理利用，抑制不合理用水需求。制定优惠的再生水价格促进利用，建立以节水和合理配置利用各种水资源、提高用水效率、促进水资源可持续利用为核心的水价形成机制。</w:t>
      </w:r>
    </w:p>
    <w:p>
      <w:pPr>
        <w:pStyle w:val="7"/>
        <w:rPr>
          <w:rFonts w:hint="default" w:ascii="Times New Roman" w:hAnsi="Times New Roman" w:eastAsia="仿宋_GB2312" w:cs="Times New Roman"/>
          <w:b/>
          <w:bCs w:val="0"/>
          <w:color w:val="auto"/>
          <w:sz w:val="32"/>
          <w:szCs w:val="32"/>
          <w:highlight w:val="none"/>
          <w:lang w:eastAsia="zh-CN"/>
        </w:rPr>
      </w:pPr>
      <w:bookmarkStart w:id="858" w:name="_Toc21512"/>
      <w:r>
        <w:rPr>
          <w:rFonts w:hint="default" w:ascii="Times New Roman" w:hAnsi="Times New Roman" w:eastAsia="仿宋_GB2312" w:cs="Times New Roman"/>
          <w:b/>
          <w:bCs w:val="0"/>
          <w:color w:val="auto"/>
          <w:sz w:val="32"/>
          <w:szCs w:val="32"/>
          <w:highlight w:val="none"/>
          <w:lang w:eastAsia="zh-CN"/>
        </w:rPr>
        <w:t>8</w:t>
      </w:r>
      <w:r>
        <w:rPr>
          <w:rFonts w:hint="default" w:ascii="Times New Roman" w:hAnsi="Times New Roman" w:eastAsia="仿宋_GB2312" w:cs="Times New Roman"/>
          <w:b/>
          <w:bCs w:val="0"/>
          <w:color w:val="auto"/>
          <w:sz w:val="32"/>
          <w:szCs w:val="32"/>
          <w:highlight w:val="none"/>
          <w:lang w:val="en-US" w:eastAsia="zh-CN"/>
        </w:rPr>
        <w:t>.6.3</w:t>
      </w:r>
      <w:r>
        <w:rPr>
          <w:rFonts w:hint="default" w:ascii="Times New Roman" w:hAnsi="Times New Roman" w:eastAsia="仿宋_GB2312" w:cs="Times New Roman"/>
          <w:b/>
          <w:bCs w:val="0"/>
          <w:color w:val="auto"/>
          <w:sz w:val="32"/>
          <w:szCs w:val="32"/>
          <w:highlight w:val="none"/>
          <w:lang w:eastAsia="zh-CN"/>
        </w:rPr>
        <w:t>建立健全绩效考核制</w:t>
      </w:r>
      <w:bookmarkEnd w:id="858"/>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考虑水资源与社会经济发展的协调关系，建立有所区别的社会经济发展绩效考核方式，采用不同的发展考核方式引导水资源约束条件下不同区域的发展方向。对</w:t>
      </w:r>
      <w:r>
        <w:rPr>
          <w:rFonts w:hint="default" w:ascii="Times New Roman" w:hAnsi="Times New Roman" w:cs="Times New Roman"/>
          <w:color w:val="auto"/>
          <w:sz w:val="32"/>
          <w:szCs w:val="32"/>
          <w:highlight w:val="none"/>
          <w:lang w:eastAsia="zh-CN"/>
        </w:rPr>
        <w:t>市</w:t>
      </w:r>
      <w:r>
        <w:rPr>
          <w:rFonts w:hint="default" w:ascii="Times New Roman" w:hAnsi="Times New Roman" w:eastAsia="仿宋_GB2312" w:cs="Times New Roman"/>
          <w:color w:val="auto"/>
          <w:sz w:val="32"/>
          <w:szCs w:val="32"/>
          <w:highlight w:val="none"/>
        </w:rPr>
        <w:t>县区应突</w:t>
      </w:r>
      <w:r>
        <w:rPr>
          <w:rFonts w:hint="default" w:ascii="Times New Roman" w:hAnsi="Times New Roman" w:cs="Times New Roman"/>
          <w:color w:val="auto"/>
          <w:sz w:val="32"/>
          <w:szCs w:val="32"/>
          <w:highlight w:val="none"/>
          <w:lang w:eastAsia="zh-CN"/>
        </w:rPr>
        <w:t>出</w:t>
      </w:r>
      <w:r>
        <w:rPr>
          <w:rFonts w:hint="default" w:ascii="Times New Roman" w:hAnsi="Times New Roman" w:eastAsia="仿宋_GB2312" w:cs="Times New Roman"/>
          <w:color w:val="auto"/>
          <w:sz w:val="32"/>
          <w:szCs w:val="32"/>
          <w:highlight w:val="none"/>
        </w:rPr>
        <w:t>经济发展、提升效益、转型升级、城乡融合、污染防治等指标，水资源管控应以总量控制、效率提升为主；对中南部地区应突出民生保障、生态建设、环境保护、精准脱贫等相关指标的考核，水资源管控应以改善民生、污染防治、生态安全为主。</w:t>
      </w:r>
    </w:p>
    <w:p>
      <w:pPr>
        <w:pStyle w:val="7"/>
        <w:rPr>
          <w:rFonts w:hint="default" w:ascii="Times New Roman" w:hAnsi="Times New Roman" w:eastAsia="仿宋_GB2312" w:cs="Times New Roman"/>
          <w:b/>
          <w:bCs w:val="0"/>
          <w:color w:val="auto"/>
          <w:sz w:val="32"/>
          <w:szCs w:val="32"/>
          <w:highlight w:val="none"/>
          <w:lang w:eastAsia="zh-CN"/>
        </w:rPr>
      </w:pPr>
      <w:bookmarkStart w:id="859" w:name="_Toc23551"/>
      <w:r>
        <w:rPr>
          <w:rFonts w:hint="default" w:ascii="Times New Roman" w:hAnsi="Times New Roman" w:eastAsia="仿宋_GB2312" w:cs="Times New Roman"/>
          <w:b/>
          <w:bCs w:val="0"/>
          <w:color w:val="auto"/>
          <w:sz w:val="32"/>
          <w:szCs w:val="32"/>
          <w:highlight w:val="none"/>
          <w:lang w:eastAsia="zh-CN"/>
        </w:rPr>
        <w:t>8</w:t>
      </w:r>
      <w:r>
        <w:rPr>
          <w:rFonts w:hint="default" w:ascii="Times New Roman" w:hAnsi="Times New Roman" w:eastAsia="仿宋_GB2312" w:cs="Times New Roman"/>
          <w:b/>
          <w:bCs w:val="0"/>
          <w:color w:val="auto"/>
          <w:sz w:val="32"/>
          <w:szCs w:val="32"/>
          <w:highlight w:val="none"/>
          <w:lang w:val="en-US" w:eastAsia="zh-CN"/>
        </w:rPr>
        <w:t>.6.4</w:t>
      </w:r>
      <w:r>
        <w:rPr>
          <w:rFonts w:hint="default" w:ascii="Times New Roman" w:hAnsi="Times New Roman" w:eastAsia="仿宋_GB2312" w:cs="Times New Roman"/>
          <w:b/>
          <w:bCs w:val="0"/>
          <w:color w:val="auto"/>
          <w:sz w:val="32"/>
          <w:szCs w:val="32"/>
          <w:highlight w:val="none"/>
          <w:lang w:eastAsia="zh-CN"/>
        </w:rPr>
        <w:t>完善公众参与机制</w:t>
      </w:r>
      <w:bookmarkEnd w:id="859"/>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 w:cs="Times New Roman"/>
          <w:color w:val="auto"/>
          <w:sz w:val="32"/>
          <w:szCs w:val="32"/>
          <w:highlight w:val="none"/>
        </w:rPr>
      </w:pPr>
      <w:r>
        <w:rPr>
          <w:rFonts w:hint="default" w:ascii="Times New Roman" w:hAnsi="Times New Roman" w:eastAsia="仿宋_GB2312" w:cs="Times New Roman"/>
          <w:color w:val="auto"/>
          <w:sz w:val="32"/>
          <w:szCs w:val="32"/>
          <w:highlight w:val="none"/>
        </w:rPr>
        <w:t>建立多部门、全社会参与的节水与水资源利用监管公众参与机制。鼓励用水者组织建立公开透明、公众参与的监管机制，充分参与</w:t>
      </w:r>
      <w:r>
        <w:rPr>
          <w:rFonts w:hint="default" w:ascii="Times New Roman" w:hAnsi="Times New Roman" w:eastAsia="仿宋_GB2312" w:cs="Times New Roman"/>
          <w:color w:val="auto"/>
          <w:sz w:val="32"/>
          <w:szCs w:val="32"/>
          <w:highlight w:val="none"/>
          <w:lang w:val="en-US" w:eastAsia="zh-CN"/>
        </w:rPr>
        <w:t>沙坡头区</w:t>
      </w:r>
      <w:r>
        <w:rPr>
          <w:rFonts w:hint="default" w:ascii="Times New Roman" w:hAnsi="Times New Roman" w:eastAsia="仿宋_GB2312" w:cs="Times New Roman"/>
          <w:color w:val="auto"/>
          <w:sz w:val="32"/>
          <w:szCs w:val="32"/>
          <w:highlight w:val="none"/>
        </w:rPr>
        <w:t>节约用水和用水监督工作，增强全社会参与水资源管理和节水护水的意识</w:t>
      </w:r>
      <w:r>
        <w:rPr>
          <w:rFonts w:hint="default" w:ascii="Times New Roman" w:hAnsi="Times New Roman" w:eastAsia="仿宋" w:cs="Times New Roman"/>
          <w:color w:val="auto"/>
          <w:sz w:val="32"/>
          <w:szCs w:val="32"/>
          <w:highlight w:val="none"/>
        </w:rPr>
        <w:t>。</w:t>
      </w:r>
      <w:bookmarkStart w:id="860" w:name="_Toc6109"/>
      <w:bookmarkStart w:id="861" w:name="_Toc2457"/>
      <w:bookmarkStart w:id="862" w:name="_Toc30505"/>
      <w:bookmarkStart w:id="863" w:name="_Toc23631"/>
      <w:bookmarkStart w:id="864" w:name="_Toc5263"/>
      <w:bookmarkStart w:id="865" w:name="_Toc14980"/>
      <w:bookmarkStart w:id="866" w:name="_Toc27095"/>
      <w:bookmarkStart w:id="867" w:name="_Toc6717"/>
      <w:bookmarkStart w:id="868" w:name="_Toc2822"/>
      <w:bookmarkStart w:id="869" w:name="_Toc10968"/>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jc w:val="center"/>
        <w:textAlignment w:val="auto"/>
        <w:rPr>
          <w:rFonts w:hint="default" w:ascii="Times New Roman" w:hAnsi="Times New Roman" w:eastAsia="黑体" w:cs="Times New Roman"/>
          <w:color w:val="auto"/>
          <w:sz w:val="32"/>
          <w:szCs w:val="32"/>
          <w:highlight w:val="none"/>
        </w:rPr>
      </w:pPr>
    </w:p>
    <w:p>
      <w:pPr>
        <w:keepNext w:val="0"/>
        <w:keepLines w:val="0"/>
        <w:pageBreakBefore w:val="0"/>
        <w:widowControl w:val="0"/>
        <w:kinsoku/>
        <w:wordWrap/>
        <w:overflowPunct/>
        <w:topLinePunct w:val="0"/>
        <w:autoSpaceDE/>
        <w:autoSpaceDN/>
        <w:bidi w:val="0"/>
        <w:adjustRightInd w:val="0"/>
        <w:snapToGrid w:val="0"/>
        <w:spacing w:afterLines="0" w:line="560" w:lineRule="exact"/>
        <w:ind w:left="0" w:leftChars="0" w:firstLine="0" w:firstLineChars="0"/>
        <w:jc w:val="center"/>
        <w:textAlignment w:val="auto"/>
        <w:rPr>
          <w:rFonts w:hint="default" w:ascii="Times New Roman" w:hAnsi="Times New Roman" w:eastAsia="黑体" w:cs="Times New Roman"/>
          <w:color w:val="auto"/>
          <w:highlight w:val="none"/>
        </w:rPr>
      </w:pPr>
      <w:r>
        <w:rPr>
          <w:rFonts w:hint="default" w:ascii="Times New Roman" w:hAnsi="Times New Roman" w:eastAsia="黑体" w:cs="Times New Roman"/>
          <w:color w:val="auto"/>
          <w:highlight w:val="none"/>
        </w:rPr>
        <w:t>第九章  结论及建议</w:t>
      </w:r>
      <w:bookmarkEnd w:id="860"/>
      <w:bookmarkEnd w:id="861"/>
      <w:bookmarkEnd w:id="862"/>
      <w:bookmarkEnd w:id="863"/>
      <w:bookmarkEnd w:id="864"/>
      <w:bookmarkEnd w:id="865"/>
      <w:bookmarkEnd w:id="866"/>
      <w:bookmarkEnd w:id="867"/>
      <w:bookmarkEnd w:id="868"/>
      <w:bookmarkEnd w:id="869"/>
    </w:p>
    <w:p>
      <w:pPr>
        <w:pStyle w:val="6"/>
        <w:spacing w:line="560" w:lineRule="exact"/>
        <w:rPr>
          <w:rFonts w:hint="default" w:ascii="Times New Roman" w:hAnsi="Times New Roman" w:cs="Times New Roman"/>
          <w:color w:val="auto"/>
          <w:highlight w:val="none"/>
        </w:rPr>
      </w:pPr>
      <w:bookmarkStart w:id="870" w:name="_Toc9436"/>
      <w:bookmarkStart w:id="871" w:name="_Toc26231"/>
      <w:bookmarkStart w:id="872" w:name="_Toc14255"/>
      <w:bookmarkStart w:id="873" w:name="_Toc30609"/>
      <w:bookmarkStart w:id="874" w:name="_Toc16586"/>
      <w:bookmarkStart w:id="875" w:name="_Toc29774"/>
      <w:bookmarkStart w:id="876" w:name="_Toc790"/>
      <w:bookmarkStart w:id="877" w:name="_Toc21326"/>
      <w:bookmarkStart w:id="878" w:name="_Toc9519"/>
      <w:bookmarkStart w:id="879" w:name="_Toc19453"/>
    </w:p>
    <w:p>
      <w:pPr>
        <w:pStyle w:val="6"/>
        <w:spacing w:line="560" w:lineRule="exact"/>
        <w:rPr>
          <w:rFonts w:hint="default" w:ascii="Times New Roman" w:hAnsi="Times New Roman" w:cs="Times New Roman"/>
          <w:color w:val="auto"/>
          <w:highlight w:val="none"/>
        </w:rPr>
      </w:pPr>
      <w:r>
        <w:rPr>
          <w:rFonts w:hint="default" w:ascii="Times New Roman" w:hAnsi="Times New Roman" w:eastAsia="楷体_GB2312" w:cs="Times New Roman"/>
          <w:color w:val="auto"/>
          <w:highlight w:val="none"/>
        </w:rPr>
        <w:t>9.1结论</w:t>
      </w:r>
      <w:bookmarkEnd w:id="870"/>
      <w:bookmarkEnd w:id="871"/>
      <w:bookmarkEnd w:id="872"/>
      <w:bookmarkEnd w:id="873"/>
      <w:bookmarkEnd w:id="874"/>
      <w:bookmarkEnd w:id="875"/>
      <w:bookmarkEnd w:id="876"/>
      <w:bookmarkEnd w:id="877"/>
      <w:bookmarkEnd w:id="878"/>
      <w:bookmarkEnd w:id="879"/>
      <w:r>
        <w:rPr>
          <w:rFonts w:hint="default" w:ascii="Times New Roman" w:hAnsi="Times New Roman" w:cs="Times New Roman"/>
          <w:color w:val="auto"/>
          <w:highlight w:val="none"/>
        </w:rPr>
        <w:tab/>
      </w:r>
    </w:p>
    <w:p>
      <w:pPr>
        <w:pStyle w:val="7"/>
        <w:spacing w:before="0" w:beforeLines="0" w:line="560" w:lineRule="exact"/>
        <w:rPr>
          <w:rFonts w:hint="default" w:ascii="Times New Roman" w:hAnsi="Times New Roman" w:eastAsia="仿宋_GB2312" w:cs="Times New Roman"/>
          <w:bCs/>
          <w:color w:val="auto"/>
          <w:kern w:val="2"/>
          <w:highlight w:val="none"/>
        </w:rPr>
      </w:pPr>
      <w:bookmarkStart w:id="880" w:name="_Toc30941"/>
      <w:bookmarkStart w:id="881" w:name="_Toc12393"/>
      <w:bookmarkStart w:id="882" w:name="_Toc19657"/>
      <w:bookmarkStart w:id="883" w:name="_Toc11255"/>
      <w:bookmarkStart w:id="884" w:name="_Toc4735"/>
      <w:bookmarkStart w:id="885" w:name="_Toc14187"/>
      <w:bookmarkStart w:id="886" w:name="_Toc25980"/>
      <w:bookmarkStart w:id="887" w:name="_Toc17137"/>
      <w:r>
        <w:rPr>
          <w:rFonts w:hint="default" w:ascii="Times New Roman" w:hAnsi="Times New Roman" w:eastAsia="仿宋_GB2312" w:cs="Times New Roman"/>
          <w:bCs/>
          <w:color w:val="auto"/>
          <w:kern w:val="2"/>
          <w:highlight w:val="none"/>
        </w:rPr>
        <w:t>9.1.1现状取用水总量已</w:t>
      </w:r>
      <w:r>
        <w:rPr>
          <w:rFonts w:hint="default" w:ascii="Times New Roman" w:hAnsi="Times New Roman" w:eastAsia="仿宋_GB2312" w:cs="Times New Roman"/>
          <w:bCs/>
          <w:color w:val="auto"/>
          <w:kern w:val="2"/>
          <w:highlight w:val="none"/>
          <w:lang w:val="en-US" w:eastAsia="zh-CN"/>
        </w:rPr>
        <w:t>超</w:t>
      </w:r>
      <w:r>
        <w:rPr>
          <w:rFonts w:hint="default" w:ascii="Times New Roman" w:hAnsi="Times New Roman" w:eastAsia="仿宋_GB2312" w:cs="Times New Roman"/>
          <w:bCs/>
          <w:color w:val="auto"/>
          <w:kern w:val="2"/>
          <w:highlight w:val="none"/>
        </w:rPr>
        <w:t>宁夏分配指标</w:t>
      </w:r>
      <w:bookmarkEnd w:id="880"/>
      <w:bookmarkEnd w:id="881"/>
      <w:bookmarkEnd w:id="882"/>
      <w:bookmarkEnd w:id="883"/>
      <w:bookmarkEnd w:id="884"/>
      <w:bookmarkEnd w:id="885"/>
      <w:bookmarkEnd w:id="886"/>
      <w:bookmarkEnd w:id="887"/>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2019</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rPr>
        <w:t>2020年中卫市沙坡头区平均取水总量为6.22亿m³。2020年中卫市沙坡头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万元GDP取水量275m³，是全国万元GDP取水量的2.4倍；农业灌溉水利用系数仅0.525，高于全国平均值0.51的水平，但低于宁夏2020年0.57。从当前取用水总</w:t>
      </w:r>
      <w:r>
        <w:rPr>
          <w:rFonts w:hint="default" w:ascii="Times New Roman" w:hAnsi="Times New Roman" w:eastAsia="仿宋_GB2312" w:cs="Times New Roman"/>
          <w:color w:val="auto"/>
          <w:spacing w:val="-11"/>
          <w:sz w:val="32"/>
          <w:szCs w:val="32"/>
          <w:highlight w:val="none"/>
        </w:rPr>
        <w:t>量和效率等方面分析，中卫市沙坡头</w:t>
      </w:r>
      <w:r>
        <w:rPr>
          <w:rFonts w:hint="default" w:ascii="Times New Roman" w:hAnsi="Times New Roman" w:eastAsia="仿宋_GB2312" w:cs="Times New Roman"/>
          <w:color w:val="auto"/>
          <w:spacing w:val="-11"/>
          <w:sz w:val="32"/>
          <w:szCs w:val="32"/>
          <w:highlight w:val="none"/>
          <w:lang w:val="en-US" w:eastAsia="zh-CN"/>
        </w:rPr>
        <w:t>区</w:t>
      </w:r>
      <w:r>
        <w:rPr>
          <w:rFonts w:hint="default" w:ascii="Times New Roman" w:hAnsi="Times New Roman" w:eastAsia="仿宋_GB2312" w:cs="Times New Roman"/>
          <w:color w:val="auto"/>
          <w:spacing w:val="-11"/>
          <w:sz w:val="32"/>
          <w:szCs w:val="32"/>
          <w:highlight w:val="none"/>
        </w:rPr>
        <w:t>取用水总量</w:t>
      </w:r>
      <w:r>
        <w:rPr>
          <w:rFonts w:hint="default" w:ascii="Times New Roman" w:hAnsi="Times New Roman" w:eastAsia="仿宋_GB2312" w:cs="Times New Roman"/>
          <w:color w:val="auto"/>
          <w:spacing w:val="-11"/>
          <w:sz w:val="32"/>
          <w:szCs w:val="32"/>
          <w:highlight w:val="none"/>
          <w:lang w:val="en-US" w:eastAsia="zh-CN"/>
        </w:rPr>
        <w:t>超</w:t>
      </w:r>
      <w:r>
        <w:rPr>
          <w:rFonts w:hint="default" w:ascii="Times New Roman" w:hAnsi="Times New Roman" w:eastAsia="仿宋_GB2312" w:cs="Times New Roman"/>
          <w:color w:val="auto"/>
          <w:spacing w:val="-11"/>
          <w:sz w:val="32"/>
          <w:szCs w:val="32"/>
          <w:highlight w:val="none"/>
        </w:rPr>
        <w:t>宁夏分配指标。</w:t>
      </w:r>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国务院、自治区均强调对取用水总量已达到或超过控制指标的地区，暂停建设项目新增取水。因此，今后一个时期，一方面，中卫市沙坡头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要全面实行最严格水资源管理制度，大力推进节水型社会建设，在2021-2025年切实把取用水量控制在自治区分配的取用水总量控制指标内；另一方面，中卫市沙坡头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经济社会发展新增水量可通过农业节水，支</w:t>
      </w:r>
      <w:r>
        <w:rPr>
          <w:rFonts w:hint="default" w:ascii="Times New Roman" w:hAnsi="Times New Roman" w:cs="Times New Roman"/>
          <w:color w:val="auto"/>
          <w:sz w:val="32"/>
          <w:szCs w:val="32"/>
          <w:highlight w:val="none"/>
          <w:lang w:val="en-US" w:eastAsia="zh-CN"/>
        </w:rPr>
        <w:t>撑</w:t>
      </w:r>
      <w:r>
        <w:rPr>
          <w:rFonts w:hint="default" w:ascii="Times New Roman" w:hAnsi="Times New Roman" w:eastAsia="仿宋_GB2312" w:cs="Times New Roman"/>
          <w:color w:val="auto"/>
          <w:sz w:val="32"/>
          <w:szCs w:val="32"/>
          <w:highlight w:val="none"/>
        </w:rPr>
        <w:t>城市发展、工业和生态文明建设。</w:t>
      </w:r>
    </w:p>
    <w:p>
      <w:pPr>
        <w:pStyle w:val="7"/>
        <w:spacing w:before="0" w:beforeLines="0" w:line="560" w:lineRule="exact"/>
        <w:rPr>
          <w:rFonts w:hint="default" w:ascii="Times New Roman" w:hAnsi="Times New Roman" w:eastAsia="仿宋_GB2312" w:cs="Times New Roman"/>
          <w:bCs/>
          <w:color w:val="auto"/>
          <w:kern w:val="2"/>
          <w:highlight w:val="none"/>
        </w:rPr>
      </w:pPr>
      <w:bookmarkStart w:id="888" w:name="_Toc28151"/>
      <w:bookmarkStart w:id="889" w:name="_Toc23169"/>
      <w:bookmarkStart w:id="890" w:name="_Toc17050"/>
      <w:bookmarkStart w:id="891" w:name="_Toc28590"/>
      <w:bookmarkStart w:id="892" w:name="_Toc14043"/>
      <w:bookmarkStart w:id="893" w:name="_Toc10882"/>
      <w:bookmarkStart w:id="894" w:name="_Toc30044"/>
      <w:bookmarkStart w:id="895" w:name="_Toc9669"/>
      <w:r>
        <w:rPr>
          <w:rFonts w:hint="default" w:ascii="Times New Roman" w:hAnsi="Times New Roman" w:eastAsia="仿宋_GB2312" w:cs="Times New Roman"/>
          <w:bCs/>
          <w:color w:val="auto"/>
          <w:kern w:val="2"/>
          <w:highlight w:val="none"/>
        </w:rPr>
        <w:t>9.1.2</w:t>
      </w:r>
      <w:r>
        <w:rPr>
          <w:rFonts w:hint="default" w:ascii="Times New Roman" w:hAnsi="Times New Roman" w:eastAsia="仿宋_GB2312" w:cs="Times New Roman"/>
          <w:bCs/>
          <w:color w:val="auto"/>
          <w:kern w:val="2"/>
          <w:highlight w:val="none"/>
          <w:lang w:eastAsia="zh-CN"/>
        </w:rPr>
        <w:t>严格落实经济发展控制性指标</w:t>
      </w:r>
      <w:bookmarkEnd w:id="888"/>
      <w:bookmarkEnd w:id="889"/>
      <w:bookmarkEnd w:id="890"/>
      <w:bookmarkEnd w:id="891"/>
      <w:bookmarkEnd w:id="892"/>
      <w:bookmarkEnd w:id="893"/>
      <w:bookmarkEnd w:id="894"/>
      <w:bookmarkEnd w:id="895"/>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按照</w:t>
      </w:r>
      <w:r>
        <w:rPr>
          <w:rFonts w:hint="default" w:ascii="Times New Roman" w:hAnsi="Times New Roman" w:cs="Times New Roman"/>
          <w:color w:val="auto"/>
          <w:sz w:val="32"/>
          <w:szCs w:val="32"/>
          <w:highlight w:val="none"/>
          <w:lang w:val="en-US" w:eastAsia="zh-CN"/>
        </w:rPr>
        <w:t>自治区</w:t>
      </w:r>
      <w:r>
        <w:rPr>
          <w:rFonts w:hint="default" w:ascii="Times New Roman" w:hAnsi="Times New Roman" w:eastAsia="仿宋_GB2312" w:cs="Times New Roman"/>
          <w:color w:val="auto"/>
          <w:sz w:val="32"/>
          <w:szCs w:val="32"/>
          <w:highlight w:val="none"/>
        </w:rPr>
        <w:t>分配给中卫市沙坡头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取用水指标，到2025年，中卫市沙坡头</w:t>
      </w:r>
      <w:r>
        <w:rPr>
          <w:rFonts w:hint="default" w:ascii="Times New Roman" w:hAnsi="Times New Roman" w:eastAsia="仿宋_GB2312"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总取水量按5.76亿m³控制。其中，分水源取水量：黄河水5.23亿m³，地下水0.45亿m³，非常规水0.08亿m³；分行业取水量：生活0.39亿m³，工业0.3</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亿m³，农业3.78亿m³，生态1.2</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亿m³。中卫市沙坡头区万元GDP用水量下降率达到17%，万元工业值增加值</w:t>
      </w:r>
      <w:r>
        <w:rPr>
          <w:rFonts w:hint="default" w:ascii="Times New Roman" w:hAnsi="Times New Roman" w:cs="Times New Roman"/>
          <w:color w:val="auto"/>
          <w:sz w:val="32"/>
          <w:szCs w:val="32"/>
          <w:highlight w:val="none"/>
          <w:lang w:eastAsia="zh-CN"/>
        </w:rPr>
        <w:t>用水量</w:t>
      </w:r>
      <w:r>
        <w:rPr>
          <w:rFonts w:hint="default" w:ascii="Times New Roman" w:hAnsi="Times New Roman" w:eastAsia="仿宋_GB2312" w:cs="Times New Roman"/>
          <w:color w:val="auto"/>
          <w:sz w:val="32"/>
          <w:szCs w:val="32"/>
          <w:highlight w:val="none"/>
        </w:rPr>
        <w:t>下降率10%，农业灌溉水利用系数达到0.6，非常规水利用率达到50%；人口规模43万人，城镇化率达到62%</w:t>
      </w:r>
      <w:r>
        <w:rPr>
          <w:rFonts w:hint="default" w:ascii="Times New Roman" w:hAnsi="Times New Roman" w:eastAsia="仿宋_GB2312" w:cs="Times New Roman"/>
          <w:color w:val="auto"/>
          <w:sz w:val="32"/>
          <w:szCs w:val="32"/>
          <w:highlight w:val="none"/>
          <w:lang w:eastAsia="zh-CN"/>
        </w:rPr>
        <w:t>；肉牛、奶牛、生猪、羊、家禽存栏分别达到</w:t>
      </w:r>
      <w:r>
        <w:rPr>
          <w:rFonts w:hint="default" w:ascii="Times New Roman" w:hAnsi="Times New Roman" w:eastAsia="仿宋_GB2312" w:cs="Times New Roman"/>
          <w:color w:val="auto"/>
          <w:sz w:val="32"/>
          <w:szCs w:val="32"/>
          <w:highlight w:val="none"/>
          <w:lang w:val="en-US" w:eastAsia="zh-CN"/>
        </w:rPr>
        <w:t>6万头、6万头、45万头、70万只、500万只；</w:t>
      </w:r>
      <w:r>
        <w:rPr>
          <w:rFonts w:hint="default" w:ascii="Times New Roman" w:hAnsi="Times New Roman" w:eastAsia="仿宋_GB2312" w:cs="Times New Roman"/>
          <w:color w:val="auto"/>
          <w:sz w:val="32"/>
          <w:szCs w:val="32"/>
          <w:highlight w:val="none"/>
        </w:rPr>
        <w:t>经济规模GDP达到278亿元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工业增加值83.5亿元</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水稻灌溉面积控制在1万亩。</w:t>
      </w:r>
    </w:p>
    <w:p>
      <w:pPr>
        <w:pStyle w:val="7"/>
        <w:spacing w:before="0" w:beforeLines="0" w:line="560" w:lineRule="exact"/>
        <w:rPr>
          <w:rFonts w:hint="default" w:ascii="Times New Roman" w:hAnsi="Times New Roman" w:eastAsia="仿宋_GB2312" w:cs="Times New Roman"/>
          <w:bCs/>
          <w:color w:val="auto"/>
          <w:kern w:val="2"/>
          <w:highlight w:val="none"/>
        </w:rPr>
      </w:pPr>
      <w:bookmarkStart w:id="896" w:name="_Toc21529"/>
      <w:bookmarkStart w:id="897" w:name="_Toc10010"/>
      <w:bookmarkStart w:id="898" w:name="_Toc25428"/>
      <w:bookmarkStart w:id="899" w:name="_Toc30249"/>
      <w:bookmarkStart w:id="900" w:name="_Toc28569"/>
      <w:bookmarkStart w:id="901" w:name="_Toc29991"/>
      <w:bookmarkStart w:id="902" w:name="_Toc9354"/>
      <w:r>
        <w:rPr>
          <w:rFonts w:hint="default" w:ascii="Times New Roman" w:hAnsi="Times New Roman" w:eastAsia="仿宋_GB2312" w:cs="Times New Roman"/>
          <w:bCs/>
          <w:color w:val="auto"/>
          <w:kern w:val="2"/>
          <w:highlight w:val="none"/>
        </w:rPr>
        <w:t>9.1.3水资源配置</w:t>
      </w:r>
      <w:bookmarkEnd w:id="896"/>
      <w:bookmarkEnd w:id="897"/>
      <w:bookmarkEnd w:id="898"/>
      <w:bookmarkEnd w:id="899"/>
      <w:r>
        <w:rPr>
          <w:rFonts w:hint="default" w:ascii="Times New Roman" w:hAnsi="Times New Roman" w:eastAsia="仿宋_GB2312" w:cs="Times New Roman"/>
          <w:bCs/>
          <w:color w:val="auto"/>
          <w:kern w:val="2"/>
          <w:highlight w:val="none"/>
          <w:lang w:eastAsia="zh-CN"/>
        </w:rPr>
        <w:t>能够满足发展需求</w:t>
      </w:r>
      <w:bookmarkEnd w:id="900"/>
      <w:bookmarkEnd w:id="901"/>
      <w:bookmarkEnd w:id="902"/>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水资源配置严格按照2025年控制指标，结合用水权改革原则进行配置，</w:t>
      </w:r>
      <w:r>
        <w:rPr>
          <w:rFonts w:hint="default" w:ascii="Times New Roman" w:hAnsi="Times New Roman" w:eastAsia="仿宋_GB2312" w:cs="Times New Roman"/>
          <w:color w:val="auto"/>
          <w:sz w:val="32"/>
          <w:szCs w:val="32"/>
          <w:highlight w:val="none"/>
          <w:lang w:val="en-US" w:eastAsia="zh-CN"/>
        </w:rPr>
        <w:t>中卫市</w:t>
      </w:r>
      <w:r>
        <w:rPr>
          <w:rFonts w:hint="default" w:ascii="Times New Roman" w:hAnsi="Times New Roman" w:eastAsia="仿宋_GB2312" w:cs="Times New Roman"/>
          <w:color w:val="auto"/>
          <w:sz w:val="32"/>
          <w:szCs w:val="32"/>
          <w:highlight w:val="none"/>
        </w:rPr>
        <w:t>沙坡头区无预留指标。本次配置总取水量按5.76亿m³。其中，分水源取水量：黄河水5.23亿m³，地下水0.45亿m³，非常规水0.08亿m³；分行业取水量：生活0.39亿m³，工业0.3</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亿m³，农业3.78亿m³，生态1.2</w:t>
      </w:r>
      <w:r>
        <w:rPr>
          <w:rFonts w:hint="default"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亿m³。</w:t>
      </w:r>
    </w:p>
    <w:p>
      <w:pPr>
        <w:pStyle w:val="6"/>
        <w:spacing w:line="560" w:lineRule="exact"/>
        <w:rPr>
          <w:rFonts w:hint="default" w:ascii="Times New Roman" w:hAnsi="Times New Roman" w:eastAsia="楷体_GB2312" w:cs="Times New Roman"/>
          <w:color w:val="auto"/>
          <w:highlight w:val="none"/>
        </w:rPr>
      </w:pPr>
      <w:bookmarkStart w:id="903" w:name="_Toc4127"/>
      <w:bookmarkStart w:id="904" w:name="_Toc5817"/>
      <w:bookmarkStart w:id="905" w:name="_Toc2115"/>
      <w:bookmarkStart w:id="906" w:name="_Toc90"/>
      <w:r>
        <w:rPr>
          <w:rFonts w:hint="default" w:ascii="Times New Roman" w:hAnsi="Times New Roman" w:eastAsia="楷体_GB2312" w:cs="Times New Roman"/>
          <w:color w:val="auto"/>
          <w:highlight w:val="none"/>
        </w:rPr>
        <w:t>9.2建议</w:t>
      </w:r>
      <w:bookmarkEnd w:id="903"/>
      <w:bookmarkEnd w:id="904"/>
      <w:bookmarkEnd w:id="905"/>
      <w:bookmarkEnd w:id="906"/>
    </w:p>
    <w:p>
      <w:pPr>
        <w:pStyle w:val="7"/>
        <w:spacing w:before="0" w:beforeLines="0" w:line="560" w:lineRule="exact"/>
        <w:rPr>
          <w:rFonts w:hint="default" w:ascii="Times New Roman" w:hAnsi="Times New Roman" w:eastAsia="仿宋_GB2312" w:cs="Times New Roman"/>
          <w:bCs/>
          <w:color w:val="auto"/>
          <w:kern w:val="2"/>
          <w:highlight w:val="none"/>
        </w:rPr>
      </w:pPr>
      <w:bookmarkStart w:id="907" w:name="_Toc3374"/>
      <w:bookmarkStart w:id="908" w:name="_Toc14294"/>
      <w:bookmarkStart w:id="909" w:name="_Toc22473"/>
      <w:r>
        <w:rPr>
          <w:rFonts w:hint="default" w:ascii="Times New Roman" w:hAnsi="Times New Roman" w:eastAsia="仿宋_GB2312" w:cs="Times New Roman"/>
          <w:bCs/>
          <w:color w:val="auto"/>
          <w:kern w:val="2"/>
          <w:highlight w:val="none"/>
        </w:rPr>
        <w:t>9.2.1坚</w:t>
      </w:r>
      <w:r>
        <w:rPr>
          <w:rFonts w:hint="default" w:ascii="Times New Roman" w:hAnsi="Times New Roman" w:eastAsia="仿宋_GB2312" w:cs="Times New Roman"/>
          <w:bCs/>
          <w:color w:val="auto"/>
          <w:kern w:val="2"/>
          <w:highlight w:val="none"/>
          <w:lang w:eastAsia="zh-CN"/>
        </w:rPr>
        <w:t>守</w:t>
      </w:r>
      <w:r>
        <w:rPr>
          <w:rFonts w:hint="default" w:ascii="Times New Roman" w:hAnsi="Times New Roman" w:eastAsia="仿宋_GB2312" w:cs="Times New Roman"/>
          <w:bCs/>
          <w:color w:val="auto"/>
          <w:kern w:val="2"/>
          <w:highlight w:val="none"/>
        </w:rPr>
        <w:t>“四定”</w:t>
      </w:r>
      <w:r>
        <w:rPr>
          <w:rFonts w:hint="default" w:ascii="Times New Roman" w:hAnsi="Times New Roman" w:eastAsia="仿宋_GB2312" w:cs="Times New Roman"/>
          <w:bCs/>
          <w:color w:val="auto"/>
          <w:kern w:val="2"/>
          <w:highlight w:val="none"/>
          <w:lang w:eastAsia="zh-CN"/>
        </w:rPr>
        <w:t>原则</w:t>
      </w:r>
      <w:r>
        <w:rPr>
          <w:rFonts w:hint="default" w:ascii="Times New Roman" w:hAnsi="Times New Roman" w:eastAsia="仿宋_GB2312" w:cs="Times New Roman"/>
          <w:bCs/>
          <w:color w:val="auto"/>
          <w:kern w:val="2"/>
          <w:highlight w:val="none"/>
        </w:rPr>
        <w:t>，强化水资源刚性约束</w:t>
      </w:r>
      <w:bookmarkEnd w:id="907"/>
      <w:bookmarkEnd w:id="908"/>
      <w:bookmarkEnd w:id="909"/>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贯彻落实</w:t>
      </w:r>
      <w:r>
        <w:rPr>
          <w:rFonts w:hint="default" w:ascii="Times New Roman" w:hAnsi="Times New Roman" w:eastAsia="仿宋_GB2312" w:cs="Times New Roman"/>
          <w:color w:val="auto"/>
          <w:sz w:val="32"/>
          <w:szCs w:val="32"/>
          <w:highlight w:val="none"/>
          <w:lang w:val="en-US" w:eastAsia="zh-CN"/>
        </w:rPr>
        <w:t>习近平</w:t>
      </w:r>
      <w:r>
        <w:rPr>
          <w:rFonts w:hint="default" w:ascii="Times New Roman" w:hAnsi="Times New Roman" w:eastAsia="仿宋_GB2312" w:cs="Times New Roman"/>
          <w:color w:val="auto"/>
          <w:sz w:val="32"/>
          <w:szCs w:val="32"/>
          <w:highlight w:val="none"/>
        </w:rPr>
        <w:t>总书记关于水资源节约集约利用的关键之举就是，切实坚守“四定”原则，把“四定”作为水资源在配置上的最大刚性约束，把“四定”作为城市扩展、人口集聚、土地开发、产业发展顶层设计的最鲜明最具约束的指导线。</w:t>
      </w:r>
    </w:p>
    <w:p>
      <w:pPr>
        <w:pStyle w:val="7"/>
        <w:spacing w:before="0" w:beforeLines="0" w:line="560" w:lineRule="exact"/>
        <w:rPr>
          <w:rFonts w:hint="default" w:ascii="Times New Roman" w:hAnsi="Times New Roman" w:eastAsia="仿宋_GB2312" w:cs="Times New Roman"/>
          <w:bCs/>
          <w:color w:val="auto"/>
          <w:kern w:val="2"/>
          <w:highlight w:val="none"/>
          <w:lang w:eastAsia="zh-CN"/>
        </w:rPr>
      </w:pPr>
      <w:bookmarkStart w:id="910" w:name="_Toc12208"/>
      <w:bookmarkStart w:id="911" w:name="_Toc407"/>
      <w:bookmarkStart w:id="912" w:name="_Toc29627"/>
      <w:r>
        <w:rPr>
          <w:rFonts w:hint="default" w:ascii="Times New Roman" w:hAnsi="Times New Roman" w:eastAsia="仿宋_GB2312" w:cs="Times New Roman"/>
          <w:bCs/>
          <w:color w:val="auto"/>
          <w:kern w:val="2"/>
          <w:highlight w:val="none"/>
          <w:lang w:eastAsia="zh-CN"/>
        </w:rPr>
        <w:t>9.2.2严格用水管理，构建水资源监管体系</w:t>
      </w:r>
      <w:bookmarkEnd w:id="910"/>
      <w:bookmarkEnd w:id="911"/>
      <w:bookmarkEnd w:id="912"/>
    </w:p>
    <w:p>
      <w:pPr>
        <w:pStyle w:val="7"/>
        <w:spacing w:before="0" w:beforeLines="0" w:line="560" w:lineRule="exact"/>
        <w:rPr>
          <w:rFonts w:hint="default" w:ascii="Times New Roman" w:hAnsi="Times New Roman" w:eastAsia="仿宋_GB2312" w:cs="Times New Roman"/>
          <w:bCs/>
          <w:color w:val="auto"/>
          <w:kern w:val="2"/>
          <w:highlight w:val="none"/>
          <w:lang w:eastAsia="zh-CN"/>
        </w:rPr>
      </w:pPr>
      <w:r>
        <w:rPr>
          <w:rFonts w:hint="default" w:ascii="Times New Roman" w:hAnsi="Times New Roman" w:eastAsia="仿宋_GB2312" w:cs="Times New Roman"/>
          <w:bCs/>
          <w:color w:val="auto"/>
          <w:kern w:val="2"/>
          <w:highlight w:val="none"/>
          <w:lang w:eastAsia="zh-CN"/>
        </w:rPr>
        <w:t>9</w:t>
      </w:r>
      <w:r>
        <w:rPr>
          <w:rFonts w:hint="default" w:ascii="Times New Roman" w:hAnsi="Times New Roman" w:eastAsia="仿宋_GB2312" w:cs="Times New Roman"/>
          <w:bCs/>
          <w:color w:val="auto"/>
          <w:kern w:val="2"/>
          <w:highlight w:val="none"/>
          <w:lang w:val="en-US" w:eastAsia="zh-CN"/>
        </w:rPr>
        <w:t>.2.2.1</w:t>
      </w:r>
      <w:r>
        <w:rPr>
          <w:rFonts w:hint="default" w:ascii="Times New Roman" w:hAnsi="Times New Roman" w:eastAsia="仿宋_GB2312" w:cs="Times New Roman"/>
          <w:bCs/>
          <w:color w:val="auto"/>
          <w:kern w:val="2"/>
          <w:highlight w:val="none"/>
          <w:lang w:eastAsia="zh-CN"/>
        </w:rPr>
        <w:t>强化取水口监管</w:t>
      </w:r>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完成取水工程核查登记，做好登记核查问题整改工作；建立重点取水口监管名录，明确监管对象、监管责任主体、监管内容等；推进取水许可审批改革，大力简化程序，完善水资源论证内容，优化取水许可审批权限和流程；综合运用约谈、限批等措施，严格取水许可审批事中事后全过程监管。</w:t>
      </w:r>
    </w:p>
    <w:p>
      <w:pPr>
        <w:pStyle w:val="7"/>
        <w:spacing w:before="0" w:beforeLines="0" w:line="560" w:lineRule="exact"/>
        <w:rPr>
          <w:rFonts w:hint="default" w:ascii="Times New Roman" w:hAnsi="Times New Roman" w:eastAsia="仿宋_GB2312" w:cs="Times New Roman"/>
          <w:bCs/>
          <w:color w:val="auto"/>
          <w:kern w:val="2"/>
          <w:highlight w:val="none"/>
          <w:lang w:val="en-US" w:eastAsia="zh-CN"/>
        </w:rPr>
      </w:pPr>
      <w:r>
        <w:rPr>
          <w:rFonts w:hint="default" w:ascii="Times New Roman" w:hAnsi="Times New Roman" w:eastAsia="仿宋_GB2312" w:cs="Times New Roman"/>
          <w:bCs/>
          <w:color w:val="auto"/>
          <w:kern w:val="2"/>
          <w:highlight w:val="none"/>
          <w:lang w:eastAsia="zh-CN"/>
        </w:rPr>
        <w:t>9</w:t>
      </w:r>
      <w:r>
        <w:rPr>
          <w:rFonts w:hint="default" w:ascii="Times New Roman" w:hAnsi="Times New Roman" w:eastAsia="仿宋_GB2312" w:cs="Times New Roman"/>
          <w:bCs/>
          <w:color w:val="auto"/>
          <w:kern w:val="2"/>
          <w:highlight w:val="none"/>
          <w:lang w:val="en-US" w:eastAsia="zh-CN"/>
        </w:rPr>
        <w:t>.2.2.2</w:t>
      </w:r>
      <w:r>
        <w:rPr>
          <w:rFonts w:hint="default" w:ascii="Times New Roman" w:hAnsi="Times New Roman" w:eastAsia="仿宋_GB2312" w:cs="Times New Roman"/>
          <w:bCs/>
          <w:color w:val="auto"/>
          <w:kern w:val="2"/>
          <w:highlight w:val="none"/>
          <w:lang w:eastAsia="zh-CN"/>
        </w:rPr>
        <w:t>构建水资源承载能力预警体系</w:t>
      </w:r>
    </w:p>
    <w:p>
      <w:pPr>
        <w:keepNext w:val="0"/>
        <w:keepLines w:val="0"/>
        <w:pageBreakBefore w:val="0"/>
        <w:widowControl w:val="0"/>
        <w:kinsoku/>
        <w:wordWrap/>
        <w:overflowPunct/>
        <w:topLinePunct w:val="0"/>
        <w:autoSpaceDE/>
        <w:autoSpaceDN/>
        <w:bidi w:val="0"/>
        <w:adjustRightInd w:val="0"/>
        <w:snapToGrid w:val="0"/>
        <w:spacing w:afterLines="0" w:line="56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建立水资源承载能力预警机制，搭建水资源承载能力预警平台；制定水资源承载力预警及响应管理办法，建立预警长效机制；临界状态的地区，加强对</w:t>
      </w:r>
      <w:r>
        <w:rPr>
          <w:rFonts w:hint="default" w:ascii="Times New Roman" w:hAnsi="Times New Roman" w:cs="Times New Roman"/>
          <w:color w:val="auto"/>
          <w:sz w:val="32"/>
          <w:szCs w:val="32"/>
          <w:highlight w:val="none"/>
          <w:lang w:val="en-US" w:eastAsia="zh-CN"/>
        </w:rPr>
        <w:t>区</w:t>
      </w:r>
      <w:r>
        <w:rPr>
          <w:rFonts w:hint="default" w:ascii="Times New Roman" w:hAnsi="Times New Roman" w:eastAsia="仿宋_GB2312" w:cs="Times New Roman"/>
          <w:color w:val="auto"/>
          <w:sz w:val="32"/>
          <w:szCs w:val="32"/>
          <w:highlight w:val="none"/>
        </w:rPr>
        <w:t>内用水情况监测，实施严格的取水许可和用水计划管理。</w:t>
      </w:r>
    </w:p>
    <w:p>
      <w:pPr>
        <w:pStyle w:val="8"/>
        <w:keepNext w:val="0"/>
        <w:keepLines w:val="0"/>
        <w:pageBreakBefore w:val="0"/>
        <w:kinsoku/>
        <w:wordWrap/>
        <w:overflowPunct/>
        <w:topLinePunct w:val="0"/>
        <w:autoSpaceDE/>
        <w:autoSpaceDN/>
        <w:bidi w:val="0"/>
        <w:spacing w:line="520" w:lineRule="exact"/>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9.2.2.3强化重点领域监管</w:t>
      </w:r>
    </w:p>
    <w:p>
      <w:pPr>
        <w:keepNext w:val="0"/>
        <w:keepLines w:val="0"/>
        <w:pageBreakBefore w:val="0"/>
        <w:widowControl w:val="0"/>
        <w:kinsoku/>
        <w:wordWrap/>
        <w:overflowPunct/>
        <w:topLinePunct w:val="0"/>
        <w:autoSpaceDE/>
        <w:autoSpaceDN/>
        <w:bidi w:val="0"/>
        <w:adjustRightInd w:val="0"/>
        <w:snapToGrid w:val="0"/>
        <w:spacing w:afterLines="0" w:line="52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建立重点监控用水单位督查机制；建立健全地下水管控指标体系，实行地下水位、地下水水质、地下水开采量“红线”管控；探索取水许可与水权确权相结合的管理模式，建立许可水量结合水权交易进行动态调整机制。</w:t>
      </w:r>
    </w:p>
    <w:p>
      <w:pPr>
        <w:pStyle w:val="8"/>
        <w:keepNext w:val="0"/>
        <w:keepLines w:val="0"/>
        <w:pageBreakBefore w:val="0"/>
        <w:kinsoku/>
        <w:wordWrap/>
        <w:overflowPunct/>
        <w:topLinePunct w:val="0"/>
        <w:autoSpaceDE/>
        <w:autoSpaceDN/>
        <w:bidi w:val="0"/>
        <w:spacing w:line="520" w:lineRule="exact"/>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9.2.2.4打造全覆盖水资源监控网络</w:t>
      </w:r>
    </w:p>
    <w:p>
      <w:pPr>
        <w:keepNext w:val="0"/>
        <w:keepLines w:val="0"/>
        <w:pageBreakBefore w:val="0"/>
        <w:widowControl w:val="0"/>
        <w:kinsoku/>
        <w:wordWrap/>
        <w:overflowPunct/>
        <w:topLinePunct w:val="0"/>
        <w:autoSpaceDE/>
        <w:autoSpaceDN/>
        <w:bidi w:val="0"/>
        <w:adjustRightInd w:val="0"/>
        <w:snapToGrid w:val="0"/>
        <w:spacing w:afterLines="0" w:line="520" w:lineRule="exact"/>
        <w:ind w:firstLine="6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2025年，中卫市沙坡头区发证的许可水量在线监测比率力争达到的90%以上；灌区面积大于5万亩以上渠首取水实现在线监测全覆盖；具备监测条件的入黄排水沟入黄口断面全部实现水位在线监测。</w:t>
      </w:r>
    </w:p>
    <w:p>
      <w:pPr>
        <w:pStyle w:val="8"/>
        <w:keepNext w:val="0"/>
        <w:keepLines w:val="0"/>
        <w:pageBreakBefore w:val="0"/>
        <w:kinsoku/>
        <w:wordWrap/>
        <w:overflowPunct/>
        <w:topLinePunct w:val="0"/>
        <w:autoSpaceDE/>
        <w:autoSpaceDN/>
        <w:bidi w:val="0"/>
        <w:spacing w:line="520" w:lineRule="exact"/>
        <w:textAlignment w:val="auto"/>
        <w:rPr>
          <w:rFonts w:hint="default" w:ascii="Times New Roman" w:hAnsi="Times New Roman" w:eastAsia="仿宋_GB2312" w:cs="Times New Roman"/>
          <w:b/>
          <w:bCs/>
          <w:color w:val="auto"/>
          <w:kern w:val="2"/>
          <w:sz w:val="32"/>
          <w:szCs w:val="32"/>
          <w:highlight w:val="none"/>
          <w:lang w:val="en-US" w:eastAsia="zh-CN" w:bidi="ar-SA"/>
        </w:rPr>
      </w:pPr>
      <w:bookmarkStart w:id="913" w:name="_Toc19532"/>
      <w:bookmarkStart w:id="914" w:name="_Toc5114"/>
      <w:r>
        <w:rPr>
          <w:rFonts w:hint="default" w:ascii="Times New Roman" w:hAnsi="Times New Roman" w:eastAsia="仿宋_GB2312" w:cs="Times New Roman"/>
          <w:b/>
          <w:bCs/>
          <w:color w:val="auto"/>
          <w:kern w:val="2"/>
          <w:sz w:val="32"/>
          <w:szCs w:val="32"/>
          <w:highlight w:val="none"/>
          <w:lang w:val="en-US" w:eastAsia="zh-CN" w:bidi="ar-SA"/>
        </w:rPr>
        <w:t>9.2.3坚持空间均衡，健全水资源调配体系</w:t>
      </w:r>
      <w:bookmarkEnd w:id="913"/>
      <w:bookmarkEnd w:id="914"/>
    </w:p>
    <w:p>
      <w:pPr>
        <w:pStyle w:val="8"/>
        <w:keepNext w:val="0"/>
        <w:keepLines w:val="0"/>
        <w:pageBreakBefore w:val="0"/>
        <w:kinsoku/>
        <w:wordWrap/>
        <w:overflowPunct/>
        <w:topLinePunct w:val="0"/>
        <w:autoSpaceDE/>
        <w:autoSpaceDN/>
        <w:bidi w:val="0"/>
        <w:spacing w:line="520" w:lineRule="exact"/>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9.2.3.1多水源联合调配</w:t>
      </w:r>
    </w:p>
    <w:p>
      <w:pPr>
        <w:keepNext w:val="0"/>
        <w:keepLines w:val="0"/>
        <w:pageBreakBefore w:val="0"/>
        <w:widowControl w:val="0"/>
        <w:kinsoku/>
        <w:wordWrap/>
        <w:overflowPunct/>
        <w:topLinePunct w:val="0"/>
        <w:autoSpaceDE/>
        <w:autoSpaceDN/>
        <w:bidi w:val="0"/>
        <w:adjustRightInd w:val="0"/>
        <w:snapToGrid w:val="0"/>
        <w:spacing w:afterLines="0" w:line="520" w:lineRule="exact"/>
        <w:ind w:firstLine="600"/>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充分考虑中卫市沙坡头区水资源承载能力，统筹黄河水、当地水和非常规水的调度管理，加大再生水、雨洪水等非常规水综合利用，合理利用黄河水和当地水，构建新型水资源利用调度体系，推进水资源节约集约利用。</w:t>
      </w:r>
    </w:p>
    <w:p>
      <w:pPr>
        <w:pStyle w:val="8"/>
        <w:keepNext w:val="0"/>
        <w:keepLines w:val="0"/>
        <w:pageBreakBefore w:val="0"/>
        <w:kinsoku/>
        <w:wordWrap/>
        <w:overflowPunct/>
        <w:topLinePunct w:val="0"/>
        <w:autoSpaceDE/>
        <w:autoSpaceDN/>
        <w:bidi w:val="0"/>
        <w:spacing w:line="520" w:lineRule="exact"/>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9.2.3.2多工程联合调配</w:t>
      </w:r>
    </w:p>
    <w:p>
      <w:pPr>
        <w:keepNext w:val="0"/>
        <w:keepLines w:val="0"/>
        <w:pageBreakBefore w:val="0"/>
        <w:kinsoku/>
        <w:wordWrap/>
        <w:overflowPunct/>
        <w:topLinePunct w:val="0"/>
        <w:autoSpaceDE/>
        <w:autoSpaceDN/>
        <w:bidi w:val="0"/>
        <w:spacing w:line="520" w:lineRule="exact"/>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加大库坝沟渠的提升改造和互联互通建设；通过“互联网+供水”，为实现工程联蓄联调创造条件，提高水资源调度智能化水平；构建“数据自动汇总上报、调度计划模型计算、统筹中卫市沙坡头区四水需求”的水资源大调度体系。</w:t>
      </w:r>
    </w:p>
    <w:p>
      <w:pPr>
        <w:pStyle w:val="8"/>
        <w:keepNext w:val="0"/>
        <w:keepLines w:val="0"/>
        <w:pageBreakBefore w:val="0"/>
        <w:kinsoku/>
        <w:wordWrap/>
        <w:overflowPunct/>
        <w:topLinePunct w:val="0"/>
        <w:autoSpaceDE/>
        <w:autoSpaceDN/>
        <w:bidi w:val="0"/>
        <w:spacing w:line="520" w:lineRule="exact"/>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9.2.3.3城乡统筹调配</w:t>
      </w:r>
    </w:p>
    <w:p>
      <w:pPr>
        <w:keepNext w:val="0"/>
        <w:keepLines w:val="0"/>
        <w:pageBreakBefore w:val="0"/>
        <w:kinsoku/>
        <w:wordWrap/>
        <w:overflowPunct/>
        <w:topLinePunct w:val="0"/>
        <w:autoSpaceDE/>
        <w:autoSpaceDN/>
        <w:bidi w:val="0"/>
        <w:spacing w:line="520" w:lineRule="exact"/>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加快推进城乡供水一体化进程，采用“延伸、联网、整合、消缺、提标”方式，以技术、投资一体化实现城乡供水监管、运营、服务一体化。完善配水网络建设，实施城乡供水统一调配，实现城乡供水“同水源、同管网、同水质、同服务”的调度目标，提高供水效率和保障供水安全，通过城乡供水机制创新、管理创新、服务创新，推进城乡供水一体化调度管理，解决城乡供水不均衡、不充分的问题，促进水资源与宁夏经济社会发展相适应。</w:t>
      </w:r>
    </w:p>
    <w:p>
      <w:pPr>
        <w:pStyle w:val="8"/>
        <w:keepNext w:val="0"/>
        <w:keepLines w:val="0"/>
        <w:pageBreakBefore w:val="0"/>
        <w:kinsoku/>
        <w:wordWrap/>
        <w:overflowPunct/>
        <w:topLinePunct w:val="0"/>
        <w:autoSpaceDE/>
        <w:autoSpaceDN/>
        <w:bidi w:val="0"/>
        <w:spacing w:line="520" w:lineRule="exact"/>
        <w:textAlignment w:val="auto"/>
        <w:rPr>
          <w:rFonts w:hint="default" w:ascii="Times New Roman" w:hAnsi="Times New Roman" w:eastAsia="仿宋_GB2312" w:cs="Times New Roman"/>
          <w:b/>
          <w:bCs/>
          <w:color w:val="auto"/>
          <w:kern w:val="2"/>
          <w:sz w:val="32"/>
          <w:szCs w:val="32"/>
          <w:highlight w:val="none"/>
          <w:lang w:val="en-US" w:eastAsia="zh-CN" w:bidi="ar-SA"/>
        </w:rPr>
      </w:pPr>
      <w:r>
        <w:rPr>
          <w:rFonts w:hint="default" w:ascii="Times New Roman" w:hAnsi="Times New Roman" w:eastAsia="仿宋_GB2312" w:cs="Times New Roman"/>
          <w:b/>
          <w:bCs/>
          <w:color w:val="auto"/>
          <w:kern w:val="2"/>
          <w:sz w:val="32"/>
          <w:szCs w:val="32"/>
          <w:highlight w:val="none"/>
          <w:lang w:val="en-US" w:eastAsia="zh-CN" w:bidi="ar-SA"/>
        </w:rPr>
        <w:t>9.2.3.4加大非常规水综合利用</w:t>
      </w:r>
    </w:p>
    <w:p>
      <w:pPr>
        <w:keepNext w:val="0"/>
        <w:keepLines w:val="0"/>
        <w:pageBreakBefore w:val="0"/>
        <w:kinsoku/>
        <w:wordWrap/>
        <w:overflowPunct/>
        <w:topLinePunct w:val="0"/>
        <w:autoSpaceDE/>
        <w:autoSpaceDN/>
        <w:bidi w:val="0"/>
        <w:spacing w:line="520" w:lineRule="exact"/>
        <w:textAlignment w:val="auto"/>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z w:val="32"/>
          <w:szCs w:val="32"/>
          <w:highlight w:val="none"/>
          <w:lang w:eastAsia="zh-CN"/>
        </w:rPr>
        <w:t>在国家新增宁夏用水指标前，只能靠内部挖潜解决缺水问题，而内部挖潜除节水外、就是加大非常规水资源的利用。因此，要实行非常规水资源配额制，研究制定非常规水利用管理办法，建立</w:t>
      </w:r>
      <w:r>
        <w:rPr>
          <w:rFonts w:hint="default" w:ascii="Times New Roman" w:hAnsi="Times New Roman" w:eastAsia="仿宋_GB2312" w:cs="Times New Roman"/>
          <w:color w:val="auto"/>
          <w:kern w:val="2"/>
          <w:sz w:val="32"/>
          <w:szCs w:val="32"/>
          <w:highlight w:val="none"/>
          <w:lang w:eastAsia="zh-CN"/>
        </w:rPr>
        <w:t>非常规</w:t>
      </w:r>
      <w:r>
        <w:rPr>
          <w:rFonts w:hint="default" w:ascii="Times New Roman" w:hAnsi="Times New Roman" w:eastAsia="仿宋_GB2312" w:cs="Times New Roman"/>
          <w:color w:val="auto"/>
          <w:sz w:val="32"/>
          <w:szCs w:val="32"/>
          <w:highlight w:val="none"/>
          <w:lang w:eastAsia="zh-CN"/>
        </w:rPr>
        <w:t>水利用补贴和节水奖励机制，鼓励使用非常规水，强化考核和引导，倒逼企业加大非常规水利用。推进机关、学校、医院、宾馆、居民小区等雨水、再生水一体化利用。到2025年，非常规水达到0.08亿m³，非常规水利用率达到50%。</w:t>
      </w:r>
    </w:p>
    <w:p>
      <w:pPr>
        <w:pStyle w:val="8"/>
        <w:keepNext w:val="0"/>
        <w:keepLines w:val="0"/>
        <w:pageBreakBefore w:val="0"/>
        <w:kinsoku/>
        <w:wordWrap/>
        <w:overflowPunct/>
        <w:topLinePunct w:val="0"/>
        <w:autoSpaceDE/>
        <w:autoSpaceDN/>
        <w:bidi w:val="0"/>
        <w:spacing w:line="520" w:lineRule="exact"/>
        <w:textAlignment w:val="auto"/>
        <w:rPr>
          <w:rFonts w:hint="default" w:ascii="Times New Roman" w:hAnsi="Times New Roman" w:eastAsia="仿宋_GB2312" w:cs="Times New Roman"/>
          <w:b/>
          <w:bCs/>
          <w:color w:val="auto"/>
          <w:kern w:val="2"/>
          <w:sz w:val="32"/>
          <w:szCs w:val="32"/>
          <w:highlight w:val="none"/>
          <w:lang w:val="en-US" w:eastAsia="zh-CN" w:bidi="ar-SA"/>
        </w:rPr>
      </w:pPr>
      <w:bookmarkStart w:id="915" w:name="_Toc19076"/>
      <w:bookmarkStart w:id="916" w:name="_Toc23033"/>
      <w:bookmarkStart w:id="917" w:name="_Toc12290"/>
      <w:r>
        <w:rPr>
          <w:rFonts w:hint="default" w:ascii="Times New Roman" w:hAnsi="Times New Roman" w:eastAsia="仿宋_GB2312" w:cs="Times New Roman"/>
          <w:b/>
          <w:bCs/>
          <w:color w:val="auto"/>
          <w:kern w:val="2"/>
          <w:sz w:val="32"/>
          <w:szCs w:val="32"/>
          <w:highlight w:val="none"/>
          <w:lang w:val="en-US" w:eastAsia="zh-CN" w:bidi="ar-SA"/>
        </w:rPr>
        <w:t>9.2.4坚持生态底线，加大水资源保护力度</w:t>
      </w:r>
      <w:bookmarkEnd w:id="915"/>
      <w:bookmarkEnd w:id="916"/>
      <w:bookmarkEnd w:id="917"/>
    </w:p>
    <w:p>
      <w:pPr>
        <w:keepNext w:val="0"/>
        <w:keepLines w:val="0"/>
        <w:pageBreakBefore w:val="0"/>
        <w:kinsoku/>
        <w:wordWrap/>
        <w:overflowPunct/>
        <w:topLinePunct w:val="0"/>
        <w:autoSpaceDE/>
        <w:autoSpaceDN/>
        <w:bidi w:val="0"/>
        <w:spacing w:line="520" w:lineRule="exact"/>
        <w:ind w:firstLine="6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rPr>
        <w:t>推进重点河湖生态流量水量管控，保障河湖生态基本用水；建立</w:t>
      </w:r>
      <w:r>
        <w:rPr>
          <w:rFonts w:hint="default" w:ascii="Times New Roman" w:hAnsi="Times New Roman" w:eastAsia="仿宋_GB2312" w:cs="Times New Roman"/>
          <w:color w:val="auto"/>
          <w:kern w:val="2"/>
          <w:sz w:val="32"/>
          <w:szCs w:val="32"/>
          <w:highlight w:val="none"/>
          <w:lang w:val="en-US" w:eastAsia="zh-CN" w:bidi="ar-SA"/>
        </w:rPr>
        <w:t>健全地下水管控指标体系，确定保障宁夏中卫市</w:t>
      </w:r>
      <w:r>
        <w:rPr>
          <w:rFonts w:hint="default" w:ascii="Times New Roman" w:hAnsi="Times New Roman" w:cs="Times New Roman"/>
          <w:color w:val="auto"/>
          <w:kern w:val="2"/>
          <w:sz w:val="32"/>
          <w:szCs w:val="32"/>
          <w:highlight w:val="none"/>
          <w:lang w:val="en-US" w:eastAsia="zh-CN" w:bidi="ar-SA"/>
        </w:rPr>
        <w:t>沙坡头区</w:t>
      </w:r>
      <w:r>
        <w:rPr>
          <w:rFonts w:hint="default" w:ascii="Times New Roman" w:hAnsi="Times New Roman" w:eastAsia="仿宋_GB2312" w:cs="Times New Roman"/>
          <w:color w:val="auto"/>
          <w:kern w:val="2"/>
          <w:sz w:val="32"/>
          <w:szCs w:val="32"/>
          <w:highlight w:val="none"/>
          <w:lang w:val="en-US" w:eastAsia="zh-CN" w:bidi="ar-SA"/>
        </w:rPr>
        <w:t>生态健康的地下水最低控制线、湖泊湿地最小补水量，严控地下水开采；采取节水、水源置换、调整农业种植结构调整等措施加强地下水管理和超采区综合治理；强化地下水动态监测分析与成果运用，做好地下水动态分析、预测预警。</w:t>
      </w:r>
    </w:p>
    <w:p>
      <w:pPr>
        <w:pStyle w:val="8"/>
        <w:keepNext w:val="0"/>
        <w:keepLines w:val="0"/>
        <w:pageBreakBefore w:val="0"/>
        <w:kinsoku/>
        <w:wordWrap/>
        <w:overflowPunct/>
        <w:topLinePunct w:val="0"/>
        <w:autoSpaceDE/>
        <w:autoSpaceDN/>
        <w:bidi w:val="0"/>
        <w:spacing w:line="520" w:lineRule="exact"/>
        <w:textAlignment w:val="auto"/>
        <w:rPr>
          <w:rFonts w:hint="default" w:ascii="Times New Roman" w:hAnsi="Times New Roman" w:eastAsia="仿宋_GB2312" w:cs="Times New Roman"/>
          <w:b/>
          <w:bCs/>
          <w:color w:val="auto"/>
          <w:kern w:val="2"/>
          <w:sz w:val="32"/>
          <w:szCs w:val="32"/>
          <w:highlight w:val="none"/>
          <w:lang w:val="en-US" w:eastAsia="zh-CN" w:bidi="ar-SA"/>
        </w:rPr>
      </w:pPr>
      <w:bookmarkStart w:id="918" w:name="_Toc20681"/>
      <w:bookmarkStart w:id="919" w:name="_Toc19224"/>
      <w:bookmarkStart w:id="920" w:name="_Toc27762"/>
      <w:r>
        <w:rPr>
          <w:rFonts w:hint="default" w:ascii="Times New Roman" w:hAnsi="Times New Roman" w:eastAsia="仿宋_GB2312" w:cs="Times New Roman"/>
          <w:b/>
          <w:bCs/>
          <w:color w:val="auto"/>
          <w:kern w:val="2"/>
          <w:sz w:val="32"/>
          <w:szCs w:val="32"/>
          <w:highlight w:val="none"/>
          <w:lang w:val="en-US" w:eastAsia="zh-CN" w:bidi="ar-SA"/>
        </w:rPr>
        <w:t>9.2.5坚持创新驱动，培育水资源水权市场</w:t>
      </w:r>
      <w:bookmarkEnd w:id="918"/>
      <w:bookmarkEnd w:id="919"/>
      <w:bookmarkEnd w:id="920"/>
    </w:p>
    <w:p>
      <w:pPr>
        <w:keepNext w:val="0"/>
        <w:keepLines w:val="0"/>
        <w:pageBreakBefore w:val="0"/>
        <w:widowControl w:val="0"/>
        <w:kinsoku/>
        <w:wordWrap/>
        <w:overflowPunct/>
        <w:topLinePunct w:val="0"/>
        <w:autoSpaceDE/>
        <w:autoSpaceDN/>
        <w:bidi w:val="0"/>
        <w:spacing w:line="520" w:lineRule="exact"/>
        <w:ind w:firstLine="6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eastAsia="仿宋_GB2312" w:cs="Times New Roman"/>
          <w:color w:val="auto"/>
          <w:kern w:val="2"/>
          <w:sz w:val="32"/>
          <w:szCs w:val="32"/>
          <w:highlight w:val="none"/>
          <w:lang w:val="en-US" w:eastAsia="zh-CN" w:bidi="ar-SA"/>
        </w:rPr>
        <w:t>积极推进以“农业综合水价</w:t>
      </w:r>
      <w:r>
        <w:rPr>
          <w:rFonts w:hint="default" w:ascii="Times New Roman" w:hAnsi="Times New Roman"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权有偿转让</w:t>
      </w:r>
      <w:r>
        <w:rPr>
          <w:rFonts w:hint="default" w:ascii="Times New Roman" w:hAnsi="Times New Roman" w:cs="Times New Roman"/>
          <w:color w:val="auto"/>
          <w:kern w:val="2"/>
          <w:sz w:val="32"/>
          <w:szCs w:val="32"/>
          <w:highlight w:val="none"/>
          <w:lang w:val="en-US" w:eastAsia="zh-CN" w:bidi="ar-SA"/>
        </w:rPr>
        <w:t>—</w:t>
      </w:r>
      <w:r>
        <w:rPr>
          <w:rFonts w:hint="default" w:ascii="Times New Roman" w:hAnsi="Times New Roman" w:eastAsia="仿宋_GB2312" w:cs="Times New Roman"/>
          <w:color w:val="auto"/>
          <w:kern w:val="2"/>
          <w:sz w:val="32"/>
          <w:szCs w:val="32"/>
          <w:highlight w:val="none"/>
          <w:lang w:val="en-US" w:eastAsia="zh-CN" w:bidi="ar-SA"/>
        </w:rPr>
        <w:t>工业高效用水”为模式的水权改革，将农业节约水权有偿转让给工业，培育水权交易市场，走出一条农业节水支持工业发展、工业发展反哺农业振兴的发展之路。着重探索各种水权收储方式和交易方式，利用政府和市场“两只手”，盘活水资源存量，以农业水价为重点，建立健全充分反映供水成本、促进节约用水的供水价格形成机制，加快水价调整，以倒逼用水户主动“拧紧节水阀”，实现水权动态化管理，优化水资源配置格局，破解区域性缺水困局。</w:t>
      </w:r>
    </w:p>
    <w:p>
      <w:pPr>
        <w:pStyle w:val="2"/>
        <w:keepNext w:val="0"/>
        <w:keepLines w:val="0"/>
        <w:pageBreakBefore w:val="0"/>
        <w:widowControl w:val="0"/>
        <w:kinsoku/>
        <w:wordWrap/>
        <w:overflowPunct/>
        <w:topLinePunct w:val="0"/>
        <w:autoSpaceDE/>
        <w:autoSpaceDN/>
        <w:bidi w:val="0"/>
        <w:spacing w:line="520" w:lineRule="exact"/>
        <w:textAlignment w:val="auto"/>
        <w:rPr>
          <w:rFonts w:hint="default" w:ascii="Times New Roman" w:hAnsi="Times New Roman" w:eastAsia="仿宋_GB2312" w:cs="Times New Roman"/>
          <w:color w:val="auto"/>
          <w:kern w:val="2"/>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left="1824" w:leftChars="200" w:hanging="1184" w:hangingChars="370"/>
        <w:jc w:val="both"/>
        <w:textAlignment w:val="auto"/>
        <w:rPr>
          <w:rFonts w:hint="eastAsia" w:ascii="Times New Roman" w:hAnsi="Times New Roman" w:cs="Times New Roman"/>
          <w:sz w:val="32"/>
          <w:szCs w:val="32"/>
          <w:lang w:eastAsia="zh-CN"/>
        </w:rPr>
      </w:pPr>
      <w:r>
        <w:rPr>
          <w:rFonts w:hint="eastAsia" w:ascii="Times New Roman" w:hAnsi="Times New Roman" w:cs="Times New Roman"/>
          <w:color w:val="auto"/>
          <w:kern w:val="2"/>
          <w:sz w:val="32"/>
          <w:szCs w:val="32"/>
          <w:highlight w:val="none"/>
          <w:lang w:val="en-US" w:eastAsia="zh-CN" w:bidi="ar-SA"/>
        </w:rPr>
        <w:t>附件：1.</w:t>
      </w:r>
      <w:r>
        <w:rPr>
          <w:rFonts w:hint="eastAsia" w:ascii="Times New Roman" w:hAnsi="Times New Roman" w:cs="Times New Roman"/>
          <w:sz w:val="32"/>
          <w:szCs w:val="32"/>
          <w:lang w:eastAsia="zh-CN"/>
        </w:rPr>
        <w:t>宁水</w:t>
      </w:r>
      <w:r>
        <w:rPr>
          <w:rFonts w:hint="default" w:ascii="Times New Roman" w:hAnsi="Times New Roman" w:eastAsia="仿宋_GB2312" w:cs="Times New Roman"/>
          <w:sz w:val="32"/>
          <w:szCs w:val="32"/>
        </w:rPr>
        <w:t>发〔</w:t>
      </w:r>
      <w:r>
        <w:rPr>
          <w:rFonts w:hint="default" w:ascii="Times New Roman" w:hAnsi="Times New Roman" w:eastAsia="仿宋_GB2312" w:cs="Times New Roman"/>
          <w:sz w:val="32"/>
          <w:szCs w:val="32"/>
          <w:lang w:val="en-US" w:eastAsia="zh-CN"/>
        </w:rPr>
        <w:t>20</w:t>
      </w:r>
      <w:r>
        <w:rPr>
          <w:rFonts w:hint="default" w:ascii="Times New Roman" w:hAnsi="Times New Roman" w:cs="Times New Roman"/>
          <w:sz w:val="32"/>
          <w:szCs w:val="32"/>
          <w:lang w:val="en-US" w:eastAsia="zh-CN"/>
        </w:rPr>
        <w:t>09</w:t>
      </w:r>
      <w:r>
        <w:rPr>
          <w:rFonts w:hint="default" w:ascii="Times New Roman" w:hAnsi="Times New Roman" w:eastAsia="仿宋_GB2312" w:cs="Times New Roman"/>
          <w:sz w:val="32"/>
          <w:szCs w:val="32"/>
        </w:rPr>
        <w:t>〕</w:t>
      </w:r>
      <w:r>
        <w:rPr>
          <w:rFonts w:hint="default" w:ascii="Times New Roman" w:hAnsi="Times New Roman" w:cs="Times New Roman"/>
          <w:sz w:val="32"/>
          <w:szCs w:val="32"/>
          <w:lang w:val="en-US" w:eastAsia="zh-CN"/>
        </w:rPr>
        <w:t>109</w:t>
      </w:r>
      <w:r>
        <w:rPr>
          <w:rFonts w:hint="default" w:ascii="Times New Roman" w:hAnsi="Times New Roman" w:eastAsia="仿宋_GB2312" w:cs="Times New Roman"/>
          <w:sz w:val="32"/>
          <w:szCs w:val="32"/>
        </w:rPr>
        <w:t>号</w:t>
      </w:r>
      <w:r>
        <w:rPr>
          <w:rFonts w:hint="eastAsia" w:ascii="Times New Roman" w:hAnsi="Times New Roman" w:cs="Times New Roman"/>
          <w:sz w:val="32"/>
          <w:szCs w:val="32"/>
          <w:lang w:eastAsia="zh-CN"/>
        </w:rPr>
        <w:t>自治区水利厅关于请求批转《宁夏黄河县级初始水权分配方案》的请示</w:t>
      </w:r>
    </w:p>
    <w:p>
      <w:pPr>
        <w:keepNext w:val="0"/>
        <w:keepLines w:val="0"/>
        <w:pageBreakBefore w:val="0"/>
        <w:kinsoku/>
        <w:wordWrap/>
        <w:overflowPunct/>
        <w:topLinePunct w:val="0"/>
        <w:autoSpaceDE/>
        <w:autoSpaceDN/>
        <w:bidi w:val="0"/>
        <w:spacing w:line="520" w:lineRule="exact"/>
        <w:ind w:left="1920" w:leftChars="500" w:hanging="320" w:hangingChars="100"/>
        <w:textAlignment w:val="auto"/>
        <w:rPr>
          <w:rFonts w:hint="eastAsia"/>
          <w:lang w:eastAsia="zh-CN"/>
        </w:rPr>
      </w:pPr>
      <w:r>
        <w:rPr>
          <w:rFonts w:hint="eastAsia"/>
          <w:lang w:val="en-US" w:eastAsia="zh-CN"/>
        </w:rPr>
        <w:t>2.</w:t>
      </w:r>
      <w:r>
        <w:rPr>
          <w:rFonts w:hint="eastAsia"/>
          <w:lang w:eastAsia="zh-CN"/>
        </w:rPr>
        <w:t>宁政办</w:t>
      </w:r>
      <w:r>
        <w:rPr>
          <w:rFonts w:hint="default" w:ascii="Times New Roman" w:hAnsi="Times New Roman" w:cs="Times New Roman"/>
        </w:rPr>
        <w:t>发〔</w:t>
      </w:r>
      <w:r>
        <w:rPr>
          <w:rFonts w:hint="default" w:ascii="Times New Roman" w:hAnsi="Times New Roman" w:cs="Times New Roman"/>
          <w:lang w:val="en-US" w:eastAsia="zh-CN"/>
        </w:rPr>
        <w:t>2013</w:t>
      </w:r>
      <w:r>
        <w:rPr>
          <w:rFonts w:hint="default" w:ascii="Times New Roman" w:hAnsi="Times New Roman" w:cs="Times New Roman"/>
        </w:rPr>
        <w:t>〕</w:t>
      </w:r>
      <w:r>
        <w:rPr>
          <w:rFonts w:hint="default" w:ascii="Times New Roman" w:hAnsi="Times New Roman" w:cs="Times New Roman"/>
          <w:lang w:val="en-US" w:eastAsia="zh-CN"/>
        </w:rPr>
        <w:t>61</w:t>
      </w:r>
      <w:r>
        <w:rPr>
          <w:rFonts w:hint="default" w:ascii="Times New Roman" w:hAnsi="Times New Roman" w:cs="Times New Roman"/>
        </w:rPr>
        <w:t>号</w:t>
      </w:r>
      <w:r>
        <w:rPr>
          <w:rFonts w:hint="default" w:ascii="Times New Roman" w:hAnsi="Times New Roman" w:cs="Times New Roman"/>
          <w:lang w:eastAsia="zh-CN"/>
        </w:rPr>
        <w:t>自治区人民</w:t>
      </w:r>
      <w:r>
        <w:rPr>
          <w:rFonts w:hint="eastAsia"/>
          <w:lang w:eastAsia="zh-CN"/>
        </w:rPr>
        <w:t>政府办公厅关于</w:t>
      </w:r>
    </w:p>
    <w:p>
      <w:pPr>
        <w:keepNext w:val="0"/>
        <w:keepLines w:val="0"/>
        <w:pageBreakBefore w:val="0"/>
        <w:kinsoku/>
        <w:wordWrap/>
        <w:overflowPunct/>
        <w:topLinePunct w:val="0"/>
        <w:autoSpaceDE/>
        <w:autoSpaceDN/>
        <w:bidi w:val="0"/>
        <w:spacing w:line="520" w:lineRule="exact"/>
        <w:ind w:left="1920" w:leftChars="600" w:firstLine="0" w:firstLineChars="0"/>
        <w:textAlignment w:val="auto"/>
        <w:rPr>
          <w:rFonts w:hint="eastAsia"/>
          <w:lang w:eastAsia="zh-CN"/>
        </w:rPr>
      </w:pPr>
      <w:r>
        <w:rPr>
          <w:rFonts w:hint="eastAsia"/>
          <w:lang w:eastAsia="zh-CN"/>
        </w:rPr>
        <w:t>印发实行最严格水资源管理制度考核办法的通知</w:t>
      </w:r>
    </w:p>
    <w:p>
      <w:pPr>
        <w:keepNext w:val="0"/>
        <w:keepLines w:val="0"/>
        <w:pageBreakBefore w:val="0"/>
        <w:kinsoku/>
        <w:wordWrap/>
        <w:overflowPunct/>
        <w:topLinePunct w:val="0"/>
        <w:autoSpaceDE/>
        <w:autoSpaceDN/>
        <w:bidi w:val="0"/>
        <w:spacing w:line="520" w:lineRule="exact"/>
        <w:ind w:left="1920" w:leftChars="500" w:hanging="320" w:hangingChars="100"/>
        <w:textAlignment w:val="auto"/>
        <w:rPr>
          <w:rFonts w:hint="default"/>
          <w:lang w:val="en-US" w:eastAsia="zh-CN"/>
        </w:rPr>
      </w:pPr>
      <w:r>
        <w:rPr>
          <w:rFonts w:hint="eastAsia"/>
          <w:lang w:val="en-US" w:eastAsia="zh-CN"/>
        </w:rPr>
        <w:t>3.</w:t>
      </w:r>
      <w:r>
        <w:rPr>
          <w:rFonts w:hint="eastAsia" w:ascii="Times New Roman" w:hAnsi="Times New Roman" w:cs="Times New Roman"/>
          <w:sz w:val="32"/>
          <w:szCs w:val="32"/>
          <w:lang w:eastAsia="zh-CN"/>
        </w:rPr>
        <w:t>宁政办</w:t>
      </w:r>
      <w:r>
        <w:rPr>
          <w:rFonts w:hint="default" w:ascii="Times New Roman" w:hAnsi="Times New Roman" w:eastAsia="仿宋_GB2312" w:cs="Times New Roman"/>
          <w:sz w:val="32"/>
          <w:szCs w:val="32"/>
        </w:rPr>
        <w:t>发〔</w:t>
      </w:r>
      <w:r>
        <w:rPr>
          <w:rFonts w:hint="default" w:ascii="Times New Roman" w:hAnsi="Times New Roman" w:eastAsia="仿宋_GB2312" w:cs="Times New Roman"/>
          <w:sz w:val="32"/>
          <w:szCs w:val="32"/>
          <w:lang w:val="en-US" w:eastAsia="zh-CN"/>
        </w:rPr>
        <w:t>20</w:t>
      </w:r>
      <w:r>
        <w:rPr>
          <w:rFonts w:hint="default" w:ascii="Times New Roman" w:hAnsi="Times New Roman" w:cs="Times New Roman"/>
          <w:sz w:val="32"/>
          <w:szCs w:val="32"/>
          <w:lang w:val="en-US" w:eastAsia="zh-CN"/>
        </w:rPr>
        <w:t>17</w:t>
      </w:r>
      <w:r>
        <w:rPr>
          <w:rFonts w:hint="default" w:ascii="Times New Roman" w:hAnsi="Times New Roman" w:eastAsia="仿宋_GB2312" w:cs="Times New Roman"/>
          <w:sz w:val="32"/>
          <w:szCs w:val="32"/>
        </w:rPr>
        <w:t>〕</w:t>
      </w:r>
      <w:r>
        <w:rPr>
          <w:rFonts w:hint="default" w:ascii="Times New Roman" w:hAnsi="Times New Roman" w:cs="Times New Roman"/>
          <w:sz w:val="32"/>
          <w:szCs w:val="32"/>
          <w:lang w:val="en-US" w:eastAsia="zh-CN"/>
        </w:rPr>
        <w:t>47</w:t>
      </w:r>
      <w:r>
        <w:rPr>
          <w:rFonts w:hint="default" w:ascii="Times New Roman" w:hAnsi="Times New Roman" w:eastAsia="仿宋_GB2312" w:cs="Times New Roman"/>
          <w:sz w:val="32"/>
          <w:szCs w:val="32"/>
        </w:rPr>
        <w:t>号</w:t>
      </w:r>
      <w:r>
        <w:rPr>
          <w:rFonts w:hint="default" w:ascii="Times New Roman" w:hAnsi="Times New Roman" w:cs="Times New Roman"/>
          <w:sz w:val="32"/>
          <w:szCs w:val="32"/>
          <w:lang w:eastAsia="zh-CN"/>
        </w:rPr>
        <w:t>自治</w:t>
      </w:r>
      <w:r>
        <w:rPr>
          <w:rFonts w:hint="eastAsia" w:ascii="Times New Roman" w:hAnsi="Times New Roman" w:cs="Times New Roman"/>
          <w:sz w:val="32"/>
          <w:szCs w:val="32"/>
          <w:lang w:eastAsia="zh-CN"/>
        </w:rPr>
        <w:t>区人民政府办公厅关于印发“十三五”实行水资源消耗总量和强度双控行动加快推进节水型社会建设实施方案的通知</w:t>
      </w:r>
    </w:p>
    <w:p>
      <w:pPr>
        <w:keepNext w:val="0"/>
        <w:keepLines w:val="0"/>
        <w:pageBreakBefore w:val="0"/>
        <w:kinsoku/>
        <w:wordWrap/>
        <w:overflowPunct/>
        <w:topLinePunct w:val="0"/>
        <w:autoSpaceDE/>
        <w:autoSpaceDN/>
        <w:bidi w:val="0"/>
        <w:spacing w:line="520" w:lineRule="exact"/>
        <w:ind w:left="0" w:leftChars="0" w:firstLine="1600" w:firstLineChars="5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cs="Times New Roman"/>
          <w:color w:val="auto"/>
          <w:kern w:val="2"/>
          <w:sz w:val="32"/>
          <w:szCs w:val="32"/>
          <w:highlight w:val="none"/>
          <w:lang w:val="en-US" w:eastAsia="zh-CN" w:bidi="ar-SA"/>
        </w:rPr>
        <w:t>4.咸辉同志批示清样</w:t>
      </w:r>
    </w:p>
    <w:p>
      <w:pPr>
        <w:pStyle w:val="2"/>
        <w:keepNext w:val="0"/>
        <w:keepLines w:val="0"/>
        <w:pageBreakBefore w:val="0"/>
        <w:widowControl w:val="0"/>
        <w:kinsoku/>
        <w:wordWrap/>
        <w:overflowPunct/>
        <w:topLinePunct w:val="0"/>
        <w:autoSpaceDE/>
        <w:autoSpaceDN/>
        <w:bidi w:val="0"/>
        <w:adjustRightInd w:val="0"/>
        <w:snapToGrid w:val="0"/>
        <w:spacing w:after="0" w:line="520" w:lineRule="exact"/>
        <w:ind w:left="1920" w:leftChars="500" w:hanging="320" w:hangingChars="1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cs="Times New Roman"/>
          <w:color w:val="auto"/>
          <w:kern w:val="2"/>
          <w:sz w:val="32"/>
          <w:szCs w:val="32"/>
          <w:highlight w:val="none"/>
          <w:lang w:val="en-US" w:eastAsia="zh-CN" w:bidi="ar-SA"/>
        </w:rPr>
        <w:t>5.</w:t>
      </w:r>
      <w:r>
        <w:rPr>
          <w:rFonts w:hint="eastAsia" w:ascii="Times New Roman" w:hAnsi="Times New Roman" w:cs="Times New Roman"/>
          <w:sz w:val="32"/>
          <w:szCs w:val="32"/>
          <w:lang w:eastAsia="zh-CN"/>
        </w:rPr>
        <w:t>宁政办</w:t>
      </w:r>
      <w:r>
        <w:rPr>
          <w:rFonts w:hint="default" w:ascii="Times New Roman" w:hAnsi="Times New Roman" w:eastAsia="仿宋_GB2312" w:cs="Times New Roman"/>
          <w:sz w:val="32"/>
          <w:szCs w:val="32"/>
        </w:rPr>
        <w:t>发〔</w:t>
      </w:r>
      <w:r>
        <w:rPr>
          <w:rFonts w:hint="default" w:ascii="Times New Roman" w:hAnsi="Times New Roman" w:eastAsia="仿宋_GB2312" w:cs="Times New Roman"/>
          <w:sz w:val="32"/>
          <w:szCs w:val="32"/>
          <w:lang w:val="en-US" w:eastAsia="zh-CN"/>
        </w:rPr>
        <w:t>20</w:t>
      </w:r>
      <w:r>
        <w:rPr>
          <w:rFonts w:hint="default" w:ascii="Times New Roman" w:hAnsi="Times New Roman" w:cs="Times New Roman"/>
          <w:sz w:val="32"/>
          <w:szCs w:val="32"/>
          <w:lang w:val="en-US" w:eastAsia="zh-CN"/>
        </w:rPr>
        <w:t>21</w:t>
      </w:r>
      <w:r>
        <w:rPr>
          <w:rFonts w:hint="default" w:ascii="Times New Roman" w:hAnsi="Times New Roman" w:eastAsia="仿宋_GB2312" w:cs="Times New Roman"/>
          <w:sz w:val="32"/>
          <w:szCs w:val="32"/>
        </w:rPr>
        <w:t>〕</w:t>
      </w:r>
      <w:r>
        <w:rPr>
          <w:rFonts w:hint="default" w:ascii="Times New Roman" w:hAnsi="Times New Roman" w:cs="Times New Roman"/>
          <w:sz w:val="32"/>
          <w:szCs w:val="32"/>
          <w:lang w:val="en-US" w:eastAsia="zh-CN"/>
        </w:rPr>
        <w:t>76</w:t>
      </w:r>
      <w:r>
        <w:rPr>
          <w:rFonts w:hint="default" w:ascii="Times New Roman" w:hAnsi="Times New Roman" w:eastAsia="仿宋_GB2312" w:cs="Times New Roman"/>
          <w:sz w:val="32"/>
          <w:szCs w:val="32"/>
        </w:rPr>
        <w:t>号</w:t>
      </w:r>
      <w:r>
        <w:rPr>
          <w:rFonts w:hint="default" w:ascii="Times New Roman" w:hAnsi="Times New Roman" w:cs="Times New Roman"/>
          <w:sz w:val="32"/>
          <w:szCs w:val="32"/>
          <w:lang w:eastAsia="zh-CN"/>
        </w:rPr>
        <w:t>自</w:t>
      </w:r>
      <w:r>
        <w:rPr>
          <w:rFonts w:hint="eastAsia" w:ascii="Times New Roman" w:hAnsi="Times New Roman" w:cs="Times New Roman"/>
          <w:sz w:val="32"/>
          <w:szCs w:val="32"/>
          <w:lang w:eastAsia="zh-CN"/>
        </w:rPr>
        <w:t>治区人民政府办公厅关于印发宁夏“十四五”用水权管控指标方案的通知</w:t>
      </w:r>
    </w:p>
    <w:p>
      <w:pPr>
        <w:keepNext w:val="0"/>
        <w:keepLines w:val="0"/>
        <w:pageBreakBefore w:val="0"/>
        <w:widowControl w:val="0"/>
        <w:kinsoku/>
        <w:wordWrap/>
        <w:overflowPunct/>
        <w:topLinePunct w:val="0"/>
        <w:autoSpaceDE/>
        <w:autoSpaceDN/>
        <w:bidi w:val="0"/>
        <w:adjustRightInd w:val="0"/>
        <w:snapToGrid w:val="0"/>
        <w:spacing w:line="520" w:lineRule="exact"/>
        <w:ind w:left="1920" w:leftChars="500" w:hanging="320" w:hangingChars="100"/>
        <w:textAlignment w:val="auto"/>
        <w:rPr>
          <w:rFonts w:hint="default" w:ascii="Times New Roman" w:hAnsi="Times New Roman" w:eastAsia="仿宋_GB2312" w:cs="Times New Roman"/>
          <w:color w:val="auto"/>
          <w:kern w:val="2"/>
          <w:sz w:val="32"/>
          <w:szCs w:val="32"/>
          <w:highlight w:val="none"/>
          <w:lang w:val="en-US" w:eastAsia="zh-CN" w:bidi="ar-SA"/>
        </w:rPr>
      </w:pPr>
      <w:r>
        <w:rPr>
          <w:rFonts w:hint="eastAsia" w:ascii="Times New Roman" w:hAnsi="Times New Roman" w:cs="Times New Roman"/>
          <w:color w:val="auto"/>
          <w:kern w:val="2"/>
          <w:sz w:val="32"/>
          <w:szCs w:val="32"/>
          <w:highlight w:val="none"/>
          <w:lang w:val="en-US" w:eastAsia="zh-CN" w:bidi="ar-SA"/>
        </w:rPr>
        <w:t>6.</w:t>
      </w:r>
      <w:r>
        <w:rPr>
          <w:rFonts w:hint="eastAsia" w:ascii="Times New Roman" w:hAnsi="Times New Roman" w:cs="Times New Roman"/>
          <w:sz w:val="32"/>
          <w:szCs w:val="32"/>
          <w:lang w:eastAsia="zh-CN"/>
        </w:rPr>
        <w:t>宁水权改</w:t>
      </w:r>
      <w:r>
        <w:rPr>
          <w:rFonts w:hint="default" w:ascii="Times New Roman" w:hAnsi="Times New Roman" w:eastAsia="仿宋_GB2312" w:cs="Times New Roman"/>
          <w:sz w:val="32"/>
          <w:szCs w:val="32"/>
        </w:rPr>
        <w:t>发〔</w:t>
      </w:r>
      <w:r>
        <w:rPr>
          <w:rFonts w:hint="default" w:ascii="Times New Roman" w:hAnsi="Times New Roman" w:eastAsia="仿宋_GB2312" w:cs="Times New Roman"/>
          <w:sz w:val="32"/>
          <w:szCs w:val="32"/>
          <w:lang w:val="en-US" w:eastAsia="zh-CN"/>
        </w:rPr>
        <w:t>20</w:t>
      </w:r>
      <w:r>
        <w:rPr>
          <w:rFonts w:hint="default" w:ascii="Times New Roman" w:hAnsi="Times New Roman" w:cs="Times New Roman"/>
          <w:sz w:val="32"/>
          <w:szCs w:val="32"/>
          <w:lang w:val="en-US" w:eastAsia="zh-CN"/>
        </w:rPr>
        <w:t>21</w:t>
      </w:r>
      <w:r>
        <w:rPr>
          <w:rFonts w:hint="default" w:ascii="Times New Roman" w:hAnsi="Times New Roman" w:eastAsia="仿宋_GB2312" w:cs="Times New Roman"/>
          <w:sz w:val="32"/>
          <w:szCs w:val="32"/>
        </w:rPr>
        <w:t>〕</w:t>
      </w:r>
      <w:r>
        <w:rPr>
          <w:rFonts w:hint="default" w:ascii="Times New Roman" w:hAnsi="Times New Roman" w:cs="Times New Roman"/>
          <w:sz w:val="32"/>
          <w:szCs w:val="32"/>
          <w:lang w:val="en-US" w:eastAsia="zh-CN"/>
        </w:rPr>
        <w:t>1</w:t>
      </w:r>
      <w:r>
        <w:rPr>
          <w:rFonts w:hint="default" w:ascii="Times New Roman" w:hAnsi="Times New Roman" w:eastAsia="仿宋_GB2312" w:cs="Times New Roman"/>
          <w:sz w:val="32"/>
          <w:szCs w:val="32"/>
        </w:rPr>
        <w:t>号</w:t>
      </w:r>
      <w:r>
        <w:rPr>
          <w:rFonts w:hint="eastAsia" w:ascii="Times New Roman" w:hAnsi="Times New Roman" w:cs="Times New Roman"/>
          <w:sz w:val="32"/>
          <w:szCs w:val="32"/>
          <w:lang w:eastAsia="zh-CN"/>
        </w:rPr>
        <w:t>自治区水利厅关于印发宁夏回族自治区用水权确权指导意见的通知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xGInwbcBAABVAwAADgAAAAAAAAABACAAAAAiAQAAZHJzL2Uyb0RvYy54bWxQSwUGAAAAAAYA&#10;BgBZAQAASwUAAAAA&#10;">
              <v:fill on="f" focussize="0,0"/>
              <v:stroke on="f" weight="1.25pt"/>
              <v:imagedata o:title=""/>
              <o:lock v:ext="edit" aspectratio="f"/>
              <v:textbox inset="0mm,0mm,0mm,0mm" style="mso-fit-shape-to-text:t;">
                <w:txbxContent>
                  <w:p>
                    <w:pPr>
                      <w:pStyle w:val="13"/>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firstLine="360"/>
                            <w:rPr>
                              <w:rFonts w:hint="eastAsi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- 28 -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aqKiq4BAABLAwAADgAAAGRycy9lMm9Eb2MueG1srVPNThsxEL5X4h0s&#10;34mXI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RqoqKrgEAAEsD&#10;AAAOAAAAAAAAAAEAIAAAAB4BAABkcnMvZTJvRG9jLnhtbFBLBQYAAAAABgAGAFkBAAA+BQAAAAA=&#10;">
              <v:fill on="f" focussize="0,0"/>
              <v:stroke on="f"/>
              <v:imagedata o:title=""/>
              <o:lock v:ext="edit" aspectratio="f"/>
              <v:textbox inset="0mm,0mm,0mm,0mm" style="mso-fit-shape-to-text:t;">
                <w:txbxContent>
                  <w:p>
                    <w:pPr>
                      <w:pStyle w:val="13"/>
                      <w:ind w:firstLine="360"/>
                      <w:rPr>
                        <w:rFonts w:hint="eastAsi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- 28 -</w:t>
                    </w:r>
                    <w:r>
                      <w:rPr>
                        <w:rFonts w:hint="eastAsia" w:ascii="宋体" w:hAnsi="宋体" w:eastAsia="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left="0" w:leftChars="0" w:firstLine="0" w:firstLineChars="0"/>
                            <w:rPr>
                              <w:rFonts w:hint="eastAsi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- 28 -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xZ+TlrgEAAEsD&#10;AAAOAAAAAAAAAAEAIAAAAB4BAABkcnMvZTJvRG9jLnhtbFBLBQYAAAAABgAGAFkBAAA+BQAAAAA=&#10;">
              <v:fill on="f" focussize="0,0"/>
              <v:stroke on="f"/>
              <v:imagedata o:title=""/>
              <o:lock v:ext="edit" aspectratio="f"/>
              <v:textbox inset="0mm,0mm,0mm,0mm" style="mso-fit-shape-to-text:t;">
                <w:txbxContent>
                  <w:p>
                    <w:pPr>
                      <w:pStyle w:val="13"/>
                      <w:ind w:left="0" w:leftChars="0" w:firstLine="0" w:firstLineChars="0"/>
                      <w:rPr>
                        <w:rFonts w:hint="eastAsi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- 28 -</w:t>
                    </w:r>
                    <w:r>
                      <w:rPr>
                        <w:rFonts w:hint="eastAsia" w:ascii="宋体" w:hAnsi="宋体" w:eastAsia="宋体" w:cs="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40"/>
      <w:rPr>
        <w:b/>
        <w:bCs/>
        <w:sz w:val="22"/>
        <w:szCs w:val="22"/>
      </w:rPr>
    </w:pPr>
    <w:r>
      <w:rPr>
        <w:sz w:val="2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left="0" w:leftChars="0" w:firstLine="0" w:firstLineChars="0"/>
                            <w:rPr>
                              <w:rFonts w:hint="eastAsi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- 34 -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MAwmbStAQAASwMA&#10;AA4AAAAAAAAAAQAgAAAAHgEAAGRycy9lMm9Eb2MueG1sUEsFBgAAAAAGAAYAWQEAAD0FAAAAAA==&#10;">
              <v:fill on="f" focussize="0,0"/>
              <v:stroke on="f"/>
              <v:imagedata o:title=""/>
              <o:lock v:ext="edit" aspectratio="f"/>
              <v:textbox inset="0mm,0mm,0mm,0mm" style="mso-fit-shape-to-text:t;">
                <w:txbxContent>
                  <w:p>
                    <w:pPr>
                      <w:pStyle w:val="13"/>
                      <w:ind w:left="0" w:leftChars="0" w:firstLine="0" w:firstLineChars="0"/>
                      <w:rPr>
                        <w:rFonts w:hint="eastAsi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- 34 -</w:t>
                    </w:r>
                    <w:r>
                      <w:rPr>
                        <w:rFonts w:hint="eastAsia" w:ascii="宋体" w:hAnsi="宋体" w:eastAsia="宋体" w:cs="宋体"/>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40"/>
      <w:rPr>
        <w:b/>
        <w:bCs/>
        <w:sz w:val="22"/>
        <w:szCs w:val="22"/>
      </w:rPr>
    </w:pPr>
    <w:r>
      <w:rPr>
        <w:sz w:val="2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left="0" w:leftChars="0" w:firstLine="0" w:firstLineChars="0"/>
                            <w:rPr>
                              <w:rFonts w:hint="eastAsi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- 42 -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m4mZOrgEAAE0D&#10;AAAOAAAAAAAAAAEAIAAAAB4BAABkcnMvZTJvRG9jLnhtbFBLBQYAAAAABgAGAFkBAAA+BQAAAAA=&#10;">
              <v:fill on="f" focussize="0,0"/>
              <v:stroke on="f"/>
              <v:imagedata o:title=""/>
              <o:lock v:ext="edit" aspectratio="f"/>
              <v:textbox inset="0mm,0mm,0mm,0mm" style="mso-fit-shape-to-text:t;">
                <w:txbxContent>
                  <w:p>
                    <w:pPr>
                      <w:pStyle w:val="13"/>
                      <w:ind w:left="0" w:leftChars="0" w:firstLine="0" w:firstLineChars="0"/>
                      <w:rPr>
                        <w:rFonts w:hint="eastAsi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- 42 -</w:t>
                    </w:r>
                    <w:r>
                      <w:rPr>
                        <w:rFonts w:hint="eastAsia" w:ascii="宋体" w:hAnsi="宋体" w:eastAsia="宋体" w:cs="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440"/>
      <w:rPr>
        <w:b/>
        <w:bCs/>
        <w:sz w:val="22"/>
        <w:szCs w:val="22"/>
      </w:rPr>
    </w:pPr>
    <w:r>
      <w:rPr>
        <w:sz w:val="2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left="0" w:leftChars="0" w:firstLine="0" w:firstLineChars="0"/>
                            <w:rPr>
                              <w:rFonts w:hint="eastAsi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- 53 -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CsA1RurgEAAE0D&#10;AAAOAAAAAAAAAAEAIAAAAB4BAABkcnMvZTJvRG9jLnhtbFBLBQYAAAAABgAGAFkBAAA+BQAAAAA=&#10;">
              <v:fill on="f" focussize="0,0"/>
              <v:stroke on="f"/>
              <v:imagedata o:title=""/>
              <o:lock v:ext="edit" aspectratio="f"/>
              <v:textbox inset="0mm,0mm,0mm,0mm" style="mso-fit-shape-to-text:t;">
                <w:txbxContent>
                  <w:p>
                    <w:pPr>
                      <w:pStyle w:val="13"/>
                      <w:ind w:left="0" w:leftChars="0" w:firstLine="0" w:firstLineChars="0"/>
                      <w:rPr>
                        <w:rFonts w:hint="eastAsia"/>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- 53 -</w:t>
                    </w:r>
                    <w:r>
                      <w:rPr>
                        <w:rFonts w:hint="eastAsia" w:ascii="宋体" w:hAnsi="宋体" w:eastAsia="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spacing w:line="240" w:lineRule="auto"/>
      <w:ind w:firstLine="0" w:firstLineChars="0"/>
      <w:rPr>
        <w:rFonts w:hint="eastAsia" w:ascii="仿宋" w:hAnsi="仿宋" w:eastAsia="仿宋" w:cs="仿宋"/>
        <w:kern w:val="0"/>
        <w:sz w:val="21"/>
        <w:szCs w:val="21"/>
        <w:lang w:val="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snapToGrid/>
      <w:spacing w:line="240" w:lineRule="auto"/>
      <w:ind w:firstLine="0" w:firstLineChars="0"/>
      <w:rPr>
        <w:rFonts w:hint="eastAsia" w:ascii="仿宋" w:hAnsi="仿宋" w:eastAsia="仿宋" w:cs="仿宋"/>
        <w:kern w:val="0"/>
        <w:sz w:val="21"/>
        <w:szCs w:val="21"/>
        <w:lang w:val="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bidi w:val="0"/>
      <w:rPr>
        <w:rFonts w:hint="eastAsia" w:ascii="Times New Roman" w:hAnsi="Times New Roman" w:cs="Times New Roman"/>
        <w:lang w:val="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bidi w:val="0"/>
      <w:rPr>
        <w:rFonts w:hint="eastAsia" w:ascii="Times New Roman" w:hAnsi="Times New Roman" w:cs="Times New Roman"/>
        <w:lang w:val="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IwMzBkZTRkMzk5YTI0YTEwMjdhZTMzMDNhMGRmNGIifQ=="/>
  </w:docVars>
  <w:rsids>
    <w:rsidRoot w:val="00000000"/>
    <w:rsid w:val="11095573"/>
    <w:rsid w:val="1A0C2A1B"/>
    <w:rsid w:val="28117F0E"/>
    <w:rsid w:val="306942EA"/>
    <w:rsid w:val="3CD77CE5"/>
    <w:rsid w:val="494759FF"/>
    <w:rsid w:val="4CC75728"/>
    <w:rsid w:val="55DA74E1"/>
    <w:rsid w:val="66F003FC"/>
    <w:rsid w:val="6BFB7A94"/>
    <w:rsid w:val="762542EB"/>
    <w:rsid w:val="79360E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560" w:lineRule="exact"/>
      <w:ind w:firstLine="420" w:firstLineChars="200"/>
      <w:jc w:val="both"/>
    </w:pPr>
    <w:rPr>
      <w:rFonts w:ascii="Times New Roman" w:hAnsi="Times New Roman" w:eastAsia="仿宋_GB2312" w:cs="Times New Roman"/>
      <w:kern w:val="2"/>
      <w:sz w:val="32"/>
      <w:szCs w:val="28"/>
      <w:lang w:val="en-US" w:eastAsia="zh-CN" w:bidi="ar-SA"/>
    </w:rPr>
  </w:style>
  <w:style w:type="paragraph" w:styleId="5">
    <w:name w:val="heading 1"/>
    <w:basedOn w:val="1"/>
    <w:next w:val="1"/>
    <w:qFormat/>
    <w:uiPriority w:val="0"/>
    <w:pPr>
      <w:keepNext/>
      <w:keepLines/>
      <w:adjustRightInd w:val="0"/>
      <w:snapToGrid w:val="0"/>
      <w:spacing w:before="0" w:beforeLines="0" w:beforeAutospacing="0" w:after="0" w:afterLines="0" w:afterAutospacing="0" w:line="560" w:lineRule="exact"/>
      <w:ind w:firstLine="0" w:firstLineChars="0"/>
      <w:jc w:val="center"/>
      <w:outlineLvl w:val="0"/>
    </w:pPr>
    <w:rPr>
      <w:rFonts w:eastAsia="黑体"/>
      <w:kern w:val="44"/>
      <w:sz w:val="32"/>
      <w:szCs w:val="32"/>
    </w:rPr>
  </w:style>
  <w:style w:type="paragraph" w:styleId="6">
    <w:name w:val="heading 2"/>
    <w:basedOn w:val="1"/>
    <w:next w:val="1"/>
    <w:qFormat/>
    <w:uiPriority w:val="0"/>
    <w:pPr>
      <w:keepNext w:val="0"/>
      <w:keepLines w:val="0"/>
      <w:snapToGrid w:val="0"/>
      <w:spacing w:before="0" w:beforeLines="0" w:beforeAutospacing="0" w:afterLines="0" w:afterAutospacing="0" w:line="560" w:lineRule="exact"/>
      <w:ind w:firstLine="600" w:firstLineChars="200"/>
      <w:jc w:val="left"/>
      <w:outlineLvl w:val="1"/>
    </w:pPr>
    <w:rPr>
      <w:rFonts w:eastAsia="楷体"/>
      <w:b/>
      <w:szCs w:val="32"/>
    </w:rPr>
  </w:style>
  <w:style w:type="paragraph" w:styleId="7">
    <w:name w:val="heading 3"/>
    <w:basedOn w:val="1"/>
    <w:next w:val="1"/>
    <w:qFormat/>
    <w:uiPriority w:val="0"/>
    <w:pPr>
      <w:keepNext w:val="0"/>
      <w:keepLines w:val="0"/>
      <w:adjustRightInd w:val="0"/>
      <w:snapToGrid w:val="0"/>
      <w:spacing w:before="0" w:beforeLines="0" w:beforeAutospacing="0" w:afterLines="0" w:afterAutospacing="0" w:line="560" w:lineRule="exact"/>
      <w:ind w:firstLine="600" w:firstLineChars="200"/>
      <w:jc w:val="left"/>
      <w:outlineLvl w:val="2"/>
    </w:pPr>
    <w:rPr>
      <w:rFonts w:eastAsia="仿宋"/>
      <w:b/>
      <w:kern w:val="0"/>
      <w:szCs w:val="32"/>
    </w:rPr>
  </w:style>
  <w:style w:type="paragraph" w:styleId="8">
    <w:name w:val="heading 4"/>
    <w:basedOn w:val="1"/>
    <w:next w:val="1"/>
    <w:qFormat/>
    <w:uiPriority w:val="9"/>
    <w:pPr>
      <w:keepNext w:val="0"/>
      <w:keepLines w:val="0"/>
      <w:spacing w:before="0" w:beforeLines="0" w:line="560" w:lineRule="exact"/>
      <w:ind w:firstLine="600" w:firstLineChars="200"/>
      <w:jc w:val="left"/>
      <w:outlineLvl w:val="3"/>
    </w:pPr>
    <w:rPr>
      <w:rFonts w:eastAsia="仿宋" w:cs="Times New Roman"/>
      <w:b/>
      <w:bCs/>
    </w:rPr>
  </w:style>
  <w:style w:type="paragraph" w:styleId="9">
    <w:name w:val="heading 5"/>
    <w:basedOn w:val="1"/>
    <w:next w:val="1"/>
    <w:link w:val="26"/>
    <w:qFormat/>
    <w:uiPriority w:val="9"/>
    <w:pPr>
      <w:keepNext/>
      <w:keepLines/>
      <w:adjustRightInd w:val="0"/>
      <w:snapToGrid w:val="0"/>
      <w:spacing w:line="560" w:lineRule="exact"/>
      <w:ind w:firstLine="200" w:firstLineChars="200"/>
      <w:outlineLvl w:val="4"/>
    </w:pPr>
    <w:rPr>
      <w:sz w:val="32"/>
      <w:szCs w:val="32"/>
    </w:rPr>
  </w:style>
  <w:style w:type="character" w:default="1" w:styleId="16">
    <w:name w:val="Default Paragraph Font"/>
    <w:semiHidden/>
    <w:qFormat/>
    <w:uiPriority w:val="0"/>
  </w:style>
  <w:style w:type="table" w:default="1" w:styleId="17">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1"/>
    <w:qFormat/>
    <w:uiPriority w:val="0"/>
    <w:pPr>
      <w:spacing w:after="120"/>
      <w:ind w:left="200" w:leftChars="200" w:firstLine="420"/>
    </w:pPr>
  </w:style>
  <w:style w:type="paragraph" w:styleId="3">
    <w:name w:val="Body Text Indent"/>
    <w:basedOn w:val="1"/>
    <w:next w:val="4"/>
    <w:qFormat/>
    <w:uiPriority w:val="0"/>
    <w:pPr>
      <w:spacing w:after="120"/>
      <w:ind w:left="420" w:leftChars="200"/>
    </w:pPr>
    <w:rPr>
      <w:szCs w:val="24"/>
    </w:rPr>
  </w:style>
  <w:style w:type="paragraph" w:styleId="4">
    <w:name w:val="index 5"/>
    <w:basedOn w:val="1"/>
    <w:next w:val="1"/>
    <w:qFormat/>
    <w:uiPriority w:val="0"/>
    <w:rPr>
      <w:rFonts w:ascii="仿宋_GB2312" w:eastAsia="仿宋_GB2312"/>
      <w:sz w:val="32"/>
      <w:szCs w:val="32"/>
    </w:rPr>
  </w:style>
  <w:style w:type="paragraph" w:styleId="10">
    <w:name w:val="annotation text"/>
    <w:basedOn w:val="1"/>
    <w:qFormat/>
    <w:uiPriority w:val="0"/>
    <w:pPr>
      <w:jc w:val="left"/>
    </w:pPr>
  </w:style>
  <w:style w:type="paragraph" w:styleId="11">
    <w:name w:val="Body Text"/>
    <w:basedOn w:val="1"/>
    <w:next w:val="3"/>
    <w:qFormat/>
    <w:uiPriority w:val="0"/>
    <w:pPr>
      <w:adjustRightInd w:val="0"/>
      <w:snapToGrid w:val="0"/>
      <w:spacing w:line="312" w:lineRule="auto"/>
    </w:pPr>
    <w:rPr>
      <w:kern w:val="0"/>
      <w:sz w:val="24"/>
      <w:szCs w:val="24"/>
    </w:rPr>
  </w:style>
  <w:style w:type="paragraph" w:styleId="12">
    <w:name w:val="Plain Text"/>
    <w:basedOn w:val="1"/>
    <w:qFormat/>
    <w:uiPriority w:val="0"/>
    <w:rPr>
      <w:rFonts w:ascii="宋体" w:hAnsi="Courier New" w:eastAsia="宋体" w:cs="Courier New"/>
      <w:sz w:val="21"/>
      <w:szCs w:val="21"/>
    </w:rPr>
  </w:style>
  <w:style w:type="paragraph" w:styleId="13">
    <w:name w:val="footer"/>
    <w:basedOn w:val="1"/>
    <w:next w:val="1"/>
    <w:uiPriority w:val="0"/>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rFonts w:eastAsia="仿宋"/>
      <w:sz w:val="18"/>
      <w:szCs w:val="18"/>
    </w:rPr>
  </w:style>
  <w:style w:type="paragraph" w:styleId="15">
    <w:name w:val="Normal (Web)"/>
    <w:basedOn w:val="1"/>
    <w:uiPriority w:val="0"/>
    <w:pPr>
      <w:widowControl/>
      <w:spacing w:before="240" w:after="240"/>
      <w:jc w:val="left"/>
    </w:pPr>
    <w:rPr>
      <w:rFonts w:ascii="宋体" w:hAnsi="宋体" w:cs="宋体"/>
      <w:kern w:val="0"/>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WPSOffice手动目录 1"/>
    <w:qFormat/>
    <w:uiPriority w:val="0"/>
    <w:rPr>
      <w:rFonts w:ascii="Times New Roman" w:hAnsi="Times New Roman" w:eastAsia="宋体" w:cs="Times New Roman"/>
      <w:lang w:val="en-US" w:eastAsia="zh-CN" w:bidi="ar-SA"/>
    </w:rPr>
  </w:style>
  <w:style w:type="paragraph" w:customStyle="1" w:styleId="20">
    <w:name w:val="WPSOffice手动目录 2"/>
    <w:qFormat/>
    <w:uiPriority w:val="0"/>
    <w:pPr>
      <w:ind w:left="300" w:leftChars="100"/>
    </w:pPr>
    <w:rPr>
      <w:rFonts w:ascii="Times New Roman" w:hAnsi="Times New Roman" w:eastAsia="宋体" w:cs="Times New Roman"/>
      <w:lang w:val="en-US" w:eastAsia="zh-CN" w:bidi="ar-SA"/>
    </w:rPr>
  </w:style>
  <w:style w:type="paragraph" w:customStyle="1" w:styleId="21">
    <w:name w:val="WPSOffice手动目录 3"/>
    <w:qFormat/>
    <w:uiPriority w:val="0"/>
    <w:pPr>
      <w:ind w:left="600" w:leftChars="200"/>
    </w:pPr>
    <w:rPr>
      <w:rFonts w:ascii="Times New Roman" w:hAnsi="Times New Roman" w:eastAsia="宋体" w:cs="Times New Roman"/>
      <w:lang w:val="en-US" w:eastAsia="zh-CN" w:bidi="ar-SA"/>
    </w:rPr>
  </w:style>
  <w:style w:type="paragraph" w:customStyle="1" w:styleId="22">
    <w:name w:val="表头样式"/>
    <w:basedOn w:val="1"/>
    <w:next w:val="1"/>
    <w:qFormat/>
    <w:uiPriority w:val="0"/>
    <w:pPr>
      <w:spacing w:line="240" w:lineRule="auto"/>
      <w:ind w:firstLine="0" w:firstLineChars="0"/>
      <w:jc w:val="center"/>
    </w:pPr>
    <w:rPr>
      <w:rFonts w:ascii="Times New Roman" w:hAnsi="Times New Roman" w:eastAsia="宋体"/>
      <w:b/>
      <w:sz w:val="24"/>
    </w:rPr>
  </w:style>
  <w:style w:type="paragraph" w:customStyle="1" w:styleId="23">
    <w:name w:val="正文1"/>
    <w:qFormat/>
    <w:uiPriority w:val="0"/>
    <w:pPr>
      <w:jc w:val="both"/>
    </w:pPr>
    <w:rPr>
      <w:rFonts w:ascii="Times New Roman" w:hAnsi="Times New Roman" w:eastAsia="宋体" w:cs="Calibri"/>
      <w:kern w:val="2"/>
      <w:sz w:val="21"/>
      <w:szCs w:val="21"/>
      <w:lang w:val="en-US" w:eastAsia="zh-CN" w:bidi="ar-SA"/>
    </w:rPr>
  </w:style>
  <w:style w:type="paragraph" w:customStyle="1" w:styleId="24">
    <w:name w:val="本次表格"/>
    <w:basedOn w:val="3"/>
    <w:next w:val="1"/>
    <w:qFormat/>
    <w:uiPriority w:val="0"/>
    <w:pPr>
      <w:topLinePunct/>
      <w:adjustRightInd w:val="0"/>
      <w:spacing w:line="240" w:lineRule="auto"/>
      <w:ind w:left="0" w:leftChars="0" w:firstLine="0" w:firstLineChars="0"/>
      <w:jc w:val="center"/>
    </w:pPr>
    <w:rPr>
      <w:rFonts w:ascii="Times New Roman" w:hAnsi="Times New Roman" w:eastAsia="宋体"/>
      <w:kern w:val="28"/>
      <w:sz w:val="21"/>
      <w:szCs w:val="28"/>
      <w:lang w:val="zh-CN"/>
    </w:rPr>
  </w:style>
  <w:style w:type="paragraph" w:customStyle="1" w:styleId="25">
    <w:name w:val="表头-B"/>
    <w:basedOn w:val="12"/>
    <w:next w:val="1"/>
    <w:qFormat/>
    <w:uiPriority w:val="0"/>
    <w:pPr>
      <w:autoSpaceDE w:val="0"/>
      <w:autoSpaceDN w:val="0"/>
      <w:spacing w:line="240" w:lineRule="auto"/>
      <w:ind w:firstLine="883"/>
    </w:pPr>
    <w:rPr>
      <w:rFonts w:ascii="Times New Roman" w:hAnsi="Times New Roman" w:cs="Times New Roman"/>
      <w:b/>
      <w:kern w:val="0"/>
      <w:szCs w:val="28"/>
    </w:rPr>
  </w:style>
  <w:style w:type="character" w:customStyle="1" w:styleId="26">
    <w:name w:val="标题 5 Char"/>
    <w:link w:val="9"/>
    <w:qFormat/>
    <w:uiPriority w:val="9"/>
    <w:rPr>
      <w:sz w:val="32"/>
      <w:szCs w:val="32"/>
    </w:rPr>
  </w:style>
  <w:style w:type="paragraph" w:customStyle="1" w:styleId="27">
    <w:name w:val="正文-B"/>
    <w:basedOn w:val="1"/>
    <w:qFormat/>
    <w:uiPriority w:val="0"/>
    <w:pPr>
      <w:adjustRightInd w:val="0"/>
      <w:snapToGrid w:val="0"/>
      <w:spacing w:line="360" w:lineRule="auto"/>
      <w:ind w:firstLine="200" w:firstLineChars="200"/>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0.png"/><Relationship Id="rId24" Type="http://schemas.openxmlformats.org/officeDocument/2006/relationships/image" Target="media/image9.wmf"/><Relationship Id="rId23" Type="http://schemas.openxmlformats.org/officeDocument/2006/relationships/oleObject" Target="embeddings/oleObject1.bin"/><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wmf"/><Relationship Id="rId16" Type="http://schemas.openxmlformats.org/officeDocument/2006/relationships/image" Target="media/image2.wmf"/><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46500</Words>
  <Characters>57322</Characters>
  <Lines>0</Lines>
  <Paragraphs>0</Paragraphs>
  <TotalTime>0</TotalTime>
  <ScaleCrop>false</ScaleCrop>
  <LinksUpToDate>false</LinksUpToDate>
  <CharactersWithSpaces>58791</CharactersWithSpaces>
  <Application>WPS Office_10.8.0.6501_F1E327BC-269C-435d-A152-05C5408002CA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2022-12-13T08:35:17Z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2052-10.8.0.6501</vt:lpwstr>
  </property>
  <property fmtid="{D5CDD505-2E9C-101B-9397-08002B2CF9AE}" pid="3" name="ICV">
    <vt:lpwstr>D5588A4F7A634D04A90D617F02110D3F</vt:lpwstr>
  </property>
</Properties>
</file>