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Times New Roman" w:hAnsi="Times New Roman" w:cs="Times New Roman"/>
          <w:sz w:val="18"/>
          <w:szCs w:val="18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30" w:charSpace="0"/>
        </w:sectPr>
      </w:pPr>
    </w:p>
    <w:tbl>
      <w:tblPr>
        <w:tblStyle w:val="5"/>
        <w:tblW w:w="1450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2"/>
        <w:gridCol w:w="2092"/>
        <w:gridCol w:w="1129"/>
        <w:gridCol w:w="1129"/>
        <w:gridCol w:w="1003"/>
        <w:gridCol w:w="1003"/>
        <w:gridCol w:w="1003"/>
        <w:gridCol w:w="1003"/>
        <w:gridCol w:w="873"/>
        <w:gridCol w:w="1790"/>
        <w:gridCol w:w="26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50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center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附件2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沙坡头区引扬黄灌区供水价格调整及执行计划表</w:t>
            </w:r>
          </w:p>
          <w:bookmarkEnd w:id="0"/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  <w:jc w:val="center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灌区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定额内终端供水价格（元/立方米）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骨干渠道供水价格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（元/立方米）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末级渠系供水价格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（元/立方米）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超计划供水价格（元/立方米、骨干渠道）</w:t>
            </w:r>
          </w:p>
        </w:tc>
        <w:tc>
          <w:tcPr>
            <w:tcW w:w="2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2021年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2025年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≦20%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&gt;20%</w:t>
            </w:r>
          </w:p>
        </w:tc>
        <w:tc>
          <w:tcPr>
            <w:tcW w:w="2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一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农业用水（含粮食作物、经济作物、林草地）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（一）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沙坡头各渠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0.128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七星渠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0.065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0.065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0.025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0.04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自治区骨干渠道供水价格调整后执行新供水价格。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扬水灌区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南山台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0.358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0.518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0.322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0.482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骨干渠道供水价格含渠道原水供水价格0.088元/立方米。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康乐泵站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1.08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1.08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0.86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黄套泵站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0.56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碱碱湖泵站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0.234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0.234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固海扬水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0.173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0.173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0.137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0.036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自治区骨干渠道供水价格调整后执行新供水价格。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水产养殖、中冶美利林业、生态用水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0.132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按农业灌溉用水定额水价1.5倍执行。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三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工矿企业用水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/南山台扬灌区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自流灌区1.1/南山台扬灌区1.5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/南山台扬灌区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自流灌区1.1/南山台扬灌区1.5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政府指导价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四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内蒙古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孪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井滩用水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0.084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 xml:space="preserve">0.123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0.084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 xml:space="preserve">0.123 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1.4倍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3倍</w:t>
            </w:r>
          </w:p>
        </w:tc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按农业灌溉用水超定额水价执行。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  <w:sectPr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docGrid w:type="lines" w:linePitch="336" w:charSpace="0"/>
        </w:sect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</w:rPr>
      </w:pPr>
    </w:p>
    <w:p/>
    <w:p/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5A9E"/>
    <w:rsid w:val="108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2021-07-23T08:00:00Z</dcterms:created>
  <dc:creator>小妖妖</dc:creator>
  <cp:lastModifiedBy>小妖妖</cp:lastModifiedBy>
  <dcterms:modified xsi:type="dcterms:W3CDTF">2021-07-23T08:02:07Z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