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ind w:left="0" w:leftChars="0" w:right="0" w:rightChars="0"/>
        <w:jc w:val="left"/>
        <w:textAlignment w:val="auto"/>
        <w:outlineLvl w:val="9"/>
        <w:rPr>
          <w:rFonts w:hint="default" w:ascii="Times New Roman" w:hAnsi="Times New Roman" w:eastAsia="黑体" w:cs="Times New Roman"/>
          <w:color w:val="auto"/>
          <w:sz w:val="32"/>
          <w:szCs w:val="32"/>
          <w:shd w:val="clear" w:color="auto" w:fill="FFFFFF"/>
          <w:lang w:val="en-US"/>
        </w:rPr>
      </w:pPr>
      <w:r>
        <w:rPr>
          <w:rFonts w:hint="default" w:ascii="Times New Roman" w:hAnsi="Times New Roman" w:eastAsia="黑体" w:cs="Times New Roman"/>
          <w:color w:val="auto"/>
          <w:sz w:val="32"/>
          <w:szCs w:val="32"/>
          <w:shd w:val="clear" w:color="auto" w:fill="FFFFFF"/>
          <w:lang w:val="en-US"/>
        </w:rPr>
        <w:t>附</w:t>
      </w:r>
      <w:r>
        <w:rPr>
          <w:rFonts w:hint="eastAsia" w:ascii="Times New Roman" w:hAnsi="Times New Roman" w:eastAsia="黑体" w:cs="Times New Roman"/>
          <w:color w:val="auto"/>
          <w:sz w:val="32"/>
          <w:szCs w:val="32"/>
          <w:shd w:val="clear" w:color="auto" w:fill="FFFFFF"/>
          <w:lang w:val="en-US" w:eastAsia="zh-CN"/>
        </w:rPr>
        <w:t>件</w:t>
      </w:r>
      <w:r>
        <w:rPr>
          <w:rFonts w:hint="default" w:ascii="Times New Roman" w:hAnsi="Times New Roman" w:eastAsia="黑体" w:cs="Times New Roman"/>
          <w:color w:val="auto"/>
          <w:sz w:val="32"/>
          <w:szCs w:val="32"/>
          <w:shd w:val="clear" w:color="auto" w:fill="FFFFFF"/>
          <w:lang w:val="en-US"/>
        </w:rPr>
        <w:t>2：</w:t>
      </w:r>
    </w:p>
    <w:p>
      <w:pPr>
        <w:keepNext w:val="0"/>
        <w:keepLines w:val="0"/>
        <w:pageBreakBefore w:val="0"/>
        <w:kinsoku/>
        <w:overflowPunct/>
        <w:topLinePunct w:val="0"/>
        <w:autoSpaceDE/>
        <w:autoSpaceDN/>
        <w:bidi w:val="0"/>
        <w:snapToGrid w:val="0"/>
        <w:spacing w:line="560" w:lineRule="exact"/>
        <w:ind w:left="0" w:leftChars="0" w:right="0" w:rightChars="0"/>
        <w:jc w:val="center"/>
        <w:textAlignment w:val="auto"/>
        <w:outlineLvl w:val="2"/>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32"/>
          <w:szCs w:val="32"/>
        </w:rPr>
        <w:t>数据检查表</w:t>
      </w:r>
    </w:p>
    <w:p>
      <w:pPr>
        <w:keepNext w:val="0"/>
        <w:keepLines w:val="0"/>
        <w:pageBreakBefore w:val="0"/>
        <w:kinsoku/>
        <w:overflowPunct/>
        <w:topLinePunct w:val="0"/>
        <w:autoSpaceDE/>
        <w:autoSpaceDN/>
        <w:bidi w:val="0"/>
        <w:snapToGrid w:val="0"/>
        <w:spacing w:line="560" w:lineRule="exact"/>
        <w:ind w:left="0" w:leftChars="0" w:right="0" w:rightChars="0"/>
        <w:jc w:val="center"/>
        <w:textAlignment w:val="auto"/>
        <w:outlineLvl w:val="2"/>
        <w:rPr>
          <w:rFonts w:hint="default" w:ascii="Times New Roman" w:hAnsi="Times New Roman" w:eastAsia="宋体" w:cs="Times New Roman"/>
          <w:color w:val="000000"/>
          <w:sz w:val="32"/>
          <w:szCs w:val="32"/>
        </w:rPr>
      </w:pPr>
    </w:p>
    <w:tbl>
      <w:tblPr>
        <w:tblStyle w:val="8"/>
        <w:tblW w:w="9836" w:type="dxa"/>
        <w:jc w:val="center"/>
        <w:tblInd w:w="0" w:type="dxa"/>
        <w:tblLayout w:type="fixed"/>
        <w:tblCellMar>
          <w:top w:w="0" w:type="dxa"/>
          <w:left w:w="108" w:type="dxa"/>
          <w:bottom w:w="0" w:type="dxa"/>
          <w:right w:w="108" w:type="dxa"/>
        </w:tblCellMar>
      </w:tblPr>
      <w:tblGrid>
        <w:gridCol w:w="520"/>
        <w:gridCol w:w="2903"/>
        <w:gridCol w:w="1506"/>
        <w:gridCol w:w="758"/>
        <w:gridCol w:w="546"/>
        <w:gridCol w:w="217"/>
        <w:gridCol w:w="1308"/>
        <w:gridCol w:w="2078"/>
      </w:tblGrid>
      <w:tr>
        <w:tblPrEx>
          <w:tblLayout w:type="fixed"/>
        </w:tblPrEx>
        <w:trPr>
          <w:jc w:val="center"/>
        </w:trPr>
        <w:tc>
          <w:tcPr>
            <w:tcW w:w="3423" w:type="dxa"/>
            <w:gridSpan w:val="2"/>
            <w:vMerge w:val="restart"/>
            <w:tcMar>
              <w:left w:w="0" w:type="dxa"/>
              <w:right w:w="0" w:type="dxa"/>
            </w:tcMar>
            <w:vAlign w:val="top"/>
          </w:tcPr>
          <w:p>
            <w:pPr>
              <w:keepNext w:val="0"/>
              <w:keepLines w:val="0"/>
              <w:pageBreakBefore w:val="0"/>
              <w:kinsoku/>
              <w:overflowPunct/>
              <w:topLinePunct w:val="0"/>
              <w:autoSpaceDE/>
              <w:autoSpaceDN/>
              <w:bidi w:val="0"/>
              <w:spacing w:line="560" w:lineRule="exact"/>
              <w:ind w:left="0" w:leftChars="0" w:right="0" w:rightChars="0"/>
              <w:jc w:val="left"/>
              <w:textAlignment w:val="auto"/>
              <w:rPr>
                <w:rFonts w:hint="default" w:ascii="Times New Roman" w:hAnsi="Times New Roman" w:eastAsia="宋体" w:cs="Times New Roman"/>
                <w:color w:val="000000"/>
                <w:sz w:val="32"/>
                <w:szCs w:val="32"/>
              </w:rPr>
            </w:pPr>
          </w:p>
        </w:tc>
        <w:tc>
          <w:tcPr>
            <w:tcW w:w="1506" w:type="dxa"/>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521" w:type="dxa"/>
            <w:gridSpan w:val="3"/>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308" w:type="dxa"/>
            <w:vAlign w:val="top"/>
          </w:tcPr>
          <w:p>
            <w:pPr>
              <w:keepNext w:val="0"/>
              <w:keepLines w:val="0"/>
              <w:pageBreakBefore w:val="0"/>
              <w:kinsoku/>
              <w:overflowPunct/>
              <w:topLinePunct w:val="0"/>
              <w:autoSpaceDE/>
              <w:autoSpaceDN/>
              <w:bidi w:val="0"/>
              <w:spacing w:line="560" w:lineRule="exact"/>
              <w:ind w:left="0" w:leftChars="0" w:right="0" w:rightChars="0"/>
              <w:jc w:val="right"/>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18"/>
                <w:szCs w:val="18"/>
              </w:rPr>
              <w:t>表    号：</w:t>
            </w:r>
          </w:p>
        </w:tc>
        <w:tc>
          <w:tcPr>
            <w:tcW w:w="2078" w:type="dxa"/>
            <w:vAlign w:val="center"/>
          </w:tcPr>
          <w:p>
            <w:pPr>
              <w:keepNext w:val="0"/>
              <w:keepLines w:val="0"/>
              <w:pageBreakBefore w:val="0"/>
              <w:kinsoku/>
              <w:overflowPunct/>
              <w:topLinePunct w:val="0"/>
              <w:autoSpaceDE/>
              <w:autoSpaceDN/>
              <w:bidi w:val="0"/>
              <w:spacing w:line="560" w:lineRule="exact"/>
              <w:ind w:left="0" w:leftChars="0" w:right="0" w:rightChars="0"/>
              <w:jc w:val="distribute"/>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６９３表</w:t>
            </w:r>
          </w:p>
        </w:tc>
      </w:tr>
      <w:tr>
        <w:tblPrEx>
          <w:tblLayout w:type="fixed"/>
          <w:tblCellMar>
            <w:top w:w="0" w:type="dxa"/>
            <w:left w:w="108" w:type="dxa"/>
            <w:bottom w:w="0" w:type="dxa"/>
            <w:right w:w="108" w:type="dxa"/>
          </w:tblCellMar>
        </w:tblPrEx>
        <w:trPr>
          <w:jc w:val="center"/>
        </w:trPr>
        <w:tc>
          <w:tcPr>
            <w:tcW w:w="3423" w:type="dxa"/>
            <w:gridSpan w:val="2"/>
            <w:vMerge w:val="continue"/>
            <w:tcMar>
              <w:left w:w="0" w:type="dxa"/>
              <w:right w:w="0" w:type="dxa"/>
            </w:tcMar>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506" w:type="dxa"/>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521" w:type="dxa"/>
            <w:gridSpan w:val="3"/>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308" w:type="dxa"/>
            <w:vAlign w:val="top"/>
          </w:tcPr>
          <w:p>
            <w:pPr>
              <w:keepNext w:val="0"/>
              <w:keepLines w:val="0"/>
              <w:pageBreakBefore w:val="0"/>
              <w:kinsoku/>
              <w:overflowPunct/>
              <w:topLinePunct w:val="0"/>
              <w:autoSpaceDE/>
              <w:autoSpaceDN/>
              <w:bidi w:val="0"/>
              <w:spacing w:line="560" w:lineRule="exact"/>
              <w:ind w:left="0" w:leftChars="0" w:right="0" w:rightChars="0"/>
              <w:jc w:val="right"/>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18"/>
                <w:szCs w:val="18"/>
              </w:rPr>
              <w:t>制定机关：</w:t>
            </w:r>
          </w:p>
        </w:tc>
        <w:tc>
          <w:tcPr>
            <w:tcW w:w="2078" w:type="dxa"/>
            <w:vAlign w:val="center"/>
          </w:tcPr>
          <w:p>
            <w:pPr>
              <w:keepNext w:val="0"/>
              <w:keepLines w:val="0"/>
              <w:pageBreakBefore w:val="0"/>
              <w:kinsoku/>
              <w:overflowPunct/>
              <w:topLinePunct w:val="0"/>
              <w:autoSpaceDE/>
              <w:autoSpaceDN/>
              <w:bidi w:val="0"/>
              <w:spacing w:line="560" w:lineRule="exact"/>
              <w:ind w:left="0" w:leftChars="0" w:right="0" w:rightChars="0"/>
              <w:jc w:val="distribute"/>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国家统计局</w:t>
            </w:r>
          </w:p>
          <w:p>
            <w:pPr>
              <w:keepNext w:val="0"/>
              <w:keepLines w:val="0"/>
              <w:pageBreakBefore w:val="0"/>
              <w:kinsoku/>
              <w:overflowPunct/>
              <w:topLinePunct w:val="0"/>
              <w:autoSpaceDE/>
              <w:autoSpaceDN/>
              <w:bidi w:val="0"/>
              <w:spacing w:line="560" w:lineRule="exact"/>
              <w:ind w:left="0" w:leftChars="0" w:right="0" w:rightChars="0"/>
              <w:jc w:val="distribute"/>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18"/>
                <w:szCs w:val="18"/>
              </w:rPr>
              <w:t>国务院经济普查办公室</w:t>
            </w:r>
          </w:p>
        </w:tc>
      </w:tr>
      <w:tr>
        <w:tblPrEx>
          <w:tblLayout w:type="fixed"/>
          <w:tblCellMar>
            <w:top w:w="0" w:type="dxa"/>
            <w:left w:w="108" w:type="dxa"/>
            <w:bottom w:w="0" w:type="dxa"/>
            <w:right w:w="108" w:type="dxa"/>
          </w:tblCellMar>
        </w:tblPrEx>
        <w:trPr>
          <w:jc w:val="center"/>
        </w:trPr>
        <w:tc>
          <w:tcPr>
            <w:tcW w:w="3423" w:type="dxa"/>
            <w:gridSpan w:val="2"/>
            <w:vMerge w:val="continue"/>
            <w:tcMar>
              <w:left w:w="0" w:type="dxa"/>
              <w:right w:w="0" w:type="dxa"/>
            </w:tcMar>
            <w:vAlign w:val="top"/>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32"/>
                <w:szCs w:val="32"/>
              </w:rPr>
            </w:pPr>
          </w:p>
        </w:tc>
        <w:tc>
          <w:tcPr>
            <w:tcW w:w="1506" w:type="dxa"/>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521" w:type="dxa"/>
            <w:gridSpan w:val="3"/>
            <w:vAlign w:val="top"/>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32"/>
                <w:szCs w:val="32"/>
              </w:rPr>
            </w:pPr>
          </w:p>
        </w:tc>
        <w:tc>
          <w:tcPr>
            <w:tcW w:w="1308" w:type="dxa"/>
            <w:vAlign w:val="top"/>
          </w:tcPr>
          <w:p>
            <w:pPr>
              <w:keepNext w:val="0"/>
              <w:keepLines w:val="0"/>
              <w:pageBreakBefore w:val="0"/>
              <w:kinsoku/>
              <w:overflowPunct/>
              <w:topLinePunct w:val="0"/>
              <w:autoSpaceDE/>
              <w:autoSpaceDN/>
              <w:bidi w:val="0"/>
              <w:spacing w:line="560" w:lineRule="exact"/>
              <w:ind w:left="0" w:leftChars="0" w:right="0" w:rightChars="0"/>
              <w:jc w:val="right"/>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18"/>
                <w:szCs w:val="18"/>
              </w:rPr>
              <w:t>文    号：</w:t>
            </w:r>
          </w:p>
        </w:tc>
        <w:tc>
          <w:tcPr>
            <w:tcW w:w="2078" w:type="dxa"/>
            <w:vAlign w:val="center"/>
          </w:tcPr>
          <w:p>
            <w:pPr>
              <w:keepNext w:val="0"/>
              <w:keepLines w:val="0"/>
              <w:pageBreakBefore w:val="0"/>
              <w:kinsoku/>
              <w:overflowPunct/>
              <w:topLinePunct w:val="0"/>
              <w:autoSpaceDE/>
              <w:autoSpaceDN/>
              <w:bidi w:val="0"/>
              <w:spacing w:line="560" w:lineRule="exact"/>
              <w:ind w:left="0" w:leftChars="0" w:right="0" w:rightChars="0"/>
              <w:jc w:val="distribute"/>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国统字(2018)225号</w:t>
            </w:r>
          </w:p>
        </w:tc>
      </w:tr>
      <w:tr>
        <w:tblPrEx>
          <w:tblLayout w:type="fixed"/>
          <w:tblCellMar>
            <w:top w:w="0" w:type="dxa"/>
            <w:left w:w="108" w:type="dxa"/>
            <w:bottom w:w="0" w:type="dxa"/>
            <w:right w:w="108" w:type="dxa"/>
          </w:tblCellMar>
        </w:tblPrEx>
        <w:trPr>
          <w:jc w:val="center"/>
        </w:trPr>
        <w:tc>
          <w:tcPr>
            <w:tcW w:w="3423" w:type="dxa"/>
            <w:gridSpan w:val="2"/>
            <w:vMerge w:val="continue"/>
            <w:tcBorders>
              <w:bottom w:val="double" w:color="auto" w:sz="4" w:space="0"/>
            </w:tcBorders>
            <w:tcMar>
              <w:left w:w="0" w:type="dxa"/>
              <w:right w:w="0" w:type="dxa"/>
            </w:tcMar>
            <w:vAlign w:val="top"/>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32"/>
                <w:szCs w:val="32"/>
              </w:rPr>
            </w:pPr>
          </w:p>
        </w:tc>
        <w:tc>
          <w:tcPr>
            <w:tcW w:w="3027" w:type="dxa"/>
            <w:gridSpan w:val="4"/>
            <w:tcBorders>
              <w:bottom w:val="doub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２０１８年</w:t>
            </w:r>
          </w:p>
        </w:tc>
        <w:tc>
          <w:tcPr>
            <w:tcW w:w="1308" w:type="dxa"/>
            <w:tcBorders>
              <w:bottom w:val="double" w:color="auto" w:sz="4" w:space="0"/>
            </w:tcBorders>
            <w:vAlign w:val="top"/>
          </w:tcPr>
          <w:p>
            <w:pPr>
              <w:keepNext w:val="0"/>
              <w:keepLines w:val="0"/>
              <w:pageBreakBefore w:val="0"/>
              <w:kinsoku/>
              <w:overflowPunct/>
              <w:topLinePunct w:val="0"/>
              <w:autoSpaceDE/>
              <w:autoSpaceDN/>
              <w:bidi w:val="0"/>
              <w:spacing w:line="560" w:lineRule="exact"/>
              <w:ind w:left="0" w:leftChars="0" w:right="0" w:rightChars="0"/>
              <w:jc w:val="right"/>
              <w:textAlignment w:val="auto"/>
              <w:rPr>
                <w:rFonts w:hint="default" w:ascii="Times New Roman" w:hAnsi="Times New Roman" w:eastAsia="宋体" w:cs="Times New Roman"/>
                <w:color w:val="000000"/>
                <w:sz w:val="32"/>
                <w:szCs w:val="32"/>
              </w:rPr>
            </w:pPr>
            <w:r>
              <w:rPr>
                <w:rFonts w:hint="default" w:ascii="Times New Roman" w:hAnsi="Times New Roman" w:eastAsia="宋体" w:cs="Times New Roman"/>
                <w:color w:val="000000"/>
                <w:sz w:val="18"/>
                <w:szCs w:val="18"/>
              </w:rPr>
              <w:t>有效期至：</w:t>
            </w:r>
          </w:p>
        </w:tc>
        <w:tc>
          <w:tcPr>
            <w:tcW w:w="2078" w:type="dxa"/>
            <w:tcBorders>
              <w:bottom w:val="doub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jc w:val="distribute"/>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２０１９年７月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130" w:hRule="atLeast"/>
          <w:jc w:val="center"/>
        </w:trPr>
        <w:tc>
          <w:tcPr>
            <w:tcW w:w="520" w:type="dxa"/>
            <w:tcBorders>
              <w:top w:val="double" w:color="auto" w:sz="4"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109</w:t>
            </w:r>
          </w:p>
        </w:tc>
        <w:tc>
          <w:tcPr>
            <w:tcW w:w="5167" w:type="dxa"/>
            <w:gridSpan w:val="3"/>
            <w:tcBorders>
              <w:top w:val="double" w:color="auto" w:sz="4" w:space="0"/>
              <w:left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统一社会信用代码□□□□□□□□□□□□□□□□□□</w:t>
            </w:r>
          </w:p>
          <w:p>
            <w:pPr>
              <w:keepNext w:val="0"/>
              <w:keepLines w:val="0"/>
              <w:pageBreakBefore w:val="0"/>
              <w:shd w:val="clear" w:color="auto" w:fill="FFFFFF"/>
              <w:kinsoku/>
              <w:overflowPunct/>
              <w:topLinePunct w:val="0"/>
              <w:autoSpaceDE/>
              <w:autoSpaceDN/>
              <w:bidi w:val="0"/>
              <w:spacing w:line="560" w:lineRule="exact"/>
              <w:ind w:left="0" w:leftChars="0" w:right="0" w:rightChars="0"/>
              <w:textAlignment w:val="auto"/>
              <w:rPr>
                <w:rFonts w:hint="default" w:ascii="Times New Roman" w:hAnsi="Times New Roman" w:eastAsia="华文楷体" w:cs="Times New Roman"/>
                <w:color w:val="000000"/>
                <w:sz w:val="18"/>
                <w:szCs w:val="18"/>
              </w:rPr>
            </w:pPr>
            <w:r>
              <w:rPr>
                <w:rFonts w:hint="default" w:ascii="Times New Roman" w:hAnsi="Times New Roman" w:eastAsia="华文楷体" w:cs="Times New Roman"/>
                <w:color w:val="000000"/>
                <w:sz w:val="18"/>
                <w:szCs w:val="18"/>
              </w:rPr>
              <w:t>尚未领取统一社会信用代码的填写原组织机构代码：</w:t>
            </w:r>
          </w:p>
          <w:p>
            <w:pPr>
              <w:keepNext w:val="0"/>
              <w:keepLines w:val="0"/>
              <w:pageBreakBefore w:val="0"/>
              <w:shd w:val="clear" w:color="auto" w:fill="FFFFFF"/>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w:t>
            </w:r>
          </w:p>
        </w:tc>
        <w:tc>
          <w:tcPr>
            <w:tcW w:w="546" w:type="dxa"/>
            <w:tcBorders>
              <w:top w:val="double" w:color="auto" w:sz="4" w:space="0"/>
              <w:left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102</w:t>
            </w:r>
          </w:p>
        </w:tc>
        <w:tc>
          <w:tcPr>
            <w:tcW w:w="3603" w:type="dxa"/>
            <w:gridSpan w:val="3"/>
            <w:tcBorders>
              <w:top w:val="double" w:color="auto" w:sz="4" w:space="0"/>
              <w:lef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单位详细名称</w:t>
            </w:r>
            <w:r>
              <w:rPr>
                <w:rFonts w:hint="default" w:ascii="Times New Roman" w:hAnsi="Times New Roman" w:eastAsia="宋体" w:cs="Times New Roman"/>
                <w:color w:val="000000"/>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30" w:hRule="atLeast"/>
          <w:jc w:val="center"/>
        </w:trPr>
        <w:tc>
          <w:tcPr>
            <w:tcW w:w="520" w:type="dxa"/>
            <w:vMerge w:val="restart"/>
            <w:tcBorders>
              <w:top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105</w:t>
            </w:r>
          </w:p>
        </w:tc>
        <w:tc>
          <w:tcPr>
            <w:tcW w:w="9316" w:type="dxa"/>
            <w:gridSpan w:val="7"/>
            <w:tcBorders>
              <w:top w:val="single" w:color="auto" w:sz="2" w:space="0"/>
              <w:left w:val="single" w:color="auto" w:sz="2" w:space="0"/>
              <w:bottom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单位所在地及区划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省(自治区、直辖市)</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市(地、州、盟)</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县(市、区、旗)</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乡(镇)</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街(村)、门牌号</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单位位于：</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街道办事处</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社区(居委会)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54" w:hRule="atLeast"/>
          <w:jc w:val="center"/>
        </w:trPr>
        <w:tc>
          <w:tcPr>
            <w:tcW w:w="520" w:type="dxa"/>
            <w:vMerge w:val="continue"/>
            <w:tcBorders>
              <w:bottom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p>
        </w:tc>
        <w:tc>
          <w:tcPr>
            <w:tcW w:w="9316" w:type="dxa"/>
            <w:gridSpan w:val="7"/>
            <w:tcBorders>
              <w:top w:val="single" w:color="auto" w:sz="2" w:space="0"/>
              <w:left w:val="single" w:color="auto" w:sz="2" w:space="0"/>
              <w:bottom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普查小区名称：</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普查小区代码  □□□□□□□□□□□□—□□□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01" w:hRule="atLeast"/>
          <w:jc w:val="center"/>
        </w:trPr>
        <w:tc>
          <w:tcPr>
            <w:tcW w:w="520" w:type="dxa"/>
            <w:vMerge w:val="restart"/>
            <w:tcBorders>
              <w:top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106</w:t>
            </w:r>
          </w:p>
        </w:tc>
        <w:tc>
          <w:tcPr>
            <w:tcW w:w="9316" w:type="dxa"/>
            <w:gridSpan w:val="7"/>
            <w:tcBorders>
              <w:top w:val="single" w:color="auto" w:sz="2" w:space="0"/>
              <w:left w:val="single" w:color="auto" w:sz="2" w:space="0"/>
              <w:bottom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单位注册地及区划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省(自治区、直辖市)</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市(地、州、盟)</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县(市、区、旗)</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乡(镇)</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街(村)、门牌号</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注册地位于：</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街道办事处</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社区(居委会)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583" w:hRule="atLeast"/>
          <w:jc w:val="center"/>
        </w:trPr>
        <w:tc>
          <w:tcPr>
            <w:tcW w:w="520" w:type="dxa"/>
            <w:vMerge w:val="continue"/>
            <w:tcBorders>
              <w:bottom w:val="single" w:color="auto" w:sz="2" w:space="0"/>
              <w:right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p>
        </w:tc>
        <w:tc>
          <w:tcPr>
            <w:tcW w:w="9316" w:type="dxa"/>
            <w:gridSpan w:val="7"/>
            <w:tcBorders>
              <w:top w:val="single" w:color="auto" w:sz="2" w:space="0"/>
              <w:left w:val="single" w:color="auto" w:sz="2" w:space="0"/>
              <w:bottom w:val="single" w:color="auto" w:sz="2" w:space="0"/>
            </w:tcBorders>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普查小区名称（限建筑业企业）：</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普查小区代码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9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单位存续状态（限原填报普查表单位填报）  □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1 实际不存在  2 不属于普查对象  3 存在且能正常填表  4 2019年1月1日后关闭（破产）、注（吊）销  5 已迁出  6 不配合未能填表  7 其他______（说明情况）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2</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新增原因（限数据检查时新发现单位填报） □   1漏登   2新迁入   3新开业    4其他______（说明情况）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520" w:type="dxa"/>
            <w:tcBorders>
              <w:top w:val="single" w:color="auto" w:sz="2" w:space="0"/>
              <w:bottom w:val="double" w:color="auto" w:sz="4"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3</w:t>
            </w:r>
          </w:p>
        </w:tc>
        <w:tc>
          <w:tcPr>
            <w:tcW w:w="9316" w:type="dxa"/>
            <w:gridSpan w:val="7"/>
            <w:tcBorders>
              <w:top w:val="single" w:color="auto" w:sz="2" w:space="0"/>
              <w:left w:val="single" w:color="auto" w:sz="2" w:space="0"/>
              <w:bottom w:val="double" w:color="auto" w:sz="4"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单位类型  □   1 法人单位         2 产业活动单位        3 个体经营户     4其他______（说明情况）</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40" w:hRule="atLeast"/>
          <w:jc w:val="center"/>
        </w:trPr>
        <w:tc>
          <w:tcPr>
            <w:tcW w:w="9836" w:type="dxa"/>
            <w:gridSpan w:val="8"/>
            <w:tcBorders>
              <w:top w:val="double" w:color="auto" w:sz="4" w:space="0"/>
              <w:bottom w:val="single" w:color="auto" w:sz="2" w:space="0"/>
            </w:tcBorders>
            <w:shd w:val="clear" w:color="auto" w:fill="D0CECE"/>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color w:val="000000"/>
                <w:sz w:val="18"/>
                <w:szCs w:val="18"/>
              </w:rPr>
            </w:pPr>
            <w:r>
              <w:rPr>
                <w:rFonts w:hint="default" w:ascii="Times New Roman" w:hAnsi="Times New Roman" w:eastAsia="黑体" w:cs="Times New Roman"/>
                <w:color w:val="000000"/>
                <w:sz w:val="18"/>
                <w:szCs w:val="18"/>
              </w:rPr>
              <w:t>主要经济指标</w:t>
            </w:r>
            <w:r>
              <w:rPr>
                <w:rFonts w:hint="default" w:ascii="Times New Roman" w:hAnsi="Times New Roman" w:eastAsia="宋体" w:cs="Times New Roman"/>
                <w:color w:val="000000"/>
                <w:sz w:val="18"/>
                <w:szCs w:val="18"/>
              </w:rPr>
              <w:t>（限原填报普查表单位填报）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4</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从业人员    从业人员期末人数</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人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9836" w:type="dxa"/>
            <w:gridSpan w:val="8"/>
            <w:tcBorders>
              <w:top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left"/>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A限法人单位填报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5</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资产总计</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6</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一套表法人单位及填报非一套表企业法人主要经济指标的法人单位填报   营业收入  </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7</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填报行政事业单位主要经济指标的法人单位填报    本年支出合计  </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8</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填报民间非营利组织主要经济指标的法人单位填报  本年费用合计  </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9836" w:type="dxa"/>
            <w:gridSpan w:val="8"/>
            <w:tcBorders>
              <w:top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left"/>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B限产业活动单位填报</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single" w:color="auto" w:sz="2"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9</w:t>
            </w:r>
          </w:p>
        </w:tc>
        <w:tc>
          <w:tcPr>
            <w:tcW w:w="9316" w:type="dxa"/>
            <w:gridSpan w:val="7"/>
            <w:tcBorders>
              <w:top w:val="single" w:color="auto" w:sz="2" w:space="0"/>
              <w:left w:val="single" w:color="auto" w:sz="2" w:space="0"/>
              <w:bottom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 xml:space="preserve">经营性单位填报  经营性单位收入  </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元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520" w:type="dxa"/>
            <w:tcBorders>
              <w:top w:val="single" w:color="auto" w:sz="2" w:space="0"/>
              <w:bottom w:val="double" w:color="auto" w:sz="4" w:space="0"/>
              <w:right w:val="single" w:color="auto" w:sz="2"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jc w:val="center"/>
              <w:textAlignment w:val="auto"/>
              <w:rPr>
                <w:rFonts w:hint="default" w:ascii="Times New Roman" w:hAnsi="Times New Roman" w:eastAsia="宋体" w:cs="Times New Roman"/>
                <w:b/>
                <w:bCs/>
                <w:color w:val="000000"/>
                <w:sz w:val="18"/>
                <w:szCs w:val="18"/>
              </w:rPr>
            </w:pPr>
            <w:r>
              <w:rPr>
                <w:rFonts w:hint="default" w:ascii="Times New Roman" w:hAnsi="Times New Roman" w:eastAsia="宋体" w:cs="Times New Roman"/>
                <w:b/>
                <w:bCs/>
                <w:color w:val="000000"/>
                <w:sz w:val="18"/>
                <w:szCs w:val="18"/>
              </w:rPr>
              <w:t>10</w:t>
            </w:r>
          </w:p>
        </w:tc>
        <w:tc>
          <w:tcPr>
            <w:tcW w:w="9316" w:type="dxa"/>
            <w:gridSpan w:val="7"/>
            <w:tcBorders>
              <w:top w:val="single" w:color="auto" w:sz="2" w:space="0"/>
              <w:left w:val="single" w:color="auto" w:sz="2" w:space="0"/>
              <w:bottom w:val="double" w:color="auto" w:sz="4" w:space="0"/>
            </w:tcBorders>
            <w:shd w:val="clear" w:color="auto" w:fill="FFFFFF"/>
            <w:vAlign w:val="center"/>
          </w:tcPr>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非经营性单位填报  非经营性单位支出（费用）</w:t>
            </w:r>
            <w:r>
              <w:rPr>
                <w:rFonts w:hint="default" w:ascii="Times New Roman" w:hAnsi="Times New Roman" w:eastAsia="宋体" w:cs="Times New Roman"/>
                <w:color w:val="000000"/>
                <w:sz w:val="18"/>
                <w:szCs w:val="18"/>
                <w:u w:val="single"/>
              </w:rPr>
              <w:t xml:space="preserve">               </w:t>
            </w:r>
            <w:r>
              <w:rPr>
                <w:rFonts w:hint="default" w:ascii="Times New Roman" w:hAnsi="Times New Roman" w:eastAsia="宋体" w:cs="Times New Roman"/>
                <w:color w:val="000000"/>
                <w:sz w:val="18"/>
                <w:szCs w:val="18"/>
              </w:rPr>
              <w:t xml:space="preserve">元  </w:t>
            </w:r>
          </w:p>
        </w:tc>
      </w:tr>
    </w:tbl>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单位负责人：           统计负责人：            填表人：     联系电话：     报出日期：</w:t>
      </w:r>
      <w:r>
        <w:rPr>
          <w:rFonts w:hint="eastAsia" w:ascii="Times New Roman" w:hAnsi="Times New Roman" w:cs="Times New Roman"/>
          <w:color w:val="000000"/>
          <w:sz w:val="18"/>
          <w:szCs w:val="18"/>
          <w:lang w:val="en-US" w:eastAsia="zh-CN"/>
        </w:rPr>
        <w:t xml:space="preserve">   </w:t>
      </w:r>
      <w:r>
        <w:rPr>
          <w:rFonts w:hint="eastAsia" w:ascii="Times New Roman" w:hAnsi="Times New Roman" w:cs="Times New Roman"/>
          <w:color w:val="000000"/>
          <w:sz w:val="18"/>
          <w:szCs w:val="18"/>
          <w:lang w:eastAsia="zh-CN"/>
        </w:rPr>
        <w:t>年</w:t>
      </w:r>
      <w:r>
        <w:rPr>
          <w:rFonts w:hint="default" w:ascii="Times New Roman" w:hAnsi="Times New Roman" w:eastAsia="宋体" w:cs="Times New Roman"/>
          <w:color w:val="000000"/>
          <w:sz w:val="18"/>
          <w:szCs w:val="18"/>
        </w:rPr>
        <w:t xml:space="preserve">  月    日  </w:t>
      </w:r>
    </w:p>
    <w:p>
      <w:pPr>
        <w:keepNext w:val="0"/>
        <w:keepLines w:val="0"/>
        <w:pageBreakBefore w:val="0"/>
        <w:kinsoku/>
        <w:overflowPunct/>
        <w:topLinePunct w:val="0"/>
        <w:autoSpaceDE/>
        <w:autoSpaceDN/>
        <w:bidi w:val="0"/>
        <w:spacing w:line="560" w:lineRule="exact"/>
        <w:ind w:left="0" w:leftChars="0" w:right="0" w:rightChars="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说明：1.存在单位是指在普查登记和数据检查时均找到的普查对象。</w:t>
      </w:r>
    </w:p>
    <w:p>
      <w:pPr>
        <w:keepNext w:val="0"/>
        <w:keepLines w:val="0"/>
        <w:pageBreakBefore w:val="0"/>
        <w:kinsoku/>
        <w:overflowPunct/>
        <w:topLinePunct w:val="0"/>
        <w:autoSpaceDE/>
        <w:autoSpaceDN/>
        <w:bidi w:val="0"/>
        <w:spacing w:line="560" w:lineRule="exact"/>
        <w:ind w:right="0" w:rightChars="0" w:firstLine="540" w:firstLineChars="30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2.已迁出单位是普查登记时存在，且数据检查时已迁出的普查对象。</w:t>
      </w:r>
    </w:p>
    <w:p>
      <w:pPr>
        <w:keepNext w:val="0"/>
        <w:keepLines w:val="0"/>
        <w:pageBreakBefore w:val="0"/>
        <w:kinsoku/>
        <w:overflowPunct/>
        <w:topLinePunct w:val="0"/>
        <w:autoSpaceDE/>
        <w:autoSpaceDN/>
        <w:bidi w:val="0"/>
        <w:spacing w:line="560" w:lineRule="exact"/>
        <w:ind w:right="0" w:rightChars="0" w:firstLine="540" w:firstLineChars="30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3.新迁入单位是指该小区普查登记后新迁入的普查对象。</w:t>
      </w:r>
    </w:p>
    <w:p>
      <w:pPr>
        <w:keepNext w:val="0"/>
        <w:keepLines w:val="0"/>
        <w:pageBreakBefore w:val="0"/>
        <w:kinsoku/>
        <w:overflowPunct/>
        <w:topLinePunct w:val="0"/>
        <w:autoSpaceDE/>
        <w:autoSpaceDN/>
        <w:bidi w:val="0"/>
        <w:spacing w:line="560" w:lineRule="exact"/>
        <w:ind w:left="0" w:leftChars="0" w:right="0" w:rightChars="0" w:firstLine="540" w:firstLineChars="300"/>
        <w:textAlignment w:val="auto"/>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rPr>
        <w:t>4.新开业单位指该小区普查登记后新成立的普查对象。</w:t>
      </w:r>
    </w:p>
    <w:p>
      <w:pPr>
        <w:keepNext w:val="0"/>
        <w:keepLines w:val="0"/>
        <w:pageBreakBefore w:val="0"/>
        <w:kinsoku/>
        <w:overflowPunct/>
        <w:topLinePunct w:val="0"/>
        <w:autoSpaceDE/>
        <w:autoSpaceDN/>
        <w:bidi w:val="0"/>
        <w:spacing w:line="560" w:lineRule="exact"/>
      </w:pPr>
      <w:bookmarkStart w:id="0" w:name="_GoBack"/>
      <w:bookmarkEnd w:id="0"/>
    </w:p>
    <w:sectPr>
      <w:footerReference r:id="rId4" w:type="first"/>
      <w:footerReference r:id="rId3" w:type="default"/>
      <w:pgSz w:w="11906" w:h="16838"/>
      <w:pgMar w:top="2098" w:right="1474" w:bottom="1984" w:left="1587" w:header="851" w:footer="992" w:gutter="0"/>
      <w:pgNumType w:fmt="numberInDash" w:start="6"/>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- 6 -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- 6 -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374C6"/>
    <w:rsid w:val="0F132CA0"/>
    <w:rsid w:val="12894EB9"/>
    <w:rsid w:val="13267152"/>
    <w:rsid w:val="13E90080"/>
    <w:rsid w:val="162B1A18"/>
    <w:rsid w:val="16584686"/>
    <w:rsid w:val="189B4C69"/>
    <w:rsid w:val="18CD0379"/>
    <w:rsid w:val="1AEA4308"/>
    <w:rsid w:val="1E9702A6"/>
    <w:rsid w:val="21A34611"/>
    <w:rsid w:val="22FE0911"/>
    <w:rsid w:val="27C163C0"/>
    <w:rsid w:val="29550241"/>
    <w:rsid w:val="32830DAD"/>
    <w:rsid w:val="33C65B01"/>
    <w:rsid w:val="35434B66"/>
    <w:rsid w:val="38FB5CF1"/>
    <w:rsid w:val="404A6B84"/>
    <w:rsid w:val="40BB198D"/>
    <w:rsid w:val="42751168"/>
    <w:rsid w:val="43632774"/>
    <w:rsid w:val="436B0C76"/>
    <w:rsid w:val="44774F5C"/>
    <w:rsid w:val="49876F59"/>
    <w:rsid w:val="4E1374C6"/>
    <w:rsid w:val="4E5937BF"/>
    <w:rsid w:val="4FA31288"/>
    <w:rsid w:val="51FD05EA"/>
    <w:rsid w:val="53A55DF8"/>
    <w:rsid w:val="542E5608"/>
    <w:rsid w:val="547A1316"/>
    <w:rsid w:val="550F6356"/>
    <w:rsid w:val="55C54B8C"/>
    <w:rsid w:val="573B5294"/>
    <w:rsid w:val="5945601A"/>
    <w:rsid w:val="5D271E43"/>
    <w:rsid w:val="6A7831F9"/>
    <w:rsid w:val="6A9F26C5"/>
    <w:rsid w:val="6D380862"/>
    <w:rsid w:val="74AA29DA"/>
    <w:rsid w:val="7799355A"/>
    <w:rsid w:val="79A04749"/>
    <w:rsid w:val="7B0F124E"/>
    <w:rsid w:val="7C27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2019-05-09T03:56:00Z</dcterms:created>
  <dc:creator>Dell</dc:creator>
  <cp:lastModifiedBy>沙坡头统计局收文员</cp:lastModifiedBy>
  <cp:lastPrinted>2019-05-10T06:44:00Z</cp:lastPrinted>
  <dcterms:modified xsi:type="dcterms:W3CDTF">2019-05-23T10:10:44Z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