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spacing w:before="101" w:line="421" w:lineRule="exact"/>
        <w:rPr>
          <w:rFonts w:hint="default" w:ascii="Times New Roman" w:hAnsi="Times New Roman" w:eastAsia="黑体" w:cs="Nimbus Roman No9 L"/>
          <w:sz w:val="31"/>
          <w:szCs w:val="31"/>
        </w:rPr>
      </w:pPr>
      <w:r>
        <w:rPr>
          <w:rFonts w:hint="default" w:ascii="Times New Roman" w:hAnsi="Times New Roman" w:eastAsia="黑体" w:cs="Nimbus Roman No9 L"/>
          <w:spacing w:val="-1"/>
          <w:position w:val="1"/>
          <w:sz w:val="31"/>
          <w:szCs w:val="31"/>
        </w:rPr>
        <w:t>附件4</w:t>
      </w:r>
    </w:p>
    <w:p>
      <w:pPr>
        <w:pStyle w:val="2"/>
        <w:spacing w:before="133" w:line="215" w:lineRule="auto"/>
        <w:ind w:left="5144"/>
        <w:outlineLvl w:val="0"/>
        <w:rPr>
          <w:rFonts w:hint="default" w:ascii="Times New Roman" w:hAnsi="Times New Roman" w:eastAsia="方正小标宋简体" w:cs="Nimbus Roman No9 L"/>
          <w:sz w:val="43"/>
          <w:szCs w:val="43"/>
        </w:rPr>
      </w:pPr>
      <w:bookmarkStart w:id="0" w:name="_GoBack"/>
      <w:r>
        <w:rPr>
          <w:rFonts w:hint="default" w:ascii="Times New Roman" w:hAnsi="Times New Roman" w:eastAsia="方正小标宋简体" w:cs="Nimbus Roman No9 L"/>
          <w:spacing w:val="8"/>
          <w:sz w:val="43"/>
          <w:szCs w:val="43"/>
          <w:lang w:eastAsia="zh-CN"/>
        </w:rPr>
        <w:t>全区</w:t>
      </w:r>
      <w:r>
        <w:rPr>
          <w:rFonts w:hint="default" w:ascii="Times New Roman" w:hAnsi="Times New Roman" w:eastAsia="方正小标宋简体" w:cs="Nimbus Roman No9 L"/>
          <w:spacing w:val="8"/>
          <w:sz w:val="43"/>
          <w:szCs w:val="43"/>
        </w:rPr>
        <w:t>交叉抽查检查安排表</w:t>
      </w:r>
    </w:p>
    <w:bookmarkEnd w:id="0"/>
    <w:p>
      <w:pPr>
        <w:spacing w:line="227" w:lineRule="exact"/>
        <w:rPr>
          <w:rFonts w:hint="default" w:ascii="Times New Roman" w:hAnsi="Times New Roman" w:eastAsia="仿宋_GB2312" w:cs="Nimbus Roman No9 L"/>
        </w:rPr>
      </w:pPr>
    </w:p>
    <w:tbl>
      <w:tblPr>
        <w:tblStyle w:val="7"/>
        <w:tblW w:w="14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179"/>
        <w:gridCol w:w="4806"/>
        <w:gridCol w:w="25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58" w:type="dxa"/>
            <w:noWrap w:val="0"/>
            <w:vAlign w:val="top"/>
          </w:tcPr>
          <w:p>
            <w:pPr>
              <w:spacing w:before="82" w:line="369" w:lineRule="exact"/>
              <w:ind w:left="20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position w:val="1"/>
                <w:sz w:val="28"/>
                <w:szCs w:val="28"/>
              </w:rPr>
              <w:t>序号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82" w:line="368" w:lineRule="exact"/>
              <w:ind w:left="270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position w:val="1"/>
                <w:sz w:val="28"/>
                <w:szCs w:val="28"/>
              </w:rPr>
              <w:t>检查单位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82" w:line="368" w:lineRule="exact"/>
              <w:ind w:left="172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position w:val="1"/>
                <w:sz w:val="28"/>
                <w:szCs w:val="28"/>
              </w:rPr>
              <w:t>被检查单位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spacing w:before="82" w:line="242" w:lineRule="auto"/>
              <w:ind w:left="94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59" w:line="172" w:lineRule="auto"/>
              <w:ind w:left="415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1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36" w:line="203" w:lineRule="auto"/>
              <w:ind w:left="2216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0"/>
                <w:sz w:val="28"/>
                <w:szCs w:val="28"/>
              </w:rPr>
              <w:t>自治区市场监管厅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36" w:line="202" w:lineRule="auto"/>
              <w:ind w:left="38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6"/>
                <w:sz w:val="28"/>
                <w:szCs w:val="28"/>
              </w:rPr>
              <w:t>自治区住房和城乡建设厅、商务厅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360" w:lineRule="exact"/>
              <w:ind w:left="121" w:right="108" w:firstLine="560"/>
              <w:jc w:val="both"/>
              <w:textAlignment w:val="baseline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48"/>
                <w:sz w:val="28"/>
                <w:szCs w:val="28"/>
              </w:rPr>
              <w:t>检查单位可</w:t>
            </w:r>
            <w:r>
              <w:rPr>
                <w:rFonts w:hint="default" w:ascii="Times New Roman" w:hAnsi="Times New Roman" w:eastAsia="仿宋_GB2312" w:cs="Nimbus Roman No9 L"/>
                <w:spacing w:val="34"/>
                <w:sz w:val="28"/>
                <w:szCs w:val="28"/>
              </w:rPr>
              <w:t>现场抽查或登录被抽查单位政务</w:t>
            </w:r>
            <w:r>
              <w:rPr>
                <w:rFonts w:hint="default" w:ascii="Times New Roman" w:hAnsi="Times New Roman" w:eastAsia="仿宋_GB2312" w:cs="Nimbus Roman No9 L"/>
                <w:spacing w:val="-7"/>
                <w:sz w:val="28"/>
                <w:szCs w:val="28"/>
              </w:rPr>
              <w:t>网站，抽查至少5</w:t>
            </w:r>
            <w:r>
              <w:rPr>
                <w:rFonts w:hint="default" w:ascii="Times New Roman" w:hAnsi="Times New Roman" w:eastAsia="仿宋_GB2312" w:cs="Nimbus Roman No9 L"/>
                <w:spacing w:val="34"/>
                <w:sz w:val="28"/>
                <w:szCs w:val="28"/>
              </w:rPr>
              <w:t>份涉及市场主体经济活动的现行有效的政策性文</w:t>
            </w:r>
            <w:r>
              <w:rPr>
                <w:rFonts w:hint="default" w:ascii="Times New Roman" w:hAnsi="Times New Roman" w:eastAsia="仿宋_GB2312" w:cs="Nimbus Roman No9 L"/>
                <w:spacing w:val="-12"/>
                <w:sz w:val="28"/>
                <w:szCs w:val="28"/>
              </w:rPr>
              <w:t>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360" w:lineRule="exact"/>
              <w:ind w:left="120" w:right="108" w:firstLine="561"/>
              <w:jc w:val="both"/>
              <w:textAlignment w:val="baseline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48"/>
                <w:sz w:val="28"/>
                <w:szCs w:val="28"/>
              </w:rPr>
              <w:t>各级联席会</w:t>
            </w:r>
            <w:r>
              <w:rPr>
                <w:rFonts w:hint="default" w:ascii="Times New Roman" w:hAnsi="Times New Roman" w:eastAsia="仿宋_GB2312" w:cs="Nimbus Roman No9 L"/>
                <w:spacing w:val="35"/>
                <w:sz w:val="28"/>
                <w:szCs w:val="28"/>
              </w:rPr>
              <w:t>议办公室负责对本辖区重点部门</w:t>
            </w:r>
            <w:r>
              <w:rPr>
                <w:rFonts w:hint="default" w:ascii="Times New Roman" w:hAnsi="Times New Roman" w:eastAsia="仿宋_GB2312" w:cs="Nimbus Roman No9 L"/>
                <w:spacing w:val="-20"/>
                <w:w w:val="98"/>
                <w:sz w:val="28"/>
                <w:szCs w:val="28"/>
              </w:rPr>
              <w:t>及行业领域自查</w:t>
            </w:r>
            <w:r>
              <w:rPr>
                <w:rFonts w:hint="default" w:ascii="Times New Roman" w:hAnsi="Times New Roman" w:eastAsia="仿宋_GB2312" w:cs="Nimbus Roman No9 L"/>
                <w:spacing w:val="35"/>
                <w:sz w:val="28"/>
                <w:szCs w:val="28"/>
              </w:rPr>
              <w:t>清理情况进行抽</w:t>
            </w:r>
            <w:r>
              <w:rPr>
                <w:rFonts w:hint="default" w:ascii="Times New Roman" w:hAnsi="Times New Roman" w:eastAsia="仿宋_GB2312" w:cs="Nimbus Roman No9 L"/>
                <w:spacing w:val="-8"/>
                <w:sz w:val="28"/>
                <w:szCs w:val="28"/>
              </w:rPr>
              <w:t>查检查。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2" w:line="171" w:lineRule="auto"/>
              <w:ind w:left="415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2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39" w:line="203" w:lineRule="auto"/>
              <w:ind w:left="2216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0"/>
                <w:sz w:val="28"/>
                <w:szCs w:val="28"/>
              </w:rPr>
              <w:t>自治区发展改革委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38" w:line="203" w:lineRule="auto"/>
              <w:ind w:left="66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5"/>
                <w:sz w:val="28"/>
                <w:szCs w:val="28"/>
              </w:rPr>
              <w:t>自治区财政厅、文化和旅游厅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2" w:line="170" w:lineRule="auto"/>
              <w:ind w:left="412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3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39" w:line="203" w:lineRule="auto"/>
              <w:ind w:left="249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3"/>
                <w:sz w:val="28"/>
                <w:szCs w:val="28"/>
              </w:rPr>
              <w:t>自治区财政厅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0" w:line="203" w:lineRule="auto"/>
              <w:ind w:left="528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6"/>
                <w:sz w:val="28"/>
                <w:szCs w:val="28"/>
              </w:rPr>
              <w:t>自治区发展改革委、交通运输厅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5" w:line="171" w:lineRule="auto"/>
              <w:ind w:left="409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4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40" w:line="202" w:lineRule="auto"/>
              <w:ind w:left="249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3"/>
                <w:sz w:val="28"/>
                <w:szCs w:val="28"/>
              </w:rPr>
              <w:t>自治区商务厅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0" w:line="203" w:lineRule="auto"/>
              <w:ind w:left="528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6"/>
                <w:sz w:val="28"/>
                <w:szCs w:val="28"/>
              </w:rPr>
              <w:t>自治区生态环境厅、市场监管厅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9" w:line="168" w:lineRule="auto"/>
              <w:ind w:left="421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5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41" w:line="202" w:lineRule="auto"/>
              <w:ind w:left="75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sz w:val="28"/>
                <w:szCs w:val="28"/>
              </w:rPr>
              <w:t>银川市公平竞争审查工作联席会议办公室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0" w:line="203" w:lineRule="auto"/>
              <w:ind w:left="921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5"/>
                <w:sz w:val="28"/>
                <w:szCs w:val="28"/>
              </w:rPr>
              <w:t>固原市、泾源县人民政府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5" w:line="170" w:lineRule="auto"/>
              <w:ind w:left="416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6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40" w:line="202" w:lineRule="auto"/>
              <w:ind w:left="624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石嘴山市公平竞争审查工作联席会议办公室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0" w:line="203" w:lineRule="auto"/>
              <w:ind w:left="924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Nimbus Roman No9 L"/>
                <w:spacing w:val="-5"/>
                <w:sz w:val="28"/>
                <w:szCs w:val="28"/>
                <w:lang w:eastAsia="zh-CN"/>
              </w:rPr>
              <w:t>沙坡头区</w:t>
            </w:r>
            <w:r>
              <w:rPr>
                <w:rFonts w:hint="default" w:ascii="Times New Roman" w:hAnsi="Times New Roman" w:eastAsia="仿宋_GB2312" w:cs="Nimbus Roman No9 L"/>
                <w:spacing w:val="-5"/>
                <w:sz w:val="28"/>
                <w:szCs w:val="28"/>
              </w:rPr>
              <w:t>、中宁县人民政府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71" w:line="169" w:lineRule="auto"/>
              <w:ind w:left="420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7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41" w:line="202" w:lineRule="auto"/>
              <w:ind w:left="761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sz w:val="28"/>
                <w:szCs w:val="28"/>
              </w:rPr>
              <w:t>吴忠市公平竞争审查工作联席会议办公室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1" w:line="201" w:lineRule="auto"/>
              <w:ind w:left="75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石嘴山市、平罗县人民政府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7" w:line="170" w:lineRule="auto"/>
              <w:ind w:left="410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8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42" w:line="202" w:lineRule="auto"/>
              <w:ind w:left="78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固原市公平竞争审查工作联席会议办公室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41" w:line="203" w:lineRule="auto"/>
              <w:ind w:left="88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银川市、永宁县人民政府</w:t>
            </w: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58" w:type="dxa"/>
            <w:noWrap w:val="0"/>
            <w:vAlign w:val="top"/>
          </w:tcPr>
          <w:p>
            <w:pPr>
              <w:spacing w:before="164" w:line="170" w:lineRule="auto"/>
              <w:ind w:left="417"/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</w:pPr>
            <w:r>
              <w:rPr>
                <w:rFonts w:hint="default" w:ascii="Times New Roman" w:hAnsi="Times New Roman" w:eastAsia="仿宋_GB2312" w:cs="Nimbus Roman No9 L"/>
                <w:sz w:val="31"/>
                <w:szCs w:val="31"/>
              </w:rPr>
              <w:t>9</w:t>
            </w:r>
          </w:p>
        </w:tc>
        <w:tc>
          <w:tcPr>
            <w:tcW w:w="6179" w:type="dxa"/>
            <w:noWrap w:val="0"/>
            <w:vAlign w:val="top"/>
          </w:tcPr>
          <w:p>
            <w:pPr>
              <w:spacing w:before="139" w:line="202" w:lineRule="auto"/>
              <w:ind w:left="79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Nimbus Roman No9 L"/>
                <w:spacing w:val="-3"/>
                <w:sz w:val="28"/>
                <w:szCs w:val="28"/>
                <w:lang w:eastAsia="zh-CN"/>
              </w:rPr>
              <w:t>中卫市</w:t>
            </w: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公平竞争审查工作联席会议办公室</w:t>
            </w:r>
          </w:p>
        </w:tc>
        <w:tc>
          <w:tcPr>
            <w:tcW w:w="4806" w:type="dxa"/>
            <w:noWrap w:val="0"/>
            <w:vAlign w:val="top"/>
          </w:tcPr>
          <w:p>
            <w:pPr>
              <w:spacing w:before="138" w:line="203" w:lineRule="auto"/>
              <w:ind w:left="75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吴忠市、红寺堡区人民政府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96AC3"/>
    <w:rsid w:val="BF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2023-08-23T09:07:00Z</dcterms:created>
  <dc:creator>zw</dc:creator>
  <cp:lastModifiedBy>zw</cp:lastModifiedBy>
  <dcterms:modified xsi:type="dcterms:W3CDTF">2023-08-23T09:07:48Z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34CB1C79DE065352B85BE5647E05EAD1</vt:lpwstr>
  </property>
</Properties>
</file>