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附件5</w:t>
      </w:r>
    </w:p>
    <w:p>
      <w:pPr>
        <w:pStyle w:val="3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表3  </w:t>
      </w:r>
      <w:bookmarkStart w:id="0" w:name="_GoBack"/>
      <w:r>
        <w:rPr>
          <w:rFonts w:hint="default" w:ascii="Times New Roman" w:hAnsi="Times New Roman" w:cs="Times New Roman"/>
          <w:sz w:val="32"/>
          <w:szCs w:val="32"/>
          <w:lang w:val="en-US"/>
        </w:rPr>
        <w:t>县级畜禽和蜂资源普查信息汇总表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/>
        <w:ind w:firstLine="840" w:firstLineChars="3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县  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45"/>
        <w:gridCol w:w="1041"/>
        <w:gridCol w:w="647"/>
        <w:gridCol w:w="647"/>
        <w:gridCol w:w="1097"/>
        <w:gridCol w:w="1236"/>
        <w:gridCol w:w="2470"/>
        <w:gridCol w:w="2612"/>
        <w:gridCol w:w="96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64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64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2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县域内分布区域</w:t>
            </w:r>
          </w:p>
        </w:tc>
        <w:tc>
          <w:tcPr>
            <w:tcW w:w="26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27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64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98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98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64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</w:rPr>
        <w:t>注：1.所属目录从《国家畜禽遗传资源目录》中选择（见附录），蜂所属目录填蜂；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4.如该品种存在不同的类群，如海南猪有临高猪、屯昌猪、文昌猪和定安猪四个类群，则在“品种类群”中标注；5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Cs w:val="21"/>
        </w:rPr>
        <w:t>.保种场保护区选“有”或“无”，选“有”则需在保种场保护区级别里选择相应的级别。</w:t>
      </w:r>
    </w:p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0164D"/>
    <w:rsid w:val="450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spacing w:before="34"/>
      <w:ind w:left="921" w:hanging="282"/>
      <w:outlineLvl w:val="1"/>
    </w:pPr>
    <w:rPr>
      <w:rFonts w:ascii="黑体" w:eastAsia="黑体" w:cs="黑体"/>
      <w:sz w:val="28"/>
      <w:szCs w:val="28"/>
      <w:lang w:val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"/>
    <w:basedOn w:val="1"/>
    <w:next w:val="1"/>
    <w:uiPriority w:val="0"/>
    <w:pPr>
      <w:spacing w:after="12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2021-06-02T02:52:00Z</dcterms:created>
  <dc:creator>Administrator</dc:creator>
  <cp:lastModifiedBy>Administrator</cp:lastModifiedBy>
  <dcterms:modified xsi:type="dcterms:W3CDTF">2021-06-02T02:53:15Z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