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line="64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附件4</w:t>
      </w:r>
    </w:p>
    <w:p>
      <w:pPr>
        <w:pStyle w:val="3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表2  </w:t>
      </w: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畜禽和蜂资源普查信息登记表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1" w:afterLines="5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乡（镇）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日期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9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05"/>
        <w:gridCol w:w="2279"/>
        <w:gridCol w:w="1987"/>
        <w:gridCol w:w="1423"/>
        <w:gridCol w:w="1292"/>
        <w:gridCol w:w="1559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行政村名称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198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1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26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8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26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Cs w:val="21"/>
        </w:rPr>
        <w:t>注：1.本表按村分品种汇总数据，需要同时系统填报和纸质填写，纸质填写留存3年，以备数据核查；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Cs w:val="21"/>
        </w:rPr>
        <w:t>.本表只登记传统畜禽、特种畜禽和蜂的具体品种，蚕另行统计；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Cs w:val="21"/>
        </w:rPr>
        <w:t>.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品种名称应与《国家畜禽遗传资源品种名录（2021年版）》和《中国畜禽遗传资源志》中名称一致，如该品种存在不同的类群，如海南猪有临高猪、屯昌猪、文昌猪和定安猪四个类群，则在“品种类群”中标注；4.</w:t>
      </w:r>
      <w:r>
        <w:rPr>
          <w:rFonts w:hint="default" w:ascii="Times New Roman" w:hAnsi="Times New Roman" w:eastAsia="楷体" w:cs="Times New Roman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.饲养环境，畜禽选散养或集中饲养，蜂选定地或转地，如果两者均有，全部打“√”。散养指该品种在散养户中饲养，集中饲养该品种集中在一个单位或养殖场饲养。</w:t>
      </w: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22354"/>
    <w:rsid w:val="536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autoSpaceDE w:val="0"/>
      <w:autoSpaceDN w:val="0"/>
      <w:spacing w:before="34"/>
      <w:ind w:left="921" w:hanging="282"/>
      <w:outlineLvl w:val="1"/>
    </w:pPr>
    <w:rPr>
      <w:rFonts w:ascii="黑体" w:eastAsia="黑体" w:cs="黑体"/>
      <w:sz w:val="28"/>
      <w:szCs w:val="28"/>
      <w:lang w:val="zh-CN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next w:val="1"/>
    <w:uiPriority w:val="0"/>
    <w:pPr>
      <w:spacing w:after="120"/>
    </w:p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2021-06-02T02:52:00Z</dcterms:created>
  <dc:creator>Administrator</dc:creator>
  <cp:lastModifiedBy>Administrator</cp:lastModifiedBy>
  <dcterms:modified xsi:type="dcterms:W3CDTF">2021-06-02T02:52:49Z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