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B0471">
      <w:pPr>
        <w:spacing w:line="560" w:lineRule="exact"/>
        <w:jc w:val="center"/>
        <w:rPr>
          <w:rFonts w:hint="eastAsia" w:ascii="方正小标宋_GBK" w:hAnsi="方正小标宋_GBK" w:eastAsia="方正小标宋_GBK" w:cs="方正小标宋_GBK"/>
          <w:sz w:val="44"/>
          <w:szCs w:val="44"/>
          <w:lang w:eastAsia="zh-CN"/>
        </w:rPr>
      </w:pPr>
    </w:p>
    <w:p w14:paraId="054C9462">
      <w:pPr>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中卫市沙坡头区工业信息化和商务局</w:t>
      </w:r>
    </w:p>
    <w:p w14:paraId="06510086">
      <w:pPr>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行政执法主体资格</w:t>
      </w:r>
      <w:r>
        <w:rPr>
          <w:rFonts w:hint="eastAsia" w:ascii="方正小标宋_GBK" w:hAnsi="方正小标宋_GBK" w:eastAsia="方正小标宋_GBK" w:cs="方正小标宋_GBK"/>
          <w:sz w:val="44"/>
          <w:szCs w:val="44"/>
          <w:lang w:eastAsia="zh-CN"/>
        </w:rPr>
        <w:t>清单</w:t>
      </w:r>
    </w:p>
    <w:p w14:paraId="177802ED">
      <w:pPr>
        <w:spacing w:line="560" w:lineRule="exact"/>
        <w:jc w:val="center"/>
        <w:rPr>
          <w:rFonts w:ascii="楷体" w:hAnsi="楷体" w:eastAsia="楷体" w:cs="仿宋_GB2312"/>
          <w:sz w:val="32"/>
          <w:szCs w:val="32"/>
        </w:rPr>
      </w:pPr>
      <w:r>
        <w:rPr>
          <w:rFonts w:hint="eastAsia" w:ascii="楷体" w:hAnsi="楷体" w:eastAsia="楷体" w:cs="仿宋_GB2312"/>
          <w:sz w:val="32"/>
          <w:szCs w:val="32"/>
        </w:rPr>
        <w:t>（行政机关）</w:t>
      </w:r>
    </w:p>
    <w:tbl>
      <w:tblPr>
        <w:tblStyle w:val="6"/>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750"/>
        <w:gridCol w:w="420"/>
        <w:gridCol w:w="90"/>
        <w:gridCol w:w="645"/>
        <w:gridCol w:w="675"/>
        <w:gridCol w:w="750"/>
        <w:gridCol w:w="660"/>
        <w:gridCol w:w="750"/>
        <w:gridCol w:w="56"/>
        <w:gridCol w:w="589"/>
        <w:gridCol w:w="416"/>
        <w:gridCol w:w="562"/>
        <w:gridCol w:w="567"/>
      </w:tblGrid>
      <w:tr w14:paraId="14C1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770" w:type="dxa"/>
            <w:vAlign w:val="center"/>
          </w:tcPr>
          <w:p w14:paraId="6B133A45">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单位</w:t>
            </w:r>
          </w:p>
          <w:p w14:paraId="58019D96">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名称</w:t>
            </w:r>
          </w:p>
        </w:tc>
        <w:tc>
          <w:tcPr>
            <w:tcW w:w="2580" w:type="dxa"/>
            <w:gridSpan w:val="5"/>
            <w:vAlign w:val="center"/>
          </w:tcPr>
          <w:p w14:paraId="54D004AB">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中卫市沙坡头区工业信息化和商务局</w:t>
            </w:r>
          </w:p>
        </w:tc>
        <w:tc>
          <w:tcPr>
            <w:tcW w:w="1410" w:type="dxa"/>
            <w:gridSpan w:val="2"/>
            <w:vAlign w:val="center"/>
          </w:tcPr>
          <w:p w14:paraId="4F791A9C">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单位地址</w:t>
            </w:r>
          </w:p>
        </w:tc>
        <w:tc>
          <w:tcPr>
            <w:tcW w:w="2940" w:type="dxa"/>
            <w:gridSpan w:val="6"/>
            <w:vAlign w:val="center"/>
          </w:tcPr>
          <w:p w14:paraId="4E8A05DF">
            <w:pPr>
              <w:spacing w:line="0" w:lineRule="atLeast"/>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沙坡头区应理南街朝阳路003号老年公寓院内西南拐角工业信息化和商务局</w:t>
            </w:r>
            <w:r>
              <w:rPr>
                <w:rFonts w:hint="eastAsia" w:ascii="仿宋_GB2312" w:hAnsi="仿宋_GB2312" w:eastAsia="仿宋_GB2312" w:cs="仿宋_GB2312"/>
                <w:kern w:val="0"/>
                <w:sz w:val="20"/>
                <w:szCs w:val="21"/>
                <w:lang w:val="en-US" w:eastAsia="zh-CN"/>
              </w:rPr>
              <w:t>121</w:t>
            </w:r>
            <w:r>
              <w:rPr>
                <w:rFonts w:hint="eastAsia" w:ascii="仿宋_GB2312" w:hAnsi="仿宋_GB2312" w:eastAsia="仿宋_GB2312" w:cs="仿宋_GB2312"/>
                <w:kern w:val="0"/>
                <w:sz w:val="20"/>
                <w:szCs w:val="21"/>
                <w:lang w:eastAsia="zh-CN"/>
              </w:rPr>
              <w:t>办公室</w:t>
            </w:r>
          </w:p>
        </w:tc>
      </w:tr>
      <w:tr w14:paraId="420B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770" w:type="dxa"/>
            <w:vAlign w:val="center"/>
          </w:tcPr>
          <w:p w14:paraId="0CC2ED7E">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法定代表人</w:t>
            </w:r>
          </w:p>
        </w:tc>
        <w:tc>
          <w:tcPr>
            <w:tcW w:w="2580" w:type="dxa"/>
            <w:gridSpan w:val="5"/>
            <w:vAlign w:val="center"/>
          </w:tcPr>
          <w:p w14:paraId="3AB0FDDF">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宋扬</w:t>
            </w:r>
          </w:p>
        </w:tc>
        <w:tc>
          <w:tcPr>
            <w:tcW w:w="1410" w:type="dxa"/>
            <w:gridSpan w:val="2"/>
            <w:vAlign w:val="center"/>
          </w:tcPr>
          <w:p w14:paraId="78048C56">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组织机构代码证号</w:t>
            </w:r>
          </w:p>
        </w:tc>
        <w:tc>
          <w:tcPr>
            <w:tcW w:w="2940" w:type="dxa"/>
            <w:gridSpan w:val="6"/>
            <w:vAlign w:val="center"/>
          </w:tcPr>
          <w:p w14:paraId="690A27AF">
            <w:pPr>
              <w:keepNext w:val="0"/>
              <w:keepLines w:val="0"/>
              <w:widowControl/>
              <w:suppressLineNumbers w:val="0"/>
              <w:jc w:val="center"/>
              <w:rPr>
                <w:rFonts w:hint="eastAsia"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11642300MB0203246Y</w:t>
            </w:r>
          </w:p>
        </w:tc>
      </w:tr>
      <w:tr w14:paraId="16F1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70" w:type="dxa"/>
            <w:vAlign w:val="center"/>
          </w:tcPr>
          <w:p w14:paraId="3D495DB2">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主要职责</w:t>
            </w:r>
          </w:p>
        </w:tc>
        <w:tc>
          <w:tcPr>
            <w:tcW w:w="6930" w:type="dxa"/>
            <w:gridSpan w:val="13"/>
            <w:vAlign w:val="center"/>
          </w:tcPr>
          <w:p w14:paraId="3C32B73A">
            <w:pPr>
              <w:numPr>
                <w:numId w:val="0"/>
              </w:numPr>
              <w:spacing w:line="0" w:lineRule="atLeast"/>
              <w:ind w:firstLine="400" w:firstLineChars="200"/>
              <w:jc w:val="left"/>
              <w:rPr>
                <w:rFonts w:hint="default"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（一）</w:t>
            </w:r>
            <w:r>
              <w:rPr>
                <w:rFonts w:hint="default" w:ascii="仿宋_GB2312" w:hAnsi="仿宋_GB2312" w:eastAsia="仿宋_GB2312" w:cs="仿宋_GB2312"/>
                <w:kern w:val="0"/>
                <w:sz w:val="20"/>
                <w:szCs w:val="21"/>
                <w:lang w:eastAsia="zh-CN"/>
              </w:rPr>
              <w:t>贯彻执行国家新型工业化发展战略和政策，协调解决新型工业化进程中的问题，拟订并组织实施沙坡头区工业和信息化方面的发展规划，推进产业结构调整和优化升级，推进信息化和工业化融合发展。</w:t>
            </w:r>
          </w:p>
          <w:p w14:paraId="62F7AB42">
            <w:pPr>
              <w:numPr>
                <w:numId w:val="0"/>
              </w:numPr>
              <w:spacing w:line="0" w:lineRule="atLeast"/>
              <w:ind w:leftChars="0" w:firstLine="400" w:firstLineChars="200"/>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20"/>
                <w:szCs w:val="21"/>
                <w:lang w:eastAsia="zh-CN"/>
              </w:rPr>
              <w:t>（二）</w:t>
            </w:r>
            <w:r>
              <w:rPr>
                <w:rFonts w:hint="default" w:ascii="仿宋_GB2312" w:hAnsi="仿宋_GB2312" w:eastAsia="仿宋_GB2312" w:cs="仿宋_GB2312"/>
                <w:kern w:val="0"/>
                <w:sz w:val="20"/>
                <w:szCs w:val="21"/>
                <w:lang w:eastAsia="zh-CN"/>
              </w:rPr>
              <w:t>制订并组织实施工业化和信息化行业规划、计划和产业政策，提出优化产业布局、结构的政策建议，起草相关规范性文件。负责工业和信息化行业管理工作，指导协调沙坡头区乡镇产业基地的产业规划和建设发展。</w:t>
            </w:r>
          </w:p>
          <w:p w14:paraId="5686F8E2">
            <w:pPr>
              <w:numPr>
                <w:numId w:val="0"/>
              </w:numPr>
              <w:spacing w:line="0" w:lineRule="atLeast"/>
              <w:ind w:leftChars="0" w:firstLine="400" w:firstLineChars="200"/>
              <w:jc w:val="left"/>
              <w:rPr>
                <w:rFonts w:hint="default"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（三）</w:t>
            </w:r>
            <w:r>
              <w:rPr>
                <w:rFonts w:hint="default" w:ascii="仿宋_GB2312" w:hAnsi="仿宋_GB2312" w:eastAsia="仿宋_GB2312" w:cs="仿宋_GB2312"/>
                <w:kern w:val="0"/>
                <w:sz w:val="20"/>
                <w:szCs w:val="21"/>
                <w:lang w:eastAsia="zh-CN"/>
              </w:rPr>
              <w:t>监测分析工业和信息化运行态势，发布相关信息，进行预测预警和信息引导，协调解决工业运行中的有关问题并提出政策建议。负责工业应急管理和国防信息动员有关工作。负责指导工业安全生产管理工作，指导工业领域信息安全工作。负责工业和信息化对外合作工作。</w:t>
            </w:r>
          </w:p>
          <w:p w14:paraId="6FC22E36">
            <w:pPr>
              <w:numPr>
                <w:numId w:val="0"/>
              </w:numPr>
              <w:spacing w:line="0" w:lineRule="atLeast"/>
              <w:ind w:leftChars="0" w:firstLine="400" w:firstLineChars="200"/>
              <w:jc w:val="left"/>
              <w:rPr>
                <w:rFonts w:hint="default"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（四）</w:t>
            </w:r>
            <w:r>
              <w:rPr>
                <w:rFonts w:hint="default" w:ascii="仿宋_GB2312" w:hAnsi="仿宋_GB2312" w:eastAsia="仿宋_GB2312" w:cs="仿宋_GB2312"/>
                <w:kern w:val="0"/>
                <w:sz w:val="20"/>
                <w:szCs w:val="21"/>
                <w:lang w:eastAsia="zh-CN"/>
              </w:rPr>
              <w:t>推进工业体制改革和管理创新，提高行业综合素质和核心竞争力。负责提出沙坡头区工业和信息化企业技术改造固定资产投资规模和方向（含利用外资和境外投资）、工业和信息化专项资金计划和使用的意见。负责中卫市工业园区以外的工业企业技术改造项目的备案工作。</w:t>
            </w:r>
          </w:p>
          <w:p w14:paraId="184DF0DD">
            <w:pPr>
              <w:numPr>
                <w:numId w:val="0"/>
              </w:numPr>
              <w:spacing w:line="0" w:lineRule="atLeast"/>
              <w:ind w:leftChars="0" w:firstLine="400" w:firstLineChars="200"/>
              <w:jc w:val="left"/>
              <w:rPr>
                <w:rFonts w:hint="default"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（五）</w:t>
            </w:r>
            <w:r>
              <w:rPr>
                <w:rFonts w:hint="default" w:ascii="仿宋_GB2312" w:hAnsi="仿宋_GB2312" w:eastAsia="仿宋_GB2312" w:cs="仿宋_GB2312"/>
                <w:kern w:val="0"/>
                <w:sz w:val="20"/>
                <w:szCs w:val="21"/>
                <w:lang w:eastAsia="zh-CN"/>
              </w:rPr>
              <w:t>推进工业产业结构调整和转型升级，引导企业技术创新和技术进步。落实高科技产业中涉及生物医药、新材料、信息产业等的规划、政策和标准。协调实施工业信息化领域有关科技重大专项，推进相关科研成果产业化，推动软件业、信息服务业和新兴产业发展。</w:t>
            </w:r>
          </w:p>
          <w:p w14:paraId="22901663">
            <w:pPr>
              <w:numPr>
                <w:numId w:val="0"/>
              </w:numPr>
              <w:spacing w:line="0" w:lineRule="atLeast"/>
              <w:ind w:leftChars="0" w:firstLine="400" w:firstLineChars="200"/>
              <w:jc w:val="left"/>
              <w:rPr>
                <w:rFonts w:hint="default"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（六）</w:t>
            </w:r>
            <w:r>
              <w:rPr>
                <w:rFonts w:hint="default" w:ascii="仿宋_GB2312" w:hAnsi="仿宋_GB2312" w:eastAsia="仿宋_GB2312" w:cs="仿宋_GB2312"/>
                <w:kern w:val="0"/>
                <w:sz w:val="20"/>
                <w:szCs w:val="21"/>
                <w:lang w:eastAsia="zh-CN"/>
              </w:rPr>
              <w:t>承担装备制造业组织协调工作，依托国家、自治区、中卫市重点工程建设协调有关重大专项的实施。</w:t>
            </w:r>
          </w:p>
          <w:p w14:paraId="1F25C848">
            <w:pPr>
              <w:numPr>
                <w:numId w:val="0"/>
              </w:numPr>
              <w:spacing w:line="0" w:lineRule="atLeast"/>
              <w:ind w:leftChars="0" w:firstLine="400" w:firstLineChars="200"/>
              <w:jc w:val="left"/>
              <w:rPr>
                <w:rFonts w:hint="default"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（七）</w:t>
            </w:r>
            <w:r>
              <w:rPr>
                <w:rFonts w:hint="default" w:ascii="仿宋_GB2312" w:hAnsi="仿宋_GB2312" w:eastAsia="仿宋_GB2312" w:cs="仿宋_GB2312"/>
                <w:kern w:val="0"/>
                <w:sz w:val="20"/>
                <w:szCs w:val="21"/>
                <w:lang w:eastAsia="zh-CN"/>
              </w:rPr>
              <w:t>负责民用爆炸物品行业安全监督管理工作，推动军民融合产业发展，推进军转民、民参军有关协调工作。</w:t>
            </w:r>
          </w:p>
          <w:p w14:paraId="78A14F4D">
            <w:pPr>
              <w:numPr>
                <w:numId w:val="0"/>
              </w:numPr>
              <w:spacing w:line="0" w:lineRule="atLeast"/>
              <w:ind w:leftChars="0" w:firstLine="400" w:firstLineChars="200"/>
              <w:jc w:val="left"/>
              <w:rPr>
                <w:rFonts w:hint="default"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（八）</w:t>
            </w:r>
            <w:r>
              <w:rPr>
                <w:rFonts w:hint="default" w:ascii="仿宋_GB2312" w:hAnsi="仿宋_GB2312" w:eastAsia="仿宋_GB2312" w:cs="仿宋_GB2312"/>
                <w:kern w:val="0"/>
                <w:sz w:val="20"/>
                <w:szCs w:val="21"/>
                <w:lang w:eastAsia="zh-CN"/>
              </w:rPr>
              <w:t>落实工业能源节约和资源综合利用、清洁生产促进政策，组织协调有关示范工程和新产品、新技术、新设备、新材料的推广应用。</w:t>
            </w:r>
          </w:p>
          <w:p w14:paraId="6813C2E3">
            <w:pPr>
              <w:numPr>
                <w:numId w:val="0"/>
              </w:numPr>
              <w:spacing w:line="0" w:lineRule="atLeast"/>
              <w:ind w:leftChars="0" w:firstLine="400" w:firstLineChars="200"/>
              <w:jc w:val="left"/>
              <w:rPr>
                <w:rFonts w:hint="default"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（九）</w:t>
            </w:r>
            <w:r>
              <w:rPr>
                <w:rFonts w:hint="default" w:ascii="仿宋_GB2312" w:hAnsi="仿宋_GB2312" w:eastAsia="仿宋_GB2312" w:cs="仿宋_GB2312"/>
                <w:kern w:val="0"/>
                <w:sz w:val="20"/>
                <w:szCs w:val="21"/>
                <w:lang w:eastAsia="zh-CN"/>
              </w:rPr>
              <w:t>负责中卫市工业园区以外的中小微企业发展的宏观指导、综合协调和监督检查，会同有关部门拟定促进中小微企业发展和非国有经济发展的相关政策和措施，推动建立完善服务体系，负责中小微企业创业、融资工作，监测分析中小微企业发展动态，发布相关信息，协调解决有关问题。</w:t>
            </w:r>
          </w:p>
          <w:p w14:paraId="0BECC6F9">
            <w:pPr>
              <w:numPr>
                <w:numId w:val="0"/>
              </w:numPr>
              <w:spacing w:line="0" w:lineRule="atLeast"/>
              <w:ind w:leftChars="0" w:firstLine="400" w:firstLineChars="200"/>
              <w:jc w:val="left"/>
              <w:rPr>
                <w:rFonts w:hint="default"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（十）</w:t>
            </w:r>
            <w:r>
              <w:rPr>
                <w:rFonts w:hint="default" w:ascii="仿宋_GB2312" w:hAnsi="仿宋_GB2312" w:eastAsia="仿宋_GB2312" w:cs="仿宋_GB2312"/>
                <w:kern w:val="0"/>
                <w:sz w:val="20"/>
                <w:szCs w:val="21"/>
                <w:lang w:eastAsia="zh-CN"/>
              </w:rPr>
              <w:t>贯彻执行国家、区、市关于经济合作、商务工作的发展战略、方针政策，研究拟订沙坡头区商务发展规划、年度计划和政策性建议并组织实施。</w:t>
            </w:r>
          </w:p>
          <w:p w14:paraId="617BDC9C">
            <w:pPr>
              <w:numPr>
                <w:numId w:val="0"/>
              </w:numPr>
              <w:spacing w:line="0" w:lineRule="atLeast"/>
              <w:ind w:leftChars="0" w:firstLine="400" w:firstLineChars="200"/>
              <w:jc w:val="left"/>
              <w:rPr>
                <w:rFonts w:hint="default"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（十一）</w:t>
            </w:r>
            <w:r>
              <w:rPr>
                <w:rFonts w:hint="default" w:ascii="仿宋_GB2312" w:hAnsi="仿宋_GB2312" w:eastAsia="仿宋_GB2312" w:cs="仿宋_GB2312"/>
                <w:kern w:val="0"/>
                <w:sz w:val="20"/>
                <w:szCs w:val="21"/>
                <w:lang w:eastAsia="zh-CN"/>
              </w:rPr>
              <w:t>负责城市建成区以外拍卖、汽车流通、大型仓储物流、大型旧货流通安全生产监管工作。督促指导城市建成区以外的商场超市、餐饮住宿、再生资源回收等商贸服务业生产经营单位安全生产管理工作，协调、配合相关部门开展商贸流通领域安全隐患排查整治等工作。</w:t>
            </w:r>
          </w:p>
          <w:p w14:paraId="39918399">
            <w:pPr>
              <w:numPr>
                <w:numId w:val="0"/>
              </w:numPr>
              <w:spacing w:line="0" w:lineRule="atLeast"/>
              <w:ind w:leftChars="0" w:firstLine="400" w:firstLineChars="200"/>
              <w:jc w:val="left"/>
              <w:rPr>
                <w:rFonts w:hint="default"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（十二）</w:t>
            </w:r>
            <w:r>
              <w:rPr>
                <w:rFonts w:hint="default" w:ascii="仿宋_GB2312" w:hAnsi="仿宋_GB2312" w:eastAsia="仿宋_GB2312" w:cs="仿宋_GB2312"/>
                <w:kern w:val="0"/>
                <w:sz w:val="20"/>
                <w:szCs w:val="21"/>
                <w:lang w:eastAsia="zh-CN"/>
              </w:rPr>
              <w:t>指导城市建成区以外的商业网点规划和商业体系建设工作，推进农村市场体系建设，促进城乡市场一体化发展。推动沙坡头区优势特色产品在国内外市场宣传推广和销售；负责商品现货市场的行业管理。</w:t>
            </w:r>
          </w:p>
          <w:p w14:paraId="722656CC">
            <w:pPr>
              <w:numPr>
                <w:numId w:val="0"/>
              </w:numPr>
              <w:spacing w:line="0" w:lineRule="atLeast"/>
              <w:ind w:leftChars="0" w:firstLine="400" w:firstLineChars="200"/>
              <w:jc w:val="left"/>
              <w:rPr>
                <w:rFonts w:hint="default"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（十三）</w:t>
            </w:r>
            <w:r>
              <w:rPr>
                <w:rFonts w:hint="default" w:ascii="仿宋_GB2312" w:hAnsi="仿宋_GB2312" w:eastAsia="仿宋_GB2312" w:cs="仿宋_GB2312"/>
                <w:kern w:val="0"/>
                <w:sz w:val="20"/>
                <w:szCs w:val="21"/>
                <w:lang w:eastAsia="zh-CN"/>
              </w:rPr>
              <w:t>负责整顿和规范商务领域市场经济秩序工作，推动商务领域信用体系建设。牵头组织规范零售企业促销行为及零售商、供应商建立公平交易关系。</w:t>
            </w:r>
          </w:p>
          <w:p w14:paraId="7575E52B">
            <w:pPr>
              <w:numPr>
                <w:numId w:val="0"/>
              </w:numPr>
              <w:spacing w:line="0" w:lineRule="atLeast"/>
              <w:ind w:leftChars="0" w:firstLine="400" w:firstLineChars="200"/>
              <w:jc w:val="left"/>
              <w:rPr>
                <w:rFonts w:hint="default"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（十四）</w:t>
            </w:r>
            <w:r>
              <w:rPr>
                <w:rFonts w:hint="default" w:ascii="仿宋_GB2312" w:hAnsi="仿宋_GB2312" w:eastAsia="仿宋_GB2312" w:cs="仿宋_GB2312"/>
                <w:kern w:val="0"/>
                <w:sz w:val="20"/>
                <w:szCs w:val="21"/>
                <w:lang w:eastAsia="zh-CN"/>
              </w:rPr>
              <w:t>组织协调出口商品的反倾销、反补贴和保障措施的应诉及相关工作。建立产业安全预警机制，开展产业竞争力调查、产业安全应对与效果评估工作。</w:t>
            </w:r>
          </w:p>
          <w:p w14:paraId="17862020">
            <w:pPr>
              <w:numPr>
                <w:numId w:val="0"/>
              </w:numPr>
              <w:spacing w:line="0" w:lineRule="atLeast"/>
              <w:ind w:leftChars="0" w:firstLine="400" w:firstLineChars="200"/>
              <w:jc w:val="left"/>
              <w:rPr>
                <w:rFonts w:hint="default" w:ascii="仿宋_GB2312" w:hAnsi="仿宋_GB2312" w:eastAsia="仿宋_GB2312" w:cs="仿宋_GB2312"/>
                <w:kern w:val="0"/>
                <w:sz w:val="20"/>
                <w:szCs w:val="21"/>
                <w:lang w:eastAsia="zh-CN"/>
              </w:rPr>
            </w:pPr>
            <w:r>
              <w:rPr>
                <w:rFonts w:hint="default" w:ascii="仿宋_GB2312" w:hAnsi="仿宋_GB2312" w:eastAsia="仿宋_GB2312" w:cs="仿宋_GB2312"/>
                <w:kern w:val="0"/>
                <w:sz w:val="20"/>
                <w:szCs w:val="21"/>
                <w:lang w:eastAsia="zh-CN"/>
              </w:rPr>
              <w:t>（十</w:t>
            </w:r>
            <w:r>
              <w:rPr>
                <w:rFonts w:hint="eastAsia" w:ascii="仿宋_GB2312" w:hAnsi="仿宋_GB2312" w:eastAsia="仿宋_GB2312" w:cs="仿宋_GB2312"/>
                <w:kern w:val="0"/>
                <w:sz w:val="20"/>
                <w:szCs w:val="21"/>
                <w:lang w:eastAsia="zh-CN"/>
              </w:rPr>
              <w:t>五</w:t>
            </w:r>
            <w:r>
              <w:rPr>
                <w:rFonts w:hint="default" w:ascii="仿宋_GB2312" w:hAnsi="仿宋_GB2312" w:eastAsia="仿宋_GB2312" w:cs="仿宋_GB2312"/>
                <w:kern w:val="0"/>
                <w:sz w:val="20"/>
                <w:szCs w:val="21"/>
                <w:lang w:eastAsia="zh-CN"/>
              </w:rPr>
              <w:t>）组织实施服务贸易和服务外包业务。指导沙坡头区流通领域信息网络和电子商务建设，推动农村电子商务的应用和发展。</w:t>
            </w:r>
          </w:p>
          <w:p w14:paraId="77934FB9">
            <w:pPr>
              <w:numPr>
                <w:numId w:val="0"/>
              </w:numPr>
              <w:spacing w:line="0" w:lineRule="atLeast"/>
              <w:ind w:firstLine="400" w:firstLineChars="200"/>
              <w:jc w:val="left"/>
              <w:rPr>
                <w:rFonts w:hint="default"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（十六）</w:t>
            </w:r>
            <w:r>
              <w:rPr>
                <w:rFonts w:hint="default" w:ascii="仿宋_GB2312" w:hAnsi="仿宋_GB2312" w:eastAsia="仿宋_GB2312" w:cs="仿宋_GB2312"/>
                <w:kern w:val="0"/>
                <w:sz w:val="20"/>
                <w:szCs w:val="21"/>
                <w:lang w:eastAsia="zh-CN"/>
              </w:rPr>
              <w:t>拟订并执行对外经济合作政策，指导和监督对外承包业务、对外劳务合作，协调外派劳务人员和境外就业人员权益保护工作。</w:t>
            </w:r>
          </w:p>
          <w:p w14:paraId="35120AEC">
            <w:pPr>
              <w:numPr>
                <w:numId w:val="0"/>
              </w:numPr>
              <w:spacing w:line="0" w:lineRule="atLeast"/>
              <w:ind w:leftChars="0" w:firstLine="400" w:firstLineChars="200"/>
              <w:jc w:val="left"/>
              <w:rPr>
                <w:rFonts w:hint="default"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（十七）</w:t>
            </w:r>
            <w:r>
              <w:rPr>
                <w:rFonts w:hint="default" w:ascii="仿宋_GB2312" w:hAnsi="仿宋_GB2312" w:eastAsia="仿宋_GB2312" w:cs="仿宋_GB2312"/>
                <w:kern w:val="0"/>
                <w:sz w:val="20"/>
                <w:szCs w:val="21"/>
                <w:lang w:eastAsia="zh-CN"/>
              </w:rPr>
              <w:t>负责建立招商引资项目库和资源库。承担沙坡头区招商引资项目的服务协调、统计分析、考核评价工作。</w:t>
            </w:r>
          </w:p>
          <w:p w14:paraId="44157942">
            <w:pPr>
              <w:numPr>
                <w:numId w:val="0"/>
              </w:numPr>
              <w:spacing w:line="0" w:lineRule="atLeast"/>
              <w:ind w:leftChars="0" w:firstLine="400" w:firstLineChars="200"/>
              <w:jc w:val="left"/>
              <w:rPr>
                <w:rFonts w:hint="default"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（十八）</w:t>
            </w:r>
            <w:r>
              <w:rPr>
                <w:rFonts w:hint="default" w:ascii="仿宋_GB2312" w:hAnsi="仿宋_GB2312" w:eastAsia="仿宋_GB2312" w:cs="仿宋_GB2312"/>
                <w:kern w:val="0"/>
                <w:sz w:val="20"/>
                <w:szCs w:val="21"/>
                <w:lang w:eastAsia="zh-CN"/>
              </w:rPr>
              <w:t>牵头负责中卫市工业园区以外的工业领域、信息产业和非公有制经济领域人才队伍建设，组织实施沙坡头区非公有制企业经营管理人才素质提升工程，指导、推进各类企业技术中心建设。</w:t>
            </w:r>
          </w:p>
          <w:p w14:paraId="3DFE6146">
            <w:pPr>
              <w:numPr>
                <w:numId w:val="0"/>
              </w:numPr>
              <w:spacing w:line="0" w:lineRule="atLeast"/>
              <w:ind w:leftChars="0" w:firstLine="400" w:firstLineChars="200"/>
              <w:jc w:val="left"/>
              <w:rPr>
                <w:rFonts w:ascii="仿宋_GB2312" w:hAnsi="仿宋_GB2312" w:eastAsia="仿宋_GB2312" w:cs="仿宋_GB2312"/>
                <w:kern w:val="0"/>
                <w:sz w:val="18"/>
                <w:szCs w:val="18"/>
              </w:rPr>
            </w:pPr>
            <w:r>
              <w:rPr>
                <w:rFonts w:hint="default" w:ascii="仿宋_GB2312" w:hAnsi="仿宋_GB2312" w:eastAsia="仿宋_GB2312" w:cs="仿宋_GB2312"/>
                <w:kern w:val="0"/>
                <w:sz w:val="20"/>
                <w:szCs w:val="21"/>
                <w:lang w:eastAsia="zh-CN"/>
              </w:rPr>
              <w:t>（十</w:t>
            </w:r>
            <w:r>
              <w:rPr>
                <w:rFonts w:hint="eastAsia" w:ascii="仿宋_GB2312" w:hAnsi="仿宋_GB2312" w:eastAsia="仿宋_GB2312" w:cs="仿宋_GB2312"/>
                <w:kern w:val="0"/>
                <w:sz w:val="20"/>
                <w:szCs w:val="21"/>
                <w:lang w:eastAsia="zh-CN"/>
              </w:rPr>
              <w:t>九</w:t>
            </w:r>
            <w:r>
              <w:rPr>
                <w:rFonts w:hint="default" w:ascii="仿宋_GB2312" w:hAnsi="仿宋_GB2312" w:eastAsia="仿宋_GB2312" w:cs="仿宋_GB2312"/>
                <w:kern w:val="0"/>
                <w:sz w:val="20"/>
                <w:szCs w:val="21"/>
                <w:lang w:eastAsia="zh-CN"/>
              </w:rPr>
              <w:t>）完成沙坡头区委和政府交办的其他任务。</w:t>
            </w:r>
          </w:p>
        </w:tc>
      </w:tr>
      <w:tr w14:paraId="6879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770" w:type="dxa"/>
            <w:vMerge w:val="restart"/>
            <w:tcBorders>
              <w:right w:val="single" w:color="auto" w:sz="4" w:space="0"/>
            </w:tcBorders>
            <w:vAlign w:val="center"/>
          </w:tcPr>
          <w:p w14:paraId="2FEBB02F">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内设机构</w:t>
            </w:r>
          </w:p>
          <w:p w14:paraId="0CEA49BE">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情况</w:t>
            </w:r>
          </w:p>
        </w:tc>
        <w:tc>
          <w:tcPr>
            <w:tcW w:w="1170" w:type="dxa"/>
            <w:gridSpan w:val="2"/>
            <w:tcBorders>
              <w:left w:val="single" w:color="auto" w:sz="4" w:space="0"/>
            </w:tcBorders>
            <w:vAlign w:val="center"/>
          </w:tcPr>
          <w:p w14:paraId="1A91AC90">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机构</w:t>
            </w:r>
          </w:p>
          <w:p w14:paraId="6C8F1DA2">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名称</w:t>
            </w:r>
          </w:p>
        </w:tc>
        <w:tc>
          <w:tcPr>
            <w:tcW w:w="3626" w:type="dxa"/>
            <w:gridSpan w:val="7"/>
            <w:vAlign w:val="center"/>
          </w:tcPr>
          <w:p w14:paraId="034C9963">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主要职责</w:t>
            </w:r>
          </w:p>
        </w:tc>
        <w:tc>
          <w:tcPr>
            <w:tcW w:w="1005" w:type="dxa"/>
            <w:gridSpan w:val="2"/>
            <w:vAlign w:val="center"/>
          </w:tcPr>
          <w:p w14:paraId="0631D1C3">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机构负责人</w:t>
            </w:r>
          </w:p>
        </w:tc>
        <w:tc>
          <w:tcPr>
            <w:tcW w:w="1129" w:type="dxa"/>
            <w:gridSpan w:val="2"/>
            <w:vAlign w:val="center"/>
          </w:tcPr>
          <w:p w14:paraId="5D980E6E">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联系电话</w:t>
            </w:r>
          </w:p>
        </w:tc>
      </w:tr>
      <w:tr w14:paraId="639E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770" w:type="dxa"/>
            <w:vMerge w:val="continue"/>
            <w:tcBorders>
              <w:right w:val="single" w:color="auto" w:sz="4" w:space="0"/>
            </w:tcBorders>
            <w:vAlign w:val="center"/>
          </w:tcPr>
          <w:p w14:paraId="0ABE7CA9">
            <w:pPr>
              <w:spacing w:line="0" w:lineRule="atLeast"/>
              <w:jc w:val="center"/>
              <w:rPr>
                <w:rFonts w:ascii="仿宋_GB2312" w:hAnsi="仿宋_GB2312" w:eastAsia="仿宋_GB2312" w:cs="仿宋_GB2312"/>
                <w:kern w:val="0"/>
                <w:sz w:val="20"/>
                <w:szCs w:val="21"/>
              </w:rPr>
            </w:pPr>
          </w:p>
        </w:tc>
        <w:tc>
          <w:tcPr>
            <w:tcW w:w="1170" w:type="dxa"/>
            <w:gridSpan w:val="2"/>
            <w:tcBorders>
              <w:left w:val="single" w:color="auto" w:sz="4" w:space="0"/>
            </w:tcBorders>
            <w:vAlign w:val="center"/>
          </w:tcPr>
          <w:p w14:paraId="1B85BBAD">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综合业务办公室</w:t>
            </w:r>
          </w:p>
        </w:tc>
        <w:tc>
          <w:tcPr>
            <w:tcW w:w="3626" w:type="dxa"/>
            <w:gridSpan w:val="7"/>
            <w:vAlign w:val="center"/>
          </w:tcPr>
          <w:p w14:paraId="58D86E93">
            <w:pPr>
              <w:keepNext w:val="0"/>
              <w:keepLines w:val="0"/>
              <w:pageBreakBefore w:val="0"/>
              <w:widowControl w:val="0"/>
              <w:kinsoku/>
              <w:wordWrap/>
              <w:overflowPunct/>
              <w:topLinePunct w:val="0"/>
              <w:autoSpaceDE/>
              <w:autoSpaceDN/>
              <w:bidi w:val="0"/>
              <w:adjustRightInd/>
              <w:snapToGrid/>
              <w:spacing w:line="280" w:lineRule="exact"/>
              <w:textAlignment w:val="auto"/>
            </w:pPr>
            <w:r>
              <w:rPr>
                <w:rFonts w:hint="default" w:ascii="仿宋_GB2312" w:hAnsi="仿宋_GB2312" w:eastAsia="仿宋_GB2312" w:cs="仿宋_GB2312"/>
                <w:kern w:val="0"/>
                <w:sz w:val="20"/>
                <w:szCs w:val="21"/>
                <w:lang w:eastAsia="zh-CN"/>
              </w:rPr>
              <w:t>负责综合</w:t>
            </w:r>
            <w:r>
              <w:rPr>
                <w:rFonts w:hint="eastAsia" w:ascii="仿宋_GB2312" w:hAnsi="仿宋_GB2312" w:eastAsia="仿宋_GB2312" w:cs="仿宋_GB2312"/>
                <w:kern w:val="0"/>
                <w:sz w:val="20"/>
                <w:szCs w:val="21"/>
                <w:lang w:eastAsia="zh-CN"/>
              </w:rPr>
              <w:t>业务</w:t>
            </w:r>
            <w:r>
              <w:rPr>
                <w:rFonts w:hint="default" w:ascii="仿宋_GB2312" w:hAnsi="仿宋_GB2312" w:eastAsia="仿宋_GB2312" w:cs="仿宋_GB2312"/>
                <w:kern w:val="0"/>
                <w:sz w:val="20"/>
                <w:szCs w:val="21"/>
                <w:lang w:eastAsia="zh-CN"/>
              </w:rPr>
              <w:t>办公室全面工作，做好局机关重要文件起草、重要事项协调</w:t>
            </w:r>
            <w:r>
              <w:rPr>
                <w:rFonts w:hint="eastAsia" w:ascii="仿宋_GB2312" w:hAnsi="仿宋_GB2312" w:eastAsia="仿宋_GB2312" w:cs="仿宋_GB2312"/>
                <w:kern w:val="0"/>
                <w:sz w:val="20"/>
                <w:szCs w:val="21"/>
                <w:lang w:eastAsia="zh-CN"/>
              </w:rPr>
              <w:t>督促</w:t>
            </w:r>
            <w:r>
              <w:rPr>
                <w:rFonts w:hint="default" w:ascii="仿宋_GB2312" w:hAnsi="仿宋_GB2312" w:eastAsia="仿宋_GB2312" w:cs="仿宋_GB2312"/>
                <w:kern w:val="0"/>
                <w:sz w:val="20"/>
                <w:szCs w:val="21"/>
                <w:lang w:eastAsia="zh-CN"/>
              </w:rPr>
              <w:t>办理、相关制度制定</w:t>
            </w:r>
            <w:r>
              <w:rPr>
                <w:rFonts w:hint="eastAsia" w:ascii="仿宋_GB2312" w:hAnsi="仿宋_GB2312" w:eastAsia="仿宋_GB2312" w:cs="仿宋_GB2312"/>
                <w:kern w:val="0"/>
                <w:sz w:val="20"/>
                <w:szCs w:val="21"/>
                <w:lang w:eastAsia="zh-CN"/>
              </w:rPr>
              <w:t>和</w:t>
            </w:r>
            <w:r>
              <w:rPr>
                <w:rFonts w:hint="default" w:ascii="仿宋_GB2312" w:hAnsi="仿宋_GB2312" w:eastAsia="仿宋_GB2312" w:cs="仿宋_GB2312"/>
                <w:kern w:val="0"/>
                <w:sz w:val="20"/>
                <w:szCs w:val="21"/>
                <w:lang w:eastAsia="zh-CN"/>
              </w:rPr>
              <w:t>日常工作（含秘书、效能目标建设、印章管理、协调服务等）。</w:t>
            </w:r>
          </w:p>
        </w:tc>
        <w:tc>
          <w:tcPr>
            <w:tcW w:w="1005" w:type="dxa"/>
            <w:gridSpan w:val="2"/>
            <w:vAlign w:val="center"/>
          </w:tcPr>
          <w:p w14:paraId="549353F0">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夏蒙</w:t>
            </w:r>
          </w:p>
        </w:tc>
        <w:tc>
          <w:tcPr>
            <w:tcW w:w="1129" w:type="dxa"/>
            <w:gridSpan w:val="2"/>
            <w:vAlign w:val="center"/>
          </w:tcPr>
          <w:p w14:paraId="7A0772E2">
            <w:pPr>
              <w:spacing w:line="0" w:lineRule="atLeast"/>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8806336</w:t>
            </w:r>
          </w:p>
        </w:tc>
      </w:tr>
      <w:tr w14:paraId="2D91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770" w:type="dxa"/>
            <w:vMerge w:val="continue"/>
            <w:tcBorders>
              <w:right w:val="single" w:color="auto" w:sz="4" w:space="0"/>
            </w:tcBorders>
            <w:vAlign w:val="center"/>
          </w:tcPr>
          <w:p w14:paraId="08AC70AF">
            <w:pPr>
              <w:spacing w:line="0" w:lineRule="atLeast"/>
              <w:rPr>
                <w:rFonts w:ascii="仿宋_GB2312" w:hAnsi="仿宋_GB2312" w:eastAsia="仿宋_GB2312" w:cs="仿宋_GB2312"/>
                <w:kern w:val="0"/>
                <w:sz w:val="20"/>
                <w:szCs w:val="21"/>
              </w:rPr>
            </w:pPr>
          </w:p>
        </w:tc>
        <w:tc>
          <w:tcPr>
            <w:tcW w:w="1170" w:type="dxa"/>
            <w:gridSpan w:val="2"/>
            <w:vAlign w:val="center"/>
          </w:tcPr>
          <w:p w14:paraId="190C4998">
            <w:pPr>
              <w:spacing w:line="0" w:lineRule="atLeast"/>
              <w:jc w:val="center"/>
              <w:rPr>
                <w:rFonts w:hint="eastAsia" w:ascii="仿宋_GB2312" w:hAnsi="仿宋_GB2312" w:eastAsia="仿宋_GB2312" w:cs="仿宋_GB2312"/>
                <w:kern w:val="0"/>
                <w:sz w:val="20"/>
                <w:szCs w:val="21"/>
                <w:lang w:val="en-US" w:eastAsia="zh-CN"/>
              </w:rPr>
            </w:pPr>
            <w:r>
              <w:rPr>
                <w:rFonts w:hint="default" w:ascii="仿宋_GB2312" w:hAnsi="仿宋_GB2312" w:eastAsia="仿宋_GB2312" w:cs="仿宋_GB2312"/>
                <w:kern w:val="0"/>
                <w:sz w:val="20"/>
                <w:szCs w:val="21"/>
                <w:lang w:eastAsia="zh-CN"/>
              </w:rPr>
              <w:t>工业和信息化服务中心</w:t>
            </w:r>
          </w:p>
        </w:tc>
        <w:tc>
          <w:tcPr>
            <w:tcW w:w="3626" w:type="dxa"/>
            <w:gridSpan w:val="7"/>
            <w:vAlign w:val="center"/>
          </w:tcPr>
          <w:p w14:paraId="179E4BC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eastAsia" w:ascii="仿宋_GB2312" w:hAnsi="仿宋_GB2312" w:eastAsia="仿宋_GB2312" w:cs="仿宋_GB2312"/>
                <w:kern w:val="0"/>
                <w:sz w:val="18"/>
                <w:szCs w:val="18"/>
                <w:lang w:eastAsia="zh-CN"/>
              </w:rPr>
            </w:pPr>
            <w:r>
              <w:rPr>
                <w:rFonts w:hint="default" w:ascii="仿宋_GB2312" w:hAnsi="仿宋_GB2312" w:eastAsia="仿宋_GB2312" w:cs="仿宋_GB2312"/>
                <w:kern w:val="0"/>
                <w:sz w:val="20"/>
                <w:szCs w:val="21"/>
                <w:lang w:eastAsia="zh-CN"/>
              </w:rPr>
              <w:t>负责工业和信息化服务中心全面工作，负责工业和信息化工作方面重要文件材料起草、重要事项推进办理及相关政策、意见、方案制定</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val="en-US" w:eastAsia="zh-CN"/>
              </w:rPr>
              <w:t>工业</w:t>
            </w:r>
            <w:r>
              <w:rPr>
                <w:rFonts w:hint="default" w:ascii="仿宋_GB2312" w:hAnsi="仿宋_GB2312" w:eastAsia="仿宋_GB2312" w:cs="仿宋_GB2312"/>
                <w:kern w:val="0"/>
                <w:sz w:val="20"/>
                <w:szCs w:val="21"/>
                <w:lang w:eastAsia="zh-CN"/>
              </w:rPr>
              <w:t>经济运行指标统计、监测、分析预警、预测</w:t>
            </w:r>
            <w:r>
              <w:rPr>
                <w:rFonts w:hint="eastAsia" w:ascii="仿宋_GB2312" w:hAnsi="仿宋_GB2312" w:eastAsia="仿宋_GB2312" w:cs="仿宋_GB2312"/>
                <w:kern w:val="0"/>
                <w:sz w:val="20"/>
                <w:szCs w:val="21"/>
                <w:lang w:eastAsia="zh-CN"/>
              </w:rPr>
              <w:t>等</w:t>
            </w:r>
            <w:r>
              <w:rPr>
                <w:rFonts w:hint="default" w:ascii="仿宋_GB2312" w:hAnsi="仿宋_GB2312" w:eastAsia="仿宋_GB2312" w:cs="仿宋_GB2312"/>
                <w:kern w:val="0"/>
                <w:sz w:val="20"/>
                <w:szCs w:val="21"/>
                <w:lang w:eastAsia="zh-CN"/>
              </w:rPr>
              <w:t>工作</w:t>
            </w:r>
            <w:r>
              <w:rPr>
                <w:rFonts w:hint="eastAsia" w:ascii="仿宋_GB2312" w:hAnsi="仿宋_GB2312" w:eastAsia="仿宋_GB2312" w:cs="仿宋_GB2312"/>
                <w:kern w:val="0"/>
                <w:sz w:val="20"/>
                <w:szCs w:val="21"/>
                <w:lang w:eastAsia="zh-CN"/>
              </w:rPr>
              <w:t>，编制月度、季度分析报告</w:t>
            </w:r>
            <w:r>
              <w:rPr>
                <w:rFonts w:hint="default" w:ascii="仿宋_GB2312" w:hAnsi="仿宋_GB2312" w:eastAsia="仿宋_GB2312" w:cs="仿宋_GB2312"/>
                <w:kern w:val="0"/>
                <w:sz w:val="20"/>
                <w:szCs w:val="21"/>
                <w:lang w:eastAsia="zh-CN"/>
              </w:rPr>
              <w:t>，协调服务电力运行</w:t>
            </w:r>
            <w:r>
              <w:rPr>
                <w:rFonts w:hint="eastAsia" w:ascii="仿宋_GB2312" w:hAnsi="仿宋_GB2312" w:eastAsia="仿宋_GB2312" w:cs="仿宋_GB2312"/>
                <w:kern w:val="0"/>
                <w:sz w:val="20"/>
                <w:szCs w:val="21"/>
                <w:lang w:eastAsia="zh-CN"/>
              </w:rPr>
              <w:t>、项目建设、</w:t>
            </w:r>
            <w:r>
              <w:rPr>
                <w:rFonts w:hint="default" w:ascii="仿宋_GB2312" w:hAnsi="仿宋_GB2312" w:eastAsia="仿宋_GB2312" w:cs="仿宋_GB2312"/>
                <w:kern w:val="0"/>
                <w:sz w:val="20"/>
                <w:szCs w:val="21"/>
                <w:lang w:val="en-US" w:eastAsia="zh-CN"/>
              </w:rPr>
              <w:t>工业</w:t>
            </w:r>
            <w:r>
              <w:rPr>
                <w:rFonts w:hint="eastAsia" w:ascii="仿宋_GB2312" w:hAnsi="仿宋_GB2312" w:eastAsia="仿宋_GB2312" w:cs="仿宋_GB2312"/>
                <w:kern w:val="0"/>
                <w:sz w:val="20"/>
                <w:szCs w:val="21"/>
                <w:lang w:val="en-US" w:eastAsia="zh-CN"/>
              </w:rPr>
              <w:t>企业</w:t>
            </w:r>
            <w:r>
              <w:rPr>
                <w:rFonts w:hint="default" w:ascii="仿宋_GB2312" w:hAnsi="仿宋_GB2312" w:eastAsia="仿宋_GB2312" w:cs="仿宋_GB2312"/>
                <w:kern w:val="0"/>
                <w:sz w:val="20"/>
                <w:szCs w:val="21"/>
                <w:lang w:val="en-US" w:eastAsia="zh-CN"/>
              </w:rPr>
              <w:t>技改项目备案</w:t>
            </w:r>
            <w:r>
              <w:rPr>
                <w:rFonts w:hint="default" w:ascii="仿宋_GB2312" w:hAnsi="仿宋_GB2312" w:eastAsia="仿宋_GB2312" w:cs="仿宋_GB2312"/>
                <w:kern w:val="0"/>
                <w:sz w:val="20"/>
                <w:szCs w:val="21"/>
                <w:lang w:eastAsia="zh-CN"/>
              </w:rPr>
              <w:t>、</w:t>
            </w:r>
            <w:r>
              <w:rPr>
                <w:rFonts w:hint="eastAsia" w:ascii="仿宋_GB2312" w:hAnsi="仿宋_GB2312" w:eastAsia="仿宋_GB2312" w:cs="仿宋_GB2312"/>
                <w:kern w:val="0"/>
                <w:sz w:val="20"/>
                <w:szCs w:val="21"/>
                <w:lang w:val="en-US" w:eastAsia="zh-CN"/>
              </w:rPr>
              <w:t>企业技改、对标发展、“专精特新”示范、标杆企业等项目申报等工作</w:t>
            </w:r>
            <w:r>
              <w:rPr>
                <w:rFonts w:hint="default" w:ascii="仿宋_GB2312" w:hAnsi="仿宋_GB2312" w:eastAsia="仿宋_GB2312" w:cs="仿宋_GB2312"/>
                <w:kern w:val="0"/>
                <w:sz w:val="20"/>
                <w:szCs w:val="21"/>
                <w:lang w:eastAsia="zh-CN"/>
              </w:rPr>
              <w:t>。</w:t>
            </w:r>
          </w:p>
        </w:tc>
        <w:tc>
          <w:tcPr>
            <w:tcW w:w="1005" w:type="dxa"/>
            <w:gridSpan w:val="2"/>
            <w:vAlign w:val="center"/>
          </w:tcPr>
          <w:p w14:paraId="0DC25286">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贾云治</w:t>
            </w:r>
          </w:p>
        </w:tc>
        <w:tc>
          <w:tcPr>
            <w:tcW w:w="1129" w:type="dxa"/>
            <w:gridSpan w:val="2"/>
            <w:vAlign w:val="center"/>
          </w:tcPr>
          <w:p w14:paraId="5AEC49D6">
            <w:pPr>
              <w:spacing w:line="0" w:lineRule="atLeast"/>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7616328</w:t>
            </w:r>
          </w:p>
        </w:tc>
      </w:tr>
      <w:tr w14:paraId="64A0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770" w:type="dxa"/>
            <w:vMerge w:val="continue"/>
            <w:tcBorders>
              <w:right w:val="single" w:color="auto" w:sz="4" w:space="0"/>
            </w:tcBorders>
            <w:vAlign w:val="center"/>
          </w:tcPr>
          <w:p w14:paraId="014C2A5D">
            <w:pPr>
              <w:spacing w:line="0" w:lineRule="atLeast"/>
              <w:rPr>
                <w:rFonts w:ascii="仿宋_GB2312" w:hAnsi="仿宋_GB2312" w:eastAsia="仿宋_GB2312" w:cs="仿宋_GB2312"/>
                <w:kern w:val="0"/>
                <w:sz w:val="20"/>
                <w:szCs w:val="21"/>
              </w:rPr>
            </w:pPr>
          </w:p>
        </w:tc>
        <w:tc>
          <w:tcPr>
            <w:tcW w:w="1170" w:type="dxa"/>
            <w:gridSpan w:val="2"/>
            <w:vAlign w:val="center"/>
          </w:tcPr>
          <w:p w14:paraId="1163E9DD">
            <w:pPr>
              <w:spacing w:line="0" w:lineRule="atLeast"/>
              <w:jc w:val="both"/>
              <w:rPr>
                <w:rFonts w:hint="eastAsia" w:ascii="仿宋_GB2312" w:hAnsi="仿宋_GB2312" w:eastAsia="仿宋_GB2312" w:cs="仿宋_GB2312"/>
                <w:kern w:val="0"/>
                <w:sz w:val="20"/>
                <w:szCs w:val="21"/>
                <w:lang w:val="en-US" w:eastAsia="zh-CN"/>
              </w:rPr>
            </w:pPr>
          </w:p>
          <w:p w14:paraId="60EED5C0">
            <w:pPr>
              <w:spacing w:line="0" w:lineRule="atLeast"/>
              <w:jc w:val="center"/>
              <w:rPr>
                <w:rFonts w:hint="eastAsia"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商务办</w:t>
            </w:r>
          </w:p>
          <w:p w14:paraId="4B9011B9">
            <w:pPr>
              <w:spacing w:line="0" w:lineRule="atLeast"/>
              <w:jc w:val="center"/>
              <w:rPr>
                <w:rFonts w:hint="eastAsia"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公室</w:t>
            </w:r>
          </w:p>
          <w:p w14:paraId="42B3448B">
            <w:pPr>
              <w:spacing w:line="0" w:lineRule="atLeast"/>
              <w:rPr>
                <w:rFonts w:hint="eastAsia" w:ascii="仿宋_GB2312" w:hAnsi="仿宋_GB2312" w:eastAsia="仿宋_GB2312" w:cs="仿宋_GB2312"/>
                <w:kern w:val="0"/>
                <w:sz w:val="20"/>
                <w:szCs w:val="21"/>
                <w:lang w:eastAsia="zh-CN"/>
              </w:rPr>
            </w:pPr>
          </w:p>
        </w:tc>
        <w:tc>
          <w:tcPr>
            <w:tcW w:w="3626" w:type="dxa"/>
            <w:gridSpan w:val="7"/>
            <w:vAlign w:val="center"/>
          </w:tcPr>
          <w:p w14:paraId="1B413B8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ascii="仿宋_GB2312" w:hAnsi="仿宋_GB2312" w:eastAsia="仿宋_GB2312" w:cs="仿宋_GB2312"/>
                <w:kern w:val="0"/>
                <w:sz w:val="18"/>
                <w:szCs w:val="18"/>
              </w:rPr>
            </w:pPr>
            <w:r>
              <w:rPr>
                <w:rFonts w:hint="default" w:ascii="仿宋_GB2312" w:hAnsi="仿宋_GB2312" w:eastAsia="仿宋_GB2312" w:cs="仿宋_GB2312"/>
                <w:kern w:val="0"/>
                <w:sz w:val="20"/>
                <w:szCs w:val="21"/>
                <w:lang w:eastAsia="zh-CN"/>
              </w:rPr>
              <w:t>负责商务相关政策制定、项目资金申报，城市建成区以外的商贸流通领域电子商务、物流体系、市场流通、商场、农贸市场等方面监管工作及安全生产、信访维稳</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相关材料起草等</w:t>
            </w:r>
            <w:r>
              <w:rPr>
                <w:rFonts w:hint="eastAsia" w:ascii="仿宋_GB2312" w:hAnsi="仿宋_GB2312" w:eastAsia="仿宋_GB2312" w:cs="仿宋_GB2312"/>
                <w:kern w:val="0"/>
                <w:sz w:val="20"/>
                <w:szCs w:val="21"/>
                <w:lang w:eastAsia="zh-CN"/>
              </w:rPr>
              <w:t>相关工作</w:t>
            </w:r>
            <w:r>
              <w:rPr>
                <w:rFonts w:hint="default" w:ascii="仿宋_GB2312" w:hAnsi="仿宋_GB2312" w:eastAsia="仿宋_GB2312" w:cs="仿宋_GB2312"/>
                <w:kern w:val="0"/>
                <w:sz w:val="20"/>
                <w:szCs w:val="21"/>
                <w:lang w:eastAsia="zh-CN"/>
              </w:rPr>
              <w:t>。负责招商引资项目的收集、</w:t>
            </w:r>
            <w:r>
              <w:rPr>
                <w:rFonts w:hint="eastAsia" w:ascii="仿宋_GB2312" w:hAnsi="仿宋_GB2312" w:eastAsia="仿宋_GB2312" w:cs="仿宋_GB2312"/>
                <w:kern w:val="0"/>
                <w:sz w:val="20"/>
                <w:szCs w:val="21"/>
                <w:lang w:eastAsia="zh-CN"/>
              </w:rPr>
              <w:t>宣传、</w:t>
            </w:r>
            <w:r>
              <w:rPr>
                <w:rFonts w:hint="default" w:ascii="仿宋_GB2312" w:hAnsi="仿宋_GB2312" w:eastAsia="仿宋_GB2312" w:cs="仿宋_GB2312"/>
                <w:kern w:val="0"/>
                <w:sz w:val="20"/>
                <w:szCs w:val="21"/>
                <w:lang w:eastAsia="zh-CN"/>
              </w:rPr>
              <w:t>对接、方案制定、洽谈、</w:t>
            </w:r>
            <w:r>
              <w:rPr>
                <w:rFonts w:hint="eastAsia" w:ascii="仿宋_GB2312" w:hAnsi="仿宋_GB2312" w:eastAsia="仿宋_GB2312" w:cs="仿宋_GB2312"/>
                <w:kern w:val="0"/>
                <w:sz w:val="20"/>
                <w:szCs w:val="21"/>
                <w:lang w:eastAsia="zh-CN"/>
              </w:rPr>
              <w:t>接待</w:t>
            </w:r>
            <w:r>
              <w:rPr>
                <w:rFonts w:hint="default" w:ascii="仿宋_GB2312" w:hAnsi="仿宋_GB2312" w:eastAsia="仿宋_GB2312" w:cs="仿宋_GB2312"/>
                <w:kern w:val="0"/>
                <w:sz w:val="20"/>
                <w:szCs w:val="21"/>
                <w:lang w:eastAsia="zh-CN"/>
              </w:rPr>
              <w:t>引进、落实、督查、认定、签约</w:t>
            </w:r>
            <w:r>
              <w:rPr>
                <w:rFonts w:hint="eastAsia" w:ascii="仿宋_GB2312" w:hAnsi="仿宋_GB2312" w:eastAsia="仿宋_GB2312" w:cs="仿宋_GB2312"/>
                <w:kern w:val="0"/>
                <w:sz w:val="20"/>
                <w:szCs w:val="21"/>
                <w:lang w:eastAsia="zh-CN"/>
              </w:rPr>
              <w:t>等服务</w:t>
            </w:r>
            <w:r>
              <w:rPr>
                <w:rFonts w:hint="default" w:ascii="仿宋_GB2312" w:hAnsi="仿宋_GB2312" w:eastAsia="仿宋_GB2312" w:cs="仿宋_GB2312"/>
                <w:kern w:val="0"/>
                <w:sz w:val="20"/>
                <w:szCs w:val="21"/>
                <w:lang w:eastAsia="zh-CN"/>
              </w:rPr>
              <w:t>工作；负责沙坡头区各乡镇、各部门（单位）招商引资工作的考核</w:t>
            </w:r>
            <w:r>
              <w:rPr>
                <w:rFonts w:hint="eastAsia" w:ascii="仿宋_GB2312" w:hAnsi="仿宋_GB2312" w:eastAsia="仿宋_GB2312" w:cs="仿宋_GB2312"/>
                <w:kern w:val="0"/>
                <w:sz w:val="20"/>
                <w:szCs w:val="21"/>
                <w:lang w:eastAsia="zh-CN"/>
              </w:rPr>
              <w:t>，建立招商引资项目推进机制</w:t>
            </w:r>
            <w:r>
              <w:rPr>
                <w:rFonts w:hint="default" w:ascii="仿宋_GB2312" w:hAnsi="仿宋_GB2312" w:eastAsia="仿宋_GB2312" w:cs="仿宋_GB2312"/>
                <w:kern w:val="0"/>
                <w:sz w:val="20"/>
                <w:szCs w:val="21"/>
                <w:lang w:eastAsia="zh-CN"/>
              </w:rPr>
              <w:t>；负责招商引资企业手续办理，与商会及企业具体对接和重点信息收集工作</w:t>
            </w:r>
            <w:r>
              <w:rPr>
                <w:rFonts w:hint="eastAsia" w:ascii="仿宋_GB2312" w:hAnsi="仿宋_GB2312" w:eastAsia="仿宋_GB2312" w:cs="仿宋_GB2312"/>
                <w:kern w:val="0"/>
                <w:sz w:val="20"/>
                <w:szCs w:val="21"/>
                <w:lang w:eastAsia="zh-CN"/>
              </w:rPr>
              <w:t>。</w:t>
            </w:r>
          </w:p>
        </w:tc>
        <w:tc>
          <w:tcPr>
            <w:tcW w:w="1005" w:type="dxa"/>
            <w:gridSpan w:val="2"/>
            <w:vAlign w:val="center"/>
          </w:tcPr>
          <w:p w14:paraId="1325F2EE">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苏鹏</w:t>
            </w:r>
          </w:p>
        </w:tc>
        <w:tc>
          <w:tcPr>
            <w:tcW w:w="1129" w:type="dxa"/>
            <w:gridSpan w:val="2"/>
            <w:vAlign w:val="center"/>
          </w:tcPr>
          <w:p w14:paraId="6DF97E07">
            <w:pPr>
              <w:spacing w:line="0" w:lineRule="atLeast"/>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7616328</w:t>
            </w:r>
          </w:p>
        </w:tc>
      </w:tr>
      <w:tr w14:paraId="5DF7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70" w:type="dxa"/>
            <w:vAlign w:val="center"/>
          </w:tcPr>
          <w:p w14:paraId="72E5E452">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主要承担法制业务的科室</w:t>
            </w:r>
          </w:p>
        </w:tc>
        <w:tc>
          <w:tcPr>
            <w:tcW w:w="6930" w:type="dxa"/>
            <w:gridSpan w:val="13"/>
            <w:vAlign w:val="center"/>
          </w:tcPr>
          <w:p w14:paraId="1AE63A49">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综合业务办公室</w:t>
            </w:r>
          </w:p>
        </w:tc>
      </w:tr>
      <w:tr w14:paraId="675C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770" w:type="dxa"/>
            <w:vMerge w:val="restart"/>
            <w:vAlign w:val="center"/>
          </w:tcPr>
          <w:p w14:paraId="5C1C7A21">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执法</w:t>
            </w:r>
          </w:p>
          <w:p w14:paraId="03B9A138">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类型</w:t>
            </w:r>
          </w:p>
        </w:tc>
        <w:tc>
          <w:tcPr>
            <w:tcW w:w="750" w:type="dxa"/>
            <w:vAlign w:val="center"/>
          </w:tcPr>
          <w:p w14:paraId="172E36D6">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14:paraId="53CFF9AC">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许可</w:t>
            </w:r>
          </w:p>
        </w:tc>
        <w:tc>
          <w:tcPr>
            <w:tcW w:w="510" w:type="dxa"/>
            <w:gridSpan w:val="2"/>
            <w:vAlign w:val="center"/>
          </w:tcPr>
          <w:p w14:paraId="52C6B8B3">
            <w:pPr>
              <w:spacing w:line="0" w:lineRule="atLeast"/>
              <w:jc w:val="center"/>
              <w:rPr>
                <w:rFonts w:ascii="仿宋_GB2312" w:hAnsi="仿宋_GB2312" w:eastAsia="仿宋_GB2312" w:cs="仿宋_GB2312"/>
                <w:kern w:val="0"/>
                <w:sz w:val="20"/>
                <w:szCs w:val="21"/>
              </w:rPr>
            </w:pPr>
          </w:p>
        </w:tc>
        <w:tc>
          <w:tcPr>
            <w:tcW w:w="645" w:type="dxa"/>
            <w:vAlign w:val="center"/>
          </w:tcPr>
          <w:p w14:paraId="61A6B547">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行政裁决</w:t>
            </w:r>
          </w:p>
        </w:tc>
        <w:tc>
          <w:tcPr>
            <w:tcW w:w="675" w:type="dxa"/>
            <w:vAlign w:val="center"/>
          </w:tcPr>
          <w:p w14:paraId="09AC4F83">
            <w:pPr>
              <w:spacing w:line="0" w:lineRule="atLeast"/>
              <w:jc w:val="center"/>
              <w:rPr>
                <w:rFonts w:ascii="仿宋_GB2312" w:hAnsi="仿宋_GB2312" w:eastAsia="仿宋_GB2312" w:cs="仿宋_GB2312"/>
                <w:kern w:val="0"/>
                <w:sz w:val="20"/>
                <w:szCs w:val="21"/>
              </w:rPr>
            </w:pPr>
          </w:p>
        </w:tc>
        <w:tc>
          <w:tcPr>
            <w:tcW w:w="750" w:type="dxa"/>
            <w:vAlign w:val="center"/>
          </w:tcPr>
          <w:p w14:paraId="5B9F0C31">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14:paraId="4E4D7504">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收费</w:t>
            </w:r>
          </w:p>
        </w:tc>
        <w:tc>
          <w:tcPr>
            <w:tcW w:w="660" w:type="dxa"/>
            <w:vAlign w:val="center"/>
          </w:tcPr>
          <w:p w14:paraId="7CC56E99">
            <w:pPr>
              <w:spacing w:line="0" w:lineRule="atLeast"/>
              <w:jc w:val="center"/>
              <w:rPr>
                <w:rFonts w:ascii="仿宋_GB2312" w:hAnsi="仿宋_GB2312" w:eastAsia="仿宋_GB2312" w:cs="仿宋_GB2312"/>
                <w:kern w:val="0"/>
                <w:sz w:val="20"/>
                <w:szCs w:val="21"/>
              </w:rPr>
            </w:pPr>
          </w:p>
        </w:tc>
        <w:tc>
          <w:tcPr>
            <w:tcW w:w="750" w:type="dxa"/>
            <w:vAlign w:val="center"/>
          </w:tcPr>
          <w:p w14:paraId="03796E6F">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14:paraId="5D35121F">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征收</w:t>
            </w:r>
          </w:p>
        </w:tc>
        <w:tc>
          <w:tcPr>
            <w:tcW w:w="645" w:type="dxa"/>
            <w:gridSpan w:val="2"/>
            <w:vAlign w:val="center"/>
          </w:tcPr>
          <w:p w14:paraId="41320CB6">
            <w:pPr>
              <w:spacing w:line="0" w:lineRule="atLeast"/>
              <w:jc w:val="center"/>
              <w:rPr>
                <w:rFonts w:ascii="仿宋_GB2312" w:hAnsi="仿宋_GB2312" w:eastAsia="仿宋_GB2312" w:cs="仿宋_GB2312"/>
                <w:kern w:val="0"/>
                <w:sz w:val="20"/>
                <w:szCs w:val="21"/>
              </w:rPr>
            </w:pPr>
          </w:p>
        </w:tc>
        <w:tc>
          <w:tcPr>
            <w:tcW w:w="978" w:type="dxa"/>
            <w:gridSpan w:val="2"/>
            <w:vAlign w:val="center"/>
          </w:tcPr>
          <w:p w14:paraId="70582475">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14:paraId="40DCAAD1">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确认</w:t>
            </w:r>
          </w:p>
          <w:p w14:paraId="7C880E8E">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（登记）</w:t>
            </w:r>
          </w:p>
        </w:tc>
        <w:tc>
          <w:tcPr>
            <w:tcW w:w="567" w:type="dxa"/>
            <w:vAlign w:val="center"/>
          </w:tcPr>
          <w:p w14:paraId="1DF73C91">
            <w:pPr>
              <w:spacing w:line="0" w:lineRule="atLeast"/>
              <w:jc w:val="center"/>
              <w:rPr>
                <w:rFonts w:ascii="仿宋_GB2312" w:hAnsi="仿宋_GB2312" w:eastAsia="仿宋_GB2312" w:cs="仿宋_GB2312"/>
                <w:kern w:val="0"/>
                <w:sz w:val="20"/>
                <w:szCs w:val="21"/>
              </w:rPr>
            </w:pPr>
          </w:p>
        </w:tc>
      </w:tr>
      <w:tr w14:paraId="5143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0" w:type="dxa"/>
            <w:vMerge w:val="continue"/>
            <w:vAlign w:val="center"/>
          </w:tcPr>
          <w:p w14:paraId="7EA829BD">
            <w:pPr>
              <w:spacing w:line="0" w:lineRule="atLeast"/>
              <w:rPr>
                <w:rFonts w:ascii="仿宋_GB2312" w:hAnsi="仿宋_GB2312" w:eastAsia="仿宋_GB2312" w:cs="仿宋_GB2312"/>
                <w:kern w:val="0"/>
                <w:sz w:val="20"/>
                <w:szCs w:val="21"/>
              </w:rPr>
            </w:pPr>
          </w:p>
        </w:tc>
        <w:tc>
          <w:tcPr>
            <w:tcW w:w="750" w:type="dxa"/>
            <w:vAlign w:val="center"/>
          </w:tcPr>
          <w:p w14:paraId="5FDEEE22">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14:paraId="2814A585">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强制</w:t>
            </w:r>
          </w:p>
        </w:tc>
        <w:tc>
          <w:tcPr>
            <w:tcW w:w="510" w:type="dxa"/>
            <w:gridSpan w:val="2"/>
            <w:vAlign w:val="center"/>
          </w:tcPr>
          <w:p w14:paraId="28D06909">
            <w:pPr>
              <w:spacing w:line="0" w:lineRule="atLeast"/>
              <w:jc w:val="center"/>
              <w:rPr>
                <w:rFonts w:ascii="仿宋_GB2312" w:hAnsi="仿宋_GB2312" w:eastAsia="仿宋_GB2312" w:cs="仿宋_GB2312"/>
                <w:kern w:val="0"/>
                <w:sz w:val="20"/>
                <w:szCs w:val="21"/>
              </w:rPr>
            </w:pPr>
          </w:p>
        </w:tc>
        <w:tc>
          <w:tcPr>
            <w:tcW w:w="645" w:type="dxa"/>
            <w:vAlign w:val="center"/>
          </w:tcPr>
          <w:p w14:paraId="62A16CFA">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行政检查</w:t>
            </w:r>
          </w:p>
        </w:tc>
        <w:tc>
          <w:tcPr>
            <w:tcW w:w="675" w:type="dxa"/>
            <w:vAlign w:val="center"/>
          </w:tcPr>
          <w:p w14:paraId="6B45EEF9">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c>
          <w:tcPr>
            <w:tcW w:w="750" w:type="dxa"/>
            <w:vAlign w:val="center"/>
          </w:tcPr>
          <w:p w14:paraId="20749904">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14:paraId="29011CB9">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处罚</w:t>
            </w:r>
          </w:p>
        </w:tc>
        <w:tc>
          <w:tcPr>
            <w:tcW w:w="660" w:type="dxa"/>
            <w:vAlign w:val="center"/>
          </w:tcPr>
          <w:p w14:paraId="08CB5CA0">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c>
          <w:tcPr>
            <w:tcW w:w="750" w:type="dxa"/>
            <w:vAlign w:val="center"/>
          </w:tcPr>
          <w:p w14:paraId="36AD5950">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14:paraId="4011A2B3">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给付</w:t>
            </w:r>
          </w:p>
        </w:tc>
        <w:tc>
          <w:tcPr>
            <w:tcW w:w="645" w:type="dxa"/>
            <w:gridSpan w:val="2"/>
            <w:vAlign w:val="center"/>
          </w:tcPr>
          <w:p w14:paraId="2296F681">
            <w:pPr>
              <w:spacing w:line="0" w:lineRule="atLeast"/>
              <w:jc w:val="center"/>
              <w:rPr>
                <w:rFonts w:ascii="仿宋_GB2312" w:hAnsi="仿宋_GB2312" w:eastAsia="仿宋_GB2312" w:cs="仿宋_GB2312"/>
                <w:kern w:val="0"/>
                <w:sz w:val="20"/>
                <w:szCs w:val="21"/>
              </w:rPr>
            </w:pPr>
          </w:p>
        </w:tc>
        <w:tc>
          <w:tcPr>
            <w:tcW w:w="978" w:type="dxa"/>
            <w:gridSpan w:val="2"/>
            <w:vAlign w:val="center"/>
          </w:tcPr>
          <w:p w14:paraId="0B587A71">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其他</w:t>
            </w:r>
          </w:p>
        </w:tc>
        <w:tc>
          <w:tcPr>
            <w:tcW w:w="567" w:type="dxa"/>
            <w:vAlign w:val="center"/>
          </w:tcPr>
          <w:p w14:paraId="39988364">
            <w:pPr>
              <w:spacing w:line="0" w:lineRule="atLeast"/>
              <w:jc w:val="center"/>
              <w:rPr>
                <w:rFonts w:ascii="仿宋_GB2312" w:hAnsi="仿宋_GB2312" w:eastAsia="仿宋_GB2312" w:cs="仿宋_GB2312"/>
                <w:kern w:val="0"/>
                <w:sz w:val="20"/>
                <w:szCs w:val="21"/>
              </w:rPr>
            </w:pPr>
          </w:p>
        </w:tc>
      </w:tr>
      <w:tr w14:paraId="227F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jc w:val="center"/>
        </w:trPr>
        <w:tc>
          <w:tcPr>
            <w:tcW w:w="1770" w:type="dxa"/>
            <w:vAlign w:val="center"/>
          </w:tcPr>
          <w:p w14:paraId="44763199">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执法</w:t>
            </w:r>
          </w:p>
          <w:p w14:paraId="1DF8AB14">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依据（法律法规、地方性法规、政府规章、规范性文件）</w:t>
            </w:r>
          </w:p>
        </w:tc>
        <w:tc>
          <w:tcPr>
            <w:tcW w:w="6930" w:type="dxa"/>
            <w:gridSpan w:val="13"/>
            <w:vAlign w:val="center"/>
          </w:tcPr>
          <w:p w14:paraId="0D980341">
            <w:pPr>
              <w:spacing w:line="0" w:lineRule="atLeast"/>
              <w:rPr>
                <w:rFonts w:hint="eastAsia"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中华人民共和国安全生产法》《企业投资项目核准和备案管理条例》（2016年国务院令第673号）《国务院关于发布政府核准投资项目目录（2016年本）的通知》（国发〔2016〕72号）《宁夏回族自治区企业投资项目核准和备案管理办法》（宁政办发〔2017〕153号）《再生资源回收管理办法》（2007 年商务部、国家发展改革委、公安部、建设部、工商总局、环境保护总局令第8号）；中卫市沙坡头区人民政府办公室《关于印发〈沙头区再生资源回收站（点）专项整治方案〉的通知》（卫沙政办发〔2023〕18号）《单用途商业预付卡管理办法（暂行）》《报废机动车回收管理办法》《报废机动车回收管理办法实施细则》《自治区安全生产治本攻坚三年行动方案（2024-2026年）》《国务院对确需保留的行政审批项目设定行政许可的决定》《国务院关于取消和下放一批行政许可事项的决定》《国务院对确需保留的行政审批项目设定行政许可的决定》《国务院关于取消和下放一批行政许可事项的决定》</w:t>
            </w:r>
          </w:p>
        </w:tc>
      </w:tr>
      <w:tr w14:paraId="3694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770" w:type="dxa"/>
            <w:vAlign w:val="center"/>
          </w:tcPr>
          <w:p w14:paraId="68F568EC">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监督机构及电话</w:t>
            </w:r>
          </w:p>
        </w:tc>
        <w:tc>
          <w:tcPr>
            <w:tcW w:w="6930" w:type="dxa"/>
            <w:gridSpan w:val="13"/>
            <w:vAlign w:val="center"/>
          </w:tcPr>
          <w:p w14:paraId="17A0FA2D">
            <w:pPr>
              <w:spacing w:line="0" w:lineRule="atLeast"/>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eastAsia="zh-CN"/>
              </w:rPr>
              <w:t>综合业务办公室</w:t>
            </w:r>
            <w:r>
              <w:rPr>
                <w:rFonts w:hint="eastAsia" w:ascii="仿宋_GB2312" w:hAnsi="仿宋_GB2312" w:eastAsia="仿宋_GB2312" w:cs="仿宋_GB2312"/>
                <w:kern w:val="0"/>
                <w:sz w:val="20"/>
                <w:szCs w:val="21"/>
                <w:lang w:val="en-US" w:eastAsia="zh-CN"/>
              </w:rPr>
              <w:t xml:space="preserve">  7616328</w:t>
            </w:r>
          </w:p>
        </w:tc>
      </w:tr>
    </w:tbl>
    <w:p w14:paraId="75F1C061"/>
    <w:sectPr>
      <w:footerReference r:id="rId3" w:type="default"/>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D9BFB">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920F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A920F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08E0957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B744D"/>
    <w:rsid w:val="0160049A"/>
    <w:rsid w:val="0201686D"/>
    <w:rsid w:val="058E29DC"/>
    <w:rsid w:val="0C1831C0"/>
    <w:rsid w:val="0D9C19F0"/>
    <w:rsid w:val="114B32FC"/>
    <w:rsid w:val="13CD0E32"/>
    <w:rsid w:val="144E4B4A"/>
    <w:rsid w:val="158B744D"/>
    <w:rsid w:val="17B17CB7"/>
    <w:rsid w:val="1F8134B5"/>
    <w:rsid w:val="25A919E0"/>
    <w:rsid w:val="25BF192C"/>
    <w:rsid w:val="2A9E6CE6"/>
    <w:rsid w:val="2D043A05"/>
    <w:rsid w:val="2E2342C5"/>
    <w:rsid w:val="327E3595"/>
    <w:rsid w:val="33A92A44"/>
    <w:rsid w:val="345D3D37"/>
    <w:rsid w:val="37F7077C"/>
    <w:rsid w:val="383D088C"/>
    <w:rsid w:val="38B87DBC"/>
    <w:rsid w:val="399E0A29"/>
    <w:rsid w:val="48D908BF"/>
    <w:rsid w:val="48FB6A7E"/>
    <w:rsid w:val="5128218C"/>
    <w:rsid w:val="547B399B"/>
    <w:rsid w:val="54D0032A"/>
    <w:rsid w:val="550A1EB8"/>
    <w:rsid w:val="5A1050CB"/>
    <w:rsid w:val="5A6E347B"/>
    <w:rsid w:val="5FCB453B"/>
    <w:rsid w:val="6076351E"/>
    <w:rsid w:val="623C746A"/>
    <w:rsid w:val="62EF615A"/>
    <w:rsid w:val="631C3BD0"/>
    <w:rsid w:val="65555DF2"/>
    <w:rsid w:val="65706ACF"/>
    <w:rsid w:val="670E39C9"/>
    <w:rsid w:val="67640BB7"/>
    <w:rsid w:val="6814503B"/>
    <w:rsid w:val="6CBF1A0B"/>
    <w:rsid w:val="6FDFE2F0"/>
    <w:rsid w:val="7114730C"/>
    <w:rsid w:val="768E083D"/>
    <w:rsid w:val="77B53DAD"/>
    <w:rsid w:val="78566B0F"/>
    <w:rsid w:val="78C57045"/>
    <w:rsid w:val="7908129C"/>
    <w:rsid w:val="790E2F1C"/>
    <w:rsid w:val="797F15C6"/>
    <w:rsid w:val="7A70570B"/>
    <w:rsid w:val="EFD7C1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jc w:val="left"/>
    </w:pPr>
    <w:rPr>
      <w:rFonts w:ascii="宋体" w:hAnsi="宋体" w:cs="宋体"/>
      <w:kern w:val="0"/>
      <w:sz w:val="24"/>
    </w:rPr>
  </w:style>
  <w:style w:type="table" w:styleId="6">
    <w:name w:val="Table Grid"/>
    <w:basedOn w:val="5"/>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160</TotalTime>
  <ScaleCrop>false</ScaleCrop>
  <LinksUpToDate>false</LinksUpToDate>
  <CharactersWithSpaces>0</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2017-05-01T20:05:00Z</dcterms:created>
  <dc:creator>匿名用户</dc:creator>
  <cp:lastModifiedBy>Somnus</cp:lastModifiedBy>
  <cp:lastPrinted>2025-11-04T15:08:26Z</cp:lastPrinted>
  <dcterms:modified xsi:type="dcterms:W3CDTF">2025-11-04T17:47:04Z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085BF8995B8C3B47477109694BC4A65F_43</vt:lpwstr>
  </property>
</Properties>
</file>