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2"/>
        <w:ind w:left="0" w:leftChars="0" w:firstLine="0" w:firstLineChars="0"/>
        <w:rPr>
          <w:rFonts w:hint="eastAsia" w:ascii="方正小标宋_GBK" w:hAnsi="方正小标宋_GBK" w:eastAsia="方正小标宋_GBK" w:cs="方正小标宋_GBK"/>
          <w:i w:val="0"/>
          <w:color w:val="auto"/>
          <w:kern w:val="0"/>
          <w:sz w:val="44"/>
          <w:szCs w:val="44"/>
          <w:u w:val="none"/>
          <w:lang w:val="en-US" w:eastAsia="zh-CN" w:bidi="ar"/>
        </w:rPr>
      </w:pPr>
      <w:r>
        <w:rPr>
          <w:rFonts w:hint="eastAsia" w:ascii="方正小标宋_GBK" w:hAnsi="方正小标宋_GBK" w:eastAsia="方正小标宋_GBK" w:cs="方正小标宋_GBK"/>
          <w:i w:val="0"/>
          <w:color w:val="auto"/>
          <w:kern w:val="0"/>
          <w:sz w:val="44"/>
          <w:szCs w:val="44"/>
          <w:u w:val="none"/>
          <w:lang w:val="en-US" w:eastAsia="zh-CN" w:bidi="ar"/>
        </w:rPr>
        <w:t>中卫市生态环境局沙坡头区分局“谁执法谁普法”四个清单工作分解表</w:t>
      </w:r>
    </w:p>
    <w:tbl>
      <w:tblPr>
        <w:tblStyle w:val="8"/>
        <w:tblpPr w:leftFromText="180" w:rightFromText="180" w:vertAnchor="text" w:horzAnchor="page" w:tblpX="921" w:tblpY="210"/>
        <w:tblOverlap w:val="never"/>
        <w:tblW w:w="151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400"/>
        <w:gridCol w:w="3485"/>
        <w:gridCol w:w="4275"/>
        <w:gridCol w:w="2706"/>
        <w:gridCol w:w="1348"/>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序号</w:t>
            </w:r>
          </w:p>
        </w:tc>
        <w:tc>
          <w:tcPr>
            <w:tcW w:w="14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w:t>
            </w:r>
          </w:p>
        </w:tc>
        <w:tc>
          <w:tcPr>
            <w:tcW w:w="348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内容清单</w:t>
            </w:r>
          </w:p>
        </w:tc>
        <w:tc>
          <w:tcPr>
            <w:tcW w:w="427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措施清单</w:t>
            </w:r>
          </w:p>
        </w:tc>
        <w:tc>
          <w:tcPr>
            <w:tcW w:w="2706"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标准清单</w:t>
            </w:r>
          </w:p>
        </w:tc>
        <w:tc>
          <w:tcPr>
            <w:tcW w:w="2680"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color w:val="auto"/>
                <w:sz w:val="28"/>
                <w:szCs w:val="28"/>
                <w:u w:val="none"/>
              </w:rPr>
            </w:pPr>
          </w:p>
        </w:tc>
        <w:tc>
          <w:tcPr>
            <w:tcW w:w="1400"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hint="eastAsia" w:ascii="仿宋" w:hAnsi="仿宋" w:eastAsia="仿宋" w:cs="仿宋"/>
                <w:i w:val="0"/>
                <w:color w:val="auto"/>
                <w:sz w:val="28"/>
                <w:szCs w:val="28"/>
                <w:u w:val="none"/>
              </w:rPr>
            </w:pPr>
          </w:p>
        </w:tc>
        <w:tc>
          <w:tcPr>
            <w:tcW w:w="3485" w:type="dxa"/>
            <w:vMerge w:val="continue"/>
            <w:tcBorders>
              <w:top w:val="single" w:color="000000" w:sz="8" w:space="0"/>
              <w:left w:val="nil"/>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color w:val="auto"/>
                <w:sz w:val="28"/>
                <w:szCs w:val="28"/>
                <w:u w:val="none"/>
              </w:rPr>
            </w:pPr>
          </w:p>
        </w:tc>
        <w:tc>
          <w:tcPr>
            <w:tcW w:w="4275" w:type="dxa"/>
            <w:vMerge w:val="continue"/>
            <w:tcBorders>
              <w:top w:val="single" w:color="000000" w:sz="8" w:space="0"/>
              <w:left w:val="nil"/>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color w:val="auto"/>
                <w:sz w:val="28"/>
                <w:szCs w:val="28"/>
                <w:u w:val="none"/>
              </w:rPr>
            </w:pPr>
          </w:p>
        </w:tc>
        <w:tc>
          <w:tcPr>
            <w:tcW w:w="2706" w:type="dxa"/>
            <w:vMerge w:val="continue"/>
            <w:tcBorders>
              <w:top w:val="single" w:color="000000" w:sz="8" w:space="0"/>
              <w:left w:val="nil"/>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color w:val="auto"/>
                <w:sz w:val="28"/>
                <w:szCs w:val="28"/>
                <w:u w:val="none"/>
              </w:rPr>
            </w:pPr>
          </w:p>
        </w:tc>
        <w:tc>
          <w:tcPr>
            <w:tcW w:w="1348"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普法责任主体</w:t>
            </w:r>
          </w:p>
        </w:tc>
        <w:tc>
          <w:tcPr>
            <w:tcW w:w="1332"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普法对象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习近平法治思想</w:t>
            </w: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习近平法治思想</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1.把习近平法治思想列入“每周学法”计划，利用每周一会前学法集中开展学习。2.运用“学习强国”培训网络学院等平台，进行多形式、分层次的学习。3.积极参加上级部门组织的有关讲座、培训班。</w:t>
            </w:r>
          </w:p>
        </w:tc>
        <w:tc>
          <w:tcPr>
            <w:tcW w:w="2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组织领导方面（30分）：1.将普法工作纳入本单位工作全局，与业务工作同部署、同检查、同落实，配备1名专（兼）职普法工作人员，并能根据人事变动及时调整。（10分）2.根据本单位自身工作特点、工作重点和服务对象，建立普法责任清单。（10分）3.按要求及时向沙坡头区普法办报送工作信息及其他相关材料，积极宣传报道工作经验和先进典型，6分；普法工作档案资料齐全、管理规范，4分。（10分）</w:t>
            </w:r>
          </w:p>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普法工作开展方面（70分）：1.认真组织实施并全面完成年度普法工作任务。（20分）2.干部职工参加法治培训每年不少于2次。（20分）3.重要时间节点开展普法，每年至少举办一次面向社会的法治宣传教育专题活动（15分）4.按照“谁主管谁负责”的原则，根据行业特点和特定群体的法律需求，深入开展“法律八进”活动。（10分）5．微信工作群设置专门法治宣传设施，提供普法宣传资料。（5分）</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综合办公室牵头，各办公室配合</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全体干部职工;社会公众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63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2</w:t>
            </w:r>
          </w:p>
        </w:tc>
        <w:tc>
          <w:tcPr>
            <w:tcW w:w="14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宪法</w:t>
            </w:r>
          </w:p>
        </w:tc>
        <w:tc>
          <w:tcPr>
            <w:tcW w:w="3485"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《中华人民共和国宪法》及《中华人民共和国国旗法》《中华人民共和国国歌法》《中华人民共和国国徽法》等相关法律法规</w:t>
            </w:r>
          </w:p>
        </w:tc>
        <w:tc>
          <w:tcPr>
            <w:tcW w:w="4275" w:type="dxa"/>
            <w:tcBorders>
              <w:top w:val="single" w:color="auto" w:sz="4" w:space="0"/>
              <w:left w:val="single" w:color="000000" w:sz="8" w:space="0"/>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将《中华人民共和国国旗法》《中华人民共和国国歌法》《中华人民共和国国徽法》等宪法相关法列入“每周学法”计划，利用每周一会前学法集中开展学习。2.在“12.4”国家宪法日这一重要时间节点广泛开展宪法学习宣传教育。3.积极参加上级部门组织的有关讲座、培训班。</w:t>
            </w:r>
          </w:p>
        </w:tc>
        <w:tc>
          <w:tcPr>
            <w:tcW w:w="270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color w:val="auto"/>
                <w:sz w:val="28"/>
                <w:szCs w:val="28"/>
                <w:u w:val="none"/>
              </w:rPr>
            </w:pPr>
          </w:p>
        </w:tc>
        <w:tc>
          <w:tcPr>
            <w:tcW w:w="1348"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综合办公室牵头，各办公室配合</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全体干部职工;社会公众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630" w:type="dxa"/>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color w:val="auto"/>
              </w:rPr>
            </w:pPr>
          </w:p>
          <w:p>
            <w:pPr>
              <w:bidi w:val="0"/>
              <w:rPr>
                <w:rFonts w:hint="eastAsia"/>
                <w:color w:val="auto"/>
                <w:lang w:val="en-US" w:eastAsia="zh-CN"/>
              </w:rPr>
            </w:pPr>
          </w:p>
          <w:p>
            <w:pPr>
              <w:bidi w:val="0"/>
              <w:rPr>
                <w:rFonts w:hint="eastAsia"/>
                <w:color w:val="auto"/>
                <w:lang w:val="en-US" w:eastAsia="zh-CN"/>
              </w:rPr>
            </w:pPr>
          </w:p>
          <w:p>
            <w:pPr>
              <w:bidi w:val="0"/>
              <w:jc w:val="center"/>
              <w:rPr>
                <w:rFonts w:hint="default"/>
                <w:color w:val="auto"/>
                <w:lang w:val="en-US" w:eastAsia="zh-CN"/>
              </w:rPr>
            </w:pPr>
            <w:r>
              <w:rPr>
                <w:rFonts w:hint="eastAsia" w:ascii="仿宋" w:hAnsi="仿宋" w:eastAsia="仿宋" w:cs="仿宋"/>
                <w:i w:val="0"/>
                <w:color w:val="auto"/>
                <w:kern w:val="0"/>
                <w:sz w:val="28"/>
                <w:szCs w:val="28"/>
                <w:u w:val="none"/>
                <w:lang w:val="en-US" w:eastAsia="zh-CN" w:bidi="ar"/>
              </w:rPr>
              <w:t>3</w:t>
            </w:r>
          </w:p>
        </w:tc>
        <w:tc>
          <w:tcPr>
            <w:tcW w:w="14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中国特色社会主义法律体系</w:t>
            </w:r>
          </w:p>
        </w:tc>
        <w:tc>
          <w:tcPr>
            <w:tcW w:w="3485"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中华人民共和国民法典》《中华人民共和国禁毒法》《中华人民共和国民族区域自治法》《中华人民共和国反电信网络诈骗法》《中华人民共和国数据安全法》《中华人民共和国反间谍法》《中华人民共和国突发事件应对法》《中华人民共和国反有组织犯罪法》等法律法规</w:t>
            </w:r>
          </w:p>
        </w:tc>
        <w:tc>
          <w:tcPr>
            <w:tcW w:w="4275" w:type="dxa"/>
            <w:tcBorders>
              <w:top w:val="single" w:color="auto" w:sz="4" w:space="0"/>
              <w:left w:val="single" w:color="000000" w:sz="8" w:space="0"/>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将《中华人民共和国民法典》《中华人民共和国民族区域自治法》《中华人民共和国反电信网络诈骗法》《中华人民共和国数据安全法》等法律法规列入“每周学法”计划，利用每周一会前学法集中开展学习。2.在“4.15”国家安全日、“5.1”国际劳动节、“6.26”国际禁毒日、“民族团结月等重要时间节点开展普法学习宣传。3..开展"开放日”活动，面向社会公众展示公正文明执法良好形象。4.积极参加上级部门组织的有关讲座、培训班。</w:t>
            </w:r>
          </w:p>
        </w:tc>
        <w:tc>
          <w:tcPr>
            <w:tcW w:w="270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color w:val="auto"/>
                <w:sz w:val="28"/>
                <w:szCs w:val="28"/>
                <w:u w:val="none"/>
              </w:rPr>
            </w:pPr>
          </w:p>
        </w:tc>
        <w:tc>
          <w:tcPr>
            <w:tcW w:w="1348"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综合办公室牵头，各办公室配合</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全体干部职工;社会公众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0" w:hRule="atLeast"/>
        </w:trPr>
        <w:tc>
          <w:tcPr>
            <w:tcW w:w="63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4</w:t>
            </w:r>
          </w:p>
        </w:tc>
        <w:tc>
          <w:tcPr>
            <w:tcW w:w="14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党内法规</w:t>
            </w:r>
          </w:p>
        </w:tc>
        <w:tc>
          <w:tcPr>
            <w:tcW w:w="3485"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中国共产党章程》《中国共产党党内监督条例》《中国共产党党员教育管理工作条例》《中国共产党纪律处分条例》《中国共产党问责条例》《中国共产党政法工作条例》《中国共产党宣传工作条例》《中国共产党重大事项请示报告条例》《中国共产党党员权利保障条例》《中国共产党廉洁自律准则》《关于新形势下党内政治生活的若干准则》等党内法规</w:t>
            </w:r>
          </w:p>
        </w:tc>
        <w:tc>
          <w:tcPr>
            <w:tcW w:w="4275" w:type="dxa"/>
            <w:tcBorders>
              <w:top w:val="single" w:color="auto" w:sz="4" w:space="0"/>
              <w:left w:val="single" w:color="000000" w:sz="8" w:space="0"/>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1.把重要党内法规列入“每周学法”计划，利用每周一会前学法集中开展学习。2.在“7.1”中国共产党建党节这一重要时间节点开展普法学习宣传。3.积极参加上级部门组织的有关讲座、培训班。</w:t>
            </w:r>
            <w:bookmarkStart w:id="0" w:name="_GoBack"/>
            <w:bookmarkEnd w:id="0"/>
          </w:p>
        </w:tc>
        <w:tc>
          <w:tcPr>
            <w:tcW w:w="270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i w:val="0"/>
                <w:color w:val="auto"/>
                <w:sz w:val="28"/>
                <w:szCs w:val="28"/>
                <w:u w:val="none"/>
              </w:rPr>
            </w:pPr>
          </w:p>
        </w:tc>
        <w:tc>
          <w:tcPr>
            <w:tcW w:w="1348"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综合办公室牵头，各办公室配合</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全体党员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trPr>
        <w:tc>
          <w:tcPr>
            <w:tcW w:w="63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5</w:t>
            </w:r>
          </w:p>
        </w:tc>
        <w:tc>
          <w:tcPr>
            <w:tcW w:w="14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与业务相关的法律法规规章</w:t>
            </w:r>
          </w:p>
        </w:tc>
        <w:tc>
          <w:tcPr>
            <w:tcW w:w="3485"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中卫市烟花爆竹安全管理办法》《中华人民共和国黄河保护法》《宁夏回族自治区固体废物污染环境防治条例》《中华人民共和国水污染防治法》《宁夏回族自治区大气污染防治条例》《宁夏回族自治区建设黄河流域生态保护和高质量发展先行区促进条例》《宁夏回族自治区环境保护条例》《放射性物品运输安全管理条例》《优化营商环境条例》《信访工作条例》等</w:t>
            </w:r>
          </w:p>
        </w:tc>
        <w:tc>
          <w:tcPr>
            <w:tcW w:w="4275"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把《中卫市烟花爆竹安全管理办法》《宁夏回族自治区固体废物污染环境防治条例》《中华人民共和国水污染防治法》等法律法规规章列入“每周学法”计划，利用每周一会前学法集中开展学习。2.在“4.22”世界地球日、“6.5”世界环境日等重要时间节点开展普法学习宣传。3.积极参加上级部门组织的有关讲座、培训班。4.在日常检查过程中主动开展“面对面”生态环境法治宣传教育。</w:t>
            </w:r>
          </w:p>
        </w:tc>
        <w:tc>
          <w:tcPr>
            <w:tcW w:w="2706" w:type="dxa"/>
            <w:vMerge w:val="continue"/>
            <w:tcBorders>
              <w:top w:val="single" w:color="auto" w:sz="4" w:space="0"/>
              <w:left w:val="single" w:color="auto" w:sz="4" w:space="0"/>
              <w:bottom w:val="single" w:color="000000" w:sz="8" w:space="0"/>
              <w:right w:val="single" w:color="auto" w:sz="4" w:space="0"/>
            </w:tcBorders>
            <w:shd w:val="clear" w:color="auto" w:fill="auto"/>
            <w:vAlign w:val="center"/>
          </w:tcPr>
          <w:p>
            <w:pPr>
              <w:jc w:val="center"/>
              <w:rPr>
                <w:rFonts w:hint="eastAsia" w:ascii="仿宋" w:hAnsi="仿宋" w:eastAsia="仿宋" w:cs="仿宋"/>
                <w:i w:val="0"/>
                <w:color w:val="auto"/>
                <w:sz w:val="28"/>
                <w:szCs w:val="28"/>
                <w:u w:val="none"/>
              </w:rPr>
            </w:pPr>
          </w:p>
        </w:tc>
        <w:tc>
          <w:tcPr>
            <w:tcW w:w="1348"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综合办公室牵头，各办公室配合</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全体干部职工;社会公众：行业企业</w:t>
            </w:r>
          </w:p>
        </w:tc>
      </w:tr>
    </w:tbl>
    <w:p>
      <w:pPr>
        <w:pStyle w:val="2"/>
        <w:ind w:left="0" w:leftChars="0" w:firstLine="0" w:firstLineChars="0"/>
        <w:rPr>
          <w:rFonts w:hint="eastAsia" w:ascii="黑体" w:hAnsi="黑体" w:eastAsia="黑体" w:cs="黑体"/>
          <w:color w:val="auto"/>
          <w:sz w:val="32"/>
          <w:szCs w:val="32"/>
          <w:lang w:val="en-US" w:eastAsia="zh-CN"/>
        </w:rPr>
        <w:sectPr>
          <w:pgSz w:w="16838" w:h="11906" w:orient="landscape"/>
          <w:pgMar w:top="1134" w:right="1474" w:bottom="1531"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firstLine="0"/>
        <w:jc w:val="left"/>
        <w:textAlignment w:val="auto"/>
        <w:rPr>
          <w:rFonts w:hint="default" w:ascii="Times New Roman" w:hAnsi="Times New Roman" w:eastAsia="仿宋_GB2312" w:cs="Times New Roman"/>
          <w:color w:val="auto"/>
          <w:sz w:val="10"/>
          <w:szCs w:val="10"/>
        </w:rPr>
      </w:pPr>
    </w:p>
    <w:sectPr>
      <w:footerReference r:id="rId3" w:type="default"/>
      <w:pgSz w:w="16838" w:h="11906" w:orient="landscape"/>
      <w:pgMar w:top="1020" w:right="1587"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auto"/>
    <w:pitch w:val="default"/>
    <w:sig w:usb0="00000000" w:usb1="00000000" w:usb2="00000009" w:usb3="00000000" w:csb0="600001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F4CC1"/>
    <w:rsid w:val="047C3F6B"/>
    <w:rsid w:val="06B6246E"/>
    <w:rsid w:val="07334CE9"/>
    <w:rsid w:val="0A992D49"/>
    <w:rsid w:val="0BC20263"/>
    <w:rsid w:val="0D161D65"/>
    <w:rsid w:val="0F3F9740"/>
    <w:rsid w:val="104C7620"/>
    <w:rsid w:val="14C7645D"/>
    <w:rsid w:val="17F51A64"/>
    <w:rsid w:val="19D3326D"/>
    <w:rsid w:val="1E3107BF"/>
    <w:rsid w:val="1F8C4E28"/>
    <w:rsid w:val="22941F92"/>
    <w:rsid w:val="25BDE277"/>
    <w:rsid w:val="2BFB1D1C"/>
    <w:rsid w:val="2BFB6687"/>
    <w:rsid w:val="2C0B0967"/>
    <w:rsid w:val="2CFA6FB5"/>
    <w:rsid w:val="2FF77B8F"/>
    <w:rsid w:val="31617BBB"/>
    <w:rsid w:val="318F0B39"/>
    <w:rsid w:val="333B629F"/>
    <w:rsid w:val="34AB2814"/>
    <w:rsid w:val="368D2282"/>
    <w:rsid w:val="37AD0110"/>
    <w:rsid w:val="37ED655D"/>
    <w:rsid w:val="38231A9F"/>
    <w:rsid w:val="3AEE747F"/>
    <w:rsid w:val="3AFF796E"/>
    <w:rsid w:val="3FCF7564"/>
    <w:rsid w:val="3FFB5FF2"/>
    <w:rsid w:val="400D34C0"/>
    <w:rsid w:val="40E47D39"/>
    <w:rsid w:val="41DB6C9F"/>
    <w:rsid w:val="41F04398"/>
    <w:rsid w:val="47CA2765"/>
    <w:rsid w:val="49C66BB9"/>
    <w:rsid w:val="4B77FD33"/>
    <w:rsid w:val="4EE21F47"/>
    <w:rsid w:val="4FFBB3A4"/>
    <w:rsid w:val="53EB06AE"/>
    <w:rsid w:val="55D05151"/>
    <w:rsid w:val="566BA479"/>
    <w:rsid w:val="595604B7"/>
    <w:rsid w:val="5ABE1BAA"/>
    <w:rsid w:val="5C7B370F"/>
    <w:rsid w:val="5D637A69"/>
    <w:rsid w:val="5EB7A19A"/>
    <w:rsid w:val="5EEF4625"/>
    <w:rsid w:val="5FFF2A43"/>
    <w:rsid w:val="60244ECB"/>
    <w:rsid w:val="61207A76"/>
    <w:rsid w:val="614F4CC1"/>
    <w:rsid w:val="62A764F5"/>
    <w:rsid w:val="6717D30C"/>
    <w:rsid w:val="67FF6B9B"/>
    <w:rsid w:val="68B820D2"/>
    <w:rsid w:val="6B5F82F9"/>
    <w:rsid w:val="6C5FB85D"/>
    <w:rsid w:val="6D6F8B7C"/>
    <w:rsid w:val="6E6D66B5"/>
    <w:rsid w:val="6F2F51EA"/>
    <w:rsid w:val="6F7F2F06"/>
    <w:rsid w:val="6FDD1867"/>
    <w:rsid w:val="706FEB26"/>
    <w:rsid w:val="71580993"/>
    <w:rsid w:val="71673357"/>
    <w:rsid w:val="73F25986"/>
    <w:rsid w:val="7697CDE5"/>
    <w:rsid w:val="76A33D6E"/>
    <w:rsid w:val="775D49F2"/>
    <w:rsid w:val="77EF853D"/>
    <w:rsid w:val="77F5EBDD"/>
    <w:rsid w:val="77FA8048"/>
    <w:rsid w:val="77FCE87F"/>
    <w:rsid w:val="786A3605"/>
    <w:rsid w:val="795ED79B"/>
    <w:rsid w:val="7AB59663"/>
    <w:rsid w:val="7BDE85FE"/>
    <w:rsid w:val="7BF92DF0"/>
    <w:rsid w:val="7BFEE61C"/>
    <w:rsid w:val="7D893858"/>
    <w:rsid w:val="7E8A3360"/>
    <w:rsid w:val="7F3F2567"/>
    <w:rsid w:val="7F5F7963"/>
    <w:rsid w:val="7F7DA236"/>
    <w:rsid w:val="7F9AF1D4"/>
    <w:rsid w:val="7FB9D892"/>
    <w:rsid w:val="7FBFD49D"/>
    <w:rsid w:val="7FDF874E"/>
    <w:rsid w:val="7FF3A52D"/>
    <w:rsid w:val="7FF9A683"/>
    <w:rsid w:val="9CBAD712"/>
    <w:rsid w:val="9D9F1444"/>
    <w:rsid w:val="9FD9D678"/>
    <w:rsid w:val="9FFFF443"/>
    <w:rsid w:val="AFBF3D06"/>
    <w:rsid w:val="B9EF804B"/>
    <w:rsid w:val="BF5DE44A"/>
    <w:rsid w:val="BFBF4F4F"/>
    <w:rsid w:val="BFE8E60C"/>
    <w:rsid w:val="BFFF30C5"/>
    <w:rsid w:val="BFFF5EE9"/>
    <w:rsid w:val="CFF1DDD0"/>
    <w:rsid w:val="D3D73F74"/>
    <w:rsid w:val="D7FDFD72"/>
    <w:rsid w:val="D97353E7"/>
    <w:rsid w:val="D98DCCA8"/>
    <w:rsid w:val="DD75B14B"/>
    <w:rsid w:val="DD89FC95"/>
    <w:rsid w:val="DDA1C72C"/>
    <w:rsid w:val="DDAB1A63"/>
    <w:rsid w:val="DEFF19FA"/>
    <w:rsid w:val="DF7B9980"/>
    <w:rsid w:val="DFFF0B6E"/>
    <w:rsid w:val="DFFF8FB4"/>
    <w:rsid w:val="E7FE814D"/>
    <w:rsid w:val="EB9DF78F"/>
    <w:rsid w:val="EBDD2BB3"/>
    <w:rsid w:val="EF764FE6"/>
    <w:rsid w:val="EF896BD4"/>
    <w:rsid w:val="EFF60EC8"/>
    <w:rsid w:val="F39CC5BB"/>
    <w:rsid w:val="F48C962F"/>
    <w:rsid w:val="F4DF7027"/>
    <w:rsid w:val="F77CB499"/>
    <w:rsid w:val="F9FCC4B4"/>
    <w:rsid w:val="FBFF2BF5"/>
    <w:rsid w:val="FEAF391E"/>
    <w:rsid w:val="FFEB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shd w:val="clear" w:fill="F5F5F5"/>
    </w:rPr>
  </w:style>
  <w:style w:type="character" w:styleId="12">
    <w:name w:val="FollowedHyperlink"/>
    <w:basedOn w:val="10"/>
    <w:qFormat/>
    <w:uiPriority w:val="0"/>
    <w:rPr>
      <w:color w:val="800080"/>
      <w:u w:val="single"/>
    </w:rPr>
  </w:style>
  <w:style w:type="character" w:styleId="13">
    <w:name w:val="HTML Definition"/>
    <w:basedOn w:val="10"/>
    <w:qFormat/>
    <w:uiPriority w:val="0"/>
    <w:rPr>
      <w:i/>
    </w:rPr>
  </w:style>
  <w:style w:type="character" w:styleId="14">
    <w:name w:val="Hyperlink"/>
    <w:basedOn w:val="10"/>
    <w:qFormat/>
    <w:uiPriority w:val="0"/>
    <w:rPr>
      <w:color w:val="3C8DBC"/>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FFFFFF"/>
      <w:sz w:val="21"/>
      <w:szCs w:val="21"/>
      <w:shd w:val="clear" w:fill="333333"/>
    </w:rPr>
  </w:style>
  <w:style w:type="character" w:styleId="17">
    <w:name w:val="HTML Sample"/>
    <w:basedOn w:val="10"/>
    <w:qFormat/>
    <w:uiPriority w:val="0"/>
    <w:rPr>
      <w:rFonts w:ascii="Consolas" w:hAnsi="Consolas" w:eastAsia="Consolas" w:cs="Consolas"/>
      <w:sz w:val="21"/>
      <w:szCs w:val="21"/>
    </w:rPr>
  </w:style>
  <w:style w:type="paragraph" w:customStyle="1" w:styleId="18">
    <w:name w:val="目录1.1"/>
    <w:basedOn w:val="19"/>
    <w:qFormat/>
    <w:uiPriority w:val="0"/>
    <w:pPr>
      <w:ind w:firstLine="0" w:firstLineChars="0"/>
      <w:jc w:val="center"/>
    </w:pPr>
    <w:rPr>
      <w:rFonts w:ascii="Times New Roman" w:hAnsi="Times New Roman" w:eastAsia="方正小标宋简体"/>
      <w:sz w:val="44"/>
      <w:szCs w:val="44"/>
    </w:rPr>
  </w:style>
  <w:style w:type="paragraph" w:customStyle="1" w:styleId="19">
    <w:name w:val="排版正文"/>
    <w:basedOn w:val="1"/>
    <w:qFormat/>
    <w:uiPriority w:val="0"/>
    <w:pPr>
      <w:spacing w:line="600" w:lineRule="exact"/>
      <w:ind w:firstLine="420" w:firstLineChars="200"/>
    </w:pPr>
    <w:rPr>
      <w:rFonts w:ascii="Times New Roman" w:hAnsi="Times New Roman" w:eastAsia="仿宋_GB2312"/>
      <w:sz w:val="32"/>
      <w:szCs w:val="32"/>
    </w:rPr>
  </w:style>
  <w:style w:type="character" w:customStyle="1" w:styleId="20">
    <w:name w:val="font21"/>
    <w:basedOn w:val="10"/>
    <w:qFormat/>
    <w:uiPriority w:val="0"/>
    <w:rPr>
      <w:rFonts w:hint="eastAsia" w:ascii="宋体" w:hAnsi="宋体" w:eastAsia="宋体" w:cs="宋体"/>
      <w:color w:val="000000"/>
      <w:sz w:val="22"/>
      <w:szCs w:val="22"/>
      <w:u w:val="none"/>
    </w:rPr>
  </w:style>
  <w:style w:type="character" w:customStyle="1" w:styleId="21">
    <w:name w:val="font11"/>
    <w:basedOn w:val="10"/>
    <w:qFormat/>
    <w:uiPriority w:val="0"/>
    <w:rPr>
      <w:rFonts w:hint="eastAsia" w:ascii="宋体" w:hAnsi="宋体" w:eastAsia="宋体" w:cs="宋体"/>
      <w:color w:val="000000"/>
      <w:sz w:val="32"/>
      <w:szCs w:val="32"/>
      <w:u w:val="none"/>
    </w:rPr>
  </w:style>
  <w:style w:type="character" w:customStyle="1" w:styleId="22">
    <w:name w:val="font01"/>
    <w:basedOn w:val="10"/>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2020-03-15T01:06:00Z</dcterms:created>
  <dc:creator>Administrator</dc:creator>
  <cp:lastModifiedBy>zw</cp:lastModifiedBy>
  <cp:lastPrinted>2023-06-15T18:39:00Z</cp:lastPrinted>
  <dcterms:modified xsi:type="dcterms:W3CDTF">2023-06-15T15:31:35Z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SaveFontToCloudKey">
    <vt:lpwstr>318921987_btnclosed</vt:lpwstr>
  </property>
  <property fmtid="{D5CDD505-2E9C-101B-9397-08002B2CF9AE}" pid="4" name="ICV">
    <vt:lpwstr>FED9964BB6F548789A0F7CEFC49C49F9</vt:lpwstr>
  </property>
</Properties>
</file>