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afterLines="0" w:line="560" w:lineRule="exact"/>
        <w:textAlignment w:val="auto"/>
        <w:rPr>
          <w:rFonts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附件</w:t>
      </w:r>
      <w:r>
        <w:rPr>
          <w:rFonts w:hint="eastAsia" w:ascii="Times New Roman" w:hAnsi="Times New Roman" w:eastAsia="仿宋_GB2312" w:cs="Times New Roman"/>
          <w:color w:val="auto"/>
          <w:kern w:val="0"/>
          <w:sz w:val="32"/>
          <w:szCs w:val="32"/>
          <w:lang w:val="en-US" w:eastAsia="zh-CN" w:bidi="ar-SA"/>
        </w:rPr>
        <w:t>4</w:t>
      </w:r>
    </w:p>
    <w:p>
      <w:pPr>
        <w:pStyle w:val="6"/>
        <w:keepNext w:val="0"/>
        <w:keepLines w:val="0"/>
        <w:pageBreakBefore w:val="0"/>
        <w:widowControl/>
        <w:kinsoku/>
        <w:wordWrap/>
        <w:overflowPunct/>
        <w:topLinePunct w:val="0"/>
        <w:autoSpaceDE/>
        <w:autoSpaceDN/>
        <w:bidi w:val="0"/>
        <w:adjustRightInd/>
        <w:snapToGrid/>
        <w:spacing w:line="560" w:lineRule="exact"/>
        <w:ind w:firstLine="420"/>
        <w:jc w:val="center"/>
        <w:textAlignment w:val="auto"/>
        <w:rPr>
          <w:rStyle w:val="7"/>
          <w:rFonts w:hint="eastAsia" w:ascii="方正小标宋_GBK" w:hAnsi="方正小标宋_GBK" w:eastAsia="方正小标宋_GBK" w:cs="方正小标宋_GBK"/>
          <w:b w:val="0"/>
          <w:bCs/>
          <w:color w:val="auto"/>
          <w:kern w:val="0"/>
          <w:sz w:val="44"/>
          <w:szCs w:val="44"/>
          <w:lang w:val="en-US" w:eastAsia="zh-CN" w:bidi="ar"/>
        </w:rPr>
      </w:pPr>
      <w:r>
        <w:rPr>
          <w:rStyle w:val="7"/>
          <w:rFonts w:hint="eastAsia" w:ascii="方正小标宋_GBK" w:hAnsi="方正小标宋_GBK" w:eastAsia="方正小标宋_GBK" w:cs="方正小标宋_GBK"/>
          <w:b w:val="0"/>
          <w:bCs/>
          <w:color w:val="auto"/>
          <w:kern w:val="0"/>
          <w:sz w:val="44"/>
          <w:szCs w:val="44"/>
          <w:lang w:val="en-US" w:eastAsia="zh-CN" w:bidi="ar"/>
        </w:rPr>
        <w:t>沙坡头区工业信息化和商务局普法标准清单</w:t>
      </w:r>
    </w:p>
    <w:p>
      <w:pPr>
        <w:pStyle w:val="6"/>
        <w:keepNext w:val="0"/>
        <w:keepLines w:val="0"/>
        <w:pageBreakBefore w:val="0"/>
        <w:widowControl/>
        <w:kinsoku/>
        <w:wordWrap/>
        <w:overflowPunct/>
        <w:topLinePunct w:val="0"/>
        <w:autoSpaceDE/>
        <w:autoSpaceDN/>
        <w:bidi w:val="0"/>
        <w:adjustRightInd/>
        <w:snapToGrid/>
        <w:spacing w:line="560" w:lineRule="exact"/>
        <w:ind w:firstLine="420"/>
        <w:jc w:val="center"/>
        <w:textAlignment w:val="auto"/>
        <w:rPr>
          <w:rStyle w:val="7"/>
          <w:rFonts w:hint="eastAsia" w:ascii="方正小标宋_GBK" w:hAnsi="方正小标宋_GBK" w:eastAsia="方正小标宋_GBK" w:cs="方正小标宋_GBK"/>
          <w:b w:val="0"/>
          <w:bCs/>
          <w:color w:val="auto"/>
          <w:kern w:val="0"/>
          <w:sz w:val="44"/>
          <w:szCs w:val="44"/>
          <w:lang w:val="en-US" w:eastAsia="zh-CN" w:bidi="ar"/>
        </w:rPr>
      </w:pPr>
    </w:p>
    <w:tbl>
      <w:tblPr>
        <w:tblStyle w:val="4"/>
        <w:tblW w:w="1411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1178"/>
        <w:gridCol w:w="4747"/>
        <w:gridCol w:w="819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宋体" w:eastAsia="仿宋_GB2312" w:cs="仿宋_GB2312"/>
                <w:b/>
                <w:bCs/>
                <w:i w:val="0"/>
                <w:caps w:val="0"/>
                <w:color w:val="auto"/>
                <w:spacing w:val="0"/>
                <w:kern w:val="2"/>
                <w:sz w:val="28"/>
                <w:szCs w:val="28"/>
                <w:shd w:val="clear" w:color="auto" w:fill="FFFFFF"/>
                <w:lang w:val="en-US" w:eastAsia="zh-CN" w:bidi="ar-SA"/>
              </w:rPr>
            </w:pPr>
            <w:r>
              <w:rPr>
                <w:rFonts w:hint="eastAsia" w:ascii="仿宋_GB2312" w:hAnsi="宋体" w:eastAsia="仿宋_GB2312" w:cs="仿宋_GB2312"/>
                <w:b/>
                <w:bCs/>
                <w:i w:val="0"/>
                <w:caps w:val="0"/>
                <w:color w:val="auto"/>
                <w:spacing w:val="0"/>
                <w:kern w:val="2"/>
                <w:sz w:val="28"/>
                <w:szCs w:val="28"/>
                <w:shd w:val="clear" w:color="auto" w:fill="FFFFFF"/>
                <w:lang w:val="en-US" w:eastAsia="zh-CN" w:bidi="ar-SA"/>
              </w:rPr>
              <w:t>序号</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宋体" w:eastAsia="仿宋_GB2312" w:cs="仿宋_GB2312"/>
                <w:b/>
                <w:bCs/>
                <w:i w:val="0"/>
                <w:caps w:val="0"/>
                <w:color w:val="auto"/>
                <w:spacing w:val="0"/>
                <w:kern w:val="2"/>
                <w:sz w:val="28"/>
                <w:szCs w:val="28"/>
                <w:shd w:val="clear" w:color="auto" w:fill="FFFFFF"/>
                <w:lang w:val="en-US" w:eastAsia="zh-CN" w:bidi="ar-SA"/>
              </w:rPr>
            </w:pPr>
            <w:r>
              <w:rPr>
                <w:rFonts w:hint="eastAsia" w:ascii="仿宋_GB2312" w:hAnsi="宋体" w:eastAsia="仿宋_GB2312" w:cs="仿宋_GB2312"/>
                <w:b/>
                <w:bCs/>
                <w:i w:val="0"/>
                <w:caps w:val="0"/>
                <w:color w:val="auto"/>
                <w:spacing w:val="0"/>
                <w:kern w:val="2"/>
                <w:sz w:val="28"/>
                <w:szCs w:val="28"/>
                <w:shd w:val="clear" w:color="auto" w:fill="FFFFFF"/>
                <w:lang w:val="en-US" w:eastAsia="zh-CN" w:bidi="ar-SA"/>
              </w:rPr>
              <w:t>内容</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宋体" w:eastAsia="仿宋_GB2312" w:cs="仿宋_GB2312"/>
                <w:b/>
                <w:bCs/>
                <w:i w:val="0"/>
                <w:caps w:val="0"/>
                <w:color w:val="auto"/>
                <w:spacing w:val="0"/>
                <w:kern w:val="2"/>
                <w:sz w:val="28"/>
                <w:szCs w:val="28"/>
                <w:shd w:val="clear" w:color="auto" w:fill="FFFFFF"/>
                <w:lang w:val="en-US" w:eastAsia="zh-CN" w:bidi="ar-SA"/>
              </w:rPr>
            </w:pPr>
            <w:r>
              <w:rPr>
                <w:rFonts w:hint="eastAsia" w:ascii="仿宋_GB2312" w:hAnsi="宋体" w:eastAsia="仿宋_GB2312" w:cs="仿宋_GB2312"/>
                <w:b/>
                <w:bCs/>
                <w:i w:val="0"/>
                <w:caps w:val="0"/>
                <w:color w:val="auto"/>
                <w:spacing w:val="0"/>
                <w:kern w:val="2"/>
                <w:sz w:val="28"/>
                <w:szCs w:val="28"/>
                <w:shd w:val="clear" w:color="auto" w:fill="FFFFFF"/>
                <w:lang w:val="en-US" w:eastAsia="zh-CN" w:bidi="ar-SA"/>
              </w:rPr>
              <w:t>具体标准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8"/>
                <w:szCs w:val="28"/>
              </w:rPr>
            </w:pPr>
            <w:r>
              <w:rPr>
                <w:rFonts w:hint="eastAsia"/>
                <w:color w:val="auto"/>
                <w:kern w:val="2"/>
                <w:sz w:val="28"/>
                <w:szCs w:val="28"/>
                <w:lang w:val="en-US" w:eastAsia="zh-CN"/>
              </w:rPr>
              <w:t>1</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落实领导干部学法制度</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1.将法律法规学习纳入党组(中心组)和干部理论学习计划。落实学法制度。</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2.利用周一学习会议集中学习。</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3.每年组织开展2次学法考试。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578"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olor w:val="auto"/>
                <w:kern w:val="2"/>
                <w:sz w:val="28"/>
                <w:szCs w:val="28"/>
                <w:lang w:val="en-US" w:eastAsia="zh-CN"/>
              </w:rPr>
            </w:pPr>
            <w:r>
              <w:rPr>
                <w:rFonts w:hint="eastAsia"/>
                <w:color w:val="auto"/>
                <w:kern w:val="2"/>
                <w:sz w:val="28"/>
                <w:szCs w:val="28"/>
                <w:lang w:val="en-US" w:eastAsia="zh-CN"/>
              </w:rPr>
              <w:t>2</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学习习近平全面依法治国新理念新思想新战略</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1.深入学习宣传全面依法治国新理念新思想新战略。</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2.将习近平全面依法治国新理念新思想新战略纳入党组中心组学习内容开展集中学习或自学。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olor w:val="auto"/>
                <w:kern w:val="2"/>
                <w:sz w:val="28"/>
                <w:szCs w:val="28"/>
                <w:lang w:val="en-US" w:eastAsia="zh-CN"/>
              </w:rPr>
            </w:pPr>
            <w:r>
              <w:rPr>
                <w:rFonts w:hint="eastAsia"/>
                <w:color w:val="auto"/>
                <w:kern w:val="2"/>
                <w:sz w:val="28"/>
                <w:szCs w:val="28"/>
                <w:lang w:val="en-US" w:eastAsia="zh-CN"/>
              </w:rPr>
              <w:t>3</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突出学习宣传《宪法》</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1.学习《宪法》不少于2次。</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2.深入宣传《宪法》至上、依宪治国、依宪执政等理念。</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3.组织开展“12·4”国家宪法日宣传活动。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仿宋_GB2312" w:eastAsia="仿宋_GB2312" w:cs="仿宋_GB2312"/>
                <w:color w:val="auto"/>
                <w:kern w:val="2"/>
                <w:sz w:val="21"/>
                <w:szCs w:val="21"/>
                <w:lang w:eastAsia="zh-CN"/>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SA"/>
              </w:rPr>
              <w:t>序号</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SA"/>
              </w:rPr>
              <w:t>内容</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SA"/>
              </w:rPr>
              <w:t>具体标准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2175"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olor w:val="auto"/>
                <w:kern w:val="2"/>
                <w:sz w:val="28"/>
                <w:szCs w:val="28"/>
                <w:lang w:val="en-US" w:eastAsia="zh-CN"/>
              </w:rPr>
            </w:pPr>
            <w:r>
              <w:rPr>
                <w:rFonts w:hint="eastAsia"/>
                <w:color w:val="auto"/>
                <w:kern w:val="2"/>
                <w:sz w:val="28"/>
                <w:szCs w:val="28"/>
                <w:lang w:val="en-US" w:eastAsia="zh-CN"/>
              </w:rPr>
              <w:t>5</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全面实施权责清单</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color w:val="auto"/>
                <w:kern w:val="2"/>
                <w:sz w:val="28"/>
                <w:szCs w:val="28"/>
                <w:lang w:val="en-US" w:eastAsia="zh-CN"/>
              </w:rPr>
              <w:t>1.</w:t>
            </w:r>
            <w:r>
              <w:rPr>
                <w:rFonts w:hint="eastAsia" w:ascii="仿宋_GB2312" w:hAnsi="仿宋_GB2312" w:eastAsia="仿宋_GB2312" w:cs="仿宋_GB2312"/>
                <w:b w:val="0"/>
                <w:bCs w:val="0"/>
                <w:color w:val="auto"/>
                <w:kern w:val="2"/>
                <w:sz w:val="28"/>
                <w:szCs w:val="28"/>
                <w:lang w:eastAsia="zh-CN"/>
              </w:rPr>
              <w:t>全面实施和推行工信和商务领域</w:t>
            </w:r>
            <w:r>
              <w:rPr>
                <w:rFonts w:hint="eastAsia" w:ascii="仿宋_GB2312" w:hAnsi="仿宋_GB2312" w:cs="仿宋_GB2312"/>
                <w:b w:val="0"/>
                <w:bCs w:val="0"/>
                <w:color w:val="auto"/>
                <w:kern w:val="2"/>
                <w:sz w:val="28"/>
                <w:szCs w:val="28"/>
                <w:lang w:eastAsia="zh-CN"/>
              </w:rPr>
              <w:t>权力清单</w:t>
            </w:r>
            <w:r>
              <w:rPr>
                <w:rFonts w:hint="eastAsia" w:ascii="仿宋_GB2312" w:hAnsi="仿宋_GB2312" w:eastAsia="仿宋_GB2312" w:cs="仿宋_GB2312"/>
                <w:b w:val="0"/>
                <w:bCs w:val="0"/>
                <w:color w:val="auto"/>
                <w:kern w:val="2"/>
                <w:sz w:val="28"/>
                <w:szCs w:val="28"/>
                <w:lang w:eastAsia="zh-CN"/>
              </w:rPr>
              <w:t>、责任清单。</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color w:val="auto"/>
                <w:kern w:val="2"/>
                <w:sz w:val="28"/>
                <w:szCs w:val="28"/>
                <w:lang w:val="en-US" w:eastAsia="zh-CN"/>
              </w:rPr>
              <w:t>2.</w:t>
            </w:r>
            <w:r>
              <w:rPr>
                <w:rFonts w:hint="eastAsia" w:ascii="仿宋_GB2312" w:hAnsi="仿宋_GB2312" w:eastAsia="仿宋_GB2312" w:cs="仿宋_GB2312"/>
                <w:b w:val="0"/>
                <w:bCs w:val="0"/>
                <w:color w:val="auto"/>
                <w:kern w:val="2"/>
                <w:sz w:val="28"/>
                <w:szCs w:val="28"/>
                <w:lang w:eastAsia="zh-CN"/>
              </w:rPr>
              <w:t>抓好工信和商务</w:t>
            </w:r>
            <w:r>
              <w:rPr>
                <w:rFonts w:hint="eastAsia" w:ascii="仿宋_GB2312" w:hAnsi="仿宋_GB2312" w:cs="仿宋_GB2312"/>
                <w:b w:val="0"/>
                <w:bCs w:val="0"/>
                <w:color w:val="auto"/>
                <w:kern w:val="2"/>
                <w:sz w:val="28"/>
                <w:szCs w:val="28"/>
                <w:lang w:eastAsia="zh-CN"/>
              </w:rPr>
              <w:t>权力清单</w:t>
            </w:r>
            <w:r>
              <w:rPr>
                <w:rFonts w:hint="eastAsia" w:ascii="仿宋_GB2312" w:hAnsi="仿宋_GB2312" w:eastAsia="仿宋_GB2312" w:cs="仿宋_GB2312"/>
                <w:b w:val="0"/>
                <w:bCs w:val="0"/>
                <w:color w:val="auto"/>
                <w:kern w:val="2"/>
                <w:sz w:val="28"/>
                <w:szCs w:val="28"/>
                <w:lang w:eastAsia="zh-CN"/>
              </w:rPr>
              <w:t>、责任清单的落实。</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color w:val="auto"/>
                <w:kern w:val="2"/>
                <w:sz w:val="28"/>
                <w:szCs w:val="28"/>
                <w:lang w:val="en-US" w:eastAsia="zh-CN"/>
              </w:rPr>
              <w:t>3.</w:t>
            </w:r>
            <w:r>
              <w:rPr>
                <w:rFonts w:hint="eastAsia" w:ascii="仿宋_GB2312" w:hAnsi="仿宋_GB2312" w:eastAsia="仿宋_GB2312" w:cs="仿宋_GB2312"/>
                <w:b w:val="0"/>
                <w:bCs w:val="0"/>
                <w:color w:val="auto"/>
                <w:kern w:val="2"/>
                <w:sz w:val="28"/>
                <w:szCs w:val="28"/>
                <w:lang w:eastAsia="zh-CN"/>
              </w:rPr>
              <w:t>做好权责清单的动态调整。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295"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olor w:val="auto"/>
                <w:kern w:val="2"/>
                <w:sz w:val="28"/>
                <w:szCs w:val="28"/>
                <w:lang w:val="en-US" w:eastAsia="zh-CN"/>
              </w:rPr>
            </w:pPr>
            <w:r>
              <w:rPr>
                <w:rFonts w:hint="eastAsia"/>
                <w:color w:val="auto"/>
                <w:kern w:val="2"/>
                <w:sz w:val="28"/>
                <w:szCs w:val="28"/>
                <w:lang w:val="en-US" w:eastAsia="zh-CN"/>
              </w:rPr>
              <w:t>6</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val="0"/>
                <w:bCs w:val="0"/>
                <w:color w:val="auto"/>
                <w:kern w:val="2"/>
                <w:sz w:val="28"/>
                <w:szCs w:val="28"/>
                <w:lang w:eastAsia="zh-CN"/>
              </w:rPr>
              <w:t>抓好法治政府建设</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color w:val="auto"/>
                <w:kern w:val="2"/>
                <w:sz w:val="28"/>
                <w:szCs w:val="28"/>
                <w:lang w:val="en-US" w:eastAsia="zh-CN"/>
              </w:rPr>
              <w:t>1.</w:t>
            </w:r>
            <w:r>
              <w:rPr>
                <w:rFonts w:hint="eastAsia" w:ascii="仿宋_GB2312" w:hAnsi="仿宋_GB2312" w:eastAsia="仿宋_GB2312" w:cs="仿宋_GB2312"/>
                <w:b w:val="0"/>
                <w:bCs w:val="0"/>
                <w:color w:val="auto"/>
                <w:kern w:val="2"/>
                <w:sz w:val="28"/>
                <w:szCs w:val="28"/>
                <w:lang w:eastAsia="zh-CN"/>
              </w:rPr>
              <w:t>大力宣传依法行政领域的法律法规，做好法治政府示范单位创建工作，提升依法行政水平。</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color w:val="auto"/>
                <w:kern w:val="2"/>
                <w:sz w:val="28"/>
                <w:szCs w:val="28"/>
                <w:lang w:val="en-US" w:eastAsia="zh-CN"/>
              </w:rPr>
              <w:t>2.</w:t>
            </w:r>
            <w:r>
              <w:rPr>
                <w:rFonts w:hint="eastAsia" w:ascii="仿宋_GB2312" w:hAnsi="仿宋_GB2312" w:eastAsia="仿宋_GB2312" w:cs="仿宋_GB2312"/>
                <w:b w:val="0"/>
                <w:bCs w:val="0"/>
                <w:color w:val="auto"/>
                <w:kern w:val="2"/>
                <w:sz w:val="28"/>
                <w:szCs w:val="28"/>
                <w:lang w:eastAsia="zh-CN"/>
              </w:rPr>
              <w:t>干部职工牢固树立“法定职责必须为、法无授权不可为”的意识，提升法治思维。</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val="en-US" w:eastAsia="zh-CN"/>
              </w:rPr>
            </w:pPr>
            <w:r>
              <w:rPr>
                <w:rFonts w:hint="eastAsia"/>
                <w:color w:val="auto"/>
                <w:kern w:val="2"/>
                <w:sz w:val="28"/>
                <w:szCs w:val="28"/>
                <w:lang w:val="en-US" w:eastAsia="zh-CN"/>
              </w:rPr>
              <w:t>3.</w:t>
            </w:r>
            <w:r>
              <w:rPr>
                <w:rFonts w:hint="eastAsia" w:ascii="仿宋_GB2312" w:hAnsi="仿宋_GB2312" w:eastAsia="仿宋_GB2312" w:cs="仿宋_GB2312"/>
                <w:b w:val="0"/>
                <w:bCs w:val="0"/>
                <w:color w:val="auto"/>
                <w:kern w:val="2"/>
                <w:sz w:val="28"/>
                <w:szCs w:val="28"/>
                <w:lang w:eastAsia="zh-CN"/>
              </w:rPr>
              <w:t>以国家工作人员学法用法为中心，形成辐射，向身边人、家庭、社区宣传法律法规。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SA"/>
              </w:rPr>
              <w:t>序号</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SA"/>
              </w:rPr>
              <w:t>内容</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widowControl/>
              <w:spacing w:line="345" w:lineRule="atLeast"/>
              <w:jc w:val="center"/>
              <w:rPr>
                <w:rFonts w:hint="eastAsia" w:ascii="仿宋_GB2312" w:hAnsi="仿宋_GB2312" w:eastAsia="仿宋_GB2312" w:cs="仿宋_GB2312"/>
                <w:b w:val="0"/>
                <w:bCs w:val="0"/>
                <w:color w:val="auto"/>
                <w:kern w:val="2"/>
                <w:sz w:val="28"/>
                <w:szCs w:val="28"/>
                <w:lang w:val="en-US" w:eastAsia="zh-CN"/>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SA"/>
              </w:rPr>
              <w:t>具体标准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225"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olor w:val="auto"/>
                <w:kern w:val="2"/>
                <w:sz w:val="28"/>
                <w:szCs w:val="28"/>
                <w:lang w:val="en-US" w:eastAsia="zh-CN"/>
              </w:rPr>
            </w:pPr>
            <w:r>
              <w:rPr>
                <w:rFonts w:hint="eastAsia"/>
                <w:color w:val="auto"/>
                <w:kern w:val="2"/>
                <w:sz w:val="28"/>
                <w:szCs w:val="28"/>
                <w:lang w:val="en-US" w:eastAsia="zh-CN"/>
              </w:rPr>
              <w:t>7</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继续抓好</w:t>
            </w:r>
            <w:r>
              <w:rPr>
                <w:rFonts w:hint="eastAsia"/>
                <w:color w:val="auto"/>
                <w:kern w:val="2"/>
                <w:sz w:val="28"/>
                <w:szCs w:val="28"/>
                <w:lang w:val="en-US" w:eastAsia="zh-CN"/>
              </w:rPr>
              <w:t>“12·4</w:t>
            </w:r>
            <w:r>
              <w:rPr>
                <w:rFonts w:hint="eastAsia" w:ascii="仿宋_GB2312" w:hAnsi="仿宋_GB2312" w:eastAsia="仿宋_GB2312" w:cs="仿宋_GB2312"/>
                <w:b w:val="0"/>
                <w:bCs w:val="0"/>
                <w:color w:val="auto"/>
                <w:kern w:val="2"/>
                <w:sz w:val="28"/>
                <w:szCs w:val="28"/>
                <w:lang w:eastAsia="zh-CN"/>
              </w:rPr>
              <w:t>”等主题日法治宣传活动</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color w:val="auto"/>
                <w:kern w:val="2"/>
                <w:sz w:val="28"/>
                <w:szCs w:val="28"/>
                <w:lang w:val="en-US" w:eastAsia="zh-CN"/>
              </w:rPr>
            </w:pPr>
            <w:r>
              <w:rPr>
                <w:rFonts w:hint="eastAsia"/>
                <w:color w:val="auto"/>
                <w:kern w:val="2"/>
                <w:sz w:val="28"/>
                <w:szCs w:val="28"/>
                <w:lang w:val="en-US" w:eastAsia="zh-CN"/>
              </w:rPr>
              <w:t>1.认真组织开展法治宣传活动，创新宣传模式，开展内容丰富、载体多样的活动。</w:t>
            </w:r>
          </w:p>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color w:val="auto"/>
                <w:kern w:val="2"/>
                <w:sz w:val="28"/>
                <w:szCs w:val="28"/>
                <w:lang w:val="en-US" w:eastAsia="zh-CN"/>
              </w:rPr>
              <w:t>2.发</w:t>
            </w:r>
            <w:r>
              <w:rPr>
                <w:rFonts w:hint="eastAsia" w:ascii="仿宋_GB2312" w:hAnsi="仿宋_GB2312" w:eastAsia="仿宋_GB2312" w:cs="仿宋_GB2312"/>
                <w:b w:val="0"/>
                <w:bCs w:val="0"/>
                <w:color w:val="auto"/>
                <w:kern w:val="2"/>
                <w:sz w:val="28"/>
                <w:szCs w:val="28"/>
                <w:lang w:eastAsia="zh-CN"/>
              </w:rPr>
              <w:t>挥各类宣传平台的作用突出宣传实效。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330" w:hRule="atLeast"/>
          <w:jc w:val="center"/>
        </w:trPr>
        <w:tc>
          <w:tcPr>
            <w:tcW w:w="1178"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color w:val="auto"/>
                <w:kern w:val="2"/>
                <w:sz w:val="28"/>
                <w:szCs w:val="28"/>
                <w:lang w:val="en-US" w:eastAsia="zh-CN"/>
              </w:rPr>
            </w:pPr>
            <w:r>
              <w:rPr>
                <w:rFonts w:hint="eastAsia"/>
                <w:color w:val="auto"/>
                <w:kern w:val="2"/>
                <w:sz w:val="28"/>
                <w:szCs w:val="28"/>
                <w:lang w:val="en-US" w:eastAsia="zh-CN"/>
              </w:rPr>
              <w:t>8</w:t>
            </w:r>
          </w:p>
        </w:tc>
        <w:tc>
          <w:tcPr>
            <w:tcW w:w="4747"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全面落实法律八进，深入开展“法律八进”活动</w:t>
            </w:r>
          </w:p>
        </w:tc>
        <w:tc>
          <w:tcPr>
            <w:tcW w:w="8190"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2"/>
                <w:sz w:val="28"/>
                <w:szCs w:val="28"/>
                <w:lang w:eastAsia="zh-CN"/>
              </w:rPr>
            </w:pPr>
            <w:r>
              <w:rPr>
                <w:rFonts w:hint="eastAsia" w:ascii="仿宋_GB2312" w:hAnsi="仿宋_GB2312" w:eastAsia="仿宋_GB2312" w:cs="仿宋_GB2312"/>
                <w:b w:val="0"/>
                <w:bCs w:val="0"/>
                <w:color w:val="auto"/>
                <w:kern w:val="2"/>
                <w:sz w:val="28"/>
                <w:szCs w:val="28"/>
                <w:lang w:eastAsia="zh-CN"/>
              </w:rPr>
              <w:t>全面落实和推进法律八进工作，创新普法方式方法，确保普法取得实效。</w:t>
            </w:r>
          </w:p>
        </w:tc>
      </w:tr>
    </w:tbl>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B24A9"/>
    <w:rsid w:val="18416BBD"/>
    <w:rsid w:val="579B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 w:val="21"/>
    </w:rPr>
  </w:style>
  <w:style w:type="paragraph" w:styleId="3">
    <w:name w:val="footer"/>
    <w:basedOn w:val="1"/>
    <w:next w:val="1"/>
    <w:qFormat/>
    <w:uiPriority w:val="99"/>
    <w:pPr>
      <w:tabs>
        <w:tab w:val="center" w:pos="4153"/>
        <w:tab w:val="right" w:pos="8306"/>
      </w:tabs>
      <w:snapToGrid w:val="0"/>
      <w:jc w:val="left"/>
    </w:pPr>
    <w:rPr>
      <w:sz w:val="18"/>
    </w:rPr>
  </w:style>
  <w:style w:type="paragraph" w:customStyle="1" w:styleId="6">
    <w:name w:val="Normal (Web)"/>
    <w:basedOn w:val="1"/>
    <w:qFormat/>
    <w:uiPriority w:val="0"/>
    <w:pPr>
      <w:widowControl w:val="0"/>
      <w:adjustRightInd/>
      <w:snapToGrid/>
      <w:spacing w:after="0" w:afterLines="0"/>
    </w:pPr>
    <w:rPr>
      <w:rFonts w:ascii="Times New Roman" w:hAnsi="Times New Roman" w:eastAsia="仿宋_GB2312" w:cs="Times New Roman"/>
      <w:sz w:val="24"/>
      <w:szCs w:val="24"/>
    </w:rPr>
  </w:style>
  <w:style w:type="character" w:customStyle="1" w:styleId="7">
    <w:name w:val="c2657_title1"/>
    <w:basedOn w:val="5"/>
    <w:qFormat/>
    <w:uiPriority w:val="0"/>
    <w:rPr>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2020-03-26T01:40:00Z</dcterms:created>
  <dc:creator>A陪伴是最深情的告白l＆</dc:creator>
  <cp:lastModifiedBy>Administrator</cp:lastModifiedBy>
  <dcterms:modified xsi:type="dcterms:W3CDTF">2021-11-30T09:17:18Z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1BA4C8E692854F759B8207B44A686FA4</vt:lpwstr>
  </property>
</Properties>
</file>