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附件3                       </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迎水桥镇普法措施清单</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52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1525"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具体措施</w:t>
            </w:r>
          </w:p>
        </w:tc>
        <w:tc>
          <w:tcPr>
            <w:tcW w:w="1549"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5" w:hRule="atLeast"/>
        </w:trPr>
        <w:tc>
          <w:tcPr>
            <w:tcW w:w="1100" w:type="dxa"/>
            <w:vAlign w:val="top"/>
          </w:tcPr>
          <w:p>
            <w:p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1525" w:type="dxa"/>
            <w:vAlign w:val="top"/>
          </w:tcPr>
          <w:p>
            <w:pPr>
              <w:jc w:val="both"/>
              <w:rPr>
                <w:rFonts w:hint="eastAsia" w:ascii="黑体" w:hAnsi="黑体" w:eastAsia="黑体" w:cs="黑体"/>
                <w:sz w:val="32"/>
                <w:szCs w:val="32"/>
                <w:vertAlign w:val="baseline"/>
                <w:lang w:val="en-US" w:eastAsia="zh-CN"/>
              </w:rPr>
            </w:pPr>
            <w:r>
              <w:rPr>
                <w:rFonts w:hint="eastAsia" w:ascii="仿宋" w:hAnsi="仿宋" w:eastAsia="仿宋" w:cs="仿宋"/>
                <w:sz w:val="32"/>
                <w:szCs w:val="32"/>
                <w:vertAlign w:val="baseline"/>
                <w:lang w:val="en-US" w:eastAsia="zh-CN"/>
              </w:rPr>
              <w:t>进一步推进法治文明建设，将法律法规的学习纳入领导、干部学习内容，利用微信、学习强国APP、电子屏等形式开展集中学习，组织开展领导、干部法治专题培训。重点宣传学习习近平总书记关于全面依法治国的重要论述、宪法、党章和党内法律法规，重点宣传普及公务员法、事业单位人事管理条例等法律法规，强化依法行政意识、提高法律意识和知识水平、切实增强依法治理能力。</w:t>
            </w:r>
          </w:p>
        </w:tc>
        <w:tc>
          <w:tcPr>
            <w:tcW w:w="1549" w:type="dxa"/>
            <w:vAlign w:val="top"/>
          </w:tcPr>
          <w:p>
            <w:pPr>
              <w:jc w:val="center"/>
              <w:rPr>
                <w:rFonts w:hint="eastAsia" w:ascii="仿宋" w:hAnsi="仿宋" w:eastAsia="仿宋" w:cs="仿宋"/>
                <w:sz w:val="32"/>
                <w:szCs w:val="32"/>
                <w:vertAlign w:val="baseline"/>
                <w:lang w:val="en-US" w:eastAsia="zh-CN"/>
              </w:rPr>
            </w:pPr>
          </w:p>
          <w:p>
            <w:pPr>
              <w:jc w:val="center"/>
              <w:rPr>
                <w:rFonts w:hint="eastAsia" w:ascii="仿宋" w:hAnsi="仿宋" w:eastAsia="仿宋" w:cs="仿宋"/>
                <w:sz w:val="32"/>
                <w:szCs w:val="32"/>
                <w:vertAlign w:val="baseline"/>
                <w:lang w:val="en-US" w:eastAsia="zh-CN"/>
              </w:rPr>
            </w:pPr>
          </w:p>
          <w:p>
            <w:pPr>
              <w:jc w:val="both"/>
              <w:rPr>
                <w:rFonts w:hint="eastAsia" w:ascii="黑体" w:hAnsi="黑体" w:eastAsia="黑体" w:cs="黑体"/>
                <w:sz w:val="32"/>
                <w:szCs w:val="32"/>
                <w:vertAlign w:val="baseline"/>
                <w:lang w:val="en-US" w:eastAsia="zh-CN"/>
              </w:rPr>
            </w:pPr>
            <w:r>
              <w:rPr>
                <w:rFonts w:hint="eastAsia" w:ascii="仿宋" w:hAnsi="仿宋" w:eastAsia="仿宋" w:cs="仿宋"/>
                <w:sz w:val="32"/>
                <w:szCs w:val="32"/>
                <w:vertAlign w:val="baseline"/>
                <w:lang w:val="en-US" w:eastAsia="zh-C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Align w:val="top"/>
          </w:tcPr>
          <w:p>
            <w:p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1525" w:type="dxa"/>
            <w:vAlign w:val="top"/>
          </w:tcPr>
          <w:p>
            <w:pPr>
              <w:jc w:val="both"/>
              <w:rPr>
                <w:rFonts w:hint="eastAsia" w:ascii="黑体" w:hAnsi="黑体" w:eastAsia="黑体" w:cs="黑体"/>
                <w:sz w:val="32"/>
                <w:szCs w:val="32"/>
                <w:vertAlign w:val="baseline"/>
                <w:lang w:val="en-US" w:eastAsia="zh-CN"/>
              </w:rPr>
            </w:pPr>
            <w:r>
              <w:rPr>
                <w:rFonts w:hint="eastAsia" w:ascii="仿宋" w:hAnsi="仿宋" w:eastAsia="仿宋" w:cs="仿宋"/>
                <w:sz w:val="32"/>
                <w:szCs w:val="32"/>
                <w:vertAlign w:val="baseline"/>
                <w:lang w:val="en-US" w:eastAsia="zh-CN"/>
              </w:rPr>
              <w:t>学习宣传普及宪法、人民调解法、法律援助条例等法律法规。积极开展宪法学习宣传教育，组织开展各类法治宣传教育，提升广大人民群众学宪、懂法、尊法、守宪的意识。</w:t>
            </w:r>
          </w:p>
        </w:tc>
        <w:tc>
          <w:tcPr>
            <w:tcW w:w="1549" w:type="dxa"/>
            <w:vAlign w:val="top"/>
          </w:tcPr>
          <w:p>
            <w:pPr>
              <w:jc w:val="both"/>
              <w:rPr>
                <w:rFonts w:hint="eastAsia" w:ascii="仿宋" w:hAnsi="仿宋" w:eastAsia="仿宋" w:cs="仿宋"/>
                <w:sz w:val="32"/>
                <w:szCs w:val="32"/>
                <w:vertAlign w:val="baseline"/>
                <w:lang w:val="en-US" w:eastAsia="zh-CN"/>
              </w:rPr>
            </w:pPr>
          </w:p>
          <w:p>
            <w:pPr>
              <w:jc w:val="both"/>
              <w:rPr>
                <w:rFonts w:hint="eastAsia" w:ascii="黑体" w:hAnsi="黑体" w:eastAsia="黑体" w:cs="黑体"/>
                <w:sz w:val="32"/>
                <w:szCs w:val="32"/>
                <w:vertAlign w:val="baseline"/>
                <w:lang w:val="en-US" w:eastAsia="zh-CN"/>
              </w:rPr>
            </w:pPr>
            <w:r>
              <w:rPr>
                <w:rFonts w:hint="eastAsia" w:ascii="仿宋" w:hAnsi="仿宋" w:eastAsia="仿宋" w:cs="仿宋"/>
                <w:sz w:val="32"/>
                <w:szCs w:val="32"/>
                <w:vertAlign w:val="baseline"/>
                <w:lang w:val="en-US" w:eastAsia="zh-CN"/>
              </w:rPr>
              <w:t>司法所</w:t>
            </w:r>
          </w:p>
        </w:tc>
      </w:tr>
    </w:tbl>
    <w:p>
      <w:pPr>
        <w:jc w:val="both"/>
        <w:rPr>
          <w:rFonts w:hint="eastAsia" w:ascii="黑体" w:hAnsi="黑体" w:eastAsia="黑体" w:cs="黑体"/>
          <w:sz w:val="32"/>
          <w:szCs w:val="32"/>
          <w:lang w:val="en-US" w:eastAsia="zh-CN"/>
        </w:rPr>
        <w:sectPr>
          <w:footerReference r:id="rId3" w:type="default"/>
          <w:pgSz w:w="16838" w:h="11906" w:orient="landscape"/>
          <w:pgMar w:top="1871" w:right="1417" w:bottom="1644" w:left="1531" w:header="851" w:footer="992" w:gutter="0"/>
          <w:cols w:space="720" w:num="1"/>
          <w:rtlGutter w:val="0"/>
          <w:docGrid w:type="lines" w:linePitch="312" w:charSpace="0"/>
        </w:sectPr>
      </w:pPr>
    </w:p>
    <w:tbl>
      <w:tblPr>
        <w:tblStyle w:val="12"/>
        <w:tblW w:w="14012"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936"/>
        <w:gridCol w:w="2"/>
        <w:gridCol w:w="11200"/>
        <w:gridCol w:w="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1230" w:hRule="atLeast"/>
        </w:trPr>
        <w:tc>
          <w:tcPr>
            <w:tcW w:w="938" w:type="dxa"/>
            <w:gridSpan w:val="2"/>
            <w:vAlign w:val="top"/>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bookmarkStart w:id="0" w:name="_GoBack"/>
            <w:bookmarkEnd w:id="0"/>
          </w:p>
        </w:tc>
        <w:tc>
          <w:tcPr>
            <w:tcW w:w="11200"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学习宣传普及行政监察法等法律法规，推动工作人员遵纪守法，为政清廉，增强领导、干部党纪党规意识和崇廉拒腐能力。</w:t>
            </w:r>
          </w:p>
        </w:tc>
        <w:tc>
          <w:tcPr>
            <w:tcW w:w="1872" w:type="dxa"/>
            <w:gridSpan w:val="2"/>
            <w:vAlign w:val="top"/>
          </w:tcPr>
          <w:p>
            <w:pPr>
              <w:jc w:val="center"/>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32"/>
                <w:szCs w:val="32"/>
                <w:vertAlign w:val="baseline"/>
                <w:lang w:val="en-US" w:eastAsia="zh-CN"/>
              </w:rPr>
              <w:t>镇纪委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1502" w:hRule="atLeast"/>
        </w:trPr>
        <w:tc>
          <w:tcPr>
            <w:tcW w:w="938" w:type="dxa"/>
            <w:gridSpan w:val="2"/>
            <w:vAlign w:val="top"/>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1200"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组织法律援助律师现场为群众提供免费法律咨询服务，悬挂宣传条幅、摆放法律宣传展板、发放普法手册和彩页等宣资料。</w:t>
            </w:r>
          </w:p>
        </w:tc>
        <w:tc>
          <w:tcPr>
            <w:tcW w:w="1872" w:type="dxa"/>
            <w:gridSpan w:val="2"/>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司法所、</w:t>
            </w:r>
          </w:p>
          <w:p>
            <w:pPr>
              <w:jc w:val="both"/>
              <w:rPr>
                <w:rFonts w:hint="eastAsia" w:ascii="仿宋" w:hAnsi="仿宋" w:eastAsia="仿宋" w:cs="仿宋"/>
                <w:sz w:val="24"/>
                <w:szCs w:val="24"/>
                <w:vertAlign w:val="baseline"/>
                <w:lang w:val="en-US" w:eastAsia="zh-CN"/>
              </w:rPr>
            </w:pPr>
            <w:r>
              <w:rPr>
                <w:rFonts w:hint="eastAsia" w:ascii="仿宋" w:hAnsi="仿宋" w:eastAsia="仿宋" w:cs="仿宋"/>
                <w:color w:val="000000"/>
                <w:sz w:val="32"/>
                <w:szCs w:val="32"/>
                <w:lang w:eastAsia="zh-CN"/>
              </w:rPr>
              <w:t>社会治安综合治理办公室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1415" w:hRule="atLeast"/>
        </w:trPr>
        <w:tc>
          <w:tcPr>
            <w:tcW w:w="938" w:type="dxa"/>
            <w:gridSpan w:val="2"/>
            <w:vAlign w:val="top"/>
          </w:tcPr>
          <w:p>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1200" w:type="dxa"/>
            <w:vAlign w:val="top"/>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利用手机APP、微信、微博、电子屏、政务平台等新媒体。创新宣传方式，拓宽宣传覆盖面。</w:t>
            </w:r>
          </w:p>
        </w:tc>
        <w:tc>
          <w:tcPr>
            <w:tcW w:w="1872" w:type="dxa"/>
            <w:gridSpan w:val="2"/>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党政办公室、司法所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1337" w:hRule="atLeast"/>
        </w:trPr>
        <w:tc>
          <w:tcPr>
            <w:tcW w:w="938" w:type="dxa"/>
            <w:gridSpan w:val="2"/>
            <w:vAlign w:val="top"/>
          </w:tcPr>
          <w:p>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11200"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全面落实法治政府建设工作，加强法治政府建设宣传，做好法治政府示范创建工作。</w:t>
            </w:r>
          </w:p>
        </w:tc>
        <w:tc>
          <w:tcPr>
            <w:tcW w:w="1872" w:type="dxa"/>
            <w:gridSpan w:val="2"/>
            <w:vAlign w:val="top"/>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1486" w:hRule="atLeast"/>
        </w:trPr>
        <w:tc>
          <w:tcPr>
            <w:tcW w:w="938" w:type="dxa"/>
            <w:gridSpan w:val="2"/>
            <w:vAlign w:val="top"/>
          </w:tcPr>
          <w:p>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11200"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各中心站所在日常工作中，利用群众办事的时机利用群众喜见乐闻的方式进行形式多样的法治宣传。</w:t>
            </w:r>
          </w:p>
        </w:tc>
        <w:tc>
          <w:tcPr>
            <w:tcW w:w="1872" w:type="dxa"/>
            <w:gridSpan w:val="2"/>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各中心站所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trPr>
        <w:tc>
          <w:tcPr>
            <w:tcW w:w="938" w:type="dxa"/>
            <w:gridSpan w:val="2"/>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11262" w:type="dxa"/>
            <w:gridSpan w:val="3"/>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深入开展“法律八进”活动。落实“谁执法、谁普法”，创新方式方法，落实工作责任，确保“法律八进”活动形式多样、效果明显。</w:t>
            </w:r>
          </w:p>
        </w:tc>
        <w:tc>
          <w:tcPr>
            <w:tcW w:w="1812" w:type="dxa"/>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司法所、</w:t>
            </w:r>
          </w:p>
          <w:p>
            <w:pPr>
              <w:jc w:val="both"/>
              <w:rPr>
                <w:rFonts w:hint="eastAsia" w:ascii="仿宋" w:hAnsi="仿宋" w:eastAsia="仿宋" w:cs="仿宋"/>
                <w:sz w:val="32"/>
                <w:szCs w:val="32"/>
                <w:vertAlign w:val="baseline"/>
                <w:lang w:val="en-US" w:eastAsia="zh-CN"/>
              </w:rPr>
            </w:pPr>
            <w:r>
              <w:rPr>
                <w:rFonts w:hint="eastAsia" w:ascii="仿宋" w:hAnsi="仿宋" w:eastAsia="仿宋" w:cs="仿宋"/>
                <w:color w:val="000000"/>
                <w:sz w:val="32"/>
                <w:szCs w:val="32"/>
                <w:lang w:eastAsia="zh-CN"/>
              </w:rPr>
              <w:t>社会治安综合治理办公室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938" w:type="dxa"/>
            <w:gridSpan w:val="2"/>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11262" w:type="dxa"/>
            <w:gridSpan w:val="3"/>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组织开展法治文艺节目，空闲时间到各村开展演出活动。</w:t>
            </w:r>
          </w:p>
        </w:tc>
        <w:tc>
          <w:tcPr>
            <w:tcW w:w="1812" w:type="dxa"/>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党政办公室、司法所</w:t>
            </w:r>
          </w:p>
        </w:tc>
      </w:tr>
    </w:tbl>
    <w:p>
      <w:pPr>
        <w:jc w:val="center"/>
        <w:rPr>
          <w:rFonts w:hint="eastAsia" w:ascii="黑体" w:hAnsi="黑体" w:eastAsia="黑体" w:cs="黑体"/>
          <w:sz w:val="32"/>
          <w:szCs w:val="32"/>
          <w:lang w:val="en-US" w:eastAsia="zh-CN"/>
        </w:rPr>
      </w:pPr>
    </w:p>
    <w:p/>
    <w:p/>
    <w:p/>
    <w:p/>
    <w:p/>
    <w:p/>
    <w:p/>
    <w:p/>
    <w:p/>
    <w:p/>
    <w:p/>
    <w:p/>
    <w:p/>
    <w:sectPr>
      <w:pgSz w:w="16838" w:h="11906" w:orient="landscape"/>
      <w:pgMar w:top="1531" w:right="1871" w:bottom="1417" w:left="164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B2B18"/>
    <w:rsid w:val="05922E16"/>
    <w:rsid w:val="06AD2337"/>
    <w:rsid w:val="074D6FE1"/>
    <w:rsid w:val="079405D0"/>
    <w:rsid w:val="09F32A5E"/>
    <w:rsid w:val="0AD8327F"/>
    <w:rsid w:val="0D5C6DFE"/>
    <w:rsid w:val="10A45097"/>
    <w:rsid w:val="11013FA2"/>
    <w:rsid w:val="126D1B71"/>
    <w:rsid w:val="12AB79E3"/>
    <w:rsid w:val="13C40CF5"/>
    <w:rsid w:val="13F8208E"/>
    <w:rsid w:val="148E350E"/>
    <w:rsid w:val="14B924FC"/>
    <w:rsid w:val="15841304"/>
    <w:rsid w:val="19136730"/>
    <w:rsid w:val="19604564"/>
    <w:rsid w:val="1AC2258A"/>
    <w:rsid w:val="1C545C59"/>
    <w:rsid w:val="1D0C2201"/>
    <w:rsid w:val="1E053EAA"/>
    <w:rsid w:val="1E5F75BD"/>
    <w:rsid w:val="1E840422"/>
    <w:rsid w:val="1F856E10"/>
    <w:rsid w:val="1FA17F0F"/>
    <w:rsid w:val="203D02F1"/>
    <w:rsid w:val="225741E3"/>
    <w:rsid w:val="24225230"/>
    <w:rsid w:val="24E604C8"/>
    <w:rsid w:val="24FA609E"/>
    <w:rsid w:val="27C37A2B"/>
    <w:rsid w:val="2B253107"/>
    <w:rsid w:val="2CB354F6"/>
    <w:rsid w:val="2DF546AE"/>
    <w:rsid w:val="2F39124B"/>
    <w:rsid w:val="2F447412"/>
    <w:rsid w:val="31BD5F7D"/>
    <w:rsid w:val="3203213E"/>
    <w:rsid w:val="33F835FB"/>
    <w:rsid w:val="3B9E4672"/>
    <w:rsid w:val="43D82F16"/>
    <w:rsid w:val="45C92AF7"/>
    <w:rsid w:val="48164254"/>
    <w:rsid w:val="4EC86415"/>
    <w:rsid w:val="50E0450D"/>
    <w:rsid w:val="516A49DB"/>
    <w:rsid w:val="51826B47"/>
    <w:rsid w:val="519E0D8B"/>
    <w:rsid w:val="51F643E8"/>
    <w:rsid w:val="53E07B95"/>
    <w:rsid w:val="5550508A"/>
    <w:rsid w:val="55D855AA"/>
    <w:rsid w:val="55E63934"/>
    <w:rsid w:val="5699398F"/>
    <w:rsid w:val="5836694F"/>
    <w:rsid w:val="5BF63245"/>
    <w:rsid w:val="5D1324CE"/>
    <w:rsid w:val="5ECD6212"/>
    <w:rsid w:val="63084164"/>
    <w:rsid w:val="63F31F8A"/>
    <w:rsid w:val="64B43863"/>
    <w:rsid w:val="68041AA9"/>
    <w:rsid w:val="6B376A47"/>
    <w:rsid w:val="6B91116E"/>
    <w:rsid w:val="6BEB60F6"/>
    <w:rsid w:val="70095122"/>
    <w:rsid w:val="70673B38"/>
    <w:rsid w:val="70BA1006"/>
    <w:rsid w:val="70E624CE"/>
    <w:rsid w:val="731C0D99"/>
    <w:rsid w:val="75456545"/>
    <w:rsid w:val="75EC275F"/>
    <w:rsid w:val="778F1D84"/>
    <w:rsid w:val="79527DA3"/>
    <w:rsid w:val="7E6B006D"/>
    <w:rsid w:val="7F7A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200" w:firstLineChars="200"/>
    </w:pPr>
  </w:style>
  <w:style w:type="paragraph" w:styleId="4">
    <w:name w:val="index 5"/>
    <w:basedOn w:val="1"/>
    <w:next w:val="1"/>
    <w:qFormat/>
    <w:uiPriority w:val="0"/>
    <w:pPr>
      <w:ind w:left="1680"/>
    </w:pPr>
  </w:style>
  <w:style w:type="paragraph" w:styleId="5">
    <w:name w:val="Body Text Indent"/>
    <w:basedOn w:val="1"/>
    <w:next w:val="4"/>
    <w:qFormat/>
    <w:uiPriority w:val="0"/>
    <w:pPr>
      <w:ind w:left="420"/>
    </w:pPr>
    <w:rPr>
      <w:rFonts w:ascii="仿宋_GB2312" w:eastAsia="仿宋_GB2312"/>
      <w:sz w:val="32"/>
    </w:rPr>
  </w:style>
  <w:style w:type="paragraph" w:styleId="6">
    <w:name w:val="Body Text First Indent 2"/>
    <w:basedOn w:val="5"/>
    <w:next w:val="1"/>
    <w:qFormat/>
    <w:uiPriority w:val="0"/>
    <w:pPr>
      <w:spacing w:after="120"/>
      <w:ind w:leftChars="200" w:firstLine="420" w:firstLineChars="200"/>
    </w:pPr>
    <w:rPr>
      <w:rFonts w:ascii="Times New Roman"/>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正文文本 (2)_"/>
    <w:basedOn w:val="9"/>
    <w:link w:val="14"/>
    <w:qFormat/>
    <w:uiPriority w:val="0"/>
    <w:rPr>
      <w:rFonts w:ascii="MingLiU" w:eastAsia="MingLiU" w:cs="MingLiU"/>
      <w:color w:val="auto"/>
      <w:sz w:val="55"/>
      <w:szCs w:val="55"/>
      <w:lang w:val="en-US"/>
    </w:rPr>
  </w:style>
  <w:style w:type="paragraph" w:customStyle="1" w:styleId="14">
    <w:name w:val="正文文本 (2)"/>
    <w:basedOn w:val="1"/>
    <w:link w:val="13"/>
    <w:qFormat/>
    <w:uiPriority w:val="0"/>
    <w:pPr>
      <w:shd w:val="clear" w:color="auto" w:fill="FFFFFF"/>
      <w:spacing w:after="120" w:line="240" w:lineRule="atLeast"/>
      <w:jc w:val="center"/>
    </w:pPr>
    <w:rPr>
      <w:rFonts w:ascii="MingLiU" w:eastAsia="MingLiU" w:cs="MingLiU"/>
      <w:color w:val="auto"/>
      <w:sz w:val="55"/>
      <w:szCs w:val="55"/>
      <w:lang w:val="en-US"/>
    </w:rPr>
  </w:style>
  <w:style w:type="paragraph" w:customStyle="1" w:styleId="15">
    <w:name w:val="普通(网站)1"/>
    <w:basedOn w:val="1"/>
    <w:qFormat/>
    <w:uiPriority w:val="0"/>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2020-03-18T07:27:00Z</dcterms:created>
  <dc:creator>Administrator</dc:creator>
  <cp:lastModifiedBy>奈小诺</cp:lastModifiedBy>
  <cp:lastPrinted>2020-03-23T05:01:00Z</cp:lastPrinted>
  <dcterms:modified xsi:type="dcterms:W3CDTF">2020-03-24T06:43:39Z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