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shd w:val="clear" w:fill="FFFFFF"/>
          <w:lang w:val="en-US" w:eastAsia="zh-CN" w:bidi="ar"/>
          <w14:textFill>
            <w14:solidFill>
              <w14:schemeClr w14:val="tx1"/>
            </w14:solidFill>
          </w14:textFill>
        </w:rPr>
        <w:t>附件4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shd w:val="clear" w:fill="FFFFFF"/>
          <w:lang w:val="en-US" w:eastAsia="zh-CN" w:bidi="ar"/>
          <w14:textFill>
            <w14:solidFill>
              <w14:schemeClr w14:val="tx1"/>
            </w14:solidFill>
          </w14:textFill>
        </w:rPr>
        <w:t>沙坡头区政府办普法标准清单</w:t>
      </w:r>
    </w:p>
    <w:tbl>
      <w:tblPr>
        <w:tblStyle w:val="4"/>
        <w:tblW w:w="9540" w:type="dxa"/>
        <w:jc w:val="center"/>
        <w:shd w:val="clear" w:color="auto" w:fill="auto"/>
        <w:tblLayout w:type="fixed"/>
        <w:tblCellMar>
          <w:top w:w="15" w:type="dxa"/>
          <w:left w:w="15" w:type="dxa"/>
          <w:bottom w:w="15" w:type="dxa"/>
          <w:right w:w="15" w:type="dxa"/>
        </w:tblCellMar>
      </w:tblPr>
      <w:tblGrid>
        <w:gridCol w:w="855"/>
        <w:gridCol w:w="2103"/>
        <w:gridCol w:w="6582"/>
      </w:tblGrid>
      <w:tr>
        <w:tblPrEx>
          <w:shd w:val="clear" w:color="auto" w:fill="auto"/>
          <w:tblCellMar>
            <w:top w:w="15" w:type="dxa"/>
            <w:left w:w="15" w:type="dxa"/>
            <w:bottom w:w="15" w:type="dxa"/>
            <w:right w:w="15" w:type="dxa"/>
          </w:tblCellMar>
        </w:tblPrEx>
        <w:trPr>
          <w:trHeight w:val="587" w:hRule="atLeast"/>
          <w:jc w:val="center"/>
        </w:trPr>
        <w:tc>
          <w:tcPr>
            <w:tcW w:w="85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序号</w:t>
            </w:r>
          </w:p>
        </w:tc>
        <w:tc>
          <w:tcPr>
            <w:tcW w:w="210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内容</w:t>
            </w:r>
          </w:p>
        </w:tc>
        <w:tc>
          <w:tcPr>
            <w:tcW w:w="658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具体标准</w:t>
            </w:r>
          </w:p>
        </w:tc>
      </w:tr>
      <w:tr>
        <w:tblPrEx>
          <w:tblCellMar>
            <w:top w:w="15" w:type="dxa"/>
            <w:left w:w="15" w:type="dxa"/>
            <w:bottom w:w="15" w:type="dxa"/>
            <w:right w:w="15" w:type="dxa"/>
          </w:tblCellMar>
        </w:tblPrEx>
        <w:trPr>
          <w:trHeight w:val="1703"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落实领导干部学法制度，开展中国共产党党章党规学习。</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领导带头学法，模范守法。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2.落实领导干部学法制度，将法律法规学习纳入区政府办理论学习中心组学习计划。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3.利用每周例会集中开展学习。</w:t>
            </w:r>
          </w:p>
        </w:tc>
      </w:tr>
      <w:tr>
        <w:tblPrEx>
          <w:tblCellMar>
            <w:top w:w="15" w:type="dxa"/>
            <w:left w:w="15" w:type="dxa"/>
            <w:bottom w:w="15" w:type="dxa"/>
            <w:right w:w="15" w:type="dxa"/>
          </w:tblCellMar>
        </w:tblPrEx>
        <w:trPr>
          <w:trHeight w:val="1217"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学习依法治国重要论述</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1.深入学习宣传深入学习宣传习近平总书记全面依法治国新理念新思想新战略；深入学习宣传党的十九届四中全会精神；深入学习宣传以宪法为核心的中国特色社会主义法律体系。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2.将依法治国内容纳入党组理论学习中心组学习内容开展集中学习或自学。</w:t>
            </w:r>
          </w:p>
        </w:tc>
      </w:tr>
      <w:tr>
        <w:tblPrEx>
          <w:tblCellMar>
            <w:top w:w="15" w:type="dxa"/>
            <w:left w:w="15" w:type="dxa"/>
            <w:bottom w:w="15" w:type="dxa"/>
            <w:right w:w="15" w:type="dxa"/>
          </w:tblCellMar>
        </w:tblPrEx>
        <w:trPr>
          <w:trHeight w:val="1159"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突出学习宣传《宪法》</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1.开展《宪法》宣传教育活动。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2.深入宣传《宪法》至上、依宪治国、依宪执政等理念。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3.引导干部职工主动运用《宪法》。</w:t>
            </w:r>
          </w:p>
        </w:tc>
      </w:tr>
      <w:tr>
        <w:tblPrEx>
          <w:tblCellMar>
            <w:top w:w="15" w:type="dxa"/>
            <w:left w:w="15" w:type="dxa"/>
            <w:bottom w:w="15" w:type="dxa"/>
            <w:right w:w="15" w:type="dxa"/>
          </w:tblCellMar>
        </w:tblPrEx>
        <w:trPr>
          <w:trHeight w:val="1538"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继续抓好宣传活动</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1.认真组织开展普法宣传活动，丰富活动内容，拓宽活动载体。</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开展应对防控新新冠状病毒肺炎疫情法制宣传教育。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3开展“助力脱贫攻坚和乡村振兴”法治宣传主题教育实践活动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4.充分发挥区政府网站、电子屏等各类宣传平台的作用，突出宣传实效。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5.抓住重要节点和重点普法人群，开展形式多样的主题宣传。</w:t>
            </w:r>
          </w:p>
        </w:tc>
      </w:tr>
      <w:tr>
        <w:tblPrEx>
          <w:tblCellMar>
            <w:top w:w="15" w:type="dxa"/>
            <w:left w:w="15" w:type="dxa"/>
            <w:bottom w:w="15" w:type="dxa"/>
            <w:right w:w="15" w:type="dxa"/>
          </w:tblCellMar>
        </w:tblPrEx>
        <w:trPr>
          <w:trHeight w:val="1055"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深入推进“法律八进”标准化建设</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结合不同对象的不同需求，有针对性开展“法律八进”活动，创新普法方式方法，确保普法取得实效。</w:t>
            </w:r>
          </w:p>
        </w:tc>
      </w:tr>
      <w:tr>
        <w:tblPrEx>
          <w:tblCellMar>
            <w:top w:w="15" w:type="dxa"/>
            <w:left w:w="15" w:type="dxa"/>
            <w:bottom w:w="15" w:type="dxa"/>
            <w:right w:w="15" w:type="dxa"/>
          </w:tblCellMar>
        </w:tblPrEx>
        <w:trPr>
          <w:trHeight w:val="904" w:hRule="atLeast"/>
          <w:jc w:val="center"/>
        </w:trPr>
        <w:tc>
          <w:tcPr>
            <w:tcW w:w="85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w:t>
            </w:r>
          </w:p>
        </w:tc>
        <w:tc>
          <w:tcPr>
            <w:tcW w:w="210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bidi="ar"/>
                <w14:textFill>
                  <w14:solidFill>
                    <w14:schemeClr w14:val="tx1"/>
                  </w14:solidFill>
                </w14:textFill>
              </w:rPr>
              <w:t>落实普法治理工作责任</w:t>
            </w:r>
          </w:p>
        </w:tc>
        <w:tc>
          <w:tcPr>
            <w:tcW w:w="658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vertAlign w:val="baseline"/>
                <w:lang w:val="en-US" w:eastAsia="zh-CN" w:bidi="ar"/>
                <w14:textFill>
                  <w14:solidFill>
                    <w14:schemeClr w14:val="tx1"/>
                  </w14:solidFill>
                </w14:textFill>
              </w:rPr>
              <w:t>将普法依法治理工作作为本单位的一项重要任务，列入重要议事日程。</w:t>
            </w:r>
          </w:p>
        </w:tc>
      </w:tr>
      <w:tr>
        <w:tblPrEx>
          <w:tblCellMar>
            <w:top w:w="15" w:type="dxa"/>
            <w:left w:w="15" w:type="dxa"/>
            <w:bottom w:w="15" w:type="dxa"/>
            <w:right w:w="15" w:type="dxa"/>
          </w:tblCellMar>
        </w:tblPrEx>
        <w:trPr>
          <w:trHeight w:val="1270" w:hRule="atLeast"/>
          <w:jc w:val="center"/>
        </w:trPr>
        <w:tc>
          <w:tcPr>
            <w:tcW w:w="85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7</w:t>
            </w:r>
          </w:p>
        </w:tc>
        <w:tc>
          <w:tcPr>
            <w:tcW w:w="210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建立普法治理考核机制</w:t>
            </w:r>
          </w:p>
        </w:tc>
        <w:tc>
          <w:tcPr>
            <w:tcW w:w="658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把普法依法治理工作纳入绩效管理，开展年度考核、阶段性检查和专项督查，确保普法治理实效。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18CA4"/>
    <w:multiLevelType w:val="singleLevel"/>
    <w:tmpl w:val="61618C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551CC"/>
    <w:rsid w:val="43F74166"/>
    <w:rsid w:val="7695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2020-03-24T02:08:00Z</dcterms:created>
  <dc:creator>不明觉厉</dc:creator>
  <cp:lastModifiedBy>不明觉厉</cp:lastModifiedBy>
  <dcterms:modified xsi:type="dcterms:W3CDTF">2020-03-24T02:08:51Z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