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各有关部门参会人员分配表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530" w:tblpY="106"/>
        <w:tblOverlap w:val="never"/>
        <w:tblW w:w="9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064"/>
        <w:gridCol w:w="2054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分配名额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区科学技术局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区工业信息化和商务局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民政和社会保障局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区司法局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区自然资源局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32"/>
                <w:szCs w:val="32"/>
              </w:rPr>
              <w:t>住房城乡建设和交通局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水务局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农业农村局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卫生健康局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区审计局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区统计局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区扶贫办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医疗保障局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1名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0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区生态环境分局</w:t>
            </w:r>
          </w:p>
        </w:tc>
        <w:tc>
          <w:tcPr>
            <w:tcW w:w="2054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1名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45B62"/>
    <w:rsid w:val="1CD45B62"/>
    <w:rsid w:val="541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2020-11-25T09:10:00Z</dcterms:created>
  <dc:creator>花花</dc:creator>
  <cp:lastModifiedBy>花花</cp:lastModifiedBy>
  <dcterms:modified xsi:type="dcterms:W3CDTF">2020-11-25T09:31:31Z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