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1: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各有关部门参会人员分配表</w:t>
      </w:r>
    </w:p>
    <w:bookmarkEnd w:id="0"/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page" w:tblpX="1530" w:tblpY="106"/>
        <w:tblOverlap w:val="never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720"/>
        <w:gridCol w:w="2147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分配名额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区纪委监委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区委办公室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区委组织部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区委宣传部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区人民政府办公室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发展和改革局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区工业信息化和商务局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民政和社会保障局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区自然资源局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32"/>
                <w:szCs w:val="32"/>
              </w:rPr>
              <w:t>住房城乡建设和交通局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水务局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农业农村局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卫生健康局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区审计局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区统计局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医疗保障局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73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25293"/>
    <w:rsid w:val="75F025C3"/>
    <w:rsid w:val="7B42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2020-10-20T02:46:00Z</dcterms:created>
  <dc:creator>陌黎1413089863</dc:creator>
  <cp:lastModifiedBy>陌黎1413089863</cp:lastModifiedBy>
  <dcterms:modified xsi:type="dcterms:W3CDTF">2020-10-20T02:47:43Z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