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85C94">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4DCF78D5">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3BA2A8D1">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2581D24D">
      <w:pPr>
        <w:adjustRightInd w:val="0"/>
        <w:snapToGrid w:val="0"/>
        <w:jc w:val="center"/>
        <w:outlineLvl w:val="0"/>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pPr>
      <w:r>
        <w:rPr>
          <w:rFonts w:hint="default" w:ascii="Times New Roman" w:hAnsi="Times New Roman" w:eastAsia="方正小标宋_GBK" w:cs="Times New Roman"/>
          <w:bCs/>
          <w:color w:val="000000" w:themeColor="text1"/>
          <w:sz w:val="52"/>
          <w:szCs w:val="52"/>
          <w:highlight w:val="none"/>
          <w14:textFill>
            <w14:solidFill>
              <w14:schemeClr w14:val="tx1"/>
            </w14:solidFill>
          </w14:textFill>
        </w:rPr>
        <w:t>建设项目环境影响报告表</w:t>
      </w:r>
    </w:p>
    <w:p w14:paraId="187BEFF4">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w:t>
      </w:r>
      <w:r>
        <w:rPr>
          <w:rFonts w:hint="default" w:ascii="Times New Roman" w:hAnsi="Times New Roman" w:eastAsia="楷体_GB2312" w:cs="Times New Roman"/>
          <w:bCs/>
          <w:color w:val="000000" w:themeColor="text1"/>
          <w:sz w:val="48"/>
          <w:szCs w:val="48"/>
          <w:highlight w:val="none"/>
          <w:lang w:eastAsia="zh-CN"/>
          <w14:textFill>
            <w14:solidFill>
              <w14:schemeClr w14:val="tx1"/>
            </w14:solidFill>
          </w14:textFill>
        </w:rPr>
        <w:t>生态</w:t>
      </w: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影响类）</w:t>
      </w:r>
    </w:p>
    <w:p w14:paraId="03D4A132">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78C779FD">
      <w:pPr>
        <w:jc w:val="center"/>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173DA1B5">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23517DFD">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5997501B">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0B28607A">
      <w:pPr>
        <w:pStyle w:val="37"/>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1467DB7F">
      <w:pPr>
        <w:pStyle w:val="37"/>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2A95FE45">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4449B4EF">
      <w:pPr>
        <w:adjustRightInd w:val="0"/>
        <w:snapToGrid w:val="0"/>
        <w:spacing w:line="360" w:lineRule="auto"/>
        <w:ind w:firstLine="600" w:firstLineChars="200"/>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t>项目名称：</w:t>
      </w:r>
      <w:r>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0"/>
          <w:szCs w:val="30"/>
          <w:highlight w:val="none"/>
          <w:u w:val="single"/>
          <w:lang w:eastAsia="zh-CN"/>
          <w14:textFill>
            <w14:solidFill>
              <w14:schemeClr w14:val="tx1"/>
            </w14:solidFill>
          </w14:textFill>
        </w:rPr>
        <w:t>宁夏中小河流治理项目沙坡头区三个窑沟治理工程</w:t>
      </w:r>
      <w:r>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t xml:space="preserve"> </w:t>
      </w:r>
    </w:p>
    <w:p w14:paraId="73FF028F">
      <w:pPr>
        <w:adjustRightInd w:val="0"/>
        <w:snapToGrid w:val="0"/>
        <w:spacing w:line="360" w:lineRule="auto"/>
        <w:ind w:firstLine="600" w:firstLineChars="200"/>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t>建设单位（盖章）：</w:t>
      </w:r>
      <w:r>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t xml:space="preserve">    </w:t>
      </w:r>
      <w:r>
        <w:rPr>
          <w:rFonts w:hint="eastAsia" w:eastAsia="仿宋_GB2312" w:cs="Times New Roman"/>
          <w:color w:val="000000" w:themeColor="text1"/>
          <w:sz w:val="30"/>
          <w:szCs w:val="30"/>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t xml:space="preserve"> 中卫市沙坡头区水务局           </w:t>
      </w:r>
    </w:p>
    <w:p w14:paraId="515ED87D">
      <w:pPr>
        <w:adjustRightInd w:val="0"/>
        <w:snapToGrid w:val="0"/>
        <w:spacing w:line="360" w:lineRule="auto"/>
        <w:ind w:firstLine="600" w:firstLineChars="200"/>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t>编制日期：</w:t>
      </w:r>
      <w:r>
        <w:rPr>
          <w:rFonts w:hint="default" w:ascii="Times New Roman" w:hAnsi="Times New Roman" w:eastAsia="仿宋_GB2312" w:cs="Times New Roman"/>
          <w:color w:val="000000" w:themeColor="text1"/>
          <w:sz w:val="30"/>
          <w:szCs w:val="30"/>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0"/>
          <w:szCs w:val="30"/>
          <w:highlight w:val="none"/>
          <w:u w:val="single"/>
          <w14:textFill>
            <w14:solidFill>
              <w14:schemeClr w14:val="tx1"/>
            </w14:solidFill>
          </w14:textFill>
        </w:rPr>
        <w:t xml:space="preserve">  202</w:t>
      </w:r>
      <w:r>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t>6</w:t>
      </w:r>
      <w:r>
        <w:rPr>
          <w:rFonts w:hint="default" w:ascii="Times New Roman" w:hAnsi="Times New Roman" w:eastAsia="仿宋_GB2312" w:cs="Times New Roman"/>
          <w:color w:val="000000" w:themeColor="text1"/>
          <w:sz w:val="30"/>
          <w:szCs w:val="30"/>
          <w:highlight w:val="none"/>
          <w:u w:val="single"/>
          <w14:textFill>
            <w14:solidFill>
              <w14:schemeClr w14:val="tx1"/>
            </w14:solidFill>
          </w14:textFill>
        </w:rPr>
        <w:t>年</w:t>
      </w:r>
      <w:r>
        <w:rPr>
          <w:rFonts w:hint="eastAsia" w:eastAsia="仿宋_GB2312" w:cs="Times New Roman"/>
          <w:color w:val="000000" w:themeColor="text1"/>
          <w:sz w:val="30"/>
          <w:szCs w:val="30"/>
          <w:highlight w:val="none"/>
          <w:u w:val="single"/>
          <w:lang w:val="en-US" w:eastAsia="zh-CN"/>
          <w14:textFill>
            <w14:solidFill>
              <w14:schemeClr w14:val="tx1"/>
            </w14:solidFill>
          </w14:textFill>
        </w:rPr>
        <w:t>5</w:t>
      </w:r>
      <w:r>
        <w:rPr>
          <w:rFonts w:hint="default" w:ascii="Times New Roman" w:hAnsi="Times New Roman" w:eastAsia="仿宋_GB2312" w:cs="Times New Roman"/>
          <w:color w:val="000000" w:themeColor="text1"/>
          <w:sz w:val="30"/>
          <w:szCs w:val="30"/>
          <w:highlight w:val="none"/>
          <w:u w:val="single"/>
          <w14:textFill>
            <w14:solidFill>
              <w14:schemeClr w14:val="tx1"/>
            </w14:solidFill>
          </w14:textFill>
        </w:rPr>
        <w:t xml:space="preserve">月  </w:t>
      </w:r>
      <w:r>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0"/>
          <w:szCs w:val="30"/>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30"/>
          <w:szCs w:val="30"/>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0"/>
          <w:szCs w:val="30"/>
          <w:highlight w:val="none"/>
          <w:u w:val="single"/>
          <w14:textFill>
            <w14:solidFill>
              <w14:schemeClr w14:val="tx1"/>
            </w14:solidFill>
          </w14:textFill>
        </w:rPr>
        <w:t xml:space="preserve">   </w:t>
      </w:r>
    </w:p>
    <w:p w14:paraId="0EDC9A5E">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pPr>
      <w:bookmarkStart w:id="0" w:name="_Hlk57884087"/>
    </w:p>
    <w:p w14:paraId="799DB0BC">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32D13F60">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042C4010">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14:textFill>
            <w14:solidFill>
              <w14:schemeClr w14:val="tx1"/>
            </w14:solidFill>
          </w14:textFill>
        </w:rPr>
      </w:pPr>
    </w:p>
    <w:bookmarkEnd w:id="0"/>
    <w:p w14:paraId="3B193F53">
      <w:pPr>
        <w:adjustRightInd w:val="0"/>
        <w:snapToGrid w:val="0"/>
        <w:spacing w:line="288" w:lineRule="auto"/>
        <w:jc w:val="center"/>
        <w:rPr>
          <w:rFonts w:hint="default" w:ascii="Times New Roman" w:hAnsi="Times New Roman" w:eastAsia="楷体_GB2312" w:cs="Times New Roman"/>
          <w:color w:val="000000" w:themeColor="text1"/>
          <w:sz w:val="36"/>
          <w:szCs w:val="36"/>
          <w:highlight w:val="none"/>
          <w14:textFill>
            <w14:solidFill>
              <w14:schemeClr w14:val="tx1"/>
            </w14:solidFill>
          </w14:textFill>
        </w:rPr>
      </w:pPr>
      <w:r>
        <w:rPr>
          <w:rFonts w:hint="default" w:ascii="Times New Roman" w:hAnsi="Times New Roman" w:eastAsia="楷体_GB2312" w:cs="Times New Roman"/>
          <w:color w:val="000000" w:themeColor="text1"/>
          <w:sz w:val="36"/>
          <w:szCs w:val="36"/>
          <w:highlight w:val="none"/>
          <w14:textFill>
            <w14:solidFill>
              <w14:schemeClr w14:val="tx1"/>
            </w14:solidFill>
          </w14:textFill>
        </w:rPr>
        <w:t>中华人民共和国生态环境部制</w:t>
      </w:r>
    </w:p>
    <w:p w14:paraId="5D25E8BC">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14:textFill>
            <w14:solidFill>
              <w14:schemeClr w14:val="tx1"/>
            </w14:solidFill>
          </w14:textFill>
        </w:rPr>
        <w:sectPr>
          <w:headerReference r:id="rId3" w:type="default"/>
          <w:footerReference r:id="rId4" w:type="default"/>
          <w:footerReference r:id="rId5" w:type="even"/>
          <w:pgSz w:w="11906" w:h="16838"/>
          <w:pgMar w:top="1701" w:right="1417" w:bottom="1701" w:left="1417"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14:paraId="029A9C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黑体" w:cs="Times New Roman"/>
          <w:snapToGrid w:val="0"/>
          <w:color w:val="000000" w:themeColor="text1"/>
          <w:kern w:val="0"/>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kern w:val="0"/>
          <w:sz w:val="30"/>
          <w:szCs w:val="30"/>
          <w:highlight w:val="none"/>
          <w14:textFill>
            <w14:solidFill>
              <w14:schemeClr w14:val="tx1"/>
            </w14:solidFill>
          </w14:textFill>
        </w:rPr>
        <w:t>一、建设项目基本情况</w:t>
      </w:r>
    </w:p>
    <w:tbl>
      <w:tblPr>
        <w:tblStyle w:val="25"/>
        <w:tblW w:w="494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45"/>
        <w:gridCol w:w="1414"/>
        <w:gridCol w:w="2072"/>
        <w:gridCol w:w="628"/>
        <w:gridCol w:w="1580"/>
        <w:gridCol w:w="2869"/>
      </w:tblGrid>
      <w:tr w14:paraId="101E8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4FE6470F">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建设项目名称</w:t>
            </w:r>
          </w:p>
        </w:tc>
        <w:tc>
          <w:tcPr>
            <w:tcW w:w="7149" w:type="dxa"/>
            <w:gridSpan w:val="4"/>
            <w:tcBorders>
              <w:tl2br w:val="nil"/>
              <w:tr2bl w:val="nil"/>
            </w:tcBorders>
            <w:vAlign w:val="center"/>
          </w:tcPr>
          <w:p w14:paraId="367195CD">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宁夏中小河流治理项目沙坡头区三个窑沟治理</w:t>
            </w:r>
            <w:r>
              <w:rPr>
                <w:color w:val="000000" w:themeColor="text1"/>
                <w:sz w:val="24"/>
                <w14:textFill>
                  <w14:solidFill>
                    <w14:schemeClr w14:val="tx1"/>
                  </w14:solidFill>
                </w14:textFill>
              </w:rPr>
              <w:t>工程</w:t>
            </w:r>
          </w:p>
        </w:tc>
      </w:tr>
      <w:tr w14:paraId="0FCEC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029F253E">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项目代码</w:t>
            </w:r>
          </w:p>
        </w:tc>
        <w:tc>
          <w:tcPr>
            <w:tcW w:w="7149" w:type="dxa"/>
            <w:gridSpan w:val="4"/>
            <w:tcBorders>
              <w:tl2br w:val="nil"/>
              <w:tr2bl w:val="nil"/>
            </w:tcBorders>
            <w:vAlign w:val="center"/>
          </w:tcPr>
          <w:p w14:paraId="1890BC8B">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2409-640502-19-01-982239</w:t>
            </w:r>
          </w:p>
        </w:tc>
      </w:tr>
      <w:tr w14:paraId="524B3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00780023">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建设单位联系人</w:t>
            </w:r>
          </w:p>
        </w:tc>
        <w:tc>
          <w:tcPr>
            <w:tcW w:w="2700" w:type="dxa"/>
            <w:gridSpan w:val="2"/>
            <w:tcBorders>
              <w:tl2br w:val="nil"/>
              <w:tr2bl w:val="nil"/>
            </w:tcBorders>
            <w:vAlign w:val="center"/>
          </w:tcPr>
          <w:p w14:paraId="53B27669">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张宁</w:t>
            </w:r>
          </w:p>
        </w:tc>
        <w:tc>
          <w:tcPr>
            <w:tcW w:w="1580" w:type="dxa"/>
            <w:tcBorders>
              <w:tl2br w:val="nil"/>
              <w:tr2bl w:val="nil"/>
            </w:tcBorders>
            <w:vAlign w:val="center"/>
          </w:tcPr>
          <w:p w14:paraId="6ABD8BC1">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联系方式</w:t>
            </w:r>
          </w:p>
        </w:tc>
        <w:tc>
          <w:tcPr>
            <w:tcW w:w="2869" w:type="dxa"/>
            <w:tcBorders>
              <w:tl2br w:val="nil"/>
              <w:tr2bl w:val="nil"/>
            </w:tcBorders>
            <w:vAlign w:val="center"/>
          </w:tcPr>
          <w:p w14:paraId="52F013C4">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w:t>
            </w:r>
          </w:p>
        </w:tc>
      </w:tr>
      <w:tr w14:paraId="46C21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5ED7281F">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建设地点</w:t>
            </w:r>
          </w:p>
        </w:tc>
        <w:tc>
          <w:tcPr>
            <w:tcW w:w="7149" w:type="dxa"/>
            <w:gridSpan w:val="4"/>
            <w:tcBorders>
              <w:tl2br w:val="nil"/>
              <w:tr2bl w:val="nil"/>
            </w:tcBorders>
            <w:vAlign w:val="center"/>
          </w:tcPr>
          <w:p w14:paraId="7912807C">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single"/>
                <w:lang w:eastAsia="zh-CN"/>
                <w14:textFill>
                  <w14:solidFill>
                    <w14:schemeClr w14:val="tx1"/>
                  </w14:solidFill>
                </w14:textFill>
              </w:rPr>
              <w:t>宁夏回族自治</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区</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中卫</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市</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沙坡头</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区</w:t>
            </w:r>
            <w:r>
              <w:rPr>
                <w:rFonts w:hint="default" w:ascii="Times New Roman" w:hAnsi="Times New Roman" w:cs="Times New Roman"/>
                <w:color w:val="000000" w:themeColor="text1"/>
                <w:sz w:val="24"/>
                <w:highlight w:val="none"/>
                <w:u w:val="single"/>
                <w:lang w:val="en-US" w:eastAsia="zh-CN"/>
                <w14:textFill>
                  <w14:solidFill>
                    <w14:schemeClr w14:val="tx1"/>
                  </w14:solidFill>
                </w14:textFill>
              </w:rPr>
              <w:t>永康</w:t>
            </w:r>
            <w:r>
              <w:rPr>
                <w:rFonts w:hint="default" w:ascii="Times New Roman" w:hAnsi="Times New Roman" w:cs="Times New Roman"/>
                <w:color w:val="000000" w:themeColor="text1"/>
                <w:sz w:val="24"/>
                <w:highlight w:val="none"/>
                <w:u w:val="none"/>
                <w:lang w:val="en-US" w:eastAsia="zh-CN"/>
                <w14:textFill>
                  <w14:solidFill>
                    <w14:schemeClr w14:val="tx1"/>
                  </w14:solidFill>
                </w14:textFill>
              </w:rPr>
              <w:t>镇</w:t>
            </w:r>
          </w:p>
        </w:tc>
      </w:tr>
      <w:tr w14:paraId="1993A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1D530F92">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地理坐标</w:t>
            </w:r>
          </w:p>
        </w:tc>
        <w:tc>
          <w:tcPr>
            <w:tcW w:w="7149" w:type="dxa"/>
            <w:gridSpan w:val="4"/>
            <w:tcBorders>
              <w:tl2br w:val="nil"/>
              <w:tr2bl w:val="nil"/>
            </w:tcBorders>
            <w:vAlign w:val="center"/>
          </w:tcPr>
          <w:p w14:paraId="07488816">
            <w:pPr>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起点坐标：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E105°13′38.519″，N37°27′57.420″</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70171DB1">
            <w:pPr>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终点坐标：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E105°13′30.948″，N37°25′6.224″</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32EEB0E9">
            <w:pPr>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起点坐标：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E105°13′27.163″，N37°27′33.396″</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16EA2A7F">
            <w:pPr>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终点坐标：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E105°13′28.090″，N37°27′36.332″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64FBAE53">
            <w:pPr>
              <w:keepNext w:val="0"/>
              <w:keepLines w:val="0"/>
              <w:pageBreakBefore w:val="0"/>
              <w:kinsoku/>
              <w:wordWrap/>
              <w:topLinePunct w:val="0"/>
              <w:bidi w:val="0"/>
              <w:snapToGrid w:val="0"/>
              <w:jc w:val="center"/>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起点坐标：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E105°13′53.891″，N37°26′2.399″</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128C1914">
            <w:pPr>
              <w:keepNext w:val="0"/>
              <w:keepLines w:val="0"/>
              <w:pageBreakBefore w:val="0"/>
              <w:kinsoku/>
              <w:wordWrap/>
              <w:topLinePunct w:val="0"/>
              <w:bidi w:val="0"/>
              <w:snapToGrid w:val="0"/>
              <w:jc w:val="center"/>
              <w:textAlignment w:val="auto"/>
              <w:rPr>
                <w:color w:val="000000" w:themeColor="text1"/>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终点坐标：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E105°13′47.556″，N37°26′19.857″</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20458DC3">
            <w:pPr>
              <w:keepNext w:val="0"/>
              <w:keepLines w:val="0"/>
              <w:pageBreakBefore w:val="0"/>
              <w:kinsoku/>
              <w:wordWrap/>
              <w:topLinePunct w:val="0"/>
              <w:bidi w:val="0"/>
              <w:snapToGrid w:val="0"/>
              <w:jc w:val="center"/>
              <w:textAlignment w:val="auto"/>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监测站中心坐标：105°13′35.042″，37°28′7.539″</w:t>
            </w:r>
          </w:p>
        </w:tc>
      </w:tr>
      <w:tr w14:paraId="62210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54FFE992">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建设项目</w:t>
            </w:r>
          </w:p>
          <w:p w14:paraId="31460142">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行业类别</w:t>
            </w:r>
          </w:p>
        </w:tc>
        <w:tc>
          <w:tcPr>
            <w:tcW w:w="2072" w:type="dxa"/>
            <w:tcBorders>
              <w:tl2br w:val="nil"/>
              <w:tr2bl w:val="nil"/>
            </w:tcBorders>
            <w:vAlign w:val="center"/>
          </w:tcPr>
          <w:p w14:paraId="3650DA6B">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五十</w:t>
            </w:r>
            <w:r>
              <w:rPr>
                <w:rFonts w:hint="eastAsia" w:cs="Times New Roman"/>
                <w:b w:val="0"/>
                <w:bCs w:val="0"/>
                <w:color w:val="000000" w:themeColor="text1"/>
                <w:sz w:val="24"/>
                <w:szCs w:val="24"/>
                <w:highlight w:val="none"/>
                <w:lang w:val="en-US" w:eastAsia="zh-CN"/>
                <w14:textFill>
                  <w14:solidFill>
                    <w14:schemeClr w14:val="tx1"/>
                  </w14:solidFill>
                </w14:textFill>
              </w:rPr>
              <w:t>一</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水利；</w:t>
            </w:r>
            <w:r>
              <w:rPr>
                <w:rFonts w:hint="eastAsia" w:cs="Times New Roman"/>
                <w:b w:val="0"/>
                <w:bCs w:val="0"/>
                <w:color w:val="000000" w:themeColor="text1"/>
                <w:sz w:val="24"/>
                <w:szCs w:val="24"/>
                <w:highlight w:val="none"/>
                <w:lang w:val="en-US" w:eastAsia="zh-CN"/>
                <w14:textFill>
                  <w14:solidFill>
                    <w14:schemeClr w14:val="tx1"/>
                  </w14:solidFill>
                </w14:textFill>
              </w:rPr>
              <w:t>128</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河湖整治</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；其他</w:t>
            </w:r>
          </w:p>
        </w:tc>
        <w:tc>
          <w:tcPr>
            <w:tcW w:w="2208" w:type="dxa"/>
            <w:gridSpan w:val="2"/>
            <w:tcBorders>
              <w:tl2br w:val="nil"/>
              <w:tr2bl w:val="nil"/>
            </w:tcBorders>
            <w:vAlign w:val="center"/>
          </w:tcPr>
          <w:p w14:paraId="16478E65">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用地（用海）面积（m</w:t>
            </w:r>
            <w:r>
              <w:rPr>
                <w:rFonts w:hint="default" w:ascii="Times New Roman" w:hAnsi="Times New Roman" w:eastAsia="宋体" w:cs="Times New Roman"/>
                <w:b/>
                <w:bCs/>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）/长度（km）</w:t>
            </w:r>
          </w:p>
        </w:tc>
        <w:tc>
          <w:tcPr>
            <w:tcW w:w="2869" w:type="dxa"/>
            <w:tcBorders>
              <w:tl2br w:val="nil"/>
              <w:tr2bl w:val="nil"/>
            </w:tcBorders>
            <w:vAlign w:val="center"/>
          </w:tcPr>
          <w:p w14:paraId="1D38F0BE">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val="0"/>
                <w:bCs w:val="0"/>
                <w:color w:val="000000" w:themeColor="text1"/>
                <w:spacing w:val="-6"/>
                <w:sz w:val="24"/>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本项目不新增永久占地，新增</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临时占地</w:t>
            </w:r>
            <w:r>
              <w:rPr>
                <w:rFonts w:hint="default" w:ascii="Times New Roman" w:hAnsi="Times New Roman" w:cs="Times New Roman"/>
                <w:color w:val="000000" w:themeColor="text1"/>
                <w:sz w:val="24"/>
                <w:highlight w:val="none"/>
                <w:lang w:val="en-US" w:eastAsia="zh-CN"/>
                <w14:textFill>
                  <w14:solidFill>
                    <w14:schemeClr w14:val="tx1"/>
                  </w14:solidFill>
                </w14:textFill>
              </w:rPr>
              <w:t>6105</w:t>
            </w:r>
            <w:r>
              <w:rPr>
                <w:rFonts w:hint="default" w:ascii="Times New Roman" w:hAnsi="Times New Roman" w:eastAsia="宋体" w:cs="Times New Roman"/>
                <w:b w:val="0"/>
                <w:bCs w:val="0"/>
                <w:color w:val="000000" w:themeColor="text1"/>
                <w:spacing w:val="-6"/>
                <w:sz w:val="24"/>
                <w:highlight w:val="none"/>
                <w14:textFill>
                  <w14:solidFill>
                    <w14:schemeClr w14:val="tx1"/>
                  </w14:solidFill>
                </w14:textFill>
              </w:rPr>
              <w:t>m</w:t>
            </w:r>
            <w:r>
              <w:rPr>
                <w:rFonts w:hint="default" w:ascii="Times New Roman" w:hAnsi="Times New Roman" w:eastAsia="宋体" w:cs="Times New Roman"/>
                <w:b w:val="0"/>
                <w:bCs w:val="0"/>
                <w:color w:val="000000" w:themeColor="text1"/>
                <w:spacing w:val="-6"/>
                <w:sz w:val="24"/>
                <w:highlight w:val="none"/>
                <w:vertAlign w:val="superscript"/>
                <w14:textFill>
                  <w14:solidFill>
                    <w14:schemeClr w14:val="tx1"/>
                  </w14:solidFill>
                </w14:textFill>
              </w:rPr>
              <w:t>2</w:t>
            </w:r>
          </w:p>
        </w:tc>
      </w:tr>
      <w:tr w14:paraId="5B0B6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3C844A41">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建设性质</w:t>
            </w:r>
          </w:p>
        </w:tc>
        <w:tc>
          <w:tcPr>
            <w:tcW w:w="2072" w:type="dxa"/>
            <w:tcBorders>
              <w:tl2br w:val="nil"/>
              <w:tr2bl w:val="nil"/>
            </w:tcBorders>
            <w:vAlign w:val="center"/>
          </w:tcPr>
          <w:p w14:paraId="0DEFDFF8">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highlight w:val="none"/>
                <w14:textFill>
                  <w14:solidFill>
                    <w14:schemeClr w14:val="tx1"/>
                  </w14:solidFill>
                </w14:textFill>
              </w:rPr>
              <w:t>新建（迁建）</w:t>
            </w:r>
          </w:p>
          <w:p w14:paraId="5239AB00">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改建</w:t>
            </w:r>
          </w:p>
          <w:p w14:paraId="0E9623F0">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扩建</w:t>
            </w:r>
          </w:p>
          <w:p w14:paraId="29F32DD8">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技术改造</w:t>
            </w:r>
          </w:p>
        </w:tc>
        <w:tc>
          <w:tcPr>
            <w:tcW w:w="2208" w:type="dxa"/>
            <w:gridSpan w:val="2"/>
            <w:tcBorders>
              <w:tl2br w:val="nil"/>
              <w:tr2bl w:val="nil"/>
            </w:tcBorders>
            <w:vAlign w:val="center"/>
          </w:tcPr>
          <w:p w14:paraId="09447C1B">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建设项目</w:t>
            </w:r>
          </w:p>
          <w:p w14:paraId="30813CF1">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申报情形</w:t>
            </w:r>
          </w:p>
        </w:tc>
        <w:tc>
          <w:tcPr>
            <w:tcW w:w="2869" w:type="dxa"/>
            <w:tcBorders>
              <w:tl2br w:val="nil"/>
              <w:tr2bl w:val="nil"/>
            </w:tcBorders>
            <w:vAlign w:val="center"/>
          </w:tcPr>
          <w:p w14:paraId="405FB11D">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4"/>
                <w:highlight w:val="none"/>
                <w14:textFill>
                  <w14:solidFill>
                    <w14:schemeClr w14:val="tx1"/>
                  </w14:solidFill>
                </w14:textFill>
              </w:rPr>
              <w:t xml:space="preserve">首次申报项目             </w:t>
            </w:r>
          </w:p>
          <w:p w14:paraId="3DC2D923">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不予批准后再次申报项目</w:t>
            </w:r>
          </w:p>
          <w:p w14:paraId="19365672">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 xml:space="preserve">超五年重新审核项目     </w:t>
            </w:r>
          </w:p>
          <w:p w14:paraId="180015FB">
            <w:pPr>
              <w:keepNext w:val="0"/>
              <w:keepLines w:val="0"/>
              <w:pageBreakBefore w:val="0"/>
              <w:kinsoku/>
              <w:wordWrap/>
              <w:topLinePunct w:val="0"/>
              <w:bidi w:val="0"/>
              <w:snapToGrid w:val="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重大变动重新报批项目</w:t>
            </w:r>
          </w:p>
        </w:tc>
      </w:tr>
      <w:tr w14:paraId="216E5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3F0F7E35">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项目审批部门</w:t>
            </w:r>
          </w:p>
        </w:tc>
        <w:tc>
          <w:tcPr>
            <w:tcW w:w="2072" w:type="dxa"/>
            <w:tcBorders>
              <w:tl2br w:val="nil"/>
              <w:tr2bl w:val="nil"/>
            </w:tcBorders>
            <w:vAlign w:val="center"/>
          </w:tcPr>
          <w:p w14:paraId="7FBB71A2">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中卫市沙坡头区发展和改革局</w:t>
            </w:r>
          </w:p>
        </w:tc>
        <w:tc>
          <w:tcPr>
            <w:tcW w:w="2208" w:type="dxa"/>
            <w:gridSpan w:val="2"/>
            <w:tcBorders>
              <w:tl2br w:val="nil"/>
              <w:tr2bl w:val="nil"/>
            </w:tcBorders>
            <w:vAlign w:val="center"/>
          </w:tcPr>
          <w:p w14:paraId="5EA32FB3">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项目审批文号</w:t>
            </w:r>
          </w:p>
        </w:tc>
        <w:tc>
          <w:tcPr>
            <w:tcW w:w="2869" w:type="dxa"/>
            <w:tcBorders>
              <w:tl2br w:val="nil"/>
              <w:tr2bl w:val="nil"/>
            </w:tcBorders>
            <w:vAlign w:val="center"/>
          </w:tcPr>
          <w:p w14:paraId="7FBA3E29">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卫沙发改（审批）发</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2025</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号</w:t>
            </w:r>
            <w:r>
              <w:rPr>
                <w:rFonts w:hint="default" w:ascii="Times New Roman" w:hAnsi="Times New Roman" w:cs="Times New Roman"/>
                <w:color w:val="000000" w:themeColor="text1"/>
                <w:sz w:val="24"/>
                <w:highlight w:val="none"/>
                <w:lang w:val="en-US" w:eastAsia="zh-CN"/>
                <w14:textFill>
                  <w14:solidFill>
                    <w14:schemeClr w14:val="tx1"/>
                  </w14:solidFill>
                </w14:textFill>
              </w:rPr>
              <w:t>，变更后批复文号：卫沙发改（审批）发</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2026</w:t>
            </w:r>
            <w:r>
              <w:rPr>
                <w:rFonts w:hint="eastAsia"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号</w:t>
            </w:r>
          </w:p>
        </w:tc>
      </w:tr>
      <w:tr w14:paraId="3B8D7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60B0ACDD">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总投资（万元）</w:t>
            </w:r>
          </w:p>
        </w:tc>
        <w:tc>
          <w:tcPr>
            <w:tcW w:w="2072" w:type="dxa"/>
            <w:tcBorders>
              <w:tl2br w:val="nil"/>
              <w:tr2bl w:val="nil"/>
            </w:tcBorders>
            <w:vAlign w:val="center"/>
          </w:tcPr>
          <w:p w14:paraId="236C33F6">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371.7</w:t>
            </w:r>
          </w:p>
        </w:tc>
        <w:tc>
          <w:tcPr>
            <w:tcW w:w="2208" w:type="dxa"/>
            <w:gridSpan w:val="2"/>
            <w:tcBorders>
              <w:tl2br w:val="nil"/>
              <w:tr2bl w:val="nil"/>
            </w:tcBorders>
            <w:tcMar>
              <w:top w:w="16" w:type="dxa"/>
              <w:left w:w="16" w:type="dxa"/>
              <w:right w:w="16" w:type="dxa"/>
            </w:tcMar>
            <w:vAlign w:val="center"/>
          </w:tcPr>
          <w:p w14:paraId="5311F8B6">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环保投资（万元）</w:t>
            </w:r>
          </w:p>
        </w:tc>
        <w:tc>
          <w:tcPr>
            <w:tcW w:w="2869" w:type="dxa"/>
            <w:tcBorders>
              <w:tl2br w:val="nil"/>
              <w:tr2bl w:val="nil"/>
            </w:tcBorders>
            <w:vAlign w:val="center"/>
          </w:tcPr>
          <w:p w14:paraId="6D92067F">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371.7</w:t>
            </w:r>
          </w:p>
        </w:tc>
      </w:tr>
      <w:tr w14:paraId="2CBB8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6ACC2545">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环保投资占比（%）</w:t>
            </w:r>
          </w:p>
        </w:tc>
        <w:tc>
          <w:tcPr>
            <w:tcW w:w="2072" w:type="dxa"/>
            <w:tcBorders>
              <w:tl2br w:val="nil"/>
              <w:tr2bl w:val="nil"/>
            </w:tcBorders>
            <w:vAlign w:val="center"/>
          </w:tcPr>
          <w:p w14:paraId="71F557ED">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100%</w:t>
            </w:r>
          </w:p>
        </w:tc>
        <w:tc>
          <w:tcPr>
            <w:tcW w:w="2208" w:type="dxa"/>
            <w:gridSpan w:val="2"/>
            <w:tcBorders>
              <w:tl2br w:val="nil"/>
              <w:tr2bl w:val="nil"/>
            </w:tcBorders>
            <w:tcMar>
              <w:top w:w="16" w:type="dxa"/>
              <w:left w:w="16" w:type="dxa"/>
              <w:right w:w="16" w:type="dxa"/>
            </w:tcMar>
            <w:vAlign w:val="center"/>
          </w:tcPr>
          <w:p w14:paraId="44B9057D">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施工工期</w:t>
            </w:r>
          </w:p>
        </w:tc>
        <w:tc>
          <w:tcPr>
            <w:tcW w:w="2869" w:type="dxa"/>
            <w:tcBorders>
              <w:tl2br w:val="nil"/>
              <w:tr2bl w:val="nil"/>
            </w:tcBorders>
            <w:vAlign w:val="center"/>
          </w:tcPr>
          <w:p w14:paraId="67864FD7">
            <w:pPr>
              <w:keepNext w:val="0"/>
              <w:keepLines w:val="0"/>
              <w:pageBreakBefore w:val="0"/>
              <w:kinsoku/>
              <w:wordWrap/>
              <w:topLinePunct w:val="0"/>
              <w:bidi w:val="0"/>
              <w:adjustRightInd w:val="0"/>
              <w:snapToGrid w:val="0"/>
              <w:jc w:val="center"/>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个月</w:t>
            </w:r>
          </w:p>
        </w:tc>
      </w:tr>
      <w:tr w14:paraId="5D62F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59" w:type="dxa"/>
            <w:gridSpan w:val="2"/>
            <w:tcBorders>
              <w:tl2br w:val="nil"/>
              <w:tr2bl w:val="nil"/>
            </w:tcBorders>
            <w:tcMar>
              <w:top w:w="16" w:type="dxa"/>
              <w:left w:w="16" w:type="dxa"/>
              <w:right w:w="16" w:type="dxa"/>
            </w:tcMar>
            <w:vAlign w:val="center"/>
          </w:tcPr>
          <w:p w14:paraId="0395224F">
            <w:pPr>
              <w:keepNext w:val="0"/>
              <w:keepLines w:val="0"/>
              <w:pageBreakBefore w:val="0"/>
              <w:kinsoku/>
              <w:wordWrap/>
              <w:topLinePunct w:val="0"/>
              <w:bidi w:val="0"/>
              <w:adjustRightInd w:val="0"/>
              <w:snapToGrid w:val="0"/>
              <w:jc w:val="center"/>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是否开工建设</w:t>
            </w:r>
          </w:p>
        </w:tc>
        <w:tc>
          <w:tcPr>
            <w:tcW w:w="7149" w:type="dxa"/>
            <w:gridSpan w:val="4"/>
            <w:tcBorders>
              <w:tl2br w:val="nil"/>
              <w:tr2bl w:val="nil"/>
            </w:tcBorders>
            <w:vAlign w:val="center"/>
          </w:tcPr>
          <w:p w14:paraId="5E1FA1BC">
            <w:pPr>
              <w:keepNext w:val="0"/>
              <w:keepLines w:val="0"/>
              <w:pageBreakBefore w:val="0"/>
              <w:kinsoku/>
              <w:wordWrap/>
              <w:topLinePunct w:val="0"/>
              <w:bidi w:val="0"/>
              <w:adjustRightInd w:val="0"/>
              <w:snapToGrid w:val="0"/>
              <w:ind w:firstLine="240" w:firstLineChars="1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4"/>
                <w:highlight w:val="none"/>
                <w14:textFill>
                  <w14:solidFill>
                    <w14:schemeClr w14:val="tx1"/>
                  </w14:solidFill>
                </w14:textFill>
              </w:rPr>
              <w:t>否</w:t>
            </w:r>
          </w:p>
          <w:p w14:paraId="6698C5A8">
            <w:pPr>
              <w:pStyle w:val="23"/>
              <w:keepNext w:val="0"/>
              <w:keepLines w:val="0"/>
              <w:pageBreakBefore w:val="0"/>
              <w:kinsoku/>
              <w:wordWrap/>
              <w:topLinePunct w:val="0"/>
              <w:bidi w:val="0"/>
              <w:textAlignment w:val="auto"/>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是：</w:t>
            </w:r>
            <w:r>
              <w:rPr>
                <w:rFonts w:hint="default" w:ascii="Times New Roman" w:hAnsi="Times New Roman" w:eastAsia="宋体" w:cs="Times New Roman"/>
                <w:color w:val="000000" w:themeColor="text1"/>
                <w:sz w:val="24"/>
                <w:highlight w:val="none"/>
                <w:u w:val="single"/>
                <w:lang w:val="en-US" w:eastAsia="zh-CN"/>
                <w14:textFill>
                  <w14:solidFill>
                    <w14:schemeClr w14:val="tx1"/>
                  </w14:solidFill>
                </w14:textFill>
              </w:rPr>
              <w:t xml:space="preserve">                                               </w:t>
            </w:r>
          </w:p>
        </w:tc>
      </w:tr>
      <w:tr w14:paraId="6FE71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14:paraId="513B5B0D">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专项评价设置情况</w:t>
            </w:r>
          </w:p>
        </w:tc>
        <w:tc>
          <w:tcPr>
            <w:tcW w:w="8563" w:type="dxa"/>
            <w:gridSpan w:val="5"/>
            <w:tcBorders>
              <w:tl2br w:val="nil"/>
              <w:tr2bl w:val="nil"/>
            </w:tcBorders>
            <w:vAlign w:val="center"/>
          </w:tcPr>
          <w:p w14:paraId="26AFE8B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仿宋_GB2312"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根据《建设项目环境影响报告表编制技术指南 （生态影响类）（试行）》，河湖整治：涉及清淤且底泥存在重金属污染的项目需设置地表水专项评价，本项目为排水沟生态治理，涉及清淤，本次委托甘肃亿源环境检测科技有限公司202</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月</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日对本项目</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清淤段后端、临近黄河处</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采样的底泥监测数据进行分析，根据分析结果，本项目沟道内底泥各项重金属污染物均满足《土壤环境质量 农用地土壤污染风险管控标准（试行）》（GB15618-2018）标准，因此项目不存在重金属污染情况，无需开展地表水专项评价内容。</w:t>
            </w:r>
          </w:p>
        </w:tc>
      </w:tr>
      <w:tr w14:paraId="71F5C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14:paraId="77E28152">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eastAsia="zh-CN"/>
                <w14:textFill>
                  <w14:solidFill>
                    <w14:schemeClr w14:val="tx1"/>
                  </w14:solidFill>
                </w14:textFill>
              </w:rPr>
              <w:t>规划情况</w:t>
            </w:r>
          </w:p>
        </w:tc>
        <w:tc>
          <w:tcPr>
            <w:tcW w:w="8563" w:type="dxa"/>
            <w:gridSpan w:val="5"/>
            <w:tcBorders>
              <w:tl2br w:val="nil"/>
              <w:tr2bl w:val="nil"/>
            </w:tcBorders>
            <w:vAlign w:val="center"/>
          </w:tcPr>
          <w:p w14:paraId="1A6B0DD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规划名称：《宁夏</w:t>
            </w:r>
            <w:r>
              <w:rPr>
                <w:rFonts w:hint="default" w:ascii="Times New Roman" w:hAnsi="Times New Roman" w:cs="Times New Roman"/>
                <w:color w:val="000000" w:themeColor="text1"/>
                <w:kern w:val="16"/>
                <w:sz w:val="24"/>
                <w:szCs w:val="24"/>
                <w:highlight w:val="none"/>
                <w:lang w:val="en-US" w:eastAsia="zh-CN" w:bidi="ar-SA"/>
                <w14:textFill>
                  <w14:solidFill>
                    <w14:schemeClr w14:val="tx1"/>
                  </w14:solidFill>
                </w14:textFill>
              </w:rPr>
              <w:t>回族自治区</w:t>
            </w: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水安全保障“十四五”规划》</w:t>
            </w:r>
          </w:p>
          <w:p w14:paraId="79CB867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审批机关：</w:t>
            </w:r>
            <w:r>
              <w:rPr>
                <w:rFonts w:hint="default" w:ascii="Times New Roman" w:hAnsi="Times New Roman" w:cs="Times New Roman"/>
                <w:color w:val="000000" w:themeColor="text1"/>
                <w:kern w:val="16"/>
                <w:sz w:val="24"/>
                <w:szCs w:val="24"/>
                <w:highlight w:val="none"/>
                <w:lang w:val="en-US" w:eastAsia="zh-CN" w:bidi="ar-SA"/>
                <w14:textFill>
                  <w14:solidFill>
                    <w14:schemeClr w14:val="tx1"/>
                  </w14:solidFill>
                </w14:textFill>
              </w:rPr>
              <w:t>宁夏回族自治区人民政府办公厅</w:t>
            </w:r>
          </w:p>
          <w:p w14:paraId="4D72E0B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审批机关：自治区人民政府办公厅《关于印发宁夏回族自治区水安全保障“十四五”规划的通知》（宁政办发〔2021〕82号）</w:t>
            </w:r>
          </w:p>
        </w:tc>
      </w:tr>
      <w:tr w14:paraId="3601C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14:paraId="61524CF8">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eastAsia="zh-CN"/>
                <w14:textFill>
                  <w14:solidFill>
                    <w14:schemeClr w14:val="tx1"/>
                  </w14:solidFill>
                </w14:textFill>
              </w:rPr>
              <w:t>规划环境影响评价情况</w:t>
            </w:r>
          </w:p>
        </w:tc>
        <w:tc>
          <w:tcPr>
            <w:tcW w:w="8563" w:type="dxa"/>
            <w:gridSpan w:val="5"/>
            <w:tcBorders>
              <w:tl2br w:val="nil"/>
              <w:tr2bl w:val="nil"/>
            </w:tcBorders>
            <w:vAlign w:val="center"/>
          </w:tcPr>
          <w:p w14:paraId="3B23A97A">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16"/>
                <w:sz w:val="24"/>
                <w:szCs w:val="24"/>
                <w:highlight w:val="none"/>
                <w:lang w:val="en-US" w:eastAsia="zh-CN" w:bidi="ar-SA"/>
                <w14:textFill>
                  <w14:solidFill>
                    <w14:schemeClr w14:val="tx1"/>
                  </w14:solidFill>
                </w14:textFill>
              </w:rPr>
              <w:t>规划环</w:t>
            </w: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境影响评价文件名称：《宁夏水安全保障“十四五”规划环境影响报告书》</w:t>
            </w:r>
          </w:p>
          <w:p w14:paraId="2A21418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审查机关：自治区生态环境厅</w:t>
            </w:r>
          </w:p>
          <w:p w14:paraId="716196C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审查文件名称及文号：自治区生态环境厅关于《宁夏水安全保障“十四五”规划环境影响报告书》审查意见的函（宁环函〔2021〕721号）</w:t>
            </w:r>
          </w:p>
        </w:tc>
      </w:tr>
      <w:tr w14:paraId="49108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 w:type="dxa"/>
            <w:tcBorders>
              <w:tl2br w:val="nil"/>
              <w:tr2bl w:val="nil"/>
            </w:tcBorders>
            <w:vAlign w:val="center"/>
          </w:tcPr>
          <w:p w14:paraId="1CD6779B">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eastAsia="zh-CN"/>
                <w14:textFill>
                  <w14:solidFill>
                    <w14:schemeClr w14:val="tx1"/>
                  </w14:solidFill>
                </w14:textFill>
              </w:rPr>
              <w:t>规划及规划环境影响评价符合性分析</w:t>
            </w:r>
          </w:p>
          <w:p w14:paraId="41162D90">
            <w:pPr>
              <w:keepNext w:val="0"/>
              <w:keepLines w:val="0"/>
              <w:pageBreakBefore w:val="0"/>
              <w:kinsoku/>
              <w:wordWrap/>
              <w:topLinePunct w:val="0"/>
              <w:bidi w:val="0"/>
              <w:textAlignment w:val="auto"/>
              <w:rPr>
                <w:rFonts w:hint="default" w:ascii="Times New Roman" w:hAnsi="Times New Roman" w:cs="Times New Roman"/>
                <w:color w:val="000000" w:themeColor="text1"/>
                <w:highlight w:val="none"/>
                <w14:textFill>
                  <w14:solidFill>
                    <w14:schemeClr w14:val="tx1"/>
                  </w14:solidFill>
                </w14:textFill>
              </w:rPr>
            </w:pPr>
          </w:p>
        </w:tc>
        <w:tc>
          <w:tcPr>
            <w:tcW w:w="8563" w:type="dxa"/>
            <w:gridSpan w:val="5"/>
            <w:tcBorders>
              <w:tl2br w:val="nil"/>
              <w:tr2bl w:val="nil"/>
            </w:tcBorders>
            <w:vAlign w:val="center"/>
          </w:tcPr>
          <w:p w14:paraId="590FD58C">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b/>
                <w:bCs/>
                <w:color w:val="000000" w:themeColor="text1"/>
                <w:spacing w:val="-6"/>
                <w:kern w:val="16"/>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pacing w:val="-6"/>
                <w:kern w:val="16"/>
                <w:sz w:val="24"/>
                <w:szCs w:val="24"/>
                <w:highlight w:val="none"/>
                <w:lang w:val="en-US" w:eastAsia="zh-CN" w:bidi="ar-SA"/>
                <w14:textFill>
                  <w14:solidFill>
                    <w14:schemeClr w14:val="tx1"/>
                  </w14:solidFill>
                </w14:textFill>
              </w:rPr>
              <w:t>1、与《宁夏水安全保障“十四五”规划》的符合性</w:t>
            </w:r>
          </w:p>
          <w:p w14:paraId="4F7C9ADD">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宋体" w:cs="Times New Roman"/>
                <w:color w:val="000000" w:themeColor="text1"/>
                <w:spacing w:val="-6"/>
                <w:kern w:val="16"/>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16"/>
                <w:sz w:val="24"/>
                <w:szCs w:val="24"/>
                <w:highlight w:val="none"/>
                <w:lang w:val="en-US" w:eastAsia="zh-CN" w:bidi="ar-SA"/>
                <w14:textFill>
                  <w14:solidFill>
                    <w14:schemeClr w14:val="tx1"/>
                  </w14:solidFill>
                </w14:textFill>
              </w:rPr>
              <w:t>根据《宁夏水安全保障“十四五”规划》第</w:t>
            </w:r>
            <w:r>
              <w:rPr>
                <w:rFonts w:hint="default" w:ascii="Times New Roman" w:hAnsi="Times New Roman" w:cs="Times New Roman"/>
                <w:color w:val="000000" w:themeColor="text1"/>
                <w:spacing w:val="-6"/>
                <w:kern w:val="16"/>
                <w:sz w:val="24"/>
                <w:szCs w:val="24"/>
                <w:highlight w:val="none"/>
                <w:lang w:val="en-US" w:eastAsia="zh-CN" w:bidi="ar-SA"/>
                <w14:textFill>
                  <w14:solidFill>
                    <w14:schemeClr w14:val="tx1"/>
                  </w14:solidFill>
                </w14:textFill>
              </w:rPr>
              <w:t>五</w:t>
            </w:r>
            <w:r>
              <w:rPr>
                <w:rFonts w:hint="default" w:ascii="Times New Roman" w:hAnsi="Times New Roman" w:eastAsia="宋体" w:cs="Times New Roman"/>
                <w:color w:val="000000" w:themeColor="text1"/>
                <w:spacing w:val="-6"/>
                <w:kern w:val="16"/>
                <w:sz w:val="24"/>
                <w:szCs w:val="24"/>
                <w:highlight w:val="none"/>
                <w:lang w:val="en-US" w:eastAsia="zh-CN" w:bidi="ar-SA"/>
                <w14:textFill>
                  <w14:solidFill>
                    <w14:schemeClr w14:val="tx1"/>
                  </w14:solidFill>
                </w14:textFill>
              </w:rPr>
              <w:t>章第</w:t>
            </w:r>
            <w:r>
              <w:rPr>
                <w:rFonts w:hint="default" w:ascii="Times New Roman" w:hAnsi="Times New Roman" w:cs="Times New Roman"/>
                <w:color w:val="000000" w:themeColor="text1"/>
                <w:spacing w:val="-6"/>
                <w:kern w:val="16"/>
                <w:sz w:val="24"/>
                <w:szCs w:val="24"/>
                <w:highlight w:val="none"/>
                <w:lang w:val="en-US" w:eastAsia="zh-CN" w:bidi="ar-SA"/>
                <w14:textFill>
                  <w14:solidFill>
                    <w14:schemeClr w14:val="tx1"/>
                  </w14:solidFill>
                </w14:textFill>
              </w:rPr>
              <w:t>一</w:t>
            </w:r>
            <w:r>
              <w:rPr>
                <w:rFonts w:hint="default" w:ascii="Times New Roman" w:hAnsi="Times New Roman" w:eastAsia="宋体" w:cs="Times New Roman"/>
                <w:color w:val="000000" w:themeColor="text1"/>
                <w:spacing w:val="-6"/>
                <w:kern w:val="16"/>
                <w:sz w:val="24"/>
                <w:szCs w:val="24"/>
                <w:highlight w:val="none"/>
                <w:lang w:val="en-US" w:eastAsia="zh-CN" w:bidi="ar-SA"/>
                <w14:textFill>
                  <w14:solidFill>
                    <w14:schemeClr w14:val="tx1"/>
                  </w14:solidFill>
                </w14:textFill>
              </w:rPr>
              <w:t>节：完善两岸堤防。按照规划防洪标准推进现有堤防达标，建设黄河右岸头道墩至都思兔河段标准化堤防，贯通防汛抢险道路，实现堤防全线闭合。在受汛期洪水顶托的入黄排水沟口新建排涝泵站，避免汛期黄河水倒灌，保证沟道排水正常。</w:t>
            </w:r>
          </w:p>
          <w:p w14:paraId="53F8297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pacing w:val="-6"/>
                <w:kern w:val="16"/>
                <w:sz w:val="24"/>
                <w:szCs w:val="24"/>
                <w:highlight w:val="none"/>
                <w:lang w:val="en-US" w:eastAsia="zh-CN" w:bidi="ar-SA"/>
                <w14:textFill>
                  <w14:solidFill>
                    <w14:schemeClr w14:val="tx1"/>
                  </w14:solidFill>
                </w14:textFill>
              </w:rPr>
            </w:pPr>
            <w:r>
              <w:rPr>
                <w:rFonts w:hint="eastAsia" w:cs="Times New Roman"/>
                <w:color w:val="000000" w:themeColor="text1"/>
                <w:kern w:val="16"/>
                <w:sz w:val="24"/>
                <w:szCs w:val="24"/>
                <w:highlight w:val="none"/>
                <w:lang w:val="en-US" w:eastAsia="zh-CN" w:bidi="ar-SA"/>
                <w14:textFill>
                  <w14:solidFill>
                    <w14:schemeClr w14:val="tx1"/>
                  </w14:solidFill>
                </w14:textFill>
              </w:rPr>
              <w:t>经现场调查，三个窑沟部分标段淤泥堆积严重、边坡破损，抗风险能力低下；</w:t>
            </w: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本项目主要</w:t>
            </w:r>
            <w:r>
              <w:rPr>
                <w:rFonts w:hint="default" w:ascii="Times New Roman" w:hAnsi="Times New Roman" w:cs="Times New Roman"/>
                <w:color w:val="000000" w:themeColor="text1"/>
                <w:kern w:val="16"/>
                <w:sz w:val="24"/>
                <w:szCs w:val="24"/>
                <w:highlight w:val="none"/>
                <w:lang w:val="en-US" w:eastAsia="zh-CN" w:bidi="ar-SA"/>
                <w14:textFill>
                  <w14:solidFill>
                    <w14:schemeClr w14:val="tx1"/>
                  </w14:solidFill>
                </w14:textFill>
              </w:rPr>
              <w:t>对</w:t>
            </w:r>
            <w:r>
              <w:rPr>
                <w:rFonts w:hint="default" w:ascii="Times New Roman" w:hAnsi="Times New Roman" w:cs="Times New Roman"/>
                <w:color w:val="000000" w:themeColor="text1"/>
                <w:kern w:val="16"/>
                <w:sz w:val="24"/>
                <w:szCs w:val="24"/>
                <w:highlight w:val="none"/>
                <w:lang w:eastAsia="zh-CN" w:bidi="ar-SA"/>
                <w14:textFill>
                  <w14:solidFill>
                    <w14:schemeClr w14:val="tx1"/>
                  </w14:solidFill>
                </w14:textFill>
              </w:rPr>
              <w:t>三个窑沟</w:t>
            </w:r>
            <w:r>
              <w:rPr>
                <w:rFonts w:hint="eastAsia" w:cs="Times New Roman"/>
                <w:color w:val="000000" w:themeColor="text1"/>
                <w:kern w:val="16"/>
                <w:sz w:val="24"/>
                <w:szCs w:val="24"/>
                <w:highlight w:val="none"/>
                <w:lang w:val="en-US" w:eastAsia="zh-CN" w:bidi="ar-SA"/>
                <w14:textFill>
                  <w14:solidFill>
                    <w14:schemeClr w14:val="tx1"/>
                  </w14:solidFill>
                </w14:textFill>
              </w:rPr>
              <w:t>淤泥堆积严重、边坡破损区域</w:t>
            </w:r>
            <w:r>
              <w:rPr>
                <w:rFonts w:hint="default" w:ascii="Times New Roman" w:hAnsi="Times New Roman" w:cs="Times New Roman"/>
                <w:color w:val="000000" w:themeColor="text1"/>
                <w:kern w:val="16"/>
                <w:sz w:val="24"/>
                <w:szCs w:val="24"/>
                <w:highlight w:val="none"/>
                <w:lang w:val="en-US" w:eastAsia="zh-CN" w:bidi="ar-SA"/>
                <w14:textFill>
                  <w14:solidFill>
                    <w14:schemeClr w14:val="tx1"/>
                  </w14:solidFill>
                </w14:textFill>
              </w:rPr>
              <w:t>进行</w:t>
            </w: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清淤整治、</w:t>
            </w:r>
            <w:r>
              <w:rPr>
                <w:rFonts w:hint="eastAsia" w:cs="Times New Roman"/>
                <w:color w:val="000000" w:themeColor="text1"/>
                <w:kern w:val="16"/>
                <w:sz w:val="24"/>
                <w:szCs w:val="24"/>
                <w:highlight w:val="none"/>
                <w:lang w:val="en-US" w:eastAsia="zh-CN" w:bidi="ar-SA"/>
                <w14:textFill>
                  <w14:solidFill>
                    <w14:schemeClr w14:val="tx1"/>
                  </w14:solidFill>
                </w14:textFill>
              </w:rPr>
              <w:t>边坡</w:t>
            </w: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砌护等，</w:t>
            </w:r>
            <w:r>
              <w:rPr>
                <w:rFonts w:hint="eastAsia" w:cs="Times New Roman"/>
                <w:color w:val="000000" w:themeColor="text1"/>
                <w:kern w:val="16"/>
                <w:sz w:val="24"/>
                <w:szCs w:val="24"/>
                <w:highlight w:val="none"/>
                <w:lang w:val="en-US" w:eastAsia="zh-CN" w:bidi="ar-SA"/>
                <w14:textFill>
                  <w14:solidFill>
                    <w14:schemeClr w14:val="tx1"/>
                  </w14:solidFill>
                </w14:textFill>
              </w:rPr>
              <w:t>项目实施后能够提高沟道抗风险能力，</w:t>
            </w: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保护两岸耕地安全，符合《宁夏水安全保障“十四五”规划》</w:t>
            </w:r>
            <w:r>
              <w:rPr>
                <w:rFonts w:hint="default" w:ascii="Times New Roman" w:hAnsi="Times New Roman" w:cs="Times New Roman"/>
                <w:color w:val="000000" w:themeColor="text1"/>
                <w:kern w:val="16"/>
                <w:sz w:val="24"/>
                <w:szCs w:val="24"/>
                <w:highlight w:val="none"/>
                <w:lang w:val="en-US" w:eastAsia="zh-CN" w:bidi="ar-SA"/>
                <w14:textFill>
                  <w14:solidFill>
                    <w14:schemeClr w14:val="tx1"/>
                  </w14:solidFill>
                </w14:textFill>
              </w:rPr>
              <w:t>相关要求</w:t>
            </w:r>
            <w:r>
              <w:rPr>
                <w:rFonts w:hint="default" w:ascii="Times New Roman" w:hAnsi="Times New Roman" w:eastAsia="宋体" w:cs="Times New Roman"/>
                <w:color w:val="000000" w:themeColor="text1"/>
                <w:spacing w:val="-6"/>
                <w:kern w:val="16"/>
                <w:sz w:val="24"/>
                <w:szCs w:val="24"/>
                <w:highlight w:val="none"/>
                <w:lang w:val="en-US" w:eastAsia="zh-CN" w:bidi="ar-SA"/>
                <w14:textFill>
                  <w14:solidFill>
                    <w14:schemeClr w14:val="tx1"/>
                  </w14:solidFill>
                </w14:textFill>
              </w:rPr>
              <w:t>。</w:t>
            </w:r>
          </w:p>
          <w:p w14:paraId="18CB4B68">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textAlignment w:val="auto"/>
              <w:rPr>
                <w:rFonts w:hint="default" w:ascii="Times New Roman" w:hAnsi="Times New Roman" w:eastAsia="黑体" w:cs="Times New Roman"/>
                <w:b w:val="0"/>
                <w:bCs w:val="0"/>
                <w:color w:val="000000" w:themeColor="text1"/>
                <w:spacing w:val="-6"/>
                <w:kern w:val="16"/>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spacing w:val="-6"/>
                <w:kern w:val="16"/>
                <w:sz w:val="24"/>
                <w:szCs w:val="24"/>
                <w:highlight w:val="none"/>
                <w:lang w:val="en-US" w:eastAsia="zh-CN" w:bidi="ar-SA"/>
                <w14:textFill>
                  <w14:solidFill>
                    <w14:schemeClr w14:val="tx1"/>
                  </w14:solidFill>
                </w14:textFill>
              </w:rPr>
              <w:t>2、与《宁夏水安全保障“十四五”规划环境影响报告书》及审查意见符合性分析</w:t>
            </w:r>
          </w:p>
          <w:p w14:paraId="7E794C9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本项目与《宁夏水安全保障“十四五”规划环境影响报告书》符合性分析详见表</w:t>
            </w:r>
            <w:r>
              <w:rPr>
                <w:rFonts w:hint="default" w:ascii="Times New Roman" w:hAnsi="Times New Roman" w:cs="Times New Roman"/>
                <w:color w:val="000000" w:themeColor="text1"/>
                <w:kern w:val="16"/>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1。与《宁夏水安全保障“十四五”规划环境影响报告书》审查意见的符合性分析详见表</w:t>
            </w:r>
            <w:r>
              <w:rPr>
                <w:rFonts w:hint="default" w:ascii="Times New Roman" w:hAnsi="Times New Roman" w:cs="Times New Roman"/>
                <w:color w:val="000000" w:themeColor="text1"/>
                <w:kern w:val="16"/>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16"/>
                <w:sz w:val="24"/>
                <w:szCs w:val="24"/>
                <w:highlight w:val="none"/>
                <w:lang w:val="en-US" w:eastAsia="zh-CN" w:bidi="ar-SA"/>
                <w14:textFill>
                  <w14:solidFill>
                    <w14:schemeClr w14:val="tx1"/>
                  </w14:solidFill>
                </w14:textFill>
              </w:rPr>
              <w:t>2。</w:t>
            </w:r>
          </w:p>
          <w:p w14:paraId="7AC5F90C">
            <w:pPr>
              <w:pStyle w:val="7"/>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pPr>
            <w:bookmarkStart w:id="1" w:name="_Ref42843957"/>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表</w:t>
            </w:r>
            <w:bookmarkEnd w:id="1"/>
            <w:r>
              <w:rPr>
                <w:rFonts w:hint="default" w:ascii="Times New Roman" w:hAnsi="Times New Roman" w:cs="Times New Roman"/>
                <w:bCs/>
                <w:color w:val="000000" w:themeColor="text1"/>
                <w:kern w:val="2"/>
                <w:sz w:val="24"/>
                <w:szCs w:val="24"/>
                <w:highlight w:val="none"/>
                <w:lang w:val="en-US" w:eastAsia="zh-CN" w:bidi="ar-SA"/>
                <w14:textFill>
                  <w14:solidFill>
                    <w14:schemeClr w14:val="tx1"/>
                  </w14:solidFill>
                </w14:textFill>
              </w:rPr>
              <w:t xml:space="preserve">1-1  </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cs="Times New Roman"/>
                <w:bCs/>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与《宁夏水安全保障“十四五”规划环境影响报告书》的符合性</w:t>
            </w:r>
            <w:r>
              <w:rPr>
                <w:rFonts w:hint="default" w:ascii="Times New Roman" w:hAnsi="Times New Roman" w:cs="Times New Roman"/>
                <w:bCs/>
                <w:color w:val="000000" w:themeColor="text1"/>
                <w:kern w:val="2"/>
                <w:sz w:val="24"/>
                <w:szCs w:val="24"/>
                <w:highlight w:val="none"/>
                <w:lang w:val="en-US" w:eastAsia="zh-CN" w:bidi="ar-SA"/>
                <w14:textFill>
                  <w14:solidFill>
                    <w14:schemeClr w14:val="tx1"/>
                  </w14:solidFill>
                </w14:textFill>
              </w:rPr>
              <w:t>分析一览表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2"/>
              <w:gridCol w:w="4405"/>
              <w:gridCol w:w="2811"/>
              <w:gridCol w:w="659"/>
            </w:tblGrid>
            <w:tr w14:paraId="2D3AE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82" w:type="pct"/>
                  <w:tcBorders>
                    <w:tl2br w:val="nil"/>
                    <w:tr2bl w:val="nil"/>
                  </w:tcBorders>
                  <w:noWrap w:val="0"/>
                  <w:vAlign w:val="center"/>
                </w:tcPr>
                <w:p w14:paraId="474D29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2639" w:type="pct"/>
                  <w:tcBorders>
                    <w:tl2br w:val="nil"/>
                    <w:tr2bl w:val="nil"/>
                  </w:tcBorders>
                  <w:noWrap w:val="0"/>
                  <w:vAlign w:val="center"/>
                </w:tcPr>
                <w:p w14:paraId="75439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规划环评要求</w:t>
                  </w:r>
                </w:p>
              </w:tc>
              <w:tc>
                <w:tcPr>
                  <w:tcW w:w="1683" w:type="pct"/>
                  <w:tcBorders>
                    <w:tl2br w:val="nil"/>
                    <w:tr2bl w:val="nil"/>
                  </w:tcBorders>
                  <w:noWrap w:val="0"/>
                  <w:vAlign w:val="center"/>
                </w:tcPr>
                <w:p w14:paraId="6917D0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本工程具体情况</w:t>
                  </w:r>
                </w:p>
              </w:tc>
              <w:tc>
                <w:tcPr>
                  <w:tcW w:w="394" w:type="pct"/>
                  <w:tcBorders>
                    <w:tl2br w:val="nil"/>
                    <w:tr2bl w:val="nil"/>
                  </w:tcBorders>
                  <w:noWrap w:val="0"/>
                  <w:vAlign w:val="center"/>
                </w:tcPr>
                <w:p w14:paraId="78702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是否符合</w:t>
                  </w:r>
                </w:p>
              </w:tc>
            </w:tr>
            <w:tr w14:paraId="52397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tcBorders>
                    <w:tl2br w:val="nil"/>
                    <w:tr2bl w:val="nil"/>
                  </w:tcBorders>
                  <w:noWrap w:val="0"/>
                  <w:vAlign w:val="center"/>
                </w:tcPr>
                <w:p w14:paraId="6FADA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p>
              </w:tc>
              <w:tc>
                <w:tcPr>
                  <w:tcW w:w="2639" w:type="pct"/>
                  <w:tcBorders>
                    <w:tl2br w:val="nil"/>
                    <w:tr2bl w:val="nil"/>
                  </w:tcBorders>
                  <w:noWrap w:val="0"/>
                  <w:vAlign w:val="center"/>
                </w:tcPr>
                <w:p w14:paraId="592E02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空间布局约束：</w:t>
                  </w:r>
                </w:p>
                <w:p w14:paraId="5781C723">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项目的永久、临时占地（包括水库淹没区）原则上不占用生态保护红线、自然保护地、饮用水水源保护区、水产种质资源保护区等各类环境敏感区。</w:t>
                  </w:r>
                </w:p>
                <w:p w14:paraId="016A5491">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确实无法避让、需占用环境敏感区的，应符合相关法律法规要求，并采取有效的恢复和补偿措施。</w:t>
                  </w:r>
                </w:p>
                <w:p w14:paraId="5C508C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3.项目占用耕地、林地等应符合相关法律法规、规划、政策要求，并采取必要的补偿措施。</w:t>
                  </w:r>
                </w:p>
              </w:tc>
              <w:tc>
                <w:tcPr>
                  <w:tcW w:w="1683" w:type="pct"/>
                  <w:tcBorders>
                    <w:tl2br w:val="nil"/>
                    <w:tr2bl w:val="nil"/>
                  </w:tcBorders>
                  <w:noWrap w:val="0"/>
                  <w:vAlign w:val="center"/>
                </w:tcPr>
                <w:p w14:paraId="5C35A1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占地不涉及生态保护红线、自然保护地、饮用水水源保护区、水产种质资源保护区等各类环境敏感区</w:t>
                  </w:r>
                  <w:r>
                    <w:rPr>
                      <w:rFonts w:hint="eastAsia" w:cs="Times New Roman"/>
                      <w:color w:val="000000" w:themeColor="text1"/>
                      <w:sz w:val="21"/>
                      <w:szCs w:val="21"/>
                      <w:highlight w:val="none"/>
                      <w:lang w:val="en-US" w:eastAsia="zh-CN"/>
                      <w14:textFill>
                        <w14:solidFill>
                          <w14:schemeClr w14:val="tx1"/>
                        </w14:solidFill>
                      </w14:textFill>
                    </w:rPr>
                    <w:t>；</w:t>
                  </w:r>
                </w:p>
                <w:p w14:paraId="567AB3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2、本项目不占用敏感区；</w:t>
                  </w:r>
                </w:p>
                <w:p w14:paraId="454AF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3、本项目不涉及</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94" w:type="pct"/>
                  <w:tcBorders>
                    <w:tl2br w:val="nil"/>
                    <w:tr2bl w:val="nil"/>
                  </w:tcBorders>
                  <w:noWrap w:val="0"/>
                  <w:vAlign w:val="center"/>
                </w:tcPr>
                <w:p w14:paraId="45490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20BA5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2" w:type="pct"/>
                  <w:tcBorders>
                    <w:tl2br w:val="nil"/>
                    <w:tr2bl w:val="nil"/>
                  </w:tcBorders>
                  <w:noWrap w:val="0"/>
                  <w:vAlign w:val="center"/>
                </w:tcPr>
                <w:p w14:paraId="43062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p>
              </w:tc>
              <w:tc>
                <w:tcPr>
                  <w:tcW w:w="2639" w:type="pct"/>
                  <w:tcBorders>
                    <w:tl2br w:val="nil"/>
                    <w:tr2bl w:val="nil"/>
                  </w:tcBorders>
                  <w:noWrap w:val="0"/>
                  <w:vAlign w:val="center"/>
                </w:tcPr>
                <w:p w14:paraId="6A5CA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污染物排放管控：</w:t>
                  </w:r>
                </w:p>
                <w:p w14:paraId="022FAF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项目的建设运行不新增主要水污染物排放，或主要水污染物排放量在相关河段或流域的水环境承载能力范围内。</w:t>
                  </w:r>
                </w:p>
                <w:p w14:paraId="58905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2.因水资源开发和配置造成河段水量减少、对水污染物稀释扩散能力减弱的，应确保相关河段水质满足环境质量底线和水功能区要求。</w:t>
                  </w:r>
                </w:p>
              </w:tc>
              <w:tc>
                <w:tcPr>
                  <w:tcW w:w="1683" w:type="pct"/>
                  <w:tcBorders>
                    <w:tl2br w:val="nil"/>
                    <w:tr2bl w:val="nil"/>
                  </w:tcBorders>
                  <w:noWrap w:val="0"/>
                  <w:vAlign w:val="center"/>
                </w:tcPr>
                <w:p w14:paraId="5EBBB5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本项目不新增水污染物排放，不新增取水口</w:t>
                  </w:r>
                  <w:r>
                    <w:rPr>
                      <w:rFonts w:hint="eastAsia" w:cs="Times New Roman"/>
                      <w:color w:val="000000" w:themeColor="text1"/>
                      <w:sz w:val="21"/>
                      <w:szCs w:val="21"/>
                      <w:highlight w:val="none"/>
                      <w:lang w:val="en-US" w:eastAsia="zh-CN"/>
                      <w14:textFill>
                        <w14:solidFill>
                          <w14:schemeClr w14:val="tx1"/>
                        </w14:solidFill>
                      </w14:textFill>
                    </w:rPr>
                    <w:t>，项目运营期无污染物产生；</w:t>
                  </w:r>
                </w:p>
                <w:p w14:paraId="557B8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2.本项目主要进行边坡砌护及沟道清淤，清理后可提高沟道抗风险能力，本项目运行后，不涉及水资源开发和配置，不会使河段水量减少、水污染物稀释扩散能力减弱，</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满足环境质量底线和水功能区的要求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94" w:type="pct"/>
                  <w:tcBorders>
                    <w:tl2br w:val="nil"/>
                    <w:tr2bl w:val="nil"/>
                  </w:tcBorders>
                  <w:noWrap w:val="0"/>
                  <w:vAlign w:val="center"/>
                </w:tcPr>
                <w:p w14:paraId="53FC1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29270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82" w:type="pct"/>
                  <w:tcBorders>
                    <w:tl2br w:val="nil"/>
                    <w:tr2bl w:val="nil"/>
                  </w:tcBorders>
                  <w:noWrap w:val="0"/>
                  <w:vAlign w:val="center"/>
                </w:tcPr>
                <w:p w14:paraId="6BC05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p>
              </w:tc>
              <w:tc>
                <w:tcPr>
                  <w:tcW w:w="2639" w:type="pct"/>
                  <w:tcBorders>
                    <w:tl2br w:val="nil"/>
                    <w:tr2bl w:val="nil"/>
                  </w:tcBorders>
                  <w:noWrap w:val="0"/>
                  <w:vAlign w:val="center"/>
                </w:tcPr>
                <w:p w14:paraId="085BBD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资源利用效率要求：</w:t>
                  </w:r>
                </w:p>
                <w:p w14:paraId="0CAEE3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项目取水量须满足区域水资源利用上线和相关河湖基本生态水量控制要求。</w:t>
                  </w:r>
                </w:p>
                <w:p w14:paraId="738DF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2.坚持“以水定城、以水定地、以水定人、以水定产”的原则，在优先保障人居用水和生态环境用水的基础上，合理确定供水规模。</w:t>
                  </w:r>
                </w:p>
              </w:tc>
              <w:tc>
                <w:tcPr>
                  <w:tcW w:w="1683" w:type="pct"/>
                  <w:tcBorders>
                    <w:tl2br w:val="nil"/>
                    <w:tr2bl w:val="nil"/>
                  </w:tcBorders>
                  <w:noWrap w:val="0"/>
                  <w:vAlign w:val="center"/>
                </w:tcPr>
                <w:p w14:paraId="084BC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施工人员住宿租用民房，生活用水由市政供水管网提供，施工用水由附近村庄拉运</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394" w:type="pct"/>
                  <w:tcBorders>
                    <w:tl2br w:val="nil"/>
                    <w:tr2bl w:val="nil"/>
                  </w:tcBorders>
                  <w:noWrap w:val="0"/>
                  <w:vAlign w:val="center"/>
                </w:tcPr>
                <w:p w14:paraId="20E3B7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7AEFE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2" w:type="pct"/>
                  <w:tcBorders>
                    <w:tl2br w:val="nil"/>
                    <w:tr2bl w:val="nil"/>
                  </w:tcBorders>
                  <w:noWrap w:val="0"/>
                  <w:vAlign w:val="center"/>
                </w:tcPr>
                <w:p w14:paraId="2D1AF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p>
              </w:tc>
              <w:tc>
                <w:tcPr>
                  <w:tcW w:w="2639" w:type="pct"/>
                  <w:tcBorders>
                    <w:tl2br w:val="nil"/>
                    <w:tr2bl w:val="nil"/>
                  </w:tcBorders>
                  <w:noWrap w:val="0"/>
                  <w:vAlign w:val="center"/>
                </w:tcPr>
                <w:p w14:paraId="0D1F23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环境风险防控：</w:t>
                  </w:r>
                </w:p>
                <w:p w14:paraId="2094D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1.项目建设不会影响现有饮用水水源地的供水能力和水质。</w:t>
                  </w:r>
                </w:p>
                <w:p w14:paraId="631263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2.新建水源或取水口应采取有效的水污染风险防控措施。</w:t>
                  </w:r>
                </w:p>
              </w:tc>
              <w:tc>
                <w:tcPr>
                  <w:tcW w:w="1683" w:type="pct"/>
                  <w:tcBorders>
                    <w:tl2br w:val="nil"/>
                    <w:tr2bl w:val="nil"/>
                  </w:tcBorders>
                  <w:noWrap w:val="0"/>
                  <w:vAlign w:val="center"/>
                </w:tcPr>
                <w:p w14:paraId="61FEA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不涉及饮用水水源地。</w:t>
                  </w:r>
                </w:p>
              </w:tc>
              <w:tc>
                <w:tcPr>
                  <w:tcW w:w="394" w:type="pct"/>
                  <w:tcBorders>
                    <w:tl2br w:val="nil"/>
                    <w:tr2bl w:val="nil"/>
                  </w:tcBorders>
                  <w:noWrap w:val="0"/>
                  <w:vAlign w:val="center"/>
                </w:tcPr>
                <w:p w14:paraId="00258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8394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82" w:type="pct"/>
                  <w:tcBorders>
                    <w:tl2br w:val="nil"/>
                    <w:tr2bl w:val="nil"/>
                  </w:tcBorders>
                  <w:noWrap w:val="0"/>
                  <w:vAlign w:val="center"/>
                </w:tcPr>
                <w:p w14:paraId="2E33DB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5</w:t>
                  </w:r>
                </w:p>
              </w:tc>
              <w:tc>
                <w:tcPr>
                  <w:tcW w:w="2639" w:type="pct"/>
                  <w:tcBorders>
                    <w:tl2br w:val="nil"/>
                    <w:tr2bl w:val="nil"/>
                  </w:tcBorders>
                  <w:noWrap w:val="0"/>
                  <w:vAlign w:val="center"/>
                </w:tcPr>
                <w:p w14:paraId="382F76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设项目环境影响评价阶段，应重点调查受保护的国家级和省级保护物种、珍稀濒危物种、地方特有物种和古树名木的类型、级别、分布、数量、保护状况等进行详细调查，明确影响性质与影响程度，尽量通过优化工程设计避让影响；对通过优化工程设计无法避让影响的，采取迁地保护措施进行保护。</w:t>
                  </w:r>
                </w:p>
              </w:tc>
              <w:tc>
                <w:tcPr>
                  <w:tcW w:w="1683" w:type="pct"/>
                  <w:tcBorders>
                    <w:tl2br w:val="nil"/>
                    <w:tr2bl w:val="nil"/>
                  </w:tcBorders>
                  <w:noWrap w:val="0"/>
                  <w:vAlign w:val="center"/>
                </w:tcPr>
                <w:p w14:paraId="11B084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本工程</w:t>
                  </w:r>
                  <w:r>
                    <w:rPr>
                      <w:rFonts w:hint="default" w:ascii="Times New Roman" w:hAnsi="Times New Roman" w:eastAsia="宋体" w:cs="Times New Roman"/>
                      <w:color w:val="000000" w:themeColor="text1"/>
                      <w:sz w:val="21"/>
                      <w:szCs w:val="21"/>
                      <w:highlight w:val="none"/>
                      <w14:textFill>
                        <w14:solidFill>
                          <w14:schemeClr w14:val="tx1"/>
                        </w14:solidFill>
                      </w14:textFill>
                    </w:rPr>
                    <w:t>环评阶段通过资料查阅、实地踏勘、走访调查当地居民等，未发现拟建工程选址涉及国家级和省级保护物种、珍稀濒危物种、地方特有物种和古树名木。</w:t>
                  </w:r>
                </w:p>
              </w:tc>
              <w:tc>
                <w:tcPr>
                  <w:tcW w:w="394" w:type="pct"/>
                  <w:tcBorders>
                    <w:tl2br w:val="nil"/>
                    <w:tr2bl w:val="nil"/>
                  </w:tcBorders>
                  <w:noWrap w:val="0"/>
                  <w:vAlign w:val="center"/>
                </w:tcPr>
                <w:p w14:paraId="270D8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B17C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tcBorders>
                    <w:tl2br w:val="nil"/>
                    <w:tr2bl w:val="nil"/>
                  </w:tcBorders>
                  <w:noWrap w:val="0"/>
                  <w:vAlign w:val="center"/>
                </w:tcPr>
                <w:p w14:paraId="2BA1C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6</w:t>
                  </w:r>
                </w:p>
              </w:tc>
              <w:tc>
                <w:tcPr>
                  <w:tcW w:w="2639" w:type="pct"/>
                  <w:tcBorders>
                    <w:tl2br w:val="nil"/>
                    <w:tr2bl w:val="nil"/>
                  </w:tcBorders>
                  <w:noWrap w:val="0"/>
                  <w:vAlign w:val="center"/>
                </w:tcPr>
                <w:p w14:paraId="5E349C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阶段，应注意优化施工方案、采用先进施工工艺，尽量减小开挖、取料对地表的扰动，减少资源消耗；合理布置和规划施工场地及其他临时用地，临时堆料做到不占耕地，不影响河道行洪；采取工程措施和植物措施相结合的水土保持综合措施，以工程措施控制水土流失，必要时增加临时防护措施，以减少施工扰动产生的新增水土流失，并为植物措施的实施创造条件，对施工迹地进行绿化恢复；土石弃渣的堆放应遵循“先挡后弃”的原则，同时以植物措施与工程措施配套，提高水保效果，减少工程施工带来的新增水土流失量，恢复原有植被；对于涉及自然保护区、水土流失重点防治区、风景名胜区、湿地公园、水源地保护区等重要生态敏感区的施工区域，应保证施工效率和施工质量，做到施工快，效果好，临时占地少的原则。</w:t>
                  </w:r>
                </w:p>
              </w:tc>
              <w:tc>
                <w:tcPr>
                  <w:tcW w:w="1683" w:type="pct"/>
                  <w:tcBorders>
                    <w:tl2br w:val="nil"/>
                    <w:tr2bl w:val="nil"/>
                  </w:tcBorders>
                  <w:noWrap w:val="0"/>
                  <w:vAlign w:val="center"/>
                </w:tcPr>
                <w:p w14:paraId="5DD784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14:textFill>
                        <w14:solidFill>
                          <w14:schemeClr w14:val="tx1"/>
                        </w14:solidFill>
                      </w14:textFill>
                    </w:rPr>
                    <w:t>采用先进施工工艺，尽量减小开挖对地表的扰动，合理布置和规划施工工区和临时用地</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临时堆料堆放在材料堆存点，占地类型为未利用地，不占用耕地</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本项目施工期对土方进行苫盖，多余土方用于边坡砌护，无弃土</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施工期配套洒水抑尘，</w:t>
                  </w:r>
                  <w:r>
                    <w:rPr>
                      <w:rFonts w:hint="default" w:ascii="Times New Roman" w:hAnsi="Times New Roman" w:eastAsia="宋体" w:cs="Times New Roman"/>
                      <w:color w:val="000000" w:themeColor="text1"/>
                      <w:sz w:val="21"/>
                      <w:szCs w:val="21"/>
                      <w:highlight w:val="none"/>
                      <w14:textFill>
                        <w14:solidFill>
                          <w14:schemeClr w14:val="tx1"/>
                        </w14:solidFill>
                      </w14:textFill>
                    </w:rPr>
                    <w:t>减少施工扰动产生的新增水土流失</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本项目在现有沟道内进行边坡砌护及清淤，不会对周边植被造成影响</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94" w:type="pct"/>
                  <w:tcBorders>
                    <w:tl2br w:val="nil"/>
                    <w:tr2bl w:val="nil"/>
                  </w:tcBorders>
                  <w:noWrap w:val="0"/>
                  <w:vAlign w:val="center"/>
                </w:tcPr>
                <w:p w14:paraId="74DAC8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02A69614">
            <w:pPr>
              <w:pStyle w:val="7"/>
              <w:keepNext w:val="0"/>
              <w:keepLines w:val="0"/>
              <w:pageBreakBefore w:val="0"/>
              <w:widowControl w:val="0"/>
              <w:kinsoku/>
              <w:wordWrap/>
              <w:overflowPunct/>
              <w:topLinePunct w:val="0"/>
              <w:autoSpaceDE/>
              <w:autoSpaceDN/>
              <w:bidi w:val="0"/>
              <w:adjustRightInd/>
              <w:snapToGrid/>
              <w:spacing w:before="0" w:after="0" w:line="400" w:lineRule="exact"/>
              <w:jc w:val="center"/>
              <w:textAlignment w:val="auto"/>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表</w:t>
            </w:r>
            <w:r>
              <w:rPr>
                <w:rFonts w:hint="default" w:ascii="Times New Roman" w:hAnsi="Times New Roman" w:cs="Times New Roman"/>
                <w:bCs/>
                <w:color w:val="000000" w:themeColor="text1"/>
                <w:kern w:val="2"/>
                <w:sz w:val="24"/>
                <w:szCs w:val="24"/>
                <w:highlight w:val="none"/>
                <w:lang w:val="en-US" w:eastAsia="zh-CN" w:bidi="ar-SA"/>
                <w14:textFill>
                  <w14:solidFill>
                    <w14:schemeClr w14:val="tx1"/>
                  </w14:solidFill>
                </w14:textFill>
              </w:rPr>
              <w:t xml:space="preserve">1-2  </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cs="Times New Roman"/>
                <w:bCs/>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黑体" w:cs="Times New Roman"/>
                <w:bCs/>
                <w:color w:val="000000" w:themeColor="text1"/>
                <w:kern w:val="2"/>
                <w:sz w:val="24"/>
                <w:szCs w:val="24"/>
                <w:highlight w:val="none"/>
                <w:lang w:val="en-US" w:eastAsia="zh-CN" w:bidi="ar-SA"/>
                <w14:textFill>
                  <w14:solidFill>
                    <w14:schemeClr w14:val="tx1"/>
                  </w14:solidFill>
                </w14:textFill>
              </w:rPr>
              <w:t>与《宁夏水安全保障“十四五”规划环境影响报告书》审查意见的符合性</w:t>
            </w:r>
            <w:r>
              <w:rPr>
                <w:rFonts w:hint="default" w:ascii="Times New Roman" w:hAnsi="Times New Roman" w:cs="Times New Roman"/>
                <w:bCs/>
                <w:color w:val="000000" w:themeColor="text1"/>
                <w:kern w:val="2"/>
                <w:sz w:val="24"/>
                <w:szCs w:val="24"/>
                <w:highlight w:val="none"/>
                <w:lang w:val="en-US" w:eastAsia="zh-CN" w:bidi="ar-SA"/>
                <w14:textFill>
                  <w14:solidFill>
                    <w14:schemeClr w14:val="tx1"/>
                  </w14:solidFill>
                </w14:textFill>
              </w:rPr>
              <w:t>分析一览表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3539"/>
              <w:gridCol w:w="3689"/>
              <w:gridCol w:w="690"/>
            </w:tblGrid>
            <w:tr w14:paraId="6E5CA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tcBorders>
                    <w:tl2br w:val="nil"/>
                    <w:tr2bl w:val="nil"/>
                  </w:tcBorders>
                  <w:noWrap w:val="0"/>
                  <w:vAlign w:val="center"/>
                </w:tcPr>
                <w:p w14:paraId="178D11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2119" w:type="pct"/>
                  <w:tcBorders>
                    <w:tl2br w:val="nil"/>
                    <w:tr2bl w:val="nil"/>
                  </w:tcBorders>
                  <w:noWrap w:val="0"/>
                  <w:vAlign w:val="center"/>
                </w:tcPr>
                <w:p w14:paraId="0F532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规划环评要求</w:t>
                  </w:r>
                </w:p>
              </w:tc>
              <w:tc>
                <w:tcPr>
                  <w:tcW w:w="2209" w:type="pct"/>
                  <w:tcBorders>
                    <w:tl2br w:val="nil"/>
                    <w:tr2bl w:val="nil"/>
                  </w:tcBorders>
                  <w:noWrap w:val="0"/>
                  <w:vAlign w:val="center"/>
                </w:tcPr>
                <w:p w14:paraId="0B008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本工程具体情况</w:t>
                  </w:r>
                </w:p>
              </w:tc>
              <w:tc>
                <w:tcPr>
                  <w:tcW w:w="413" w:type="pct"/>
                  <w:tcBorders>
                    <w:tl2br w:val="nil"/>
                    <w:tr2bl w:val="nil"/>
                  </w:tcBorders>
                  <w:noWrap w:val="0"/>
                  <w:vAlign w:val="center"/>
                </w:tcPr>
                <w:p w14:paraId="7404D4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是否符合</w:t>
                  </w:r>
                </w:p>
              </w:tc>
            </w:tr>
            <w:tr w14:paraId="50676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tcBorders>
                    <w:tl2br w:val="nil"/>
                    <w:tr2bl w:val="nil"/>
                  </w:tcBorders>
                  <w:noWrap w:val="0"/>
                  <w:vAlign w:val="center"/>
                </w:tcPr>
                <w:p w14:paraId="401C43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p>
              </w:tc>
              <w:tc>
                <w:tcPr>
                  <w:tcW w:w="2119" w:type="pct"/>
                  <w:tcBorders>
                    <w:tl2br w:val="nil"/>
                    <w:tr2bl w:val="nil"/>
                  </w:tcBorders>
                  <w:noWrap w:val="0"/>
                  <w:vAlign w:val="center"/>
                </w:tcPr>
                <w:p w14:paraId="4CC73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严守生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态</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保护红线，加强空间管控。将生态保护红线作为保障和维护区域生态安全的底线，依法实施严格保护，对所涉及的水利工程设施，严格执行各项生态环境保护要求。</w:t>
                  </w:r>
                </w:p>
              </w:tc>
              <w:tc>
                <w:tcPr>
                  <w:tcW w:w="2209" w:type="pct"/>
                  <w:tcBorders>
                    <w:tl2br w:val="nil"/>
                    <w:tr2bl w:val="nil"/>
                  </w:tcBorders>
                  <w:noWrap w:val="0"/>
                  <w:vAlign w:val="center"/>
                </w:tcPr>
                <w:p w14:paraId="2B01D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不涉及生态保护红线、自然保护地、饮用水水源保护区等区域，不属于依法禁止或限制大规模、高强度的开发建设活动，通过严格落实生态恢复措施的实施，确保</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占地生态环境的恢复。</w:t>
                  </w:r>
                </w:p>
              </w:tc>
              <w:tc>
                <w:tcPr>
                  <w:tcW w:w="413" w:type="pct"/>
                  <w:tcBorders>
                    <w:tl2br w:val="nil"/>
                    <w:tr2bl w:val="nil"/>
                  </w:tcBorders>
                  <w:noWrap w:val="0"/>
                  <w:vAlign w:val="center"/>
                </w:tcPr>
                <w:p w14:paraId="3B438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4071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7" w:type="pct"/>
                  <w:tcBorders>
                    <w:tl2br w:val="nil"/>
                    <w:tr2bl w:val="nil"/>
                  </w:tcBorders>
                  <w:noWrap w:val="0"/>
                  <w:vAlign w:val="center"/>
                </w:tcPr>
                <w:p w14:paraId="46933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p>
              </w:tc>
              <w:tc>
                <w:tcPr>
                  <w:tcW w:w="2119" w:type="pct"/>
                  <w:tcBorders>
                    <w:tl2br w:val="nil"/>
                    <w:tr2bl w:val="nil"/>
                  </w:tcBorders>
                  <w:noWrap w:val="0"/>
                  <w:vAlign w:val="center"/>
                </w:tcPr>
                <w:p w14:paraId="450092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守环境质量底线，推进区域环境质量持续改善。坚持生态优先、绿色发展、协调发展理念，《规划》的环境目标应立足于生态环境的稳定和环境质量的改善，明确规划期重点工程、开发区域的生态环境质量底线，作为《规划》实施的硬约束</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同步实现环境质量改善目标与水资源开发目标。</w:t>
                  </w:r>
                </w:p>
              </w:tc>
              <w:tc>
                <w:tcPr>
                  <w:tcW w:w="2209" w:type="pct"/>
                  <w:tcBorders>
                    <w:tl2br w:val="nil"/>
                    <w:tr2bl w:val="nil"/>
                  </w:tcBorders>
                  <w:noWrap w:val="0"/>
                  <w:vAlign w:val="center"/>
                </w:tcPr>
                <w:p w14:paraId="09FE1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道治理项目，不涉及环境质量底线和资源利用上线，不触及环境质量底线和资源利用上线。</w:t>
                  </w:r>
                </w:p>
              </w:tc>
              <w:tc>
                <w:tcPr>
                  <w:tcW w:w="413" w:type="pct"/>
                  <w:tcBorders>
                    <w:tl2br w:val="nil"/>
                    <w:tr2bl w:val="nil"/>
                  </w:tcBorders>
                  <w:noWrap w:val="0"/>
                  <w:vAlign w:val="center"/>
                </w:tcPr>
                <w:p w14:paraId="27AB1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8491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 w:type="pct"/>
                  <w:tcBorders>
                    <w:tl2br w:val="nil"/>
                    <w:tr2bl w:val="nil"/>
                  </w:tcBorders>
                  <w:noWrap w:val="0"/>
                  <w:vAlign w:val="center"/>
                </w:tcPr>
                <w:p w14:paraId="2181B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p>
              </w:tc>
              <w:tc>
                <w:tcPr>
                  <w:tcW w:w="2119" w:type="pct"/>
                  <w:tcBorders>
                    <w:tl2br w:val="nil"/>
                    <w:tr2bl w:val="nil"/>
                  </w:tcBorders>
                  <w:noWrap w:val="0"/>
                  <w:vAlign w:val="center"/>
                </w:tcPr>
                <w:p w14:paraId="5EF31C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严格水利工程建设的环境准入条件。严格水利工程准入要求，从源头上避免对区域水环境质量及水生态造成影响。加强水资源综合利用，提高资源节约集约利用水平。</w:t>
                  </w:r>
                </w:p>
              </w:tc>
              <w:tc>
                <w:tcPr>
                  <w:tcW w:w="2209" w:type="pct"/>
                  <w:tcBorders>
                    <w:tl2br w:val="nil"/>
                    <w:tr2bl w:val="nil"/>
                  </w:tcBorders>
                  <w:noWrap w:val="0"/>
                  <w:vAlign w:val="center"/>
                </w:tcPr>
                <w:p w14:paraId="4611D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eastAsia="zh-CN"/>
                      <w14:textFill>
                        <w14:solidFill>
                          <w14:schemeClr w14:val="tx1"/>
                        </w14:solidFill>
                      </w14:textFill>
                    </w:rPr>
                    <w:t>为</w:t>
                  </w:r>
                  <w:r>
                    <w:rPr>
                      <w:rFonts w:hint="default" w:ascii="Times New Roman" w:hAnsi="Times New Roman" w:cs="Times New Roman"/>
                      <w:color w:val="000000" w:themeColor="text1"/>
                      <w:highlight w:val="none"/>
                      <w:lang w:val="en-US" w:eastAsia="zh-CN"/>
                      <w14:textFill>
                        <w14:solidFill>
                          <w14:schemeClr w14:val="tx1"/>
                        </w14:solidFill>
                      </w14:textFill>
                    </w:rPr>
                    <w:t>沟道治理项目，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从源头上避免对区域水环境质量及水生态造成影响。同时，通过本工程的实施，可进一步提高输水效率，提高水资源节约集约利用水平。</w:t>
                  </w:r>
                </w:p>
              </w:tc>
              <w:tc>
                <w:tcPr>
                  <w:tcW w:w="413" w:type="pct"/>
                  <w:tcBorders>
                    <w:tl2br w:val="nil"/>
                    <w:tr2bl w:val="nil"/>
                  </w:tcBorders>
                  <w:noWrap w:val="0"/>
                  <w:vAlign w:val="center"/>
                </w:tcPr>
                <w:p w14:paraId="5C1428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4F585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57" w:type="pct"/>
                  <w:tcBorders>
                    <w:tl2br w:val="nil"/>
                    <w:tr2bl w:val="nil"/>
                  </w:tcBorders>
                  <w:noWrap w:val="0"/>
                  <w:vAlign w:val="center"/>
                </w:tcPr>
                <w:p w14:paraId="7392FE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p>
              </w:tc>
              <w:tc>
                <w:tcPr>
                  <w:tcW w:w="2119" w:type="pct"/>
                  <w:tcBorders>
                    <w:tl2br w:val="nil"/>
                    <w:tr2bl w:val="nil"/>
                  </w:tcBorders>
                  <w:noWrap w:val="0"/>
                  <w:vAlign w:val="center"/>
                </w:tcPr>
                <w:p w14:paraId="3B7D8F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水生态修复和水环境治理。统筹流域、区域，通过水土流失综合治理、重点河湖生态修复、水系连通和水美乡村建设、盐碱地改良和地下水超采区治理，推进水环境质量持续稳定改善、维护水生态系统安全，助力黄河流域生态保护和高质量发展先行区建设。</w:t>
                  </w:r>
                </w:p>
              </w:tc>
              <w:tc>
                <w:tcPr>
                  <w:tcW w:w="2209" w:type="pct"/>
                  <w:tcBorders>
                    <w:tl2br w:val="nil"/>
                    <w:tr2bl w:val="nil"/>
                  </w:tcBorders>
                  <w:noWrap w:val="0"/>
                  <w:vAlign w:val="center"/>
                </w:tcPr>
                <w:p w14:paraId="255783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施工废水主要为施工人员生活污水及车辆冲洗废水，施工人员生活污水依托租用院落的污水处理设施，施工废水经沉淀池处理后用于洒水抑尘，无废水外排，本项目清淤段材料堆存点位于清淤段西南侧，距离黄河1.45km，距离黄河较远，本方案要求施工期间严禁污水进入黄河；运营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无废水排放，对区域水环境影响较小。</w:t>
                  </w:r>
                </w:p>
              </w:tc>
              <w:tc>
                <w:tcPr>
                  <w:tcW w:w="413" w:type="pct"/>
                  <w:tcBorders>
                    <w:tl2br w:val="nil"/>
                    <w:tr2bl w:val="nil"/>
                  </w:tcBorders>
                  <w:noWrap w:val="0"/>
                  <w:vAlign w:val="center"/>
                </w:tcPr>
                <w:p w14:paraId="23E59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0691B128">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综上所述，本项目符合《宁夏水安全保障“十四五”规划环境影响报告书》及审查意见相关要求。</w:t>
            </w:r>
          </w:p>
        </w:tc>
      </w:tr>
      <w:tr w14:paraId="0AE22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5" w:type="dxa"/>
            <w:tcBorders>
              <w:tl2br w:val="nil"/>
              <w:tr2bl w:val="nil"/>
            </w:tcBorders>
            <w:vAlign w:val="center"/>
          </w:tcPr>
          <w:p w14:paraId="568F4EF1">
            <w:pPr>
              <w:keepNext w:val="0"/>
              <w:keepLines w:val="0"/>
              <w:pageBreakBefore w:val="0"/>
              <w:kinsoku/>
              <w:wordWrap/>
              <w:topLinePunct w:val="0"/>
              <w:autoSpaceDE w:val="0"/>
              <w:autoSpaceDN w:val="0"/>
              <w:bidi w:val="0"/>
              <w:adjustRightInd w:val="0"/>
              <w:snapToGrid w:val="0"/>
              <w:jc w:val="center"/>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其他符合性分析</w:t>
            </w:r>
          </w:p>
        </w:tc>
        <w:tc>
          <w:tcPr>
            <w:tcW w:w="8563" w:type="dxa"/>
            <w:gridSpan w:val="5"/>
            <w:tcBorders>
              <w:tl2br w:val="nil"/>
              <w:tr2bl w:val="nil"/>
            </w:tcBorders>
          </w:tcPr>
          <w:p w14:paraId="75D5F610">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000000" w:themeColor="text1"/>
                <w:sz w:val="24"/>
                <w:szCs w:val="20"/>
                <w:highlight w:val="none"/>
                <w:lang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1</w:t>
            </w:r>
            <w:r>
              <w:rPr>
                <w:rFonts w:hint="default" w:ascii="Times New Roman" w:hAnsi="Times New Roman" w:eastAsia="黑体" w:cs="Times New Roman"/>
                <w:b w:val="0"/>
                <w:bCs w:val="0"/>
                <w:color w:val="000000" w:themeColor="text1"/>
                <w:sz w:val="24"/>
                <w:szCs w:val="20"/>
                <w:highlight w:val="none"/>
                <w:lang w:bidi="en-US"/>
                <w14:textFill>
                  <w14:solidFill>
                    <w14:schemeClr w14:val="tx1"/>
                  </w14:solidFill>
                </w14:textFill>
              </w:rPr>
              <w:t>、项目产业政策符合性分析</w:t>
            </w:r>
          </w:p>
          <w:p w14:paraId="08E45F36">
            <w:pPr>
              <w:pStyle w:val="9"/>
              <w:spacing w:before="0" w:after="0" w:line="360" w:lineRule="auto"/>
              <w:ind w:right="0"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本项目属于</w:t>
            </w:r>
            <w:r>
              <w:rPr>
                <w:rFonts w:hint="default" w:ascii="Times New Roman" w:hAnsi="Times New Roman" w:cs="Times New Roman"/>
                <w:color w:val="000000" w:themeColor="text1"/>
                <w:sz w:val="24"/>
                <w:szCs w:val="24"/>
                <w:lang w:val="en-US" w:eastAsia="zh-CN"/>
                <w14:textFill>
                  <w14:solidFill>
                    <w14:schemeClr w14:val="tx1"/>
                  </w14:solidFill>
                </w14:textFill>
              </w:rPr>
              <w:t>河道治理</w:t>
            </w:r>
            <w:r>
              <w:rPr>
                <w:rFonts w:hint="default" w:ascii="Times New Roman" w:hAnsi="Times New Roman" w:eastAsia="宋体" w:cs="Times New Roman"/>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根据</w:t>
            </w:r>
            <w:r>
              <w:rPr>
                <w:rFonts w:hint="default" w:ascii="Times New Roman" w:hAnsi="Times New Roman" w:cs="Times New Roman"/>
                <w:bCs/>
                <w:color w:val="000000" w:themeColor="text1"/>
                <w:kern w:val="2"/>
                <w:sz w:val="24"/>
                <w:szCs w:val="24"/>
                <w14:textFill>
                  <w14:solidFill>
                    <w14:schemeClr w14:val="tx1"/>
                  </w14:solidFill>
                </w14:textFill>
              </w:rPr>
              <w:t>《产业结构调整指导目录（2024年本）》，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本项目属于</w:t>
            </w:r>
            <w:r>
              <w:rPr>
                <w:rFonts w:hint="default" w:ascii="Times New Roman" w:hAnsi="Times New Roman" w:eastAsia="宋体" w:cs="Times New Roman"/>
                <w:color w:val="000000" w:themeColor="text1"/>
                <w:sz w:val="24"/>
                <w:szCs w:val="24"/>
                <w:lang w:eastAsia="zh-CN"/>
                <w14:textFill>
                  <w14:solidFill>
                    <w14:schemeClr w14:val="tx1"/>
                  </w14:solidFill>
                </w14:textFill>
              </w:rPr>
              <w:t>鼓励类</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第二项、水利类：第4条“江河湖海堤防建设及河道治理工程</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，同时对照《市场准入负面清单(202</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年版)》</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本项目不在市场准入负面清单内。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且项目已于</w:t>
            </w:r>
            <w:r>
              <w:rPr>
                <w:rFonts w:hint="default" w:ascii="Times New Roman" w:hAnsi="Times New Roman" w:cs="Times New Roman"/>
                <w:color w:val="000000" w:themeColor="text1"/>
                <w:sz w:val="24"/>
                <w:lang w:val="en-US" w:eastAsia="zh-CN"/>
                <w14:textFill>
                  <w14:solidFill>
                    <w14:schemeClr w14:val="tx1"/>
                  </w14:solidFill>
                </w14:textFill>
              </w:rPr>
              <w:t>2025</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日取得《</w:t>
            </w:r>
            <w:r>
              <w:rPr>
                <w:rFonts w:hint="default" w:ascii="Times New Roman" w:hAnsi="Times New Roman" w:cs="Times New Roman"/>
                <w:color w:val="000000" w:themeColor="text1"/>
                <w:sz w:val="24"/>
                <w:lang w:val="en-US" w:eastAsia="zh-CN"/>
                <w14:textFill>
                  <w14:solidFill>
                    <w14:schemeClr w14:val="tx1"/>
                  </w14:solidFill>
                </w14:textFill>
              </w:rPr>
              <w:t>中卫市沙坡头区关于宁夏中小河流治理项目沙坡头区三个窑沟治理工程初步设计的批复</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卫沙发改（审批）发</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2025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37</w:t>
            </w:r>
            <w:r>
              <w:rPr>
                <w:rFonts w:hint="default" w:ascii="Times New Roman" w:hAnsi="Times New Roman" w:cs="Times New Roman"/>
                <w:color w:val="000000" w:themeColor="text1"/>
                <w:sz w:val="24"/>
                <w14:textFill>
                  <w14:solidFill>
                    <w14:schemeClr w14:val="tx1"/>
                  </w14:solidFill>
                </w14:textFill>
              </w:rPr>
              <w:t>号），项目代码：</w:t>
            </w:r>
            <w:r>
              <w:rPr>
                <w:rFonts w:hint="default" w:ascii="Times New Roman" w:hAnsi="Times New Roman" w:cs="Times New Roman"/>
                <w:color w:val="000000" w:themeColor="text1"/>
                <w:sz w:val="24"/>
                <w:lang w:val="en-US" w:eastAsia="zh-CN"/>
                <w14:textFill>
                  <w14:solidFill>
                    <w14:schemeClr w14:val="tx1"/>
                  </w14:solidFill>
                </w14:textFill>
              </w:rPr>
              <w:t>2409-6405</w:t>
            </w:r>
            <w:r>
              <w:rPr>
                <w:rFonts w:hint="eastAsia"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lang w:val="en-US" w:eastAsia="zh-CN"/>
                <w14:textFill>
                  <w14:solidFill>
                    <w14:schemeClr w14:val="tx1"/>
                  </w14:solidFill>
                </w14:textFill>
              </w:rPr>
              <w:t>2-19-01-982239。</w:t>
            </w:r>
            <w:r>
              <w:rPr>
                <w:rFonts w:hint="eastAsia" w:cs="Times New Roman"/>
                <w:color w:val="000000" w:themeColor="text1"/>
                <w:sz w:val="24"/>
                <w:lang w:val="en-US" w:eastAsia="zh-CN"/>
                <w14:textFill>
                  <w14:solidFill>
                    <w14:schemeClr w14:val="tx1"/>
                  </w14:solidFill>
                </w14:textFill>
              </w:rPr>
              <w:t>在项目取得初步设计批复并编制环境影响评价期间，中卫市沙坡头区住房城乡建设和交通局在2025年3月对</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中卫市沙坡头区关于宁夏中小河流治理项目沙坡头区三个窑沟治理工程初步设计的批复</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卫沙发改（审批）发</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2025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37</w:t>
            </w:r>
            <w:r>
              <w:rPr>
                <w:rFonts w:hint="default" w:ascii="Times New Roman" w:hAnsi="Times New Roman" w:cs="Times New Roman"/>
                <w:color w:val="000000" w:themeColor="text1"/>
                <w:sz w:val="24"/>
                <w14:textFill>
                  <w14:solidFill>
                    <w14:schemeClr w14:val="tx1"/>
                  </w14:solidFill>
                </w14:textFill>
              </w:rPr>
              <w:t>号）</w:t>
            </w:r>
            <w:r>
              <w:rPr>
                <w:rFonts w:hint="eastAsia" w:cs="Times New Roman"/>
                <w:color w:val="000000" w:themeColor="text1"/>
                <w:sz w:val="24"/>
                <w:lang w:val="en-US" w:eastAsia="zh-CN"/>
                <w14:textFill>
                  <w14:solidFill>
                    <w14:schemeClr w14:val="tx1"/>
                  </w14:solidFill>
                </w14:textFill>
              </w:rPr>
              <w:t>中的过水路面等内容进行拆除重建，建设地点与建设方式与本项目一致，原初步设计</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中卫市沙坡头区关于宁夏中小河流治理项目沙坡头区三个窑沟治理工程初步设计的批复</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卫沙发改（审批）发</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2025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37</w:t>
            </w:r>
            <w:r>
              <w:rPr>
                <w:rFonts w:hint="default" w:ascii="Times New Roman" w:hAnsi="Times New Roman" w:cs="Times New Roman"/>
                <w:color w:val="000000" w:themeColor="text1"/>
                <w:sz w:val="24"/>
                <w14:textFill>
                  <w14:solidFill>
                    <w14:schemeClr w14:val="tx1"/>
                  </w14:solidFill>
                </w14:textFill>
              </w:rPr>
              <w:t>号）</w:t>
            </w:r>
            <w:r>
              <w:rPr>
                <w:rFonts w:hint="eastAsia" w:cs="Times New Roman"/>
                <w:color w:val="000000" w:themeColor="text1"/>
                <w:sz w:val="24"/>
                <w:lang w:val="en-US" w:eastAsia="zh-CN"/>
                <w14:textFill>
                  <w14:solidFill>
                    <w14:schemeClr w14:val="tx1"/>
                  </w14:solidFill>
                </w14:textFill>
              </w:rPr>
              <w:t>中有关过水路面等内容已无法实施，因此</w:t>
            </w:r>
            <w:r>
              <w:rPr>
                <w:rFonts w:hint="default" w:ascii="Times New Roman" w:hAnsi="Times New Roman" w:cs="Times New Roman"/>
                <w:color w:val="000000" w:themeColor="text1"/>
                <w:sz w:val="24"/>
                <w:lang w:val="en-US" w:eastAsia="zh-CN"/>
                <w14:textFill>
                  <w14:solidFill>
                    <w14:schemeClr w14:val="tx1"/>
                  </w14:solidFill>
                </w14:textFill>
              </w:rPr>
              <w:t>建设单位对初步设计进行优化变更，于2026年2月6日取得</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中卫市沙坡头区关于宁夏中小河流治理项目沙坡头区三个窑沟治理工程初步设计的批复</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卫沙发改（审批）发</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2026</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35</w:t>
            </w:r>
            <w:r>
              <w:rPr>
                <w:rFonts w:hint="default" w:ascii="Times New Roman" w:hAnsi="Times New Roman" w:cs="Times New Roman"/>
                <w:color w:val="000000" w:themeColor="text1"/>
                <w:sz w:val="24"/>
                <w14:textFill>
                  <w14:solidFill>
                    <w14:schemeClr w14:val="tx1"/>
                  </w14:solidFill>
                </w14:textFill>
              </w:rPr>
              <w:t>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项目代码不发生变化</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因此本项目符合国家及地方产业政策要求。</w:t>
            </w:r>
          </w:p>
          <w:p w14:paraId="53E80E0E">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000000" w:themeColor="text1"/>
                <w:kern w:val="0"/>
                <w:sz w:val="24"/>
                <w:highlight w:val="none"/>
                <w:lang w:val="zh-CN"/>
                <w14:textFill>
                  <w14:solidFill>
                    <w14:schemeClr w14:val="tx1"/>
                  </w14:solidFill>
                </w14:textFill>
              </w:rPr>
            </w:pPr>
            <w:r>
              <w:rPr>
                <w:rFonts w:hint="default" w:ascii="Times New Roman" w:hAnsi="Times New Roman" w:eastAsia="黑体" w:cs="Times New Roman"/>
                <w:b w:val="0"/>
                <w:bCs w:val="0"/>
                <w:color w:val="000000" w:themeColor="text1"/>
                <w:kern w:val="0"/>
                <w:sz w:val="24"/>
                <w:highlight w:val="none"/>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kern w:val="0"/>
                <w:sz w:val="24"/>
                <w:highlight w:val="none"/>
                <w:lang w:val="zh-CN"/>
                <w14:textFill>
                  <w14:solidFill>
                    <w14:schemeClr w14:val="tx1"/>
                  </w14:solidFill>
                </w14:textFill>
              </w:rPr>
              <w:t>、</w:t>
            </w:r>
            <w:r>
              <w:rPr>
                <w:rFonts w:hint="default" w:ascii="Times New Roman" w:hAnsi="Times New Roman" w:eastAsia="黑体" w:cs="Times New Roman"/>
                <w:b w:val="0"/>
                <w:bCs w:val="0"/>
                <w:color w:val="000000" w:themeColor="text1"/>
                <w:kern w:val="0"/>
                <w:sz w:val="24"/>
                <w:highlight w:val="none"/>
                <w:lang w:val="en-US" w:eastAsia="zh-CN"/>
                <w14:textFill>
                  <w14:solidFill>
                    <w14:schemeClr w14:val="tx1"/>
                  </w14:solidFill>
                </w14:textFill>
              </w:rPr>
              <w:t>本项目与中卫市生态环境分区管控符合性分析</w:t>
            </w:r>
          </w:p>
          <w:p w14:paraId="1B30790B">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kern w:val="0"/>
                <w:sz w:val="24"/>
                <w:highlight w:val="none"/>
                <w:lang w:val="en-US" w:eastAsia="zh-CN"/>
                <w14:textFill>
                  <w14:solidFill>
                    <w14:schemeClr w14:val="tx1"/>
                  </w14:solidFill>
                </w14:textFill>
              </w:rPr>
              <w:t>（1）生态保护红线及生态分区管控</w:t>
            </w:r>
          </w:p>
          <w:p w14:paraId="12E61EE4">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仿宋_GB2312" w:cs="Times New Roman"/>
                <w:color w:val="000000" w:themeColor="text1"/>
                <w:kern w:val="0"/>
                <w:sz w:val="24"/>
                <w:highlight w:val="none"/>
                <w:lang w:val="en-US"/>
                <w14:textFill>
                  <w14:solidFill>
                    <w14:schemeClr w14:val="tx1"/>
                  </w14:solidFill>
                </w14:textFill>
              </w:rPr>
            </w:pPr>
            <w:r>
              <w:rPr>
                <w:rFonts w:hint="default" w:ascii="Times New Roman" w:hAnsi="Times New Roman" w:cs="Times New Roman"/>
                <w:color w:val="000000" w:themeColor="text1"/>
                <w:kern w:val="0"/>
                <w:sz w:val="24"/>
                <w:highlight w:val="none"/>
                <w:lang w:val="zh-CN"/>
                <w14:textFill>
                  <w14:solidFill>
                    <w14:schemeClr w14:val="tx1"/>
                  </w14:solidFill>
                </w14:textFill>
              </w:rPr>
              <w:t>根据2024年8月发布的《中卫市生态环境分区管控动态更新成果》(卫政办法发〔2024〕33号)。本项目位于中卫市</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沙坡头区永康镇</w:t>
            </w:r>
            <w:r>
              <w:rPr>
                <w:rFonts w:hint="default" w:ascii="Times New Roman" w:hAnsi="Times New Roman" w:cs="Times New Roman"/>
                <w:color w:val="000000" w:themeColor="text1"/>
                <w:kern w:val="0"/>
                <w:sz w:val="24"/>
                <w:highlight w:val="none"/>
                <w:lang w:val="zh-CN"/>
                <w14:textFill>
                  <w14:solidFill>
                    <w14:schemeClr w14:val="tx1"/>
                  </w14:solidFill>
                </w14:textFill>
              </w:rPr>
              <w:t>，对照中卫市生态空间分布图</w:t>
            </w:r>
            <w:r>
              <w:rPr>
                <w:color w:val="000000" w:themeColor="text1"/>
                <w:kern w:val="0"/>
                <w:sz w:val="24"/>
                <w:lang w:val="zh-CN"/>
                <w14:textFill>
                  <w14:solidFill>
                    <w14:schemeClr w14:val="tx1"/>
                  </w14:solidFill>
                </w14:textFill>
              </w:rPr>
              <w:t>，本工程不涉及生态保护红线。</w:t>
            </w:r>
            <w:r>
              <w:rPr>
                <w:color w:val="000000" w:themeColor="text1"/>
                <w:kern w:val="0"/>
                <w:sz w:val="24"/>
                <w14:textFill>
                  <w14:solidFill>
                    <w14:schemeClr w14:val="tx1"/>
                  </w14:solidFill>
                </w14:textFill>
              </w:rPr>
              <w:t>不</w:t>
            </w:r>
            <w:r>
              <w:rPr>
                <w:color w:val="000000" w:themeColor="text1"/>
                <w:kern w:val="0"/>
                <w:sz w:val="24"/>
                <w:lang w:val="zh-CN"/>
                <w14:textFill>
                  <w14:solidFill>
                    <w14:schemeClr w14:val="tx1"/>
                  </w14:solidFill>
                </w14:textFill>
              </w:rPr>
              <w:t>占用一般生态空间，</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符合中卫市生态红线相关要求</w:t>
            </w:r>
            <w:r>
              <w:rPr>
                <w:rFonts w:hint="default" w:ascii="Times New Roman" w:hAnsi="Times New Roman" w:cs="Times New Roman"/>
                <w:color w:val="000000" w:themeColor="text1"/>
                <w:kern w:val="0"/>
                <w:sz w:val="24"/>
                <w:highlight w:val="none"/>
                <w:lang w:val="zh-CN"/>
                <w14:textFill>
                  <w14:solidFill>
                    <w14:schemeClr w14:val="tx1"/>
                  </w14:solidFill>
                </w14:textFill>
              </w:rPr>
              <w:t>。项目与中卫市生态保护红线位置关系见图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color w:val="000000" w:themeColor="text1"/>
                <w:kern w:val="0"/>
                <w:sz w:val="24"/>
                <w:highlight w:val="none"/>
                <w:lang w:val="zh-CN"/>
                <w14:textFill>
                  <w14:solidFill>
                    <w14:schemeClr w14:val="tx1"/>
                  </w14:solidFill>
                </w14:textFill>
              </w:rPr>
              <w:t>1、与中卫市生态空间分布位置关系见图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color w:val="000000" w:themeColor="text1"/>
                <w:kern w:val="0"/>
                <w:sz w:val="24"/>
                <w:highlight w:val="none"/>
                <w:lang w:val="zh-CN"/>
                <w14:textFill>
                  <w14:solidFill>
                    <w14:schemeClr w14:val="tx1"/>
                  </w14:solidFill>
                </w14:textFill>
              </w:rPr>
              <w:t>2。</w:t>
            </w:r>
          </w:p>
          <w:p w14:paraId="434CEF12">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kern w:val="0"/>
                <w:sz w:val="24"/>
                <w:highlight w:val="none"/>
                <w:lang w:val="en-US" w:eastAsia="zh-CN"/>
                <w14:textFill>
                  <w14:solidFill>
                    <w14:schemeClr w14:val="tx1"/>
                  </w14:solidFill>
                </w14:textFill>
              </w:rPr>
              <w:t>（2）环境质量底线及分区管控</w:t>
            </w:r>
          </w:p>
          <w:p w14:paraId="6EC9A40E">
            <w:pPr>
              <w:adjustRightInd w:val="0"/>
              <w:snapToGrid w:val="0"/>
              <w:spacing w:after="0" w:line="360" w:lineRule="auto"/>
              <w:ind w:firstLine="480" w:firstLineChars="200"/>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①水环境质量底线及分区管控要求</w:t>
            </w:r>
          </w:p>
          <w:p w14:paraId="1AB49DA7">
            <w:pPr>
              <w:autoSpaceDE w:val="0"/>
              <w:autoSpaceDN w:val="0"/>
              <w:adjustRightInd w:val="0"/>
              <w:snapToGrid w:val="0"/>
              <w:spacing w:after="0" w:line="360" w:lineRule="auto"/>
              <w:ind w:firstLine="480" w:firstLineChars="200"/>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中卫市水环境管控分区共分为三大类：水环境优先保护区、水环境重点管控区（含水环境工业污染源重点管控区、水环境农业污染源重点管控区、水环境城镇生活污染源重点管控区）和水环境一般管控区。</w:t>
            </w:r>
          </w:p>
          <w:p w14:paraId="26BDAE8C">
            <w:pPr>
              <w:autoSpaceDE w:val="0"/>
              <w:autoSpaceDN w:val="0"/>
              <w:adjustRightInd w:val="0"/>
              <w:snapToGrid w:val="0"/>
              <w:spacing w:after="0" w:line="360" w:lineRule="auto"/>
              <w:ind w:firstLine="480" w:firstLineChars="200"/>
              <w:rPr>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本项目位于</w:t>
            </w:r>
            <w:r>
              <w:rPr>
                <w:rFonts w:hint="default" w:ascii="Times New Roman" w:hAnsi="Times New Roman" w:cs="Times New Roman"/>
                <w:color w:val="000000" w:themeColor="text1"/>
                <w:kern w:val="0"/>
                <w:sz w:val="24"/>
                <w:highlight w:val="none"/>
                <w:lang w:val="zh-CN"/>
                <w14:textFill>
                  <w14:solidFill>
                    <w14:schemeClr w14:val="tx1"/>
                  </w14:solidFill>
                </w14:textFill>
              </w:rPr>
              <w:t>中卫市</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沙坡头区永康镇</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属于</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中卫市水环境管控分区中的一般管控区，本项目与中卫市水环境分区管控位置关系见图</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3。</w:t>
            </w:r>
          </w:p>
          <w:p w14:paraId="427B641A">
            <w:pPr>
              <w:autoSpaceDE w:val="0"/>
              <w:autoSpaceDN w:val="0"/>
              <w:adjustRightInd w:val="0"/>
              <w:snapToGrid w:val="0"/>
              <w:spacing w:after="0" w:line="360" w:lineRule="auto"/>
              <w:ind w:firstLine="480" w:firstLineChars="200"/>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一般管控区要求：应落实《中华人民共和国水污染防治法》等相关法律法规的总体要求，加强水资源节约和保护，积极推动水生态修复治理，持续深入推进水污染防治，改善水环境质量。</w:t>
            </w:r>
          </w:p>
          <w:p w14:paraId="788EDE78">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本项目位于中卫市沙坡头区永康镇</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项目属于河道治理项目，建成后无废水产生，且运营期无人值守，无生活污水及生产废水产生，故无废水外排，对周边水环境影响较小</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。因此，本</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建设符合水环境一般管控区</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管控</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要求。</w:t>
            </w:r>
          </w:p>
          <w:p w14:paraId="0C66F4F7">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②大气环境质量底线及分区管控要求</w:t>
            </w:r>
          </w:p>
          <w:p w14:paraId="2E8C0A07">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基于大气环境脆弱性、敏感性、重要性评价结果，考虑大气污染传输规律和城市用地特征，识别网格单元主导属性，将中卫市划分为大气环境优先保护区、大气环境重点管控区和大气环境一般管控区。</w:t>
            </w:r>
          </w:p>
          <w:p w14:paraId="41F7725A">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本项目位于中卫市沙坡头区永康镇，属于大气环境一般管控区，本项目与中卫市大气环境分区管控位置关系见图1-4。</w:t>
            </w:r>
          </w:p>
          <w:p w14:paraId="6FE1DF69">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大气环境一般管控区要求：落实《中华人民共和国大气污染防治法》等相关法律法规的一般要求，在满足区域基本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4B980285">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本项目位于中卫市沙坡头区永康镇，为河道治理项目，项目运营期不产生废气，对周边大气环境影响较小，因此符合大气环境一般管控区要求。</w:t>
            </w:r>
          </w:p>
          <w:p w14:paraId="47BD1B75">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③土壤污染风险防控底线及分区管控要求</w:t>
            </w:r>
          </w:p>
          <w:p w14:paraId="6C83E5C8">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土壤环境质量现状、土地利用现状，综合考虑全市农用地土壤污染状况详查和重点行业企业用地详查结果，衔接现有污染地块名录、土壤环境重点监管企业清单等，将中卫市划分为农用地优先保护区、建设用地污染风险重点管控区和土壤环境一般管控区。</w:t>
            </w:r>
          </w:p>
          <w:p w14:paraId="1F310095">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本项目位于中卫市沙坡头区永康镇，属于中卫市土壤环境一般管控区域本项目与中卫市土壤污染风险分区管控位置关系见图1-5。</w:t>
            </w:r>
          </w:p>
          <w:p w14:paraId="54460C37">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一般管控区要求：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突发污染的具体措施；需要建设的土壤污染防治设施，要与主体工程同时设计、同时施工、同时投产使用。</w:t>
            </w:r>
          </w:p>
          <w:p w14:paraId="151EB2C0">
            <w:pPr>
              <w:pStyle w:val="67"/>
              <w:keepNext w:val="0"/>
              <w:keepLines w:val="0"/>
              <w:pageBreakBefore w:val="0"/>
              <w:suppressLineNumbers w:val="0"/>
              <w:kinsoku/>
              <w:wordWrap/>
              <w:topLinePunct w:val="0"/>
              <w:bidi w:val="0"/>
              <w:spacing w:before="0" w:beforeAutospacing="0" w:after="0" w:afterAutospacing="0"/>
              <w:ind w:left="0" w:right="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本项目位于中卫市沙坡头区永康镇，为河道治理项目，不新增永久占地，临时占地类型</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为未利用地</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，项目运营期不产生固体废物，巡检人员生活垃圾自行带走，运营期不产生废水，不会导致土壤环境质量下降，符合一般管控区及优先保护区要求。</w:t>
            </w:r>
          </w:p>
          <w:p w14:paraId="1A02B3B9">
            <w:pPr>
              <w:pStyle w:val="9"/>
              <w:spacing w:before="0" w:after="0" w:line="360" w:lineRule="auto"/>
              <w:ind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3</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资源利用上线</w:t>
            </w:r>
          </w:p>
          <w:p w14:paraId="74D3609A">
            <w:pPr>
              <w:pStyle w:val="9"/>
              <w:spacing w:before="0" w:after="0" w:line="360" w:lineRule="auto"/>
              <w:ind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①能源利用上线</w:t>
            </w:r>
          </w:p>
          <w:p w14:paraId="11002C38">
            <w:pPr>
              <w:pStyle w:val="9"/>
              <w:spacing w:before="0" w:after="0" w:line="360" w:lineRule="auto"/>
              <w:ind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val="en-US" w:eastAsia="zh-CN"/>
                <w14:textFill>
                  <w14:solidFill>
                    <w14:schemeClr w14:val="tx1"/>
                  </w14:solidFill>
                </w14:textFill>
              </w:rPr>
              <w:t>河道治理项目</w:t>
            </w:r>
            <w:r>
              <w:rPr>
                <w:rFonts w:hint="default" w:ascii="Times New Roman" w:hAnsi="Times New Roman" w:cs="Times New Roman"/>
                <w:color w:val="000000" w:themeColor="text1"/>
                <w:kern w:val="16"/>
                <w:sz w:val="24"/>
                <w14:textFill>
                  <w14:solidFill>
                    <w14:schemeClr w14:val="tx1"/>
                  </w14:solidFill>
                </w14:textFill>
              </w:rPr>
              <w:t>，项目运营过程中不消耗煤炭及天然气资源，不会减少区域水、煤炭、天然气等资源总量。根据中卫市高污染燃料禁燃区划分，项目不位于高污染燃料禁燃区内。</w:t>
            </w:r>
          </w:p>
          <w:p w14:paraId="203250BA">
            <w:pPr>
              <w:pStyle w:val="9"/>
              <w:spacing w:before="0" w:after="0" w:line="360" w:lineRule="auto"/>
              <w:ind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②水资源利用上线</w:t>
            </w:r>
          </w:p>
          <w:p w14:paraId="11408C61">
            <w:pPr>
              <w:pStyle w:val="9"/>
              <w:spacing w:before="0" w:after="0" w:line="360" w:lineRule="auto"/>
              <w:ind w:right="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认真贯彻落实《宁夏回族自治区水资源管理条例》、《宁夏回族自治区关于实施最严格水资源管理制度的意见》以及《中共宁夏回族自治区委员会关于建设黄河流域生态保护和高质量发展先行区的实施意见》。坚持节约优先、推动全面节水。坚持严控总量、优化结构，管控用途。把水资源作为最大的刚性约束，坚持“以水定城、以水定地、以水定人、以水定产”。统筹优化生产、生活、生态用水。实行用水总量控制和定额管理，严格执行水资源开发利用控制红线，建设节水型社会。坚持节水优先，还水于河，实施河道和滩区综合提升治理工程，全面实施深度节水控水行动等，推进水资源节约集约利用。</w:t>
            </w:r>
          </w:p>
          <w:p w14:paraId="027B6275">
            <w:pPr>
              <w:pStyle w:val="9"/>
              <w:spacing w:before="0" w:after="0" w:line="360" w:lineRule="auto"/>
              <w:ind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本项目运营期无用水环节，</w:t>
            </w:r>
            <w:r>
              <w:rPr>
                <w:rFonts w:hint="default" w:ascii="Times New Roman" w:hAnsi="Times New Roman" w:cs="Times New Roman"/>
                <w:color w:val="000000" w:themeColor="text1"/>
                <w:sz w:val="24"/>
                <w14:textFill>
                  <w14:solidFill>
                    <w14:schemeClr w14:val="tx1"/>
                  </w14:solidFill>
                </w14:textFill>
              </w:rPr>
              <w:t>无废水产生，对周围地表水体无影响。因此，项目建设符合水资源利用</w:t>
            </w:r>
            <w:r>
              <w:rPr>
                <w:rFonts w:hint="default" w:ascii="Times New Roman" w:hAnsi="Times New Roman" w:cs="Times New Roman"/>
                <w:color w:val="000000" w:themeColor="text1"/>
                <w:sz w:val="24"/>
                <w:highlight w:val="none"/>
                <w14:textFill>
                  <w14:solidFill>
                    <w14:schemeClr w14:val="tx1"/>
                  </w14:solidFill>
                </w14:textFill>
              </w:rPr>
              <w:t>上线要求。</w:t>
            </w:r>
          </w:p>
          <w:p w14:paraId="391C4AC1">
            <w:pPr>
              <w:pStyle w:val="9"/>
              <w:spacing w:before="0" w:after="0" w:line="360" w:lineRule="auto"/>
              <w:ind w:right="0" w:firstLine="480" w:firstLineChars="200"/>
              <w:rPr>
                <w:rFonts w:hint="default" w:ascii="Times New Roman" w:hAnsi="Times New Roman" w:cs="Times New Roman"/>
                <w:color w:val="000000" w:themeColor="text1"/>
                <w:kern w:val="2"/>
                <w:sz w:val="24"/>
                <w:szCs w:val="24"/>
                <w:highlight w:val="none"/>
                <w14:textFill>
                  <w14:solidFill>
                    <w14:schemeClr w14:val="tx1"/>
                  </w14:solidFill>
                </w14:textFill>
              </w:rPr>
            </w:pPr>
            <w:r>
              <w:rPr>
                <w:rFonts w:hint="default" w:ascii="Times New Roman" w:hAnsi="Times New Roman" w:cs="Times New Roman"/>
                <w:color w:val="000000" w:themeColor="text1"/>
                <w:kern w:val="2"/>
                <w:sz w:val="24"/>
                <w:szCs w:val="24"/>
                <w:highlight w:val="none"/>
                <w14:textFill>
                  <w14:solidFill>
                    <w14:schemeClr w14:val="tx1"/>
                  </w14:solidFill>
                </w14:textFill>
              </w:rPr>
              <w:t>③土地资源</w:t>
            </w:r>
          </w:p>
          <w:p w14:paraId="0ABC7081">
            <w:pPr>
              <w:pStyle w:val="9"/>
              <w:spacing w:before="0" w:after="0" w:line="360" w:lineRule="auto"/>
              <w:ind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kern w:val="2"/>
                <w:sz w:val="24"/>
                <w:szCs w:val="24"/>
                <w:highlight w:val="none"/>
                <w14:textFill>
                  <w14:solidFill>
                    <w14:schemeClr w14:val="tx1"/>
                  </w14:solidFill>
                </w14:textFill>
              </w:rPr>
              <w:t>本项目为</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河道治理项目</w:t>
            </w:r>
            <w:r>
              <w:rPr>
                <w:rFonts w:hint="default" w:ascii="Times New Roman" w:hAnsi="Times New Roman" w:cs="Times New Roman"/>
                <w:color w:val="000000" w:themeColor="text1"/>
                <w:kern w:val="2"/>
                <w:sz w:val="24"/>
                <w:szCs w:val="24"/>
                <w:highlight w:val="none"/>
                <w14:textFill>
                  <w14:solidFill>
                    <w14:schemeClr w14:val="tx1"/>
                  </w14:solidFill>
                </w14:textFill>
              </w:rPr>
              <w:t>，</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新增</w:t>
            </w:r>
            <w:r>
              <w:rPr>
                <w:rFonts w:hint="default" w:ascii="Times New Roman" w:hAnsi="Times New Roman" w:cs="Times New Roman"/>
                <w:color w:val="000000" w:themeColor="text1"/>
                <w:kern w:val="2"/>
                <w:sz w:val="24"/>
                <w:szCs w:val="24"/>
                <w:highlight w:val="none"/>
                <w14:textFill>
                  <w14:solidFill>
                    <w14:schemeClr w14:val="tx1"/>
                  </w14:solidFill>
                </w14:textFill>
              </w:rPr>
              <w:t>占地面积为</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6105</w:t>
            </w:r>
            <w:r>
              <w:rPr>
                <w:rFonts w:hint="default" w:ascii="Times New Roman" w:hAnsi="Times New Roman" w:cs="Times New Roman"/>
                <w:color w:val="000000" w:themeColor="text1"/>
                <w:kern w:val="2"/>
                <w:sz w:val="24"/>
                <w:szCs w:val="24"/>
                <w:highlight w:val="none"/>
                <w14:textFill>
                  <w14:solidFill>
                    <w14:schemeClr w14:val="tx1"/>
                  </w14:solidFill>
                </w14:textFill>
              </w:rPr>
              <w:t>m</w:t>
            </w:r>
            <w:r>
              <w:rPr>
                <w:rFonts w:hint="default" w:ascii="Times New Roman" w:hAnsi="Times New Roman" w:cs="Times New Roman"/>
                <w:color w:val="000000" w:themeColor="text1"/>
                <w:kern w:val="2"/>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kern w:val="2"/>
                <w:sz w:val="24"/>
                <w:szCs w:val="24"/>
                <w:highlight w:val="none"/>
                <w14:textFill>
                  <w14:solidFill>
                    <w14:schemeClr w14:val="tx1"/>
                  </w14:solidFill>
                </w14:textFill>
              </w:rPr>
              <w:t>，</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为</w:t>
            </w:r>
            <w:r>
              <w:rPr>
                <w:rFonts w:hint="eastAsia" w:cs="Times New Roman"/>
                <w:color w:val="000000" w:themeColor="text1"/>
                <w:kern w:val="2"/>
                <w:sz w:val="24"/>
                <w:szCs w:val="24"/>
                <w:highlight w:val="none"/>
                <w:lang w:val="en-US" w:eastAsia="zh-CN"/>
                <w14:textFill>
                  <w14:solidFill>
                    <w14:schemeClr w14:val="tx1"/>
                  </w14:solidFill>
                </w14:textFill>
              </w:rPr>
              <w:t>3处材料堆存点</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临时占地</w:t>
            </w:r>
            <w:r>
              <w:rPr>
                <w:rFonts w:hint="default" w:ascii="Times New Roman" w:hAnsi="Times New Roman" w:cs="Times New Roman"/>
                <w:color w:val="000000" w:themeColor="text1"/>
                <w:kern w:val="2"/>
                <w:sz w:val="24"/>
                <w:szCs w:val="24"/>
                <w:highlight w:val="none"/>
                <w14:textFill>
                  <w14:solidFill>
                    <w14:schemeClr w14:val="tx1"/>
                  </w14:solidFill>
                </w14:textFill>
              </w:rPr>
              <w:t>，占地类型为</w:t>
            </w:r>
            <w:r>
              <w:rPr>
                <w:rFonts w:hint="eastAsia" w:cs="Times New Roman"/>
                <w:color w:val="000000" w:themeColor="text1"/>
                <w:kern w:val="2"/>
                <w:sz w:val="24"/>
                <w:szCs w:val="24"/>
                <w:highlight w:val="none"/>
                <w:lang w:val="en-US" w:eastAsia="zh-CN"/>
                <w14:textFill>
                  <w14:solidFill>
                    <w14:schemeClr w14:val="tx1"/>
                  </w14:solidFill>
                </w14:textFill>
              </w:rPr>
              <w:t>未利用地</w:t>
            </w:r>
            <w:r>
              <w:rPr>
                <w:rFonts w:hint="default" w:ascii="Times New Roman" w:hAnsi="Times New Roman" w:cs="Times New Roman"/>
                <w:color w:val="000000" w:themeColor="text1"/>
                <w:kern w:val="2"/>
                <w:sz w:val="24"/>
                <w:szCs w:val="24"/>
                <w:highlight w:val="none"/>
                <w:lang w:eastAsia="zh-CN"/>
                <w14:textFill>
                  <w14:solidFill>
                    <w14:schemeClr w14:val="tx1"/>
                  </w14:solidFill>
                </w14:textFill>
              </w:rPr>
              <w:t>，</w:t>
            </w:r>
            <w:r>
              <w:rPr>
                <w:rFonts w:hint="default" w:ascii="Times New Roman" w:hAnsi="Times New Roman" w:cs="Times New Roman"/>
                <w:color w:val="000000" w:themeColor="text1"/>
                <w:kern w:val="2"/>
                <w:sz w:val="24"/>
                <w:szCs w:val="24"/>
                <w:highlight w:val="none"/>
                <w14:textFill>
                  <w14:solidFill>
                    <w14:schemeClr w14:val="tx1"/>
                  </w14:solidFill>
                </w14:textFill>
              </w:rPr>
              <w:t>施工结束后对临时占地进行生态恢复，不会超过区域土地资源利用上</w:t>
            </w:r>
            <w:r>
              <w:rPr>
                <w:rFonts w:hint="default" w:ascii="Times New Roman" w:hAnsi="Times New Roman" w:cs="Times New Roman"/>
                <w:color w:val="000000" w:themeColor="text1"/>
                <w:kern w:val="2"/>
                <w:sz w:val="24"/>
                <w:szCs w:val="24"/>
                <w:highlight w:val="none"/>
                <w:lang w:val="en-US" w:eastAsia="zh-CN"/>
                <w14:textFill>
                  <w14:solidFill>
                    <w14:schemeClr w14:val="tx1"/>
                  </w14:solidFill>
                </w14:textFill>
              </w:rPr>
              <w:t>限</w:t>
            </w:r>
            <w:r>
              <w:rPr>
                <w:rFonts w:hint="default" w:ascii="Times New Roman" w:hAnsi="Times New Roman" w:cs="Times New Roman"/>
                <w:color w:val="000000" w:themeColor="text1"/>
                <w:kern w:val="2"/>
                <w:sz w:val="24"/>
                <w:szCs w:val="24"/>
                <w:highlight w:val="none"/>
                <w14:textFill>
                  <w14:solidFill>
                    <w14:schemeClr w14:val="tx1"/>
                  </w14:solidFill>
                </w14:textFill>
              </w:rPr>
              <w:t>要求。因此，本项目建设不会超过区域土地资源利用上限要求</w:t>
            </w:r>
            <w:r>
              <w:rPr>
                <w:rFonts w:hint="default" w:ascii="Times New Roman" w:hAnsi="Times New Roman" w:cs="Times New Roman"/>
                <w:color w:val="000000" w:themeColor="text1"/>
                <w:sz w:val="24"/>
                <w:highlight w:val="none"/>
                <w14:textFill>
                  <w14:solidFill>
                    <w14:schemeClr w14:val="tx1"/>
                  </w14:solidFill>
                </w14:textFill>
              </w:rPr>
              <w:t>。</w:t>
            </w:r>
          </w:p>
          <w:p w14:paraId="589ABCF1">
            <w:pPr>
              <w:adjustRightInd w:val="0"/>
              <w:snapToGrid w:val="0"/>
              <w:spacing w:after="0" w:line="360" w:lineRule="auto"/>
              <w:ind w:firstLine="480" w:firstLineChars="200"/>
              <w:rPr>
                <w:rFonts w:hint="default" w:ascii="Times New Roman" w:hAnsi="Times New Roman" w:eastAsia="黑体" w:cs="Times New Roman"/>
                <w:b w:val="0"/>
                <w:bCs w:val="0"/>
                <w:color w:val="000000" w:themeColor="text1"/>
                <w:sz w:val="24"/>
                <w14:textFill>
                  <w14:solidFill>
                    <w14:schemeClr w14:val="tx1"/>
                  </w14:solidFill>
                </w14:textFill>
              </w:rPr>
            </w:pPr>
            <w:r>
              <w:rPr>
                <w:rFonts w:hint="default" w:ascii="Times New Roman" w:hAnsi="Times New Roman" w:eastAsia="黑体" w:cs="Times New Roman"/>
                <w:b w:val="0"/>
                <w:bCs w:val="0"/>
                <w:color w:val="000000" w:themeColor="text1"/>
                <w:sz w:val="24"/>
                <w14:textFill>
                  <w14:solidFill>
                    <w14:schemeClr w14:val="tx1"/>
                  </w14:solidFill>
                </w14:textFill>
              </w:rPr>
              <w:t>(4)</w:t>
            </w:r>
            <w:r>
              <w:rPr>
                <w:rFonts w:hint="default" w:ascii="Times New Roman" w:hAnsi="Times New Roman" w:eastAsia="黑体" w:cs="Times New Roman"/>
                <w:b w:val="0"/>
                <w:bCs w:val="0"/>
                <w:color w:val="000000" w:themeColor="text1"/>
                <w:sz w:val="24"/>
                <w:lang w:val="en-US" w:eastAsia="zh-CN"/>
                <w14:textFill>
                  <w14:solidFill>
                    <w14:schemeClr w14:val="tx1"/>
                  </w14:solidFill>
                </w14:textFill>
              </w:rPr>
              <w:t>环境管控单元与</w:t>
            </w:r>
            <w:r>
              <w:rPr>
                <w:rFonts w:hint="default" w:ascii="Times New Roman" w:hAnsi="Times New Roman" w:eastAsia="黑体" w:cs="Times New Roman"/>
                <w:b w:val="0"/>
                <w:bCs w:val="0"/>
                <w:color w:val="000000" w:themeColor="text1"/>
                <w:sz w:val="24"/>
                <w14:textFill>
                  <w14:solidFill>
                    <w14:schemeClr w14:val="tx1"/>
                  </w14:solidFill>
                </w14:textFill>
              </w:rPr>
              <w:t>准入清单</w:t>
            </w:r>
          </w:p>
          <w:p w14:paraId="61C78444">
            <w:pPr>
              <w:pStyle w:val="56"/>
              <w:spacing w:before="0" w:after="0" w:line="360" w:lineRule="auto"/>
              <w:ind w:firstLine="480" w:firstLineChars="200"/>
              <w:jc w:val="both"/>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Times New Roman" w:cs="Times New Roman"/>
                <w:color w:val="000000" w:themeColor="text1"/>
                <w:sz w:val="24"/>
                <w:lang w:val="en-US" w:eastAsia="zh-CN"/>
                <w14:textFill>
                  <w14:solidFill>
                    <w14:schemeClr w14:val="tx1"/>
                  </w14:solidFill>
                </w14:textFill>
              </w:rPr>
              <w:t>本项目位于中卫市沙坡头区永康镇。位</w:t>
            </w:r>
            <w:r>
              <w:rPr>
                <w:rFonts w:hint="default" w:ascii="Times New Roman" w:hAnsi="Times New Roman" w:cs="Times New Roman"/>
                <w:color w:val="000000" w:themeColor="text1"/>
                <w:sz w:val="24"/>
                <w:lang w:val="en-US" w:eastAsia="zh-CN"/>
                <w14:textFill>
                  <w14:solidFill>
                    <w14:schemeClr w14:val="tx1"/>
                  </w14:solidFill>
                </w14:textFill>
              </w:rPr>
              <w:t>于沙坡头一般管控单元1（单元号：ZH6405023001），项目与中卫市环境管控单元位置关系见图1-6。</w:t>
            </w:r>
          </w:p>
          <w:p w14:paraId="5E42B1BC">
            <w:pPr>
              <w:pStyle w:val="56"/>
              <w:spacing w:before="0" w:after="0" w:line="360" w:lineRule="auto"/>
              <w:ind w:firstLine="480" w:firstLineChars="200"/>
              <w:jc w:val="both"/>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一般管控单元管控要求：除优先保护单元和重点管控单元之外的其他区域全部纳入一般管控单元。一般管控单元以适度发展社会经济、避免大规模高强度开发为导向，执行区域生态环境保护的基本要求。</w:t>
            </w:r>
          </w:p>
          <w:p w14:paraId="21D74A2F">
            <w:pPr>
              <w:pStyle w:val="56"/>
              <w:spacing w:before="0" w:after="0" w:line="360" w:lineRule="auto"/>
              <w:ind w:firstLine="480" w:firstLineChars="200"/>
              <w:jc w:val="both"/>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本项目为河道治理项目，经采取相关污染防治措施后，施工区对周围环境影响较小；施工结束后，对临时用地进行生态恢复，不改变原有用地性质，本项目不属于高强度开发项目，符合一般管控单元管控要求。</w:t>
            </w:r>
          </w:p>
          <w:p w14:paraId="01711392">
            <w:pPr>
              <w:pStyle w:val="56"/>
              <w:spacing w:before="0" w:after="0"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项目与中卫市生态环境准入清单总体要求符合性</w:t>
            </w:r>
            <w:r>
              <w:rPr>
                <w:rFonts w:hint="default" w:ascii="Times New Roman" w:hAnsi="Times New Roman" w:cs="Times New Roman"/>
                <w:color w:val="000000" w:themeColor="text1"/>
                <w:sz w:val="24"/>
                <w:lang w:val="en-US" w:eastAsia="zh-CN"/>
                <w14:textFill>
                  <w14:solidFill>
                    <w14:schemeClr w14:val="tx1"/>
                  </w14:solidFill>
                </w14:textFill>
              </w:rPr>
              <w:t>分析</w:t>
            </w:r>
            <w:r>
              <w:rPr>
                <w:rFonts w:hint="default" w:ascii="Times New Roman" w:hAnsi="Times New Roman" w:cs="Times New Roman"/>
                <w:color w:val="000000" w:themeColor="text1"/>
                <w:sz w:val="24"/>
                <w14:textFill>
                  <w14:solidFill>
                    <w14:schemeClr w14:val="tx1"/>
                  </w14:solidFill>
                </w14:textFill>
              </w:rPr>
              <w:t>见表1-</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、项目与“中卫市环境管控单元生态环境准入清单”相符性</w:t>
            </w:r>
            <w:r>
              <w:rPr>
                <w:rFonts w:hint="default" w:ascii="Times New Roman" w:hAnsi="Times New Roman" w:cs="Times New Roman"/>
                <w:color w:val="000000" w:themeColor="text1"/>
                <w:sz w:val="24"/>
                <w:lang w:val="en-US" w:eastAsia="zh-CN"/>
                <w14:textFill>
                  <w14:solidFill>
                    <w14:schemeClr w14:val="tx1"/>
                  </w14:solidFill>
                </w14:textFill>
              </w:rPr>
              <w:t>分析</w:t>
            </w:r>
            <w:r>
              <w:rPr>
                <w:rFonts w:hint="default" w:ascii="Times New Roman" w:hAnsi="Times New Roman" w:cs="Times New Roman"/>
                <w:color w:val="000000" w:themeColor="text1"/>
                <w:sz w:val="24"/>
                <w14:textFill>
                  <w14:solidFill>
                    <w14:schemeClr w14:val="tx1"/>
                  </w14:solidFill>
                </w14:textFill>
              </w:rPr>
              <w:t>见表1-</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w:t>
            </w:r>
          </w:p>
          <w:p w14:paraId="133155F4">
            <w:pPr>
              <w:pStyle w:val="21"/>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bidi="ar"/>
                <w14:textFill>
                  <w14:solidFill>
                    <w14:schemeClr w14:val="tx1"/>
                  </w14:solidFill>
                </w14:textFill>
              </w:rPr>
              <w:t>表1-</w:t>
            </w:r>
            <w:r>
              <w:rPr>
                <w:rFonts w:hint="default" w:ascii="Times New Roman" w:hAnsi="Times New Roman" w:eastAsia="黑体" w:cs="Times New Roman"/>
                <w:b w:val="0"/>
                <w:bCs w:val="0"/>
                <w:color w:val="000000" w:themeColor="text1"/>
                <w:sz w:val="24"/>
                <w:szCs w:val="24"/>
                <w:lang w:val="en-US" w:eastAsia="zh-CN" w:bidi="ar"/>
                <w14:textFill>
                  <w14:solidFill>
                    <w14:schemeClr w14:val="tx1"/>
                  </w14:solidFill>
                </w14:textFill>
              </w:rPr>
              <w:t xml:space="preserve">3 </w:t>
            </w:r>
            <w:r>
              <w:rPr>
                <w:rFonts w:hint="default" w:ascii="Times New Roman" w:hAnsi="Times New Roman" w:eastAsia="黑体" w:cs="Times New Roman"/>
                <w:b w:val="0"/>
                <w:bCs w:val="0"/>
                <w:color w:val="000000" w:themeColor="text1"/>
                <w:sz w:val="24"/>
                <w:szCs w:val="24"/>
                <w:lang w:bidi="ar"/>
                <w14:textFill>
                  <w14:solidFill>
                    <w14:schemeClr w14:val="tx1"/>
                  </w14:solidFill>
                </w14:textFill>
              </w:rPr>
              <w:t xml:space="preserve"> 中卫市生态环境总体准入要求</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05"/>
              <w:gridCol w:w="797"/>
              <w:gridCol w:w="3817"/>
              <w:gridCol w:w="2291"/>
              <w:gridCol w:w="837"/>
            </w:tblGrid>
            <w:tr w14:paraId="13510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402" w:type="dxa"/>
                  <w:gridSpan w:val="2"/>
                  <w:tcBorders>
                    <w:tl2br w:val="nil"/>
                    <w:tr2bl w:val="nil"/>
                  </w:tcBorders>
                  <w:noWrap w:val="0"/>
                  <w:vAlign w:val="center"/>
                </w:tcPr>
                <w:p w14:paraId="12A835F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000000" w:themeColor="text1"/>
                      <w:kern w:val="2"/>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管控维度</w:t>
                  </w:r>
                </w:p>
              </w:tc>
              <w:tc>
                <w:tcPr>
                  <w:tcW w:w="3817" w:type="dxa"/>
                  <w:tcBorders>
                    <w:tl2br w:val="nil"/>
                    <w:tr2bl w:val="nil"/>
                  </w:tcBorders>
                  <w:noWrap w:val="0"/>
                  <w:vAlign w:val="center"/>
                </w:tcPr>
                <w:p w14:paraId="7EF2D9B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000000" w:themeColor="text1"/>
                      <w:kern w:val="2"/>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管控要求</w:t>
                  </w:r>
                </w:p>
              </w:tc>
              <w:tc>
                <w:tcPr>
                  <w:tcW w:w="2291" w:type="dxa"/>
                  <w:tcBorders>
                    <w:tl2br w:val="nil"/>
                    <w:tr2bl w:val="nil"/>
                  </w:tcBorders>
                  <w:noWrap w:val="0"/>
                  <w:vAlign w:val="center"/>
                </w:tcPr>
                <w:p w14:paraId="0C5A48D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000000" w:themeColor="text1"/>
                      <w:kern w:val="2"/>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符合性分析</w:t>
                  </w:r>
                </w:p>
              </w:tc>
              <w:tc>
                <w:tcPr>
                  <w:tcW w:w="837" w:type="dxa"/>
                  <w:tcBorders>
                    <w:tl2br w:val="nil"/>
                    <w:tr2bl w:val="nil"/>
                  </w:tcBorders>
                  <w:noWrap w:val="0"/>
                  <w:vAlign w:val="center"/>
                </w:tcPr>
                <w:p w14:paraId="2D58F13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000000" w:themeColor="text1"/>
                      <w:kern w:val="2"/>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是否</w:t>
                  </w:r>
                </w:p>
                <w:p w14:paraId="356646D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b/>
                      <w:bCs/>
                      <w:color w:val="000000" w:themeColor="text1"/>
                      <w:kern w:val="2"/>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符合</w:t>
                  </w:r>
                </w:p>
              </w:tc>
            </w:tr>
            <w:tr w14:paraId="5332BB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restart"/>
                  <w:tcBorders>
                    <w:tl2br w:val="nil"/>
                    <w:tr2bl w:val="nil"/>
                  </w:tcBorders>
                  <w:noWrap w:val="0"/>
                  <w:vAlign w:val="center"/>
                </w:tcPr>
                <w:p w14:paraId="7852684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lang w:bidi="ar"/>
                      <w14:textFill>
                        <w14:solidFill>
                          <w14:schemeClr w14:val="tx1"/>
                        </w14:solidFill>
                      </w14:textFill>
                    </w:rPr>
                    <w:t>A1</w:t>
                  </w:r>
                </w:p>
                <w:p w14:paraId="5B3D582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spacing w:val="-1"/>
                      <w:kern w:val="2"/>
                      <w:sz w:val="21"/>
                      <w:szCs w:val="21"/>
                      <w:lang w:bidi="ar"/>
                      <w14:textFill>
                        <w14:solidFill>
                          <w14:schemeClr w14:val="tx1"/>
                        </w14:solidFill>
                      </w14:textFill>
                    </w:rPr>
                    <w:t>空间</w:t>
                  </w:r>
                </w:p>
                <w:p w14:paraId="683A668D">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
                      <w:kern w:val="2"/>
                      <w:sz w:val="21"/>
                      <w:szCs w:val="21"/>
                      <w14:textFill>
                        <w14:solidFill>
                          <w14:schemeClr w14:val="tx1"/>
                        </w14:solidFill>
                      </w14:textFill>
                    </w:rPr>
                  </w:pPr>
                  <w:r>
                    <w:rPr>
                      <w:rFonts w:hint="default" w:ascii="Times New Roman" w:hAnsi="Times New Roman" w:cs="Times New Roman"/>
                      <w:color w:val="000000" w:themeColor="text1"/>
                      <w:spacing w:val="-1"/>
                      <w:kern w:val="2"/>
                      <w:sz w:val="21"/>
                      <w:szCs w:val="21"/>
                      <w:lang w:bidi="ar"/>
                      <w14:textFill>
                        <w14:solidFill>
                          <w14:schemeClr w14:val="tx1"/>
                        </w14:solidFill>
                      </w14:textFill>
                    </w:rPr>
                    <w:t>布局</w:t>
                  </w:r>
                </w:p>
                <w:p w14:paraId="2E3FC03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lang w:bidi="ar"/>
                      <w14:textFill>
                        <w14:solidFill>
                          <w14:schemeClr w14:val="tx1"/>
                        </w14:solidFill>
                      </w14:textFill>
                    </w:rPr>
                    <w:t>约束</w:t>
                  </w:r>
                </w:p>
              </w:tc>
              <w:tc>
                <w:tcPr>
                  <w:tcW w:w="797" w:type="dxa"/>
                  <w:vMerge w:val="restart"/>
                  <w:tcBorders>
                    <w:tl2br w:val="nil"/>
                    <w:tr2bl w:val="nil"/>
                  </w:tcBorders>
                  <w:noWrap w:val="0"/>
                  <w:vAlign w:val="center"/>
                </w:tcPr>
                <w:p w14:paraId="027095C8">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A1.1</w:t>
                  </w:r>
                </w:p>
                <w:p w14:paraId="02999F66">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禁止开发建设活动的要求</w:t>
                  </w:r>
                </w:p>
              </w:tc>
              <w:tc>
                <w:tcPr>
                  <w:tcW w:w="3817" w:type="dxa"/>
                  <w:tcBorders>
                    <w:tl2br w:val="nil"/>
                    <w:tr2bl w:val="nil"/>
                  </w:tcBorders>
                  <w:noWrap w:val="0"/>
                  <w:vAlign w:val="center"/>
                </w:tcPr>
                <w:p w14:paraId="691BCB2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严禁在黄河干流及主要支流临岸一定范围内新建“两高一资”项目和产业园区。</w:t>
                  </w:r>
                </w:p>
              </w:tc>
              <w:tc>
                <w:tcPr>
                  <w:tcW w:w="2291" w:type="dxa"/>
                  <w:tcBorders>
                    <w:tl2br w:val="nil"/>
                    <w:tr2bl w:val="nil"/>
                  </w:tcBorders>
                  <w:noWrap w:val="0"/>
                  <w:vAlign w:val="center"/>
                </w:tcPr>
                <w:p w14:paraId="1749507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left"/>
                    <w:textAlignment w:val="auto"/>
                    <w:rPr>
                      <w:rFonts w:hint="default" w:ascii="Times New Roman" w:hAnsi="Times New Roman" w:cs="Times New Roman"/>
                      <w:color w:val="000000" w:themeColor="text1"/>
                      <w:kern w:val="2"/>
                      <w:sz w:val="21"/>
                      <w:szCs w:val="21"/>
                      <w14:textFill>
                        <w14:solidFill>
                          <w14:schemeClr w14:val="tx1"/>
                        </w14:solidFill>
                      </w14:textFill>
                    </w:rPr>
                  </w:pPr>
                  <w:bookmarkStart w:id="2" w:name="OLE_LINK2"/>
                  <w:r>
                    <w:rPr>
                      <w:rFonts w:hint="default" w:ascii="Times New Roman" w:hAnsi="Times New Roman" w:cs="Times New Roman"/>
                      <w:color w:val="000000" w:themeColor="text1"/>
                      <w:kern w:val="2"/>
                      <w:sz w:val="21"/>
                      <w:szCs w:val="21"/>
                      <w14:textFill>
                        <w14:solidFill>
                          <w14:schemeClr w14:val="tx1"/>
                        </w14:solidFill>
                      </w14:textFill>
                    </w:rPr>
                    <w:t>本项目为</w:t>
                  </w:r>
                  <w:bookmarkEnd w:id="2"/>
                  <w:r>
                    <w:rPr>
                      <w:rFonts w:hint="default" w:ascii="Times New Roman" w:hAnsi="Times New Roman" w:cs="Times New Roman"/>
                      <w:color w:val="000000" w:themeColor="text1"/>
                      <w:kern w:val="2"/>
                      <w:sz w:val="21"/>
                      <w:szCs w:val="21"/>
                      <w:lang w:val="en-US" w:eastAsia="zh-CN"/>
                      <w14:textFill>
                        <w14:solidFill>
                          <w14:schemeClr w14:val="tx1"/>
                        </w14:solidFill>
                      </w14:textFill>
                    </w:rPr>
                    <w:t>河道治理项目</w:t>
                  </w:r>
                  <w:r>
                    <w:rPr>
                      <w:rFonts w:hint="default" w:ascii="Times New Roman" w:hAnsi="Times New Roman" w:cs="Times New Roman"/>
                      <w:color w:val="000000" w:themeColor="text1"/>
                      <w:kern w:val="2"/>
                      <w:sz w:val="21"/>
                      <w:szCs w:val="21"/>
                      <w14:textFill>
                        <w14:solidFill>
                          <w14:schemeClr w14:val="tx1"/>
                        </w14:solidFill>
                      </w14:textFill>
                    </w:rPr>
                    <w:t>，不属于“两高一资”项目</w:t>
                  </w:r>
                  <w:r>
                    <w:rPr>
                      <w:rFonts w:hint="default" w:ascii="Times New Roman" w:hAnsi="Times New Roman" w:cs="Times New Roman"/>
                      <w:color w:val="000000" w:themeColor="text1"/>
                      <w:kern w:val="2"/>
                      <w:sz w:val="21"/>
                      <w:szCs w:val="21"/>
                      <w:lang w:eastAsia="zh-CN"/>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14:textFill>
                        <w14:solidFill>
                          <w14:schemeClr w14:val="tx1"/>
                        </w14:solidFill>
                      </w14:textFill>
                    </w:rPr>
                    <w:t>不在黄河临岸范围内</w:t>
                  </w:r>
                  <w:r>
                    <w:rPr>
                      <w:rFonts w:hint="default" w:ascii="Times New Roman" w:hAnsi="Times New Roman" w:cs="Times New Roman"/>
                      <w:color w:val="000000" w:themeColor="text1"/>
                      <w:kern w:val="2"/>
                      <w:sz w:val="21"/>
                      <w:szCs w:val="21"/>
                      <w14:textFill>
                        <w14:solidFill>
                          <w14:schemeClr w14:val="tx1"/>
                        </w14:solidFill>
                      </w14:textFill>
                    </w:rPr>
                    <w:t>。</w:t>
                  </w:r>
                </w:p>
              </w:tc>
              <w:tc>
                <w:tcPr>
                  <w:tcW w:w="837" w:type="dxa"/>
                  <w:tcBorders>
                    <w:tl2br w:val="nil"/>
                    <w:tr2bl w:val="nil"/>
                  </w:tcBorders>
                  <w:noWrap w:val="0"/>
                  <w:vAlign w:val="center"/>
                </w:tcPr>
                <w:p w14:paraId="0F491CF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符合</w:t>
                  </w:r>
                </w:p>
              </w:tc>
            </w:tr>
            <w:tr w14:paraId="7150C3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6A8E667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2F83868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p>
              </w:tc>
              <w:tc>
                <w:tcPr>
                  <w:tcW w:w="3817" w:type="dxa"/>
                  <w:tcBorders>
                    <w:tl2br w:val="nil"/>
                    <w:tr2bl w:val="nil"/>
                  </w:tcBorders>
                  <w:noWrap w:val="0"/>
                  <w:vAlign w:val="center"/>
                </w:tcPr>
                <w:p w14:paraId="48FA7BE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黄河沿线两岸3公里范围内不再新建养殖场。</w:t>
                  </w:r>
                </w:p>
              </w:tc>
              <w:tc>
                <w:tcPr>
                  <w:tcW w:w="2291" w:type="dxa"/>
                  <w:tcBorders>
                    <w:tl2br w:val="nil"/>
                    <w:tr2bl w:val="nil"/>
                  </w:tcBorders>
                  <w:noWrap w:val="0"/>
                  <w:vAlign w:val="center"/>
                </w:tcPr>
                <w:p w14:paraId="06BE907B">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left"/>
                    <w:textAlignment w:val="auto"/>
                    <w:rPr>
                      <w:rFonts w:hint="default" w:ascii="Times New Roman" w:hAnsi="Times New Roman" w:eastAsia="宋体" w:cs="Times New Roman"/>
                      <w:color w:val="000000" w:themeColor="text1"/>
                      <w:spacing w:val="-2"/>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本项目为</w:t>
                  </w:r>
                  <w:r>
                    <w:rPr>
                      <w:rFonts w:hint="default" w:ascii="Times New Roman" w:hAnsi="Times New Roman" w:cs="Times New Roman"/>
                      <w:color w:val="000000" w:themeColor="text1"/>
                      <w:kern w:val="2"/>
                      <w:sz w:val="21"/>
                      <w:szCs w:val="21"/>
                      <w:lang w:val="en-US" w:eastAsia="zh-CN"/>
                      <w14:textFill>
                        <w14:solidFill>
                          <w14:schemeClr w14:val="tx1"/>
                        </w14:solidFill>
                      </w14:textFill>
                    </w:rPr>
                    <w:t>河道治理项目</w:t>
                  </w:r>
                  <w:r>
                    <w:rPr>
                      <w:rFonts w:hint="default" w:ascii="Times New Roman" w:hAnsi="Times New Roman" w:cs="Times New Roman"/>
                      <w:color w:val="000000" w:themeColor="text1"/>
                      <w:kern w:val="2"/>
                      <w:sz w:val="21"/>
                      <w:szCs w:val="21"/>
                      <w:lang w:eastAsia="zh-CN"/>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14:textFill>
                        <w14:solidFill>
                          <w14:schemeClr w14:val="tx1"/>
                        </w14:solidFill>
                      </w14:textFill>
                    </w:rPr>
                    <w:t>不属于养殖场项目。</w:t>
                  </w:r>
                </w:p>
              </w:tc>
              <w:tc>
                <w:tcPr>
                  <w:tcW w:w="837" w:type="dxa"/>
                  <w:tcBorders>
                    <w:tl2br w:val="nil"/>
                    <w:tr2bl w:val="nil"/>
                  </w:tcBorders>
                  <w:noWrap w:val="0"/>
                  <w:vAlign w:val="center"/>
                </w:tcPr>
                <w:p w14:paraId="0006922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5CFE8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5C19DAE6">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5851E4B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p>
              </w:tc>
              <w:tc>
                <w:tcPr>
                  <w:tcW w:w="3817" w:type="dxa"/>
                  <w:tcBorders>
                    <w:tl2br w:val="nil"/>
                    <w:tr2bl w:val="nil"/>
                  </w:tcBorders>
                  <w:noWrap w:val="0"/>
                  <w:vAlign w:val="center"/>
                </w:tcPr>
                <w:p w14:paraId="3C6AEDFA">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所有工业企业原则上一律入园，工业园区（集聚区）以外不再新建、扩建工业项目。</w:t>
                  </w:r>
                </w:p>
              </w:tc>
              <w:tc>
                <w:tcPr>
                  <w:tcW w:w="2291" w:type="dxa"/>
                  <w:tcBorders>
                    <w:tl2br w:val="nil"/>
                    <w:tr2bl w:val="nil"/>
                  </w:tcBorders>
                  <w:noWrap w:val="0"/>
                  <w:vAlign w:val="center"/>
                </w:tcPr>
                <w:p w14:paraId="34AD13A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left"/>
                    <w:textAlignment w:val="auto"/>
                    <w:rPr>
                      <w:rFonts w:hint="default" w:ascii="Times New Roman" w:hAnsi="Times New Roman" w:cs="Times New Roman"/>
                      <w:color w:val="000000" w:themeColor="text1"/>
                      <w:spacing w:val="-2"/>
                      <w:kern w:val="2"/>
                      <w:sz w:val="21"/>
                      <w:szCs w:val="21"/>
                      <w:highlight w:val="none"/>
                      <w:lang w:bidi="ar"/>
                      <w14:textFill>
                        <w14:solidFill>
                          <w14:schemeClr w14:val="tx1"/>
                        </w14:solidFill>
                      </w14:textFill>
                    </w:rPr>
                  </w:pPr>
                  <w:r>
                    <w:rPr>
                      <w:rFonts w:hint="default" w:ascii="Times New Roman" w:hAnsi="Times New Roman" w:cs="Times New Roman"/>
                      <w:color w:val="000000" w:themeColor="text1"/>
                      <w:spacing w:val="-2"/>
                      <w:kern w:val="2"/>
                      <w:sz w:val="21"/>
                      <w:szCs w:val="21"/>
                      <w:highlight w:val="none"/>
                      <w:lang w:bidi="ar"/>
                      <w14:textFill>
                        <w14:solidFill>
                          <w14:schemeClr w14:val="tx1"/>
                        </w14:solidFill>
                      </w14:textFill>
                    </w:rPr>
                    <w:t>本项目</w:t>
                  </w:r>
                  <w:r>
                    <w:rPr>
                      <w:rFonts w:hint="default" w:ascii="Times New Roman" w:hAnsi="Times New Roman" w:cs="Times New Roman"/>
                      <w:color w:val="000000" w:themeColor="text1"/>
                      <w:spacing w:val="-2"/>
                      <w:kern w:val="2"/>
                      <w:sz w:val="21"/>
                      <w:szCs w:val="21"/>
                      <w:highlight w:val="none"/>
                      <w:lang w:val="en-US" w:eastAsia="zh-CN" w:bidi="ar"/>
                      <w14:textFill>
                        <w14:solidFill>
                          <w14:schemeClr w14:val="tx1"/>
                        </w14:solidFill>
                      </w14:textFill>
                    </w:rPr>
                    <w:t>为河道治理项目</w:t>
                  </w:r>
                  <w:r>
                    <w:rPr>
                      <w:rFonts w:hint="default" w:ascii="Times New Roman" w:hAnsi="Times New Roman" w:cs="Times New Roman"/>
                      <w:color w:val="000000" w:themeColor="text1"/>
                      <w:spacing w:val="-2"/>
                      <w:kern w:val="2"/>
                      <w:sz w:val="21"/>
                      <w:szCs w:val="21"/>
                      <w:highlight w:val="none"/>
                      <w:lang w:bidi="ar"/>
                      <w14:textFill>
                        <w14:solidFill>
                          <w14:schemeClr w14:val="tx1"/>
                        </w14:solidFill>
                      </w14:textFill>
                    </w:rPr>
                    <w:t>，</w:t>
                  </w:r>
                  <w:r>
                    <w:rPr>
                      <w:rFonts w:hint="default" w:ascii="Times New Roman" w:hAnsi="Times New Roman" w:cs="Times New Roman"/>
                      <w:color w:val="000000" w:themeColor="text1"/>
                      <w:spacing w:val="-2"/>
                      <w:kern w:val="2"/>
                      <w:sz w:val="21"/>
                      <w:szCs w:val="21"/>
                      <w:highlight w:val="none"/>
                      <w:lang w:val="en-US" w:eastAsia="zh-CN" w:bidi="ar"/>
                      <w14:textFill>
                        <w14:solidFill>
                          <w14:schemeClr w14:val="tx1"/>
                        </w14:solidFill>
                      </w14:textFill>
                    </w:rPr>
                    <w:t>不属于工业项目</w:t>
                  </w:r>
                  <w:r>
                    <w:rPr>
                      <w:rFonts w:hint="default" w:ascii="Times New Roman" w:hAnsi="Times New Roman" w:cs="Times New Roman"/>
                      <w:color w:val="000000" w:themeColor="text1"/>
                      <w:spacing w:val="-2"/>
                      <w:kern w:val="2"/>
                      <w:sz w:val="21"/>
                      <w:szCs w:val="21"/>
                      <w:highlight w:val="none"/>
                      <w:lang w:bidi="ar"/>
                      <w14:textFill>
                        <w14:solidFill>
                          <w14:schemeClr w14:val="tx1"/>
                        </w14:solidFill>
                      </w14:textFill>
                    </w:rPr>
                    <w:t>。</w:t>
                  </w:r>
                </w:p>
              </w:tc>
              <w:tc>
                <w:tcPr>
                  <w:tcW w:w="837" w:type="dxa"/>
                  <w:tcBorders>
                    <w:tl2br w:val="nil"/>
                    <w:tr2bl w:val="nil"/>
                  </w:tcBorders>
                  <w:noWrap w:val="0"/>
                  <w:vAlign w:val="center"/>
                </w:tcPr>
                <w:p w14:paraId="7C81D0D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highlight w:val="none"/>
                      <w:lang w:bidi="ar"/>
                      <w14:textFill>
                        <w14:solidFill>
                          <w14:schemeClr w14:val="tx1"/>
                        </w14:solidFill>
                      </w14:textFill>
                    </w:rPr>
                  </w:pPr>
                  <w:r>
                    <w:rPr>
                      <w:rFonts w:hint="default" w:ascii="Times New Roman" w:hAnsi="Times New Roman" w:cs="Times New Roman"/>
                      <w:color w:val="000000" w:themeColor="text1"/>
                      <w:spacing w:val="-2"/>
                      <w:kern w:val="2"/>
                      <w:sz w:val="21"/>
                      <w:szCs w:val="21"/>
                      <w:highlight w:val="none"/>
                      <w:lang w:bidi="ar"/>
                      <w14:textFill>
                        <w14:solidFill>
                          <w14:schemeClr w14:val="tx1"/>
                        </w14:solidFill>
                      </w14:textFill>
                    </w:rPr>
                    <w:t>符合</w:t>
                  </w:r>
                </w:p>
              </w:tc>
            </w:tr>
            <w:tr w14:paraId="29FF39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1BDB1B4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418EE3E6">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p>
              </w:tc>
              <w:tc>
                <w:tcPr>
                  <w:tcW w:w="3817" w:type="dxa"/>
                  <w:tcBorders>
                    <w:tl2br w:val="nil"/>
                    <w:tr2bl w:val="nil"/>
                  </w:tcBorders>
                  <w:noWrap w:val="0"/>
                  <w:vAlign w:val="center"/>
                </w:tcPr>
                <w:p w14:paraId="13C6C19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禁止露天焚烧产生有毒有害烟尘和恶臭气体的物质或将其用作燃料。</w:t>
                  </w:r>
                </w:p>
              </w:tc>
              <w:tc>
                <w:tcPr>
                  <w:tcW w:w="2291" w:type="dxa"/>
                  <w:tcBorders>
                    <w:tl2br w:val="nil"/>
                    <w:tr2bl w:val="nil"/>
                  </w:tcBorders>
                  <w:noWrap w:val="0"/>
                  <w:vAlign w:val="center"/>
                </w:tcPr>
                <w:p w14:paraId="26829FE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eastAsia="zh-CN"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本项目不</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涉及。</w:t>
                  </w:r>
                </w:p>
              </w:tc>
              <w:tc>
                <w:tcPr>
                  <w:tcW w:w="837" w:type="dxa"/>
                  <w:tcBorders>
                    <w:tl2br w:val="nil"/>
                    <w:tr2bl w:val="nil"/>
                  </w:tcBorders>
                  <w:noWrap w:val="0"/>
                  <w:vAlign w:val="center"/>
                </w:tcPr>
                <w:p w14:paraId="431D44EA">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722546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15ACFC2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796F6D2B">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p>
              </w:tc>
              <w:tc>
                <w:tcPr>
                  <w:tcW w:w="3817" w:type="dxa"/>
                  <w:tcBorders>
                    <w:tl2br w:val="nil"/>
                    <w:tr2bl w:val="nil"/>
                  </w:tcBorders>
                  <w:noWrap w:val="0"/>
                  <w:vAlign w:val="center"/>
                </w:tcPr>
                <w:p w14:paraId="306C5A3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除已列入计划内项目，“十四五”期间不再新增燃煤自备电厂（区域背压式供热机组除外）。</w:t>
                  </w:r>
                </w:p>
              </w:tc>
              <w:tc>
                <w:tcPr>
                  <w:tcW w:w="2291" w:type="dxa"/>
                  <w:tcBorders>
                    <w:tl2br w:val="nil"/>
                    <w:tr2bl w:val="nil"/>
                  </w:tcBorders>
                  <w:noWrap w:val="0"/>
                  <w:vAlign w:val="center"/>
                </w:tcPr>
                <w:p w14:paraId="5821C59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本项目不涉及。</w:t>
                  </w:r>
                </w:p>
              </w:tc>
              <w:tc>
                <w:tcPr>
                  <w:tcW w:w="837" w:type="dxa"/>
                  <w:tcBorders>
                    <w:tl2br w:val="nil"/>
                    <w:tr2bl w:val="nil"/>
                  </w:tcBorders>
                  <w:noWrap w:val="0"/>
                  <w:vAlign w:val="center"/>
                </w:tcPr>
                <w:p w14:paraId="41B83D3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42A82E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3CEDA60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30CCE9C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p>
              </w:tc>
              <w:tc>
                <w:tcPr>
                  <w:tcW w:w="3817" w:type="dxa"/>
                  <w:tcBorders>
                    <w:tl2br w:val="nil"/>
                    <w:tr2bl w:val="nil"/>
                  </w:tcBorders>
                  <w:noWrap w:val="0"/>
                  <w:vAlign w:val="center"/>
                </w:tcPr>
                <w:p w14:paraId="691C8A0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严禁在优先保护类耕地集中区域新建污染土壤的行业企业。</w:t>
                  </w:r>
                </w:p>
              </w:tc>
              <w:tc>
                <w:tcPr>
                  <w:tcW w:w="2291" w:type="dxa"/>
                  <w:tcBorders>
                    <w:tl2br w:val="nil"/>
                    <w:tr2bl w:val="nil"/>
                  </w:tcBorders>
                  <w:noWrap w:val="0"/>
                  <w:vAlign w:val="center"/>
                </w:tcPr>
                <w:p w14:paraId="42F7EA0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本项目</w:t>
                  </w:r>
                  <w:r>
                    <w:rPr>
                      <w:rFonts w:hint="default" w:ascii="Times New Roman" w:hAnsi="Times New Roman" w:cs="Times New Roman"/>
                      <w:color w:val="000000" w:themeColor="text1"/>
                      <w:spacing w:val="-2"/>
                      <w:kern w:val="2"/>
                      <w:sz w:val="21"/>
                      <w:szCs w:val="21"/>
                      <w:lang w:eastAsia="zh-CN" w:bidi="ar"/>
                      <w14:textFill>
                        <w14:solidFill>
                          <w14:schemeClr w14:val="tx1"/>
                        </w14:solidFill>
                      </w14:textFill>
                    </w:rPr>
                    <w:t>为</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河道治理项目，占地类型为</w:t>
                  </w:r>
                  <w:r>
                    <w:rPr>
                      <w:rFonts w:hint="eastAsia" w:ascii="Times New Roman" w:hAnsi="Times New Roman" w:cs="Times New Roman"/>
                      <w:color w:val="000000" w:themeColor="text1"/>
                      <w:spacing w:val="-2"/>
                      <w:kern w:val="2"/>
                      <w:sz w:val="21"/>
                      <w:szCs w:val="21"/>
                      <w:lang w:val="en-US" w:eastAsia="zh-CN" w:bidi="ar"/>
                      <w14:textFill>
                        <w14:solidFill>
                          <w14:schemeClr w14:val="tx1"/>
                        </w14:solidFill>
                      </w14:textFill>
                    </w:rPr>
                    <w:t>未利用地</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w:t>
                  </w:r>
                  <w:r>
                    <w:rPr>
                      <w:rFonts w:hint="default" w:ascii="Times New Roman" w:hAnsi="Times New Roman" w:cs="Times New Roman"/>
                      <w:color w:val="000000" w:themeColor="text1"/>
                      <w:spacing w:val="-2"/>
                      <w:kern w:val="2"/>
                      <w:sz w:val="21"/>
                      <w:szCs w:val="21"/>
                      <w:lang w:eastAsia="zh-CN" w:bidi="ar"/>
                      <w14:textFill>
                        <w14:solidFill>
                          <w14:schemeClr w14:val="tx1"/>
                        </w14:solidFill>
                      </w14:textFill>
                    </w:rPr>
                    <w:t>主要</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对现有沟道进行</w:t>
                  </w:r>
                  <w:r>
                    <w:rPr>
                      <w:rFonts w:hint="eastAsia" w:ascii="Times New Roman" w:hAnsi="Times New Roman" w:cs="Times New Roman"/>
                      <w:color w:val="000000" w:themeColor="text1"/>
                      <w:spacing w:val="-2"/>
                      <w:kern w:val="2"/>
                      <w:sz w:val="21"/>
                      <w:szCs w:val="21"/>
                      <w:lang w:val="en-US" w:eastAsia="zh-CN" w:bidi="ar"/>
                      <w14:textFill>
                        <w14:solidFill>
                          <w14:schemeClr w14:val="tx1"/>
                        </w14:solidFill>
                      </w14:textFill>
                    </w:rPr>
                    <w:t>边坡砌护及沟道清淤</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w:t>
                  </w:r>
                  <w:r>
                    <w:rPr>
                      <w:rFonts w:hint="eastAsia"/>
                      <w:color w:val="000000" w:themeColor="text1"/>
                      <w:lang w:val="en-US" w:eastAsia="zh-CN"/>
                      <w14:textFill>
                        <w14:solidFill>
                          <w14:schemeClr w14:val="tx1"/>
                        </w14:solidFill>
                      </w14:textFill>
                    </w:rPr>
                    <w:t>项目不占用耕地，</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运营期不会对周边土壤产生影响</w:t>
                  </w:r>
                  <w:r>
                    <w:rPr>
                      <w:rFonts w:hint="default" w:ascii="Times New Roman" w:hAnsi="Times New Roman" w:cs="Times New Roman"/>
                      <w:color w:val="000000" w:themeColor="text1"/>
                      <w:spacing w:val="-2"/>
                      <w:kern w:val="2"/>
                      <w:sz w:val="21"/>
                      <w:szCs w:val="21"/>
                      <w:lang w:bidi="ar"/>
                      <w14:textFill>
                        <w14:solidFill>
                          <w14:schemeClr w14:val="tx1"/>
                        </w14:solidFill>
                      </w14:textFill>
                    </w:rPr>
                    <w:t>。</w:t>
                  </w:r>
                </w:p>
              </w:tc>
              <w:tc>
                <w:tcPr>
                  <w:tcW w:w="837" w:type="dxa"/>
                  <w:tcBorders>
                    <w:tl2br w:val="nil"/>
                    <w:tr2bl w:val="nil"/>
                  </w:tcBorders>
                  <w:noWrap w:val="0"/>
                  <w:vAlign w:val="center"/>
                </w:tcPr>
                <w:p w14:paraId="77E71AB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2720C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5AD4AA68">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7" w:type="dxa"/>
                  <w:tcBorders>
                    <w:tl2br w:val="nil"/>
                    <w:tr2bl w:val="nil"/>
                  </w:tcBorders>
                  <w:noWrap w:val="0"/>
                  <w:vAlign w:val="center"/>
                </w:tcPr>
                <w:p w14:paraId="461BDB8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A1.2</w:t>
                  </w:r>
                </w:p>
                <w:p w14:paraId="5413540A">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限制开发建设活动的要求</w:t>
                  </w:r>
                </w:p>
              </w:tc>
              <w:tc>
                <w:tcPr>
                  <w:tcW w:w="3817" w:type="dxa"/>
                  <w:tcBorders>
                    <w:tl2br w:val="nil"/>
                    <w:tr2bl w:val="nil"/>
                  </w:tcBorders>
                  <w:noWrap w:val="0"/>
                  <w:vAlign w:val="center"/>
                </w:tcPr>
                <w:p w14:paraId="6FDD695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2"/>
                      <w:kern w:val="2"/>
                      <w:sz w:val="21"/>
                      <w:szCs w:val="21"/>
                      <w:lang w:eastAsia="zh-CN"/>
                      <w14:textFill>
                        <w14:solidFill>
                          <w14:schemeClr w14:val="tx1"/>
                        </w14:solidFill>
                      </w14:textFill>
                    </w:rPr>
                  </w:pPr>
                  <w:r>
                    <w:rPr>
                      <w:rFonts w:hint="default" w:ascii="Times New Roman" w:hAnsi="Times New Roman" w:cs="Times New Roman"/>
                      <w:color w:val="000000" w:themeColor="text1"/>
                      <w:spacing w:val="-2"/>
                      <w:kern w:val="2"/>
                      <w:sz w:val="21"/>
                      <w:szCs w:val="21"/>
                      <w14:textFill>
                        <w14:solidFill>
                          <w14:schemeClr w14:val="tx1"/>
                        </w14:solidFill>
                      </w14:textFill>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r>
                    <w:rPr>
                      <w:rFonts w:hint="default" w:ascii="Times New Roman" w:hAnsi="Times New Roman" w:cs="Times New Roman"/>
                      <w:color w:val="000000" w:themeColor="text1"/>
                      <w:spacing w:val="-2"/>
                      <w:kern w:val="2"/>
                      <w:sz w:val="21"/>
                      <w:szCs w:val="21"/>
                      <w:lang w:eastAsia="zh-CN"/>
                      <w14:textFill>
                        <w14:solidFill>
                          <w14:schemeClr w14:val="tx1"/>
                        </w14:solidFill>
                      </w14:textFill>
                    </w:rPr>
                    <w:t>。</w:t>
                  </w:r>
                </w:p>
              </w:tc>
              <w:tc>
                <w:tcPr>
                  <w:tcW w:w="2291" w:type="dxa"/>
                  <w:tcBorders>
                    <w:tl2br w:val="nil"/>
                    <w:tr2bl w:val="nil"/>
                  </w:tcBorders>
                  <w:noWrap w:val="0"/>
                  <w:vAlign w:val="center"/>
                </w:tcPr>
                <w:p w14:paraId="49DB9EA6">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both"/>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本项目为</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河道治理项目</w:t>
                  </w: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，符合产业政策</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及</w:t>
                  </w:r>
                  <w:r>
                    <w:rPr>
                      <w:rFonts w:hint="default" w:ascii="Times New Roman" w:hAnsi="Times New Roman" w:cs="Times New Roman"/>
                      <w:color w:val="000000" w:themeColor="text1"/>
                      <w:spacing w:val="-2"/>
                      <w:kern w:val="2"/>
                      <w:sz w:val="21"/>
                      <w:szCs w:val="21"/>
                      <w:lang w:bidi="ar"/>
                      <w14:textFill>
                        <w14:solidFill>
                          <w14:schemeClr w14:val="tx1"/>
                        </w14:solidFill>
                      </w14:textFill>
                    </w:rPr>
                    <w:t>“三线一单”</w:t>
                  </w: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相关要求</w:t>
                  </w:r>
                  <w:r>
                    <w:rPr>
                      <w:rFonts w:hint="default" w:ascii="Times New Roman" w:hAnsi="Times New Roman" w:cs="Times New Roman"/>
                      <w:color w:val="000000" w:themeColor="text1"/>
                      <w:spacing w:val="-2"/>
                      <w:kern w:val="2"/>
                      <w:sz w:val="21"/>
                      <w:szCs w:val="21"/>
                      <w:lang w:bidi="ar"/>
                      <w14:textFill>
                        <w14:solidFill>
                          <w14:schemeClr w14:val="tx1"/>
                        </w14:solidFill>
                      </w14:textFill>
                    </w:rPr>
                    <w:t>，不属于“两高”项目。</w:t>
                  </w:r>
                </w:p>
              </w:tc>
              <w:tc>
                <w:tcPr>
                  <w:tcW w:w="837" w:type="dxa"/>
                  <w:tcBorders>
                    <w:tl2br w:val="nil"/>
                    <w:tr2bl w:val="nil"/>
                  </w:tcBorders>
                  <w:noWrap w:val="0"/>
                  <w:vAlign w:val="center"/>
                </w:tcPr>
                <w:p w14:paraId="70A4D95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1"/>
                      <w:kern w:val="2"/>
                      <w:sz w:val="21"/>
                      <w:szCs w:val="21"/>
                      <w14:textFill>
                        <w14:solidFill>
                          <w14:schemeClr w14:val="tx1"/>
                        </w14:solidFill>
                      </w14:textFill>
                    </w:rPr>
                  </w:pPr>
                  <w:r>
                    <w:rPr>
                      <w:rFonts w:hint="default" w:ascii="Times New Roman" w:hAnsi="Times New Roman" w:cs="Times New Roman"/>
                      <w:color w:val="000000" w:themeColor="text1"/>
                      <w:spacing w:val="11"/>
                      <w:kern w:val="2"/>
                      <w:sz w:val="21"/>
                      <w:szCs w:val="21"/>
                      <w14:textFill>
                        <w14:solidFill>
                          <w14:schemeClr w14:val="tx1"/>
                        </w14:solidFill>
                      </w14:textFill>
                    </w:rPr>
                    <w:t>符合</w:t>
                  </w:r>
                </w:p>
              </w:tc>
            </w:tr>
            <w:tr w14:paraId="28FF26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3FC79942">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7" w:type="dxa"/>
                  <w:vMerge w:val="restart"/>
                  <w:tcBorders>
                    <w:tl2br w:val="nil"/>
                    <w:tr2bl w:val="nil"/>
                  </w:tcBorders>
                  <w:noWrap w:val="0"/>
                  <w:vAlign w:val="center"/>
                </w:tcPr>
                <w:p w14:paraId="6CADC37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A1.3</w:t>
                  </w:r>
                </w:p>
                <w:p w14:paraId="4E5C626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不符合空间布局要求的活动的退出要求</w:t>
                  </w:r>
                </w:p>
              </w:tc>
              <w:tc>
                <w:tcPr>
                  <w:tcW w:w="3817" w:type="dxa"/>
                  <w:tcBorders>
                    <w:tl2br w:val="nil"/>
                    <w:tr2bl w:val="nil"/>
                  </w:tcBorders>
                  <w:noWrap w:val="0"/>
                  <w:vAlign w:val="center"/>
                </w:tcPr>
                <w:p w14:paraId="406CF3A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14:textFill>
                        <w14:solidFill>
                          <w14:schemeClr w14:val="tx1"/>
                        </w14:solidFill>
                      </w14:textFill>
                    </w:rPr>
                    <w:t>对列入建设用地土壤污染风险管控和修复名录需要实施修复的地块，土壤污染责任人应当按照规定编制修复方案，报所在地生态环境主管部门备案并实施。</w:t>
                  </w:r>
                </w:p>
              </w:tc>
              <w:tc>
                <w:tcPr>
                  <w:tcW w:w="2291" w:type="dxa"/>
                  <w:tcBorders>
                    <w:tl2br w:val="nil"/>
                    <w:tr2bl w:val="nil"/>
                  </w:tcBorders>
                  <w:noWrap w:val="0"/>
                  <w:vAlign w:val="center"/>
                </w:tcPr>
                <w:p w14:paraId="71201F6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1"/>
                      <w:kern w:val="2"/>
                      <w:sz w:val="21"/>
                      <w:szCs w:val="21"/>
                      <w14:textFill>
                        <w14:solidFill>
                          <w14:schemeClr w14:val="tx1"/>
                        </w14:solidFill>
                      </w14:textFill>
                    </w:rPr>
                  </w:pPr>
                  <w:r>
                    <w:rPr>
                      <w:rFonts w:hint="default" w:ascii="Times New Roman" w:hAnsi="Times New Roman" w:cs="Times New Roman"/>
                      <w:color w:val="000000" w:themeColor="text1"/>
                      <w:spacing w:val="11"/>
                      <w:kern w:val="2"/>
                      <w:sz w:val="21"/>
                      <w:szCs w:val="21"/>
                      <w14:textFill>
                        <w14:solidFill>
                          <w14:schemeClr w14:val="tx1"/>
                        </w14:solidFill>
                      </w14:textFill>
                    </w:rPr>
                    <w:t>本项目不涉及。</w:t>
                  </w:r>
                </w:p>
              </w:tc>
              <w:tc>
                <w:tcPr>
                  <w:tcW w:w="837" w:type="dxa"/>
                  <w:tcBorders>
                    <w:tl2br w:val="nil"/>
                    <w:tr2bl w:val="nil"/>
                  </w:tcBorders>
                  <w:noWrap w:val="0"/>
                  <w:vAlign w:val="center"/>
                </w:tcPr>
                <w:p w14:paraId="2BFD39F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spacing w:val="11"/>
                      <w:kern w:val="2"/>
                      <w:sz w:val="21"/>
                      <w:szCs w:val="21"/>
                      <w:lang w:bidi="ar"/>
                      <w14:textFill>
                        <w14:solidFill>
                          <w14:schemeClr w14:val="tx1"/>
                        </w14:solidFill>
                      </w14:textFill>
                    </w:rPr>
                    <w:t>符合</w:t>
                  </w:r>
                </w:p>
              </w:tc>
            </w:tr>
            <w:tr w14:paraId="7BFF45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78CD16AB">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7" w:type="dxa"/>
                  <w:vMerge w:val="continue"/>
                  <w:tcBorders>
                    <w:tl2br w:val="nil"/>
                    <w:tr2bl w:val="nil"/>
                  </w:tcBorders>
                  <w:noWrap w:val="0"/>
                  <w:vAlign w:val="center"/>
                </w:tcPr>
                <w:p w14:paraId="2531BAC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p>
              </w:tc>
              <w:tc>
                <w:tcPr>
                  <w:tcW w:w="3817" w:type="dxa"/>
                  <w:tcBorders>
                    <w:tl2br w:val="nil"/>
                    <w:tr2bl w:val="nil"/>
                  </w:tcBorders>
                  <w:noWrap w:val="0"/>
                  <w:vAlign w:val="center"/>
                </w:tcPr>
                <w:p w14:paraId="2EFDC6F4">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14:textFill>
                        <w14:solidFill>
                          <w14:schemeClr w14:val="tx1"/>
                        </w14:solidFill>
                      </w14:textFill>
                    </w:rPr>
                    <w:t>严格管控自然保护地范围内非生态活动，稳妥推进核心区内居民、耕地、矿权有序退出。</w:t>
                  </w:r>
                </w:p>
              </w:tc>
              <w:tc>
                <w:tcPr>
                  <w:tcW w:w="2291" w:type="dxa"/>
                  <w:tcBorders>
                    <w:tl2br w:val="nil"/>
                    <w:tr2bl w:val="nil"/>
                  </w:tcBorders>
                  <w:noWrap w:val="0"/>
                  <w:vAlign w:val="center"/>
                </w:tcPr>
                <w:p w14:paraId="4E11FCEA">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1"/>
                      <w:kern w:val="2"/>
                      <w:sz w:val="21"/>
                      <w:szCs w:val="21"/>
                      <w14:textFill>
                        <w14:solidFill>
                          <w14:schemeClr w14:val="tx1"/>
                        </w14:solidFill>
                      </w14:textFill>
                    </w:rPr>
                  </w:pPr>
                  <w:r>
                    <w:rPr>
                      <w:rFonts w:hint="default" w:ascii="Times New Roman" w:hAnsi="Times New Roman" w:cs="Times New Roman"/>
                      <w:color w:val="000000" w:themeColor="text1"/>
                      <w:spacing w:val="11"/>
                      <w:kern w:val="2"/>
                      <w:sz w:val="21"/>
                      <w:szCs w:val="21"/>
                      <w14:textFill>
                        <w14:solidFill>
                          <w14:schemeClr w14:val="tx1"/>
                        </w14:solidFill>
                      </w14:textFill>
                    </w:rPr>
                    <w:t>本项目不位于自然保护区。</w:t>
                  </w:r>
                </w:p>
              </w:tc>
              <w:tc>
                <w:tcPr>
                  <w:tcW w:w="837" w:type="dxa"/>
                  <w:tcBorders>
                    <w:tl2br w:val="nil"/>
                    <w:tr2bl w:val="nil"/>
                  </w:tcBorders>
                  <w:noWrap w:val="0"/>
                  <w:vAlign w:val="center"/>
                </w:tcPr>
                <w:p w14:paraId="2495F9D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1"/>
                      <w:kern w:val="2"/>
                      <w:sz w:val="21"/>
                      <w:szCs w:val="21"/>
                      <w:lang w:bidi="ar"/>
                      <w14:textFill>
                        <w14:solidFill>
                          <w14:schemeClr w14:val="tx1"/>
                        </w14:solidFill>
                      </w14:textFill>
                    </w:rPr>
                  </w:pPr>
                  <w:r>
                    <w:rPr>
                      <w:rFonts w:hint="default" w:ascii="Times New Roman" w:hAnsi="Times New Roman" w:cs="Times New Roman"/>
                      <w:color w:val="000000" w:themeColor="text1"/>
                      <w:spacing w:val="11"/>
                      <w:kern w:val="2"/>
                      <w:sz w:val="21"/>
                      <w:szCs w:val="21"/>
                      <w:lang w:bidi="ar"/>
                      <w14:textFill>
                        <w14:solidFill>
                          <w14:schemeClr w14:val="tx1"/>
                        </w14:solidFill>
                      </w14:textFill>
                    </w:rPr>
                    <w:t>符合</w:t>
                  </w:r>
                </w:p>
              </w:tc>
            </w:tr>
            <w:tr w14:paraId="5EF280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4A8E27EE">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7" w:type="dxa"/>
                  <w:vMerge w:val="continue"/>
                  <w:tcBorders>
                    <w:tl2br w:val="nil"/>
                    <w:tr2bl w:val="nil"/>
                  </w:tcBorders>
                  <w:noWrap w:val="0"/>
                  <w:vAlign w:val="center"/>
                </w:tcPr>
                <w:p w14:paraId="428C75C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p>
              </w:tc>
              <w:tc>
                <w:tcPr>
                  <w:tcW w:w="3817" w:type="dxa"/>
                  <w:tcBorders>
                    <w:tl2br w:val="nil"/>
                    <w:tr2bl w:val="nil"/>
                  </w:tcBorders>
                  <w:noWrap w:val="0"/>
                  <w:vAlign w:val="center"/>
                </w:tcPr>
                <w:p w14:paraId="7AA22D0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14:textFill>
                        <w14:solidFill>
                          <w14:schemeClr w14:val="tx1"/>
                        </w14:solidFill>
                      </w14:textFill>
                    </w:rPr>
                    <w:t>对所有现状不达标的养殖场，明确治理时限和治理措施，在规定时间内不能完成污染治理的养殖场，要按照有关规定实施严肃处罚。</w:t>
                  </w:r>
                </w:p>
              </w:tc>
              <w:tc>
                <w:tcPr>
                  <w:tcW w:w="2291" w:type="dxa"/>
                  <w:tcBorders>
                    <w:tl2br w:val="nil"/>
                    <w:tr2bl w:val="nil"/>
                  </w:tcBorders>
                  <w:noWrap w:val="0"/>
                  <w:vAlign w:val="center"/>
                </w:tcPr>
                <w:p w14:paraId="3FD17E5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1"/>
                      <w:kern w:val="2"/>
                      <w:sz w:val="21"/>
                      <w:szCs w:val="21"/>
                      <w14:textFill>
                        <w14:solidFill>
                          <w14:schemeClr w14:val="tx1"/>
                        </w14:solidFill>
                      </w14:textFill>
                    </w:rPr>
                  </w:pPr>
                  <w:r>
                    <w:rPr>
                      <w:rFonts w:hint="default" w:ascii="Times New Roman" w:hAnsi="Times New Roman" w:cs="Times New Roman"/>
                      <w:color w:val="000000" w:themeColor="text1"/>
                      <w:spacing w:val="11"/>
                      <w:kern w:val="2"/>
                      <w:sz w:val="21"/>
                      <w:szCs w:val="21"/>
                      <w14:textFill>
                        <w14:solidFill>
                          <w14:schemeClr w14:val="tx1"/>
                        </w14:solidFill>
                      </w14:textFill>
                    </w:rPr>
                    <w:t>本项目不涉及。</w:t>
                  </w:r>
                </w:p>
              </w:tc>
              <w:tc>
                <w:tcPr>
                  <w:tcW w:w="837" w:type="dxa"/>
                  <w:tcBorders>
                    <w:tl2br w:val="nil"/>
                    <w:tr2bl w:val="nil"/>
                  </w:tcBorders>
                  <w:noWrap w:val="0"/>
                  <w:vAlign w:val="center"/>
                </w:tcPr>
                <w:p w14:paraId="25E1E1FB">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1"/>
                      <w:kern w:val="2"/>
                      <w:sz w:val="21"/>
                      <w:szCs w:val="21"/>
                      <w:lang w:bidi="ar"/>
                      <w14:textFill>
                        <w14:solidFill>
                          <w14:schemeClr w14:val="tx1"/>
                        </w14:solidFill>
                      </w14:textFill>
                    </w:rPr>
                  </w:pPr>
                  <w:r>
                    <w:rPr>
                      <w:rFonts w:hint="default" w:ascii="Times New Roman" w:hAnsi="Times New Roman" w:cs="Times New Roman"/>
                      <w:color w:val="000000" w:themeColor="text1"/>
                      <w:spacing w:val="11"/>
                      <w:kern w:val="2"/>
                      <w:sz w:val="21"/>
                      <w:szCs w:val="21"/>
                      <w:lang w:bidi="ar"/>
                      <w14:textFill>
                        <w14:solidFill>
                          <w14:schemeClr w14:val="tx1"/>
                        </w14:solidFill>
                      </w14:textFill>
                    </w:rPr>
                    <w:t>符合</w:t>
                  </w:r>
                </w:p>
              </w:tc>
            </w:tr>
            <w:tr w14:paraId="00D8F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0BDB4D5C">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7" w:type="dxa"/>
                  <w:vMerge w:val="continue"/>
                  <w:tcBorders>
                    <w:tl2br w:val="nil"/>
                    <w:tr2bl w:val="nil"/>
                  </w:tcBorders>
                  <w:noWrap w:val="0"/>
                  <w:vAlign w:val="center"/>
                </w:tcPr>
                <w:p w14:paraId="6ECB6D9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p>
              </w:tc>
              <w:tc>
                <w:tcPr>
                  <w:tcW w:w="3817" w:type="dxa"/>
                  <w:tcBorders>
                    <w:tl2br w:val="nil"/>
                    <w:tr2bl w:val="nil"/>
                  </w:tcBorders>
                  <w:noWrap w:val="0"/>
                  <w:vAlign w:val="center"/>
                </w:tcPr>
                <w:p w14:paraId="27EC6BD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14:textFill>
                        <w14:solidFill>
                          <w14:schemeClr w14:val="tx1"/>
                        </w14:solidFill>
                      </w14:textFill>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2291" w:type="dxa"/>
                  <w:tcBorders>
                    <w:tl2br w:val="nil"/>
                    <w:tr2bl w:val="nil"/>
                  </w:tcBorders>
                  <w:noWrap w:val="0"/>
                  <w:vAlign w:val="center"/>
                </w:tcPr>
                <w:p w14:paraId="1D07D14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1"/>
                      <w:kern w:val="2"/>
                      <w:sz w:val="21"/>
                      <w:szCs w:val="21"/>
                      <w14:textFill>
                        <w14:solidFill>
                          <w14:schemeClr w14:val="tx1"/>
                        </w14:solidFill>
                      </w14:textFill>
                    </w:rPr>
                  </w:pPr>
                  <w:r>
                    <w:rPr>
                      <w:rFonts w:hint="default" w:ascii="Times New Roman" w:hAnsi="Times New Roman" w:cs="Times New Roman"/>
                      <w:color w:val="000000" w:themeColor="text1"/>
                      <w:spacing w:val="11"/>
                      <w:kern w:val="2"/>
                      <w:sz w:val="21"/>
                      <w:szCs w:val="21"/>
                      <w14:textFill>
                        <w14:solidFill>
                          <w14:schemeClr w14:val="tx1"/>
                        </w14:solidFill>
                      </w14:textFill>
                    </w:rPr>
                    <w:t>本项目不涉及。</w:t>
                  </w:r>
                </w:p>
              </w:tc>
              <w:tc>
                <w:tcPr>
                  <w:tcW w:w="837" w:type="dxa"/>
                  <w:tcBorders>
                    <w:tl2br w:val="nil"/>
                    <w:tr2bl w:val="nil"/>
                  </w:tcBorders>
                  <w:noWrap w:val="0"/>
                  <w:vAlign w:val="center"/>
                </w:tcPr>
                <w:p w14:paraId="37FF460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1"/>
                      <w:kern w:val="2"/>
                      <w:sz w:val="21"/>
                      <w:szCs w:val="21"/>
                      <w:lang w:bidi="ar"/>
                      <w14:textFill>
                        <w14:solidFill>
                          <w14:schemeClr w14:val="tx1"/>
                        </w14:solidFill>
                      </w14:textFill>
                    </w:rPr>
                  </w:pPr>
                  <w:r>
                    <w:rPr>
                      <w:rFonts w:hint="default" w:ascii="Times New Roman" w:hAnsi="Times New Roman" w:cs="Times New Roman"/>
                      <w:color w:val="000000" w:themeColor="text1"/>
                      <w:spacing w:val="11"/>
                      <w:kern w:val="2"/>
                      <w:sz w:val="21"/>
                      <w:szCs w:val="21"/>
                      <w:lang w:bidi="ar"/>
                      <w14:textFill>
                        <w14:solidFill>
                          <w14:schemeClr w14:val="tx1"/>
                        </w14:solidFill>
                      </w14:textFill>
                    </w:rPr>
                    <w:t>符合</w:t>
                  </w:r>
                </w:p>
              </w:tc>
            </w:tr>
            <w:tr w14:paraId="142C89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restart"/>
                  <w:tcBorders>
                    <w:tl2br w:val="nil"/>
                    <w:tr2bl w:val="nil"/>
                  </w:tcBorders>
                  <w:noWrap w:val="0"/>
                  <w:vAlign w:val="center"/>
                </w:tcPr>
                <w:p w14:paraId="59A4AEAB">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A2</w:t>
                  </w:r>
                </w:p>
                <w:p w14:paraId="277D0D2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污染</w:t>
                  </w:r>
                </w:p>
                <w:p w14:paraId="67128AF8">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物排</w:t>
                  </w:r>
                </w:p>
                <w:p w14:paraId="0C72A4E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放管</w:t>
                  </w:r>
                </w:p>
                <w:p w14:paraId="687A832B">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控</w:t>
                  </w:r>
                </w:p>
              </w:tc>
              <w:tc>
                <w:tcPr>
                  <w:tcW w:w="797" w:type="dxa"/>
                  <w:vMerge w:val="restart"/>
                  <w:tcBorders>
                    <w:tl2br w:val="nil"/>
                    <w:tr2bl w:val="nil"/>
                  </w:tcBorders>
                  <w:noWrap w:val="0"/>
                  <w:vAlign w:val="center"/>
                </w:tcPr>
                <w:p w14:paraId="74A5CE7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A2.1</w:t>
                  </w:r>
                </w:p>
                <w:p w14:paraId="21B7511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允许排放量要求</w:t>
                  </w:r>
                </w:p>
              </w:tc>
              <w:tc>
                <w:tcPr>
                  <w:tcW w:w="3817" w:type="dxa"/>
                  <w:tcBorders>
                    <w:tl2br w:val="nil"/>
                    <w:tr2bl w:val="nil"/>
                  </w:tcBorders>
                  <w:noWrap w:val="0"/>
                  <w:vAlign w:val="center"/>
                </w:tcPr>
                <w:p w14:paraId="5D8E1AB4">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14:textFill>
                        <w14:solidFill>
                          <w14:schemeClr w14:val="tx1"/>
                        </w14:solidFill>
                      </w14:textFill>
                    </w:rPr>
                    <w:t>化学需氧量、氨氮、氮氧化物和挥发性有机物排放总量完成自治区下达任务。</w:t>
                  </w:r>
                </w:p>
              </w:tc>
              <w:tc>
                <w:tcPr>
                  <w:tcW w:w="2291" w:type="dxa"/>
                  <w:tcBorders>
                    <w:tl2br w:val="nil"/>
                    <w:tr2bl w:val="nil"/>
                  </w:tcBorders>
                  <w:noWrap w:val="0"/>
                  <w:vAlign w:val="center"/>
                </w:tcPr>
                <w:p w14:paraId="1A15790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14:textFill>
                        <w14:solidFill>
                          <w14:schemeClr w14:val="tx1"/>
                        </w14:solidFill>
                      </w14:textFill>
                    </w:rPr>
                    <w:t>本项目运营期</w:t>
                  </w:r>
                  <w:r>
                    <w:rPr>
                      <w:rFonts w:hint="default" w:ascii="Times New Roman" w:hAnsi="Times New Roman" w:cs="Times New Roman"/>
                      <w:color w:val="000000" w:themeColor="text1"/>
                      <w:spacing w:val="-2"/>
                      <w:kern w:val="2"/>
                      <w:sz w:val="21"/>
                      <w:szCs w:val="21"/>
                      <w:lang w:val="en-US" w:eastAsia="zh-CN"/>
                      <w14:textFill>
                        <w14:solidFill>
                          <w14:schemeClr w14:val="tx1"/>
                        </w14:solidFill>
                      </w14:textFill>
                    </w:rPr>
                    <w:t>不产生废气，对周边大气环境影响较小</w:t>
                  </w:r>
                  <w:r>
                    <w:rPr>
                      <w:rFonts w:hint="default" w:ascii="Times New Roman" w:hAnsi="Times New Roman" w:cs="Times New Roman"/>
                      <w:color w:val="000000" w:themeColor="text1"/>
                      <w:spacing w:val="-2"/>
                      <w:kern w:val="2"/>
                      <w:sz w:val="21"/>
                      <w:szCs w:val="21"/>
                      <w14:textFill>
                        <w14:solidFill>
                          <w14:schemeClr w14:val="tx1"/>
                        </w14:solidFill>
                      </w14:textFill>
                    </w:rPr>
                    <w:t>。</w:t>
                  </w:r>
                </w:p>
              </w:tc>
              <w:tc>
                <w:tcPr>
                  <w:tcW w:w="837" w:type="dxa"/>
                  <w:tcBorders>
                    <w:tl2br w:val="nil"/>
                    <w:tr2bl w:val="nil"/>
                  </w:tcBorders>
                  <w:noWrap w:val="0"/>
                  <w:vAlign w:val="center"/>
                </w:tcPr>
                <w:p w14:paraId="297A5A4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7E32FA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556224C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3A23E82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3817" w:type="dxa"/>
                  <w:tcBorders>
                    <w:tl2br w:val="nil"/>
                    <w:tr2bl w:val="nil"/>
                  </w:tcBorders>
                  <w:noWrap w:val="0"/>
                  <w:vAlign w:val="center"/>
                </w:tcPr>
                <w:p w14:paraId="2C74FE54">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PM</w:t>
                  </w:r>
                  <w:r>
                    <w:rPr>
                      <w:rFonts w:hint="default" w:ascii="Times New Roman" w:hAnsi="Times New Roman" w:cs="Times New Roman"/>
                      <w:color w:val="000000" w:themeColor="text1"/>
                      <w:spacing w:val="-6"/>
                      <w:kern w:val="2"/>
                      <w:sz w:val="21"/>
                      <w:szCs w:val="21"/>
                      <w:vertAlign w:val="subscript"/>
                      <w:lang w:bidi="ar"/>
                      <w14:textFill>
                        <w14:solidFill>
                          <w14:schemeClr w14:val="tx1"/>
                        </w14:solidFill>
                      </w14:textFill>
                    </w:rPr>
                    <w:t>2.5</w:t>
                  </w:r>
                  <w:r>
                    <w:rPr>
                      <w:rFonts w:hint="default" w:ascii="Times New Roman" w:hAnsi="Times New Roman" w:cs="Times New Roman"/>
                      <w:color w:val="000000" w:themeColor="text1"/>
                      <w:spacing w:val="-6"/>
                      <w:kern w:val="2"/>
                      <w:sz w:val="21"/>
                      <w:szCs w:val="21"/>
                      <w:lang w:bidi="ar"/>
                      <w14:textFill>
                        <w14:solidFill>
                          <w14:schemeClr w14:val="tx1"/>
                        </w14:solidFill>
                      </w14:textFill>
                    </w:rPr>
                    <w:t>和O</w:t>
                  </w:r>
                  <w:r>
                    <w:rPr>
                      <w:rFonts w:hint="default" w:ascii="Times New Roman" w:hAnsi="Times New Roman" w:cs="Times New Roman"/>
                      <w:color w:val="000000" w:themeColor="text1"/>
                      <w:spacing w:val="-6"/>
                      <w:kern w:val="2"/>
                      <w:sz w:val="21"/>
                      <w:szCs w:val="21"/>
                      <w:vertAlign w:val="subscript"/>
                      <w:lang w:bidi="ar"/>
                      <w14:textFill>
                        <w14:solidFill>
                          <w14:schemeClr w14:val="tx1"/>
                        </w14:solidFill>
                      </w14:textFill>
                    </w:rPr>
                    <w:t>3</w:t>
                  </w:r>
                  <w:r>
                    <w:rPr>
                      <w:rFonts w:hint="default" w:ascii="Times New Roman" w:hAnsi="Times New Roman" w:cs="Times New Roman"/>
                      <w:color w:val="000000" w:themeColor="text1"/>
                      <w:spacing w:val="-6"/>
                      <w:kern w:val="2"/>
                      <w:sz w:val="21"/>
                      <w:szCs w:val="21"/>
                      <w:lang w:bidi="ar"/>
                      <w14:textFill>
                        <w14:solidFill>
                          <w14:schemeClr w14:val="tx1"/>
                        </w14:solidFill>
                      </w14:textFill>
                    </w:rPr>
                    <w:t>未达标城市，新、改、扩建项目实施更严格的污染物排放总量控制要求，所需二氧化硫、NOx、VOCs排放量指标要进行减量替代。</w:t>
                  </w:r>
                </w:p>
              </w:tc>
              <w:tc>
                <w:tcPr>
                  <w:tcW w:w="2291" w:type="dxa"/>
                  <w:tcBorders>
                    <w:tl2br w:val="nil"/>
                    <w:tr2bl w:val="nil"/>
                  </w:tcBorders>
                  <w:noWrap w:val="0"/>
                  <w:vAlign w:val="center"/>
                </w:tcPr>
                <w:p w14:paraId="7976F52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14:textFill>
                        <w14:solidFill>
                          <w14:schemeClr w14:val="tx1"/>
                        </w14:solidFill>
                      </w14:textFill>
                    </w:rPr>
                    <w:t>本项目运营期</w:t>
                  </w:r>
                  <w:r>
                    <w:rPr>
                      <w:rFonts w:hint="default" w:ascii="Times New Roman" w:hAnsi="Times New Roman" w:cs="Times New Roman"/>
                      <w:color w:val="000000" w:themeColor="text1"/>
                      <w:spacing w:val="-2"/>
                      <w:kern w:val="2"/>
                      <w:sz w:val="21"/>
                      <w:szCs w:val="21"/>
                      <w:lang w:val="en-US" w:eastAsia="zh-CN"/>
                      <w14:textFill>
                        <w14:solidFill>
                          <w14:schemeClr w14:val="tx1"/>
                        </w14:solidFill>
                      </w14:textFill>
                    </w:rPr>
                    <w:t>不产生废气，对周边大气环境影响较小</w:t>
                  </w:r>
                  <w:r>
                    <w:rPr>
                      <w:rFonts w:hint="default" w:ascii="Times New Roman" w:hAnsi="Times New Roman" w:cs="Times New Roman"/>
                      <w:color w:val="000000" w:themeColor="text1"/>
                      <w:spacing w:val="-2"/>
                      <w:kern w:val="2"/>
                      <w:sz w:val="21"/>
                      <w:szCs w:val="21"/>
                      <w14:textFill>
                        <w14:solidFill>
                          <w14:schemeClr w14:val="tx1"/>
                        </w14:solidFill>
                      </w14:textFill>
                    </w:rPr>
                    <w:t>。</w:t>
                  </w:r>
                </w:p>
              </w:tc>
              <w:tc>
                <w:tcPr>
                  <w:tcW w:w="837" w:type="dxa"/>
                  <w:tcBorders>
                    <w:tl2br w:val="nil"/>
                    <w:tr2bl w:val="nil"/>
                  </w:tcBorders>
                  <w:noWrap w:val="0"/>
                  <w:vAlign w:val="center"/>
                </w:tcPr>
                <w:p w14:paraId="1F312DF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66E1C6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2AF53C9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3DD140E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3817" w:type="dxa"/>
                  <w:tcBorders>
                    <w:tl2br w:val="nil"/>
                    <w:tr2bl w:val="nil"/>
                  </w:tcBorders>
                  <w:noWrap w:val="0"/>
                  <w:vAlign w:val="center"/>
                </w:tcPr>
                <w:p w14:paraId="207DA6B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1。</w:t>
                  </w:r>
                </w:p>
              </w:tc>
              <w:tc>
                <w:tcPr>
                  <w:tcW w:w="2291" w:type="dxa"/>
                  <w:tcBorders>
                    <w:tl2br w:val="nil"/>
                    <w:tr2bl w:val="nil"/>
                  </w:tcBorders>
                  <w:noWrap w:val="0"/>
                  <w:vAlign w:val="center"/>
                </w:tcPr>
                <w:p w14:paraId="18E340AA">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lang w:bidi="ar"/>
                      <w14:textFill>
                        <w14:solidFill>
                          <w14:schemeClr w14:val="tx1"/>
                        </w14:solidFill>
                      </w14:textFill>
                    </w:rPr>
                  </w:pPr>
                  <w:r>
                    <w:rPr>
                      <w:rFonts w:hint="default" w:ascii="Times New Roman" w:hAnsi="Times New Roman" w:cs="Times New Roman"/>
                      <w:color w:val="000000" w:themeColor="text1"/>
                      <w:kern w:val="2"/>
                      <w:sz w:val="21"/>
                      <w:szCs w:val="21"/>
                      <w:lang w:bidi="ar"/>
                      <w14:textFill>
                        <w14:solidFill>
                          <w14:schemeClr w14:val="tx1"/>
                        </w14:solidFill>
                      </w14:textFill>
                    </w:rPr>
                    <w:t>本项目不涉及。</w:t>
                  </w:r>
                </w:p>
              </w:tc>
              <w:tc>
                <w:tcPr>
                  <w:tcW w:w="837" w:type="dxa"/>
                  <w:tcBorders>
                    <w:tl2br w:val="nil"/>
                    <w:tr2bl w:val="nil"/>
                  </w:tcBorders>
                  <w:noWrap w:val="0"/>
                  <w:vAlign w:val="center"/>
                </w:tcPr>
                <w:p w14:paraId="06679FD6">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0BEBC8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1FAD4EF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309E3EF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3817" w:type="dxa"/>
                  <w:tcBorders>
                    <w:tl2br w:val="nil"/>
                    <w:tr2bl w:val="nil"/>
                  </w:tcBorders>
                  <w:noWrap w:val="0"/>
                  <w:vAlign w:val="center"/>
                </w:tcPr>
                <w:p w14:paraId="61D5743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到2025年，中卫市畜禽养殖废物综合利用率达到95%，规模养殖场粪污处理设施装备配套率达到100%。</w:t>
                  </w:r>
                </w:p>
              </w:tc>
              <w:tc>
                <w:tcPr>
                  <w:tcW w:w="2291" w:type="dxa"/>
                  <w:tcBorders>
                    <w:tl2br w:val="nil"/>
                    <w:tr2bl w:val="nil"/>
                  </w:tcBorders>
                  <w:noWrap w:val="0"/>
                  <w:vAlign w:val="center"/>
                </w:tcPr>
                <w:p w14:paraId="14AD9A3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lang w:bidi="ar"/>
                      <w14:textFill>
                        <w14:solidFill>
                          <w14:schemeClr w14:val="tx1"/>
                        </w14:solidFill>
                      </w14:textFill>
                    </w:rPr>
                  </w:pPr>
                  <w:r>
                    <w:rPr>
                      <w:rFonts w:hint="default" w:ascii="Times New Roman" w:hAnsi="Times New Roman" w:cs="Times New Roman"/>
                      <w:color w:val="000000" w:themeColor="text1"/>
                      <w:kern w:val="2"/>
                      <w:sz w:val="21"/>
                      <w:szCs w:val="21"/>
                      <w:lang w:bidi="ar"/>
                      <w14:textFill>
                        <w14:solidFill>
                          <w14:schemeClr w14:val="tx1"/>
                        </w14:solidFill>
                      </w14:textFill>
                    </w:rPr>
                    <w:t>本项目不涉及。</w:t>
                  </w:r>
                </w:p>
              </w:tc>
              <w:tc>
                <w:tcPr>
                  <w:tcW w:w="837" w:type="dxa"/>
                  <w:tcBorders>
                    <w:tl2br w:val="nil"/>
                    <w:tr2bl w:val="nil"/>
                  </w:tcBorders>
                  <w:noWrap w:val="0"/>
                  <w:vAlign w:val="center"/>
                </w:tcPr>
                <w:p w14:paraId="2D8C920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776B10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73067C11">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7" w:type="dxa"/>
                  <w:tcBorders>
                    <w:tl2br w:val="nil"/>
                    <w:tr2bl w:val="nil"/>
                  </w:tcBorders>
                  <w:noWrap w:val="0"/>
                  <w:vAlign w:val="top"/>
                </w:tcPr>
                <w:p w14:paraId="6E02788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A2.2</w:t>
                  </w:r>
                </w:p>
                <w:p w14:paraId="3887B35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现有</w:t>
                  </w:r>
                </w:p>
                <w:p w14:paraId="2E9AC8F4">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源提</w:t>
                  </w:r>
                </w:p>
                <w:p w14:paraId="7916A0F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标升</w:t>
                  </w:r>
                </w:p>
                <w:p w14:paraId="458339E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级改</w:t>
                  </w:r>
                </w:p>
                <w:p w14:paraId="353ED0B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造及</w:t>
                  </w:r>
                </w:p>
                <w:p w14:paraId="48CB720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淘汰</w:t>
                  </w:r>
                </w:p>
                <w:p w14:paraId="4097C13B">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退出</w:t>
                  </w:r>
                </w:p>
              </w:tc>
              <w:tc>
                <w:tcPr>
                  <w:tcW w:w="3817" w:type="dxa"/>
                  <w:tcBorders>
                    <w:tl2br w:val="nil"/>
                    <w:tr2bl w:val="nil"/>
                  </w:tcBorders>
                  <w:noWrap w:val="0"/>
                  <w:vAlign w:val="center"/>
                </w:tcPr>
                <w:p w14:paraId="1C79B4A9">
                  <w:pPr>
                    <w:keepNext w:val="0"/>
                    <w:keepLines w:val="0"/>
                    <w:pageBreakBefore w:val="0"/>
                    <w:widowControl/>
                    <w:kinsoku/>
                    <w:wordWrap/>
                    <w:overflowPunct/>
                    <w:topLinePunct w:val="0"/>
                    <w:bidi w:val="0"/>
                    <w:adjustRightInd w:val="0"/>
                    <w:snapToGrid w:val="0"/>
                    <w:spacing w:after="0" w:afterAutospacing="0" w:line="240" w:lineRule="auto"/>
                    <w:ind w:firstLine="0" w:firstLineChars="0"/>
                    <w:jc w:val="left"/>
                    <w:textAlignment w:val="auto"/>
                    <w:rPr>
                      <w:rFonts w:hint="default" w:ascii="Times New Roman" w:hAnsi="Times New Roman" w:cs="Times New Roman"/>
                      <w:color w:val="000000" w:themeColor="text1"/>
                      <w:spacing w:val="-6"/>
                      <w:sz w:val="21"/>
                      <w:szCs w:val="21"/>
                      <w:lang w:bidi="ar"/>
                      <w14:textFill>
                        <w14:solidFill>
                          <w14:schemeClr w14:val="tx1"/>
                        </w14:solidFill>
                      </w14:textFill>
                    </w:rPr>
                  </w:pPr>
                  <w:r>
                    <w:rPr>
                      <w:rFonts w:hint="default" w:ascii="Times New Roman" w:hAnsi="Times New Roman" w:cs="Times New Roman"/>
                      <w:color w:val="000000" w:themeColor="text1"/>
                      <w:spacing w:val="-6"/>
                      <w:sz w:val="21"/>
                      <w:szCs w:val="21"/>
                      <w:lang w:bidi="ar"/>
                      <w14:textFill>
                        <w14:solidFill>
                          <w14:schemeClr w14:val="tx1"/>
                        </w14:solidFill>
                      </w14:textFill>
                    </w:rPr>
                    <w:t>1.力争到2024年底，所有钢铁企业主要大气污染物基本达到超低排放指标限值；有序推进水泥行业超低排放改造计划，水泥熟料窑改造后氮氧化物排放浓度不高于100毫克/立方米；焦化企业参照《关于推进实施钢铁行业超低排放的意见》要求实施升级改造，改造后氮氧化物排放浓度不高于150毫克/立方米。</w:t>
                  </w:r>
                </w:p>
                <w:p w14:paraId="45D52352">
                  <w:pPr>
                    <w:keepNext w:val="0"/>
                    <w:keepLines w:val="0"/>
                    <w:pageBreakBefore w:val="0"/>
                    <w:widowControl/>
                    <w:kinsoku/>
                    <w:wordWrap/>
                    <w:overflowPunct/>
                    <w:topLinePunct w:val="0"/>
                    <w:bidi w:val="0"/>
                    <w:adjustRightInd w:val="0"/>
                    <w:snapToGrid w:val="0"/>
                    <w:spacing w:after="0" w:afterAutospacing="0" w:line="240" w:lineRule="auto"/>
                    <w:ind w:firstLine="0" w:firstLineChars="0"/>
                    <w:jc w:val="left"/>
                    <w:textAlignment w:val="auto"/>
                    <w:rPr>
                      <w:rFonts w:hint="default" w:ascii="Times New Roman" w:hAnsi="Times New Roman" w:cs="Times New Roman"/>
                      <w:color w:val="000000" w:themeColor="text1"/>
                      <w:spacing w:val="-2"/>
                      <w:sz w:val="21"/>
                      <w:szCs w:val="21"/>
                      <w:lang w:bidi="ar"/>
                      <w14:textFill>
                        <w14:solidFill>
                          <w14:schemeClr w14:val="tx1"/>
                        </w14:solidFill>
                      </w14:textFill>
                    </w:rPr>
                  </w:pPr>
                  <w:r>
                    <w:rPr>
                      <w:rFonts w:hint="default" w:ascii="Times New Roman" w:hAnsi="Times New Roman" w:cs="Times New Roman"/>
                      <w:color w:val="000000" w:themeColor="text1"/>
                      <w:spacing w:val="-2"/>
                      <w:sz w:val="21"/>
                      <w:szCs w:val="21"/>
                      <w:lang w:bidi="ar"/>
                      <w14:textFill>
                        <w14:solidFill>
                          <w14:schemeClr w14:val="tx1"/>
                        </w14:solidFill>
                      </w14:textFill>
                    </w:rPr>
                    <w:t>2.</w:t>
                  </w:r>
                  <w:r>
                    <w:rPr>
                      <w:rFonts w:hint="default" w:ascii="Times New Roman" w:hAnsi="Times New Roman" w:cs="Times New Roman"/>
                      <w:color w:val="000000" w:themeColor="text1"/>
                      <w:spacing w:val="-6"/>
                      <w:sz w:val="21"/>
                      <w:szCs w:val="21"/>
                      <w:lang w:bidi="ar"/>
                      <w14:textFill>
                        <w14:solidFill>
                          <w14:schemeClr w14:val="tx1"/>
                        </w14:solidFill>
                      </w14:textFill>
                    </w:rPr>
                    <w:t>2024年底前，烧结、炼铁、炼钢轧钢、自备电厂等有组织排放污染物实行超低排放限值</w:t>
                  </w:r>
                </w:p>
              </w:tc>
              <w:tc>
                <w:tcPr>
                  <w:tcW w:w="2291" w:type="dxa"/>
                  <w:tcBorders>
                    <w:tl2br w:val="nil"/>
                    <w:tr2bl w:val="nil"/>
                  </w:tcBorders>
                  <w:noWrap w:val="0"/>
                  <w:vAlign w:val="center"/>
                </w:tcPr>
                <w:p w14:paraId="602D9BC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本项目不涉及。</w:t>
                  </w:r>
                </w:p>
              </w:tc>
              <w:tc>
                <w:tcPr>
                  <w:tcW w:w="837" w:type="dxa"/>
                  <w:tcBorders>
                    <w:tl2br w:val="nil"/>
                    <w:tr2bl w:val="nil"/>
                  </w:tcBorders>
                  <w:noWrap w:val="0"/>
                  <w:vAlign w:val="center"/>
                </w:tcPr>
                <w:p w14:paraId="4EAA5AE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eastAsia="zh-CN"/>
                      <w14:textFill>
                        <w14:solidFill>
                          <w14:schemeClr w14:val="tx1"/>
                        </w14:solidFill>
                      </w14:textFill>
                    </w:rPr>
                  </w:pPr>
                  <w:r>
                    <w:rPr>
                      <w:rFonts w:hint="default" w:ascii="Times New Roman" w:hAnsi="Times New Roman" w:cs="Times New Roman"/>
                      <w:color w:val="000000" w:themeColor="text1"/>
                      <w:spacing w:val="-2"/>
                      <w:kern w:val="2"/>
                      <w:sz w:val="21"/>
                      <w:szCs w:val="21"/>
                      <w:lang w:val="en-US" w:eastAsia="zh-CN"/>
                      <w14:textFill>
                        <w14:solidFill>
                          <w14:schemeClr w14:val="tx1"/>
                        </w14:solidFill>
                      </w14:textFill>
                    </w:rPr>
                    <w:t>符合</w:t>
                  </w:r>
                </w:p>
              </w:tc>
            </w:tr>
            <w:tr w14:paraId="20C55B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restart"/>
                  <w:tcBorders>
                    <w:tl2br w:val="nil"/>
                    <w:tr2bl w:val="nil"/>
                  </w:tcBorders>
                  <w:noWrap w:val="0"/>
                  <w:vAlign w:val="center"/>
                </w:tcPr>
                <w:p w14:paraId="033A0CE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A3</w:t>
                  </w:r>
                </w:p>
                <w:p w14:paraId="1E5B309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环境风险防控</w:t>
                  </w:r>
                </w:p>
              </w:tc>
              <w:tc>
                <w:tcPr>
                  <w:tcW w:w="797" w:type="dxa"/>
                  <w:vMerge w:val="restart"/>
                  <w:tcBorders>
                    <w:tl2br w:val="nil"/>
                    <w:tr2bl w:val="nil"/>
                  </w:tcBorders>
                  <w:noWrap w:val="0"/>
                  <w:vAlign w:val="center"/>
                </w:tcPr>
                <w:p w14:paraId="107D8428">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A3.1</w:t>
                  </w:r>
                </w:p>
                <w:p w14:paraId="27C0A4D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联防</w:t>
                  </w:r>
                </w:p>
                <w:p w14:paraId="2CC8374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联控</w:t>
                  </w:r>
                </w:p>
                <w:p w14:paraId="66A1BC8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要求</w:t>
                  </w:r>
                </w:p>
              </w:tc>
              <w:tc>
                <w:tcPr>
                  <w:tcW w:w="3817" w:type="dxa"/>
                  <w:tcBorders>
                    <w:tl2br w:val="nil"/>
                    <w:tr2bl w:val="nil"/>
                  </w:tcBorders>
                  <w:noWrap w:val="0"/>
                  <w:vAlign w:val="center"/>
                </w:tcPr>
                <w:p w14:paraId="6886FC0B">
                  <w:pPr>
                    <w:keepNext w:val="0"/>
                    <w:keepLines w:val="0"/>
                    <w:pageBreakBefore w:val="0"/>
                    <w:widowControl/>
                    <w:kinsoku/>
                    <w:wordWrap/>
                    <w:overflowPunct/>
                    <w:topLinePunct w:val="0"/>
                    <w:bidi w:val="0"/>
                    <w:adjustRightInd w:val="0"/>
                    <w:snapToGrid w:val="0"/>
                    <w:spacing w:after="0" w:afterAutospacing="0" w:line="240" w:lineRule="auto"/>
                    <w:ind w:firstLine="0" w:firstLineChars="0"/>
                    <w:jc w:val="left"/>
                    <w:textAlignment w:val="auto"/>
                    <w:rPr>
                      <w:rFonts w:hint="default" w:ascii="Times New Roman" w:hAnsi="Times New Roman" w:cs="Times New Roman"/>
                      <w:color w:val="000000" w:themeColor="text1"/>
                      <w:spacing w:val="-6"/>
                      <w:sz w:val="21"/>
                      <w:szCs w:val="21"/>
                      <w14:textFill>
                        <w14:solidFill>
                          <w14:schemeClr w14:val="tx1"/>
                        </w14:solidFill>
                      </w14:textFill>
                    </w:rPr>
                  </w:pPr>
                  <w:r>
                    <w:rPr>
                      <w:rFonts w:hint="default" w:ascii="Times New Roman" w:hAnsi="Times New Roman" w:cs="Times New Roman"/>
                      <w:color w:val="000000" w:themeColor="text1"/>
                      <w:spacing w:val="-6"/>
                      <w:sz w:val="21"/>
                      <w:szCs w:val="21"/>
                      <w:lang w:bidi="ar"/>
                      <w14:textFill>
                        <w14:solidFill>
                          <w14:schemeClr w14:val="tx1"/>
                        </w14:solidFill>
                      </w14:textFill>
                    </w:rPr>
                    <w:t>健全市生态环境局与公安、交通、应急、气象、水务等部门联动机制，细化落实各相关部门之间联防联控责任与任务分工，联合开展突发环境污染事件处置应急演练，提高联防联控实战能力。</w:t>
                  </w:r>
                </w:p>
              </w:tc>
              <w:tc>
                <w:tcPr>
                  <w:tcW w:w="2291" w:type="dxa"/>
                  <w:tcBorders>
                    <w:tl2br w:val="nil"/>
                    <w:tr2bl w:val="nil"/>
                  </w:tcBorders>
                  <w:noWrap w:val="0"/>
                  <w:vAlign w:val="center"/>
                </w:tcPr>
                <w:p w14:paraId="2CEE06A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eastAsia="宋体" w:cs="Times New Roman"/>
                      <w:color w:val="000000" w:themeColor="text1"/>
                      <w:spacing w:val="-1"/>
                      <w:kern w:val="2"/>
                      <w:sz w:val="21"/>
                      <w:szCs w:val="21"/>
                      <w:lang w:val="en-US" w:eastAsia="zh-CN"/>
                      <w14:textFill>
                        <w14:solidFill>
                          <w14:schemeClr w14:val="tx1"/>
                        </w14:solidFill>
                      </w14:textFill>
                    </w:rPr>
                  </w:pPr>
                  <w:r>
                    <w:rPr>
                      <w:rFonts w:hint="default" w:ascii="Times New Roman" w:hAnsi="Times New Roman" w:cs="Times New Roman"/>
                      <w:color w:val="000000" w:themeColor="text1"/>
                      <w:spacing w:val="-1"/>
                      <w:kern w:val="2"/>
                      <w:sz w:val="21"/>
                      <w:szCs w:val="21"/>
                      <w:lang w:val="en-US" w:eastAsia="zh-CN"/>
                      <w14:textFill>
                        <w14:solidFill>
                          <w14:schemeClr w14:val="tx1"/>
                        </w14:solidFill>
                      </w14:textFill>
                    </w:rPr>
                    <w:t>本项目前期已取得相关批准文件。</w:t>
                  </w:r>
                </w:p>
              </w:tc>
              <w:tc>
                <w:tcPr>
                  <w:tcW w:w="837" w:type="dxa"/>
                  <w:tcBorders>
                    <w:tl2br w:val="nil"/>
                    <w:tr2bl w:val="nil"/>
                  </w:tcBorders>
                  <w:noWrap w:val="0"/>
                  <w:vAlign w:val="center"/>
                </w:tcPr>
                <w:p w14:paraId="30C9748D">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22AA1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692844B8">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2A1524F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3817" w:type="dxa"/>
                  <w:tcBorders>
                    <w:tl2br w:val="nil"/>
                    <w:tr2bl w:val="nil"/>
                  </w:tcBorders>
                  <w:noWrap w:val="0"/>
                  <w:vAlign w:val="center"/>
                </w:tcPr>
                <w:p w14:paraId="3CBC278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以黄河干流和主要支流为重点，严控石化、化工、有色金属、印染、原料药制造等行业企业环境风险，加强油气管道环境风险防范，开展新污染物环境调查监测和环境风险评估，推进流域突发环境风险调查与监控预警体系建设，构建市-县(区)-区域-企业四级应急物资储备网络。</w:t>
                  </w:r>
                </w:p>
              </w:tc>
              <w:tc>
                <w:tcPr>
                  <w:tcW w:w="2291" w:type="dxa"/>
                  <w:tcBorders>
                    <w:tl2br w:val="nil"/>
                    <w:tr2bl w:val="nil"/>
                  </w:tcBorders>
                  <w:noWrap w:val="0"/>
                  <w:vAlign w:val="center"/>
                </w:tcPr>
                <w:p w14:paraId="53DA49D4">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1"/>
                      <w:kern w:val="2"/>
                      <w:sz w:val="21"/>
                      <w:szCs w:val="21"/>
                      <w14:textFill>
                        <w14:solidFill>
                          <w14:schemeClr w14:val="tx1"/>
                        </w14:solidFill>
                      </w14:textFill>
                    </w:rPr>
                  </w:pPr>
                  <w:r>
                    <w:rPr>
                      <w:rFonts w:hint="default" w:ascii="Times New Roman" w:hAnsi="Times New Roman" w:cs="Times New Roman"/>
                      <w:color w:val="000000" w:themeColor="text1"/>
                      <w:spacing w:val="-1"/>
                      <w:kern w:val="2"/>
                      <w:sz w:val="21"/>
                      <w:szCs w:val="21"/>
                      <w14:textFill>
                        <w14:solidFill>
                          <w14:schemeClr w14:val="tx1"/>
                        </w14:solidFill>
                      </w14:textFill>
                    </w:rPr>
                    <w:t>本项目为</w:t>
                  </w:r>
                  <w:r>
                    <w:rPr>
                      <w:rFonts w:hint="default" w:ascii="Times New Roman" w:hAnsi="Times New Roman" w:cs="Times New Roman"/>
                      <w:color w:val="000000" w:themeColor="text1"/>
                      <w:spacing w:val="-1"/>
                      <w:kern w:val="2"/>
                      <w:sz w:val="21"/>
                      <w:szCs w:val="21"/>
                      <w:lang w:val="en-US" w:eastAsia="zh-CN"/>
                      <w14:textFill>
                        <w14:solidFill>
                          <w14:schemeClr w14:val="tx1"/>
                        </w14:solidFill>
                      </w14:textFill>
                    </w:rPr>
                    <w:t>河道治理项目</w:t>
                  </w:r>
                  <w:r>
                    <w:rPr>
                      <w:rFonts w:hint="default" w:ascii="Times New Roman" w:hAnsi="Times New Roman" w:cs="Times New Roman"/>
                      <w:color w:val="000000" w:themeColor="text1"/>
                      <w:spacing w:val="-1"/>
                      <w:kern w:val="2"/>
                      <w:sz w:val="21"/>
                      <w:szCs w:val="21"/>
                      <w14:textFill>
                        <w14:solidFill>
                          <w14:schemeClr w14:val="tx1"/>
                        </w14:solidFill>
                      </w14:textFill>
                    </w:rPr>
                    <w:t>，不涉及石化、有色金属、印染等行业。</w:t>
                  </w:r>
                </w:p>
              </w:tc>
              <w:tc>
                <w:tcPr>
                  <w:tcW w:w="837" w:type="dxa"/>
                  <w:tcBorders>
                    <w:tl2br w:val="nil"/>
                    <w:tr2bl w:val="nil"/>
                  </w:tcBorders>
                  <w:noWrap w:val="0"/>
                  <w:vAlign w:val="center"/>
                </w:tcPr>
                <w:p w14:paraId="4DC939BB">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2"/>
                      <w:kern w:val="2"/>
                      <w:sz w:val="21"/>
                      <w:szCs w:val="21"/>
                      <w:lang w:bidi="ar"/>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451964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3FF4AB99">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7" w:type="dxa"/>
                  <w:tcBorders>
                    <w:tl2br w:val="nil"/>
                    <w:tr2bl w:val="nil"/>
                  </w:tcBorders>
                  <w:noWrap w:val="0"/>
                  <w:vAlign w:val="center"/>
                </w:tcPr>
                <w:p w14:paraId="571AC82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A3.2</w:t>
                  </w:r>
                </w:p>
                <w:p w14:paraId="51BD3C9E">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企业及园区环境风险防控要求</w:t>
                  </w:r>
                </w:p>
              </w:tc>
              <w:tc>
                <w:tcPr>
                  <w:tcW w:w="3817" w:type="dxa"/>
                  <w:tcBorders>
                    <w:tl2br w:val="nil"/>
                    <w:tr2bl w:val="nil"/>
                  </w:tcBorders>
                  <w:noWrap w:val="0"/>
                  <w:vAlign w:val="center"/>
                </w:tcPr>
                <w:p w14:paraId="627A139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紧盯涉危险废物涉重金属企业、化工园区、水源地，强化环境应急三级防控体系建设，落实企业环境安全主体责任，推行企业突发环境事件应急预案电子备案。</w:t>
                  </w:r>
                </w:p>
              </w:tc>
              <w:tc>
                <w:tcPr>
                  <w:tcW w:w="2291" w:type="dxa"/>
                  <w:tcBorders>
                    <w:tl2br w:val="nil"/>
                    <w:tr2bl w:val="nil"/>
                  </w:tcBorders>
                  <w:noWrap w:val="0"/>
                  <w:vAlign w:val="center"/>
                </w:tcPr>
                <w:p w14:paraId="32EA741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本项目不涉及重金属。</w:t>
                  </w:r>
                </w:p>
              </w:tc>
              <w:tc>
                <w:tcPr>
                  <w:tcW w:w="837" w:type="dxa"/>
                  <w:tcBorders>
                    <w:tl2br w:val="nil"/>
                    <w:tr2bl w:val="nil"/>
                  </w:tcBorders>
                  <w:noWrap w:val="0"/>
                  <w:vAlign w:val="center"/>
                </w:tcPr>
                <w:p w14:paraId="660957A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7B4326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restart"/>
                  <w:tcBorders>
                    <w:tl2br w:val="nil"/>
                    <w:tr2bl w:val="nil"/>
                  </w:tcBorders>
                  <w:noWrap w:val="0"/>
                  <w:vAlign w:val="center"/>
                </w:tcPr>
                <w:p w14:paraId="46FB3BD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A4</w:t>
                  </w:r>
                </w:p>
                <w:p w14:paraId="3E87A0CA">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资源利用效率要求</w:t>
                  </w:r>
                </w:p>
              </w:tc>
              <w:tc>
                <w:tcPr>
                  <w:tcW w:w="797" w:type="dxa"/>
                  <w:vMerge w:val="restart"/>
                  <w:tcBorders>
                    <w:tl2br w:val="nil"/>
                    <w:tr2bl w:val="nil"/>
                  </w:tcBorders>
                  <w:noWrap w:val="0"/>
                  <w:vAlign w:val="center"/>
                </w:tcPr>
                <w:p w14:paraId="1BFF817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A4.1</w:t>
                  </w:r>
                </w:p>
                <w:p w14:paraId="50F5AD4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能源利用总量及效率要求</w:t>
                  </w:r>
                </w:p>
              </w:tc>
              <w:tc>
                <w:tcPr>
                  <w:tcW w:w="3817" w:type="dxa"/>
                  <w:tcBorders>
                    <w:tl2br w:val="nil"/>
                    <w:tr2bl w:val="nil"/>
                  </w:tcBorders>
                  <w:noWrap w:val="0"/>
                  <w:vAlign w:val="center"/>
                </w:tcPr>
                <w:p w14:paraId="3173433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1.全面贯彻落实国家和自治区下达煤炭消费总量目标，严格控制耗煤行业煤炭新增量，优先保障民生供暖新增用煤需求。</w:t>
                  </w:r>
                </w:p>
                <w:p w14:paraId="0410D90A">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2.新增产能必须符合国内先进能效标准。</w:t>
                  </w:r>
                </w:p>
              </w:tc>
              <w:tc>
                <w:tcPr>
                  <w:tcW w:w="2291" w:type="dxa"/>
                  <w:tcBorders>
                    <w:tl2br w:val="nil"/>
                    <w:tr2bl w:val="nil"/>
                  </w:tcBorders>
                  <w:noWrap w:val="0"/>
                  <w:vAlign w:val="center"/>
                </w:tcPr>
                <w:p w14:paraId="6BEDB216">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本项目运营</w:t>
                  </w:r>
                  <w:r>
                    <w:rPr>
                      <w:rFonts w:hint="default" w:ascii="Times New Roman" w:hAnsi="Times New Roman" w:cs="Times New Roman"/>
                      <w:color w:val="000000" w:themeColor="text1"/>
                      <w:spacing w:val="-6"/>
                      <w:kern w:val="2"/>
                      <w:sz w:val="21"/>
                      <w:szCs w:val="21"/>
                      <w:lang w:val="en-US" w:eastAsia="zh-CN" w:bidi="ar"/>
                      <w14:textFill>
                        <w14:solidFill>
                          <w14:schemeClr w14:val="tx1"/>
                        </w14:solidFill>
                      </w14:textFill>
                    </w:rPr>
                    <w:t>期</w:t>
                  </w:r>
                  <w:r>
                    <w:rPr>
                      <w:rFonts w:hint="default" w:ascii="Times New Roman" w:hAnsi="Times New Roman" w:cs="Times New Roman"/>
                      <w:color w:val="000000" w:themeColor="text1"/>
                      <w:spacing w:val="-6"/>
                      <w:kern w:val="2"/>
                      <w:sz w:val="21"/>
                      <w:szCs w:val="21"/>
                      <w:lang w:bidi="ar"/>
                      <w14:textFill>
                        <w14:solidFill>
                          <w14:schemeClr w14:val="tx1"/>
                        </w14:solidFill>
                      </w14:textFill>
                    </w:rPr>
                    <w:t>无生活污水</w:t>
                  </w:r>
                  <w:r>
                    <w:rPr>
                      <w:rFonts w:hint="default" w:ascii="Times New Roman" w:hAnsi="Times New Roman" w:cs="Times New Roman"/>
                      <w:color w:val="000000" w:themeColor="text1"/>
                      <w:spacing w:val="-6"/>
                      <w:kern w:val="2"/>
                      <w:sz w:val="21"/>
                      <w:szCs w:val="21"/>
                      <w:lang w:val="en-US" w:eastAsia="zh-CN" w:bidi="ar"/>
                      <w14:textFill>
                        <w14:solidFill>
                          <w14:schemeClr w14:val="tx1"/>
                        </w14:solidFill>
                      </w14:textFill>
                    </w:rPr>
                    <w:t>及生产废水</w:t>
                  </w:r>
                  <w:r>
                    <w:rPr>
                      <w:rFonts w:hint="default" w:ascii="Times New Roman" w:hAnsi="Times New Roman" w:cs="Times New Roman"/>
                      <w:color w:val="000000" w:themeColor="text1"/>
                      <w:spacing w:val="-6"/>
                      <w:kern w:val="2"/>
                      <w:sz w:val="21"/>
                      <w:szCs w:val="21"/>
                      <w:lang w:bidi="ar"/>
                      <w14:textFill>
                        <w14:solidFill>
                          <w14:schemeClr w14:val="tx1"/>
                        </w14:solidFill>
                      </w14:textFill>
                    </w:rPr>
                    <w:t>产生和外排</w:t>
                  </w:r>
                </w:p>
              </w:tc>
              <w:tc>
                <w:tcPr>
                  <w:tcW w:w="837" w:type="dxa"/>
                  <w:tcBorders>
                    <w:tl2br w:val="nil"/>
                    <w:tr2bl w:val="nil"/>
                  </w:tcBorders>
                  <w:noWrap w:val="0"/>
                  <w:vAlign w:val="center"/>
                </w:tcPr>
                <w:p w14:paraId="297D4C8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r w14:paraId="54BF61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49C7A74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p>
              </w:tc>
              <w:tc>
                <w:tcPr>
                  <w:tcW w:w="797" w:type="dxa"/>
                  <w:vMerge w:val="continue"/>
                  <w:tcBorders>
                    <w:tl2br w:val="nil"/>
                    <w:tr2bl w:val="nil"/>
                  </w:tcBorders>
                  <w:noWrap w:val="0"/>
                  <w:vAlign w:val="center"/>
                </w:tcPr>
                <w:p w14:paraId="7CA4054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p>
              </w:tc>
              <w:tc>
                <w:tcPr>
                  <w:tcW w:w="3817" w:type="dxa"/>
                  <w:tcBorders>
                    <w:tl2br w:val="nil"/>
                    <w:tr2bl w:val="nil"/>
                  </w:tcBorders>
                  <w:noWrap w:val="0"/>
                  <w:vAlign w:val="center"/>
                </w:tcPr>
                <w:p w14:paraId="1C778CC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国家大气污染防治重点区域内新建耗煤项目应严格按规定采取煤炭消费减量替代措施，不得使用高污染燃料作为煤炭减量替代措施。</w:t>
                  </w:r>
                </w:p>
              </w:tc>
              <w:tc>
                <w:tcPr>
                  <w:tcW w:w="2291" w:type="dxa"/>
                  <w:tcBorders>
                    <w:tl2br w:val="nil"/>
                    <w:tr2bl w:val="nil"/>
                  </w:tcBorders>
                  <w:noWrap w:val="0"/>
                  <w:vAlign w:val="center"/>
                </w:tcPr>
                <w:p w14:paraId="1D27F31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both"/>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本项目</w:t>
                  </w:r>
                  <w:r>
                    <w:rPr>
                      <w:rFonts w:hint="eastAsia" w:ascii="Times New Roman" w:hAnsi="Times New Roman" w:cs="Times New Roman"/>
                      <w:color w:val="000000" w:themeColor="text1"/>
                      <w:spacing w:val="-6"/>
                      <w:kern w:val="2"/>
                      <w:sz w:val="21"/>
                      <w:szCs w:val="21"/>
                      <w:lang w:val="en-US" w:eastAsia="zh-CN" w:bidi="ar"/>
                      <w14:textFill>
                        <w14:solidFill>
                          <w14:schemeClr w14:val="tx1"/>
                        </w14:solidFill>
                      </w14:textFill>
                    </w:rPr>
                    <w:t>不属于耗煤项目，且不位于高污染燃料禁燃区</w:t>
                  </w:r>
                  <w:r>
                    <w:rPr>
                      <w:rFonts w:hint="default" w:ascii="Times New Roman" w:hAnsi="Times New Roman" w:cs="Times New Roman"/>
                      <w:color w:val="000000" w:themeColor="text1"/>
                      <w:spacing w:val="-6"/>
                      <w:kern w:val="2"/>
                      <w:sz w:val="21"/>
                      <w:szCs w:val="21"/>
                      <w:lang w:bidi="ar"/>
                      <w14:textFill>
                        <w14:solidFill>
                          <w14:schemeClr w14:val="tx1"/>
                        </w14:solidFill>
                      </w14:textFill>
                    </w:rPr>
                    <w:t>。</w:t>
                  </w:r>
                </w:p>
              </w:tc>
              <w:tc>
                <w:tcPr>
                  <w:tcW w:w="837" w:type="dxa"/>
                  <w:tcBorders>
                    <w:tl2br w:val="nil"/>
                    <w:tr2bl w:val="nil"/>
                  </w:tcBorders>
                  <w:noWrap w:val="0"/>
                  <w:vAlign w:val="center"/>
                </w:tcPr>
                <w:p w14:paraId="3F65DF7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eastAsia="宋体" w:cs="Times New Roman"/>
                      <w:color w:val="000000" w:themeColor="text1"/>
                      <w:spacing w:val="-2"/>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pacing w:val="-2"/>
                      <w:kern w:val="2"/>
                      <w:sz w:val="21"/>
                      <w:szCs w:val="21"/>
                      <w:lang w:val="en-US" w:eastAsia="zh-CN" w:bidi="ar"/>
                      <w14:textFill>
                        <w14:solidFill>
                          <w14:schemeClr w14:val="tx1"/>
                        </w14:solidFill>
                      </w14:textFill>
                    </w:rPr>
                    <w:t>符合</w:t>
                  </w:r>
                </w:p>
              </w:tc>
            </w:tr>
            <w:tr w14:paraId="5F7B3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05" w:type="dxa"/>
                  <w:vMerge w:val="continue"/>
                  <w:tcBorders>
                    <w:tl2br w:val="nil"/>
                    <w:tr2bl w:val="nil"/>
                  </w:tcBorders>
                  <w:noWrap w:val="0"/>
                  <w:vAlign w:val="center"/>
                </w:tcPr>
                <w:p w14:paraId="2DE5E2C5">
                  <w:pPr>
                    <w:keepNext w:val="0"/>
                    <w:keepLines w:val="0"/>
                    <w:pageBreakBefore w:val="0"/>
                    <w:kinsoku/>
                    <w:wordWrap/>
                    <w:overflowPunct/>
                    <w:topLinePunct w:val="0"/>
                    <w:bidi w:val="0"/>
                    <w:adjustRightInd w:val="0"/>
                    <w:snapToGrid w:val="0"/>
                    <w:spacing w:after="0" w:afterAutospacing="0"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97" w:type="dxa"/>
                  <w:tcBorders>
                    <w:tl2br w:val="nil"/>
                    <w:tr2bl w:val="nil"/>
                  </w:tcBorders>
                  <w:noWrap w:val="0"/>
                  <w:vAlign w:val="center"/>
                </w:tcPr>
                <w:p w14:paraId="413E1416">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lang w:bidi="ar"/>
                      <w14:textFill>
                        <w14:solidFill>
                          <w14:schemeClr w14:val="tx1"/>
                        </w14:solidFill>
                      </w14:textFill>
                    </w:rPr>
                  </w:pPr>
                  <w:r>
                    <w:rPr>
                      <w:rFonts w:hint="default" w:ascii="Times New Roman" w:hAnsi="Times New Roman" w:cs="Times New Roman"/>
                      <w:color w:val="000000" w:themeColor="text1"/>
                      <w:spacing w:val="-6"/>
                      <w:kern w:val="2"/>
                      <w:sz w:val="21"/>
                      <w:szCs w:val="21"/>
                      <w:lang w:bidi="ar"/>
                      <w14:textFill>
                        <w14:solidFill>
                          <w14:schemeClr w14:val="tx1"/>
                        </w14:solidFill>
                      </w14:textFill>
                    </w:rPr>
                    <w:t>A4.2</w:t>
                  </w:r>
                </w:p>
                <w:p w14:paraId="4BC7D8B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水资源利用总量及效率要求</w:t>
                  </w:r>
                </w:p>
              </w:tc>
              <w:tc>
                <w:tcPr>
                  <w:tcW w:w="3817" w:type="dxa"/>
                  <w:tcBorders>
                    <w:tl2br w:val="nil"/>
                    <w:tr2bl w:val="nil"/>
                  </w:tcBorders>
                  <w:noWrap w:val="0"/>
                  <w:vAlign w:val="center"/>
                </w:tcPr>
                <w:p w14:paraId="47AB4C5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建立水资源刚性约束制度，严格准入条件，按照地区取水总量限值审核新、改、扩建项目，取水总量不得超过地区水资源取用</w:t>
                  </w:r>
                </w:p>
                <w:p w14:paraId="4D27AC1D">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cs="Times New Roman"/>
                      <w:color w:val="000000" w:themeColor="text1"/>
                      <w:spacing w:val="-6"/>
                      <w:kern w:val="2"/>
                      <w:sz w:val="21"/>
                      <w:szCs w:val="21"/>
                      <w14:textFill>
                        <w14:solidFill>
                          <w14:schemeClr w14:val="tx1"/>
                        </w14:solidFill>
                      </w14:textFill>
                    </w:rPr>
                  </w:pPr>
                  <w:r>
                    <w:rPr>
                      <w:rFonts w:hint="default" w:ascii="Times New Roman" w:hAnsi="Times New Roman" w:cs="Times New Roman"/>
                      <w:color w:val="000000" w:themeColor="text1"/>
                      <w:spacing w:val="-6"/>
                      <w:kern w:val="2"/>
                      <w:sz w:val="21"/>
                      <w:szCs w:val="21"/>
                      <w14:textFill>
                        <w14:solidFill>
                          <w14:schemeClr w14:val="tx1"/>
                        </w14:solidFill>
                      </w14:textFill>
                    </w:rPr>
                    <w:t>上限或承载能力。</w:t>
                  </w:r>
                </w:p>
              </w:tc>
              <w:tc>
                <w:tcPr>
                  <w:tcW w:w="2291" w:type="dxa"/>
                  <w:tcBorders>
                    <w:tl2br w:val="nil"/>
                    <w:tr2bl w:val="nil"/>
                  </w:tcBorders>
                  <w:noWrap w:val="0"/>
                  <w:vAlign w:val="center"/>
                </w:tcPr>
                <w:p w14:paraId="537073F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
                      <w:kern w:val="2"/>
                      <w:sz w:val="21"/>
                      <w:szCs w:val="21"/>
                      <w14:textFill>
                        <w14:solidFill>
                          <w14:schemeClr w14:val="tx1"/>
                        </w14:solidFill>
                      </w14:textFill>
                    </w:rPr>
                  </w:pPr>
                  <w:r>
                    <w:rPr>
                      <w:rFonts w:hint="default" w:ascii="Times New Roman" w:hAnsi="Times New Roman" w:cs="Times New Roman"/>
                      <w:color w:val="000000" w:themeColor="text1"/>
                      <w:spacing w:val="-1"/>
                      <w:kern w:val="2"/>
                      <w:sz w:val="21"/>
                      <w:szCs w:val="21"/>
                      <w14:textFill>
                        <w14:solidFill>
                          <w14:schemeClr w14:val="tx1"/>
                        </w14:solidFill>
                      </w14:textFill>
                    </w:rPr>
                    <w:t>本项目不涉及。</w:t>
                  </w:r>
                </w:p>
              </w:tc>
              <w:tc>
                <w:tcPr>
                  <w:tcW w:w="837" w:type="dxa"/>
                  <w:tcBorders>
                    <w:tl2br w:val="nil"/>
                    <w:tr2bl w:val="nil"/>
                  </w:tcBorders>
                  <w:noWrap w:val="0"/>
                  <w:vAlign w:val="center"/>
                </w:tcPr>
                <w:p w14:paraId="0E12A11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Autospacing="0" w:line="240" w:lineRule="auto"/>
                    <w:ind w:firstLine="0" w:firstLineChars="0"/>
                    <w:jc w:val="center"/>
                    <w:textAlignment w:val="auto"/>
                    <w:rPr>
                      <w:rFonts w:hint="default" w:ascii="Times New Roman" w:hAnsi="Times New Roman" w:cs="Times New Roman"/>
                      <w:color w:val="000000" w:themeColor="text1"/>
                      <w:spacing w:val="-1"/>
                      <w:kern w:val="2"/>
                      <w:sz w:val="21"/>
                      <w:szCs w:val="21"/>
                      <w14:textFill>
                        <w14:solidFill>
                          <w14:schemeClr w14:val="tx1"/>
                        </w14:solidFill>
                      </w14:textFill>
                    </w:rPr>
                  </w:pPr>
                  <w:r>
                    <w:rPr>
                      <w:rFonts w:hint="default" w:ascii="Times New Roman" w:hAnsi="Times New Roman" w:cs="Times New Roman"/>
                      <w:color w:val="000000" w:themeColor="text1"/>
                      <w:spacing w:val="-2"/>
                      <w:kern w:val="2"/>
                      <w:sz w:val="21"/>
                      <w:szCs w:val="21"/>
                      <w:lang w:bidi="ar"/>
                      <w14:textFill>
                        <w14:solidFill>
                          <w14:schemeClr w14:val="tx1"/>
                        </w14:solidFill>
                      </w14:textFill>
                    </w:rPr>
                    <w:t>符合</w:t>
                  </w:r>
                </w:p>
              </w:tc>
            </w:tr>
          </w:tbl>
          <w:p w14:paraId="6EEFF25F">
            <w:pPr>
              <w:pStyle w:val="21"/>
              <w:snapToGrid w:val="0"/>
              <w:spacing w:before="0" w:beforeAutospacing="0" w:after="0" w:afterAutospacing="0" w:line="400" w:lineRule="exact"/>
              <w:ind w:firstLine="240" w:firstLineChars="100"/>
              <w:jc w:val="center"/>
              <w:rPr>
                <w:rFonts w:hint="default" w:ascii="Times New Roman" w:hAnsi="Times New Roman" w:cs="Times New Roman"/>
                <w:b/>
                <w:bCs/>
                <w:color w:val="000000" w:themeColor="text1"/>
                <w:sz w:val="22"/>
                <w:szCs w:val="22"/>
                <w14:textFill>
                  <w14:solidFill>
                    <w14:schemeClr w14:val="tx1"/>
                  </w14:solidFill>
                </w14:textFill>
              </w:rPr>
            </w:pPr>
            <w:r>
              <w:rPr>
                <w:rFonts w:hint="default" w:ascii="Times New Roman" w:hAnsi="Times New Roman" w:eastAsia="黑体" w:cs="Times New Roman"/>
                <w:b w:val="0"/>
                <w:bCs w:val="0"/>
                <w:color w:val="000000" w:themeColor="text1"/>
                <w:sz w:val="24"/>
                <w:szCs w:val="24"/>
                <w:lang w:bidi="ar"/>
                <w14:textFill>
                  <w14:solidFill>
                    <w14:schemeClr w14:val="tx1"/>
                  </w14:solidFill>
                </w14:textFill>
              </w:rPr>
              <w:t>表1-</w:t>
            </w:r>
            <w:r>
              <w:rPr>
                <w:rFonts w:hint="default" w:ascii="Times New Roman" w:hAnsi="Times New Roman" w:eastAsia="黑体" w:cs="Times New Roman"/>
                <w:b w:val="0"/>
                <w:bCs w:val="0"/>
                <w:color w:val="000000" w:themeColor="text1"/>
                <w:sz w:val="24"/>
                <w:szCs w:val="24"/>
                <w:lang w:val="en-US" w:eastAsia="zh-CN" w:bidi="ar"/>
                <w14:textFill>
                  <w14:solidFill>
                    <w14:schemeClr w14:val="tx1"/>
                  </w14:solidFill>
                </w14:textFill>
              </w:rPr>
              <w:t>4</w:t>
            </w:r>
            <w:r>
              <w:rPr>
                <w:rFonts w:hint="default" w:ascii="Times New Roman" w:hAnsi="Times New Roman" w:eastAsia="黑体" w:cs="Times New Roman"/>
                <w:b w:val="0"/>
                <w:bCs w:val="0"/>
                <w:color w:val="000000" w:themeColor="text1"/>
                <w:sz w:val="24"/>
                <w:szCs w:val="24"/>
                <w:lang w:bidi="ar"/>
                <w14:textFill>
                  <w14:solidFill>
                    <w14:schemeClr w14:val="tx1"/>
                  </w14:solidFill>
                </w14:textFill>
              </w:rPr>
              <w:t xml:space="preserve">  中卫市环境管控单元生态环境清单总体要求</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5"/>
              <w:gridCol w:w="740"/>
              <w:gridCol w:w="501"/>
              <w:gridCol w:w="1347"/>
              <w:gridCol w:w="2500"/>
              <w:gridCol w:w="2041"/>
              <w:gridCol w:w="513"/>
            </w:tblGrid>
            <w:tr w14:paraId="0C91F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0" w:hRule="atLeast"/>
                <w:jc w:val="center"/>
              </w:trPr>
              <w:tc>
                <w:tcPr>
                  <w:tcW w:w="705" w:type="dxa"/>
                  <w:noWrap w:val="0"/>
                  <w:vAlign w:val="center"/>
                </w:tcPr>
                <w:p w14:paraId="701BE7CC">
                  <w:pPr>
                    <w:pStyle w:val="21"/>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000000" w:themeColor="text1"/>
                      <w:kern w:val="2"/>
                      <w:sz w:val="21"/>
                      <w:szCs w:val="21"/>
                      <w:lang w:bidi="ar"/>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序号及管控单元名称</w:t>
                  </w:r>
                </w:p>
              </w:tc>
              <w:tc>
                <w:tcPr>
                  <w:tcW w:w="740" w:type="dxa"/>
                  <w:noWrap w:val="0"/>
                  <w:vAlign w:val="center"/>
                </w:tcPr>
                <w:p w14:paraId="4CD7DF9F">
                  <w:pPr>
                    <w:pStyle w:val="21"/>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000000" w:themeColor="text1"/>
                      <w:kern w:val="2"/>
                      <w:sz w:val="21"/>
                      <w:szCs w:val="21"/>
                      <w:lang w:bidi="ar"/>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涉及乡镇</w:t>
                  </w:r>
                </w:p>
              </w:tc>
              <w:tc>
                <w:tcPr>
                  <w:tcW w:w="501" w:type="dxa"/>
                  <w:noWrap w:val="0"/>
                  <w:vAlign w:val="center"/>
                </w:tcPr>
                <w:p w14:paraId="7D8B77D9">
                  <w:pPr>
                    <w:pStyle w:val="21"/>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000000" w:themeColor="text1"/>
                      <w:kern w:val="2"/>
                      <w:sz w:val="21"/>
                      <w:szCs w:val="21"/>
                      <w:lang w:bidi="ar"/>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要素属性</w:t>
                  </w:r>
                </w:p>
              </w:tc>
              <w:tc>
                <w:tcPr>
                  <w:tcW w:w="3847" w:type="dxa"/>
                  <w:gridSpan w:val="2"/>
                  <w:noWrap w:val="0"/>
                  <w:vAlign w:val="center"/>
                </w:tcPr>
                <w:p w14:paraId="7EDA4729">
                  <w:pPr>
                    <w:pStyle w:val="21"/>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000000" w:themeColor="text1"/>
                      <w:kern w:val="2"/>
                      <w:sz w:val="21"/>
                      <w:szCs w:val="21"/>
                      <w:lang w:bidi="ar"/>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污染物管控要求</w:t>
                  </w:r>
                </w:p>
              </w:tc>
              <w:tc>
                <w:tcPr>
                  <w:tcW w:w="2041" w:type="dxa"/>
                  <w:noWrap w:val="0"/>
                  <w:vAlign w:val="center"/>
                </w:tcPr>
                <w:p w14:paraId="37F062BC">
                  <w:pPr>
                    <w:pStyle w:val="21"/>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000000" w:themeColor="text1"/>
                      <w:kern w:val="2"/>
                      <w:sz w:val="21"/>
                      <w:szCs w:val="21"/>
                      <w:lang w:bidi="ar"/>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符合性分析</w:t>
                  </w:r>
                </w:p>
              </w:tc>
              <w:tc>
                <w:tcPr>
                  <w:tcW w:w="513" w:type="dxa"/>
                  <w:noWrap w:val="0"/>
                  <w:vAlign w:val="center"/>
                </w:tcPr>
                <w:p w14:paraId="3187C230">
                  <w:pPr>
                    <w:pStyle w:val="21"/>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000000" w:themeColor="text1"/>
                      <w:kern w:val="2"/>
                      <w:sz w:val="21"/>
                      <w:szCs w:val="21"/>
                      <w:lang w:bidi="ar"/>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是否</w:t>
                  </w:r>
                </w:p>
                <w:p w14:paraId="4E3438CE">
                  <w:pPr>
                    <w:pStyle w:val="21"/>
                    <w:widowControl w:val="0"/>
                    <w:autoSpaceDE w:val="0"/>
                    <w:autoSpaceDN w:val="0"/>
                    <w:adjustRightInd w:val="0"/>
                    <w:snapToGrid w:val="0"/>
                    <w:spacing w:before="0" w:beforeAutospacing="0" w:after="0" w:afterAutospacing="0"/>
                    <w:jc w:val="center"/>
                    <w:rPr>
                      <w:rFonts w:hint="default" w:ascii="Times New Roman" w:hAnsi="Times New Roman" w:cs="Times New Roman"/>
                      <w:b/>
                      <w:bCs/>
                      <w:color w:val="000000" w:themeColor="text1"/>
                      <w:kern w:val="2"/>
                      <w:sz w:val="21"/>
                      <w:szCs w:val="21"/>
                      <w:lang w:bidi="ar"/>
                      <w14:textFill>
                        <w14:solidFill>
                          <w14:schemeClr w14:val="tx1"/>
                        </w14:solidFill>
                      </w14:textFill>
                    </w:rPr>
                  </w:pPr>
                  <w:r>
                    <w:rPr>
                      <w:rFonts w:hint="default" w:ascii="Times New Roman" w:hAnsi="Times New Roman" w:cs="Times New Roman"/>
                      <w:b/>
                      <w:bCs/>
                      <w:color w:val="000000" w:themeColor="text1"/>
                      <w:kern w:val="2"/>
                      <w:sz w:val="21"/>
                      <w:szCs w:val="21"/>
                      <w:lang w:bidi="ar"/>
                      <w14:textFill>
                        <w14:solidFill>
                          <w14:schemeClr w14:val="tx1"/>
                        </w14:solidFill>
                      </w14:textFill>
                    </w:rPr>
                    <w:t>符合</w:t>
                  </w:r>
                </w:p>
              </w:tc>
            </w:tr>
            <w:tr w14:paraId="40DE0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05" w:type="dxa"/>
                  <w:vMerge w:val="restart"/>
                  <w:noWrap w:val="0"/>
                  <w:vAlign w:val="center"/>
                </w:tcPr>
                <w:p w14:paraId="0DA8A7F0">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沙坡头一般</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管控单元</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1ZH6405023001</w:t>
                  </w:r>
                </w:p>
              </w:tc>
              <w:tc>
                <w:tcPr>
                  <w:tcW w:w="740" w:type="dxa"/>
                  <w:vMerge w:val="restart"/>
                  <w:noWrap w:val="0"/>
                  <w:vAlign w:val="center"/>
                </w:tcPr>
                <w:p w14:paraId="5EDCB9F4">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14:textFill>
                        <w14:solidFill>
                          <w14:schemeClr w14:val="tx1"/>
                        </w14:solidFill>
                      </w14:textFill>
                    </w:rPr>
                    <w:t>宁夏回族自治区</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中卫市沙坡头区</w:t>
                  </w:r>
                </w:p>
              </w:tc>
              <w:tc>
                <w:tcPr>
                  <w:tcW w:w="501" w:type="dxa"/>
                  <w:vMerge w:val="restart"/>
                  <w:noWrap w:val="0"/>
                  <w:vAlign w:val="center"/>
                </w:tcPr>
                <w:p w14:paraId="391C03A8">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水环境一般管控区、大气环境一般管控区</w:t>
                  </w:r>
                </w:p>
              </w:tc>
              <w:tc>
                <w:tcPr>
                  <w:tcW w:w="1347" w:type="dxa"/>
                  <w:noWrap w:val="0"/>
                  <w:vAlign w:val="center"/>
                </w:tcPr>
                <w:p w14:paraId="6EEC1F7C">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空间约束布局</w:t>
                  </w:r>
                </w:p>
              </w:tc>
              <w:tc>
                <w:tcPr>
                  <w:tcW w:w="2500" w:type="dxa"/>
                  <w:noWrap w:val="0"/>
                  <w:vAlign w:val="center"/>
                </w:tcPr>
                <w:p w14:paraId="71D9F33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1.禁止新建项目乱征滥占草地、破坏沙生植被，严格限制在区域内采砂取土。</w:t>
                  </w:r>
                </w:p>
                <w:p w14:paraId="7530006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2.限制无序发展光伏产业。严格限制在农用地优先保护区集中区域新建医药、垃圾焚烧、铅酸蓄电池制造回收、电子废弃物拆解、危险废物处置和危险化学品生产、储存、使用等行业项目。</w:t>
                  </w:r>
                </w:p>
                <w:p w14:paraId="16FECA9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3.在满足产业准入、总量控制、排放标准等国家和地方相关管理制度要求的前提下，集约发展。</w:t>
                  </w:r>
                </w:p>
                <w:p w14:paraId="0D49D85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4.深入推进“散乱污”工业企业整治工作，对不符合国家或自治区产业政策、依法应办理而未办理相关审批或登记手续、违法排污严重的工业企业，限期关停拆除。</w:t>
                  </w:r>
                </w:p>
              </w:tc>
              <w:tc>
                <w:tcPr>
                  <w:tcW w:w="2041" w:type="dxa"/>
                  <w:noWrap w:val="0"/>
                  <w:vAlign w:val="center"/>
                </w:tcPr>
                <w:p w14:paraId="07F9CAF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1.本项目</w:t>
                  </w:r>
                  <w:r>
                    <w:rPr>
                      <w:rFonts w:hint="eastAsia" w:ascii="Times New Roman" w:hAnsi="Times New Roman" w:cs="Times New Roman"/>
                      <w:color w:val="000000" w:themeColor="text1"/>
                      <w:spacing w:val="-6"/>
                      <w:kern w:val="2"/>
                      <w:sz w:val="21"/>
                      <w:szCs w:val="21"/>
                      <w:lang w:val="en-US" w:eastAsia="zh-CN"/>
                      <w14:textFill>
                        <w14:solidFill>
                          <w14:schemeClr w14:val="tx1"/>
                        </w14:solidFill>
                      </w14:textFill>
                    </w:rPr>
                    <w:t>位于中卫市沙坡头区永康镇，占地类型为未利用地，项目不占用草地，项目不涉及采砂取土</w:t>
                  </w: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，对当地植被影响较小；</w:t>
                  </w:r>
                </w:p>
                <w:p w14:paraId="6B745F9D">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2.本项目属于河道治理项目，不属于光伏产业、医药、垃圾焚烧、铅酸蓄电池制造回收、电子废弃物拆解、危险废物处置和危险化学品生产、储存、使用等行业；</w:t>
                  </w:r>
                </w:p>
                <w:p w14:paraId="3B772804">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3.本项目属于河道治理项目，满足当地产业准入等相关要求；</w:t>
                  </w:r>
                </w:p>
                <w:p w14:paraId="6C9A7544">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4.本项目建设单位不属于散乱污企业，且本项目符合</w:t>
                  </w:r>
                  <w:r>
                    <w:rPr>
                      <w:rFonts w:hint="default" w:ascii="Times New Roman" w:hAnsi="Times New Roman" w:eastAsia="宋体" w:cs="Times New Roman"/>
                      <w:color w:val="000000" w:themeColor="text1"/>
                      <w:spacing w:val="-6"/>
                      <w:kern w:val="2"/>
                      <w:sz w:val="21"/>
                      <w:szCs w:val="21"/>
                      <w14:textFill>
                        <w14:solidFill>
                          <w14:schemeClr w14:val="tx1"/>
                        </w14:solidFill>
                      </w14:textFill>
                    </w:rPr>
                    <w:t>国家或自治区产业政策</w:t>
                  </w:r>
                  <w:r>
                    <w:rPr>
                      <w:rFonts w:hint="default" w:ascii="Times New Roman" w:hAnsi="Times New Roman" w:eastAsia="宋体" w:cs="Times New Roman"/>
                      <w:color w:val="000000" w:themeColor="text1"/>
                      <w:spacing w:val="-6"/>
                      <w:kern w:val="2"/>
                      <w:sz w:val="21"/>
                      <w:szCs w:val="21"/>
                      <w:lang w:eastAsia="zh-CN"/>
                      <w14:textFill>
                        <w14:solidFill>
                          <w14:schemeClr w14:val="tx1"/>
                        </w14:solidFill>
                      </w14:textFill>
                    </w:rPr>
                    <w:t>。</w:t>
                  </w:r>
                </w:p>
              </w:tc>
              <w:tc>
                <w:tcPr>
                  <w:tcW w:w="513" w:type="dxa"/>
                  <w:noWrap w:val="0"/>
                  <w:vAlign w:val="center"/>
                </w:tcPr>
                <w:p w14:paraId="64C418C5">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14:textFill>
                        <w14:solidFill>
                          <w14:schemeClr w14:val="tx1"/>
                        </w14:solidFill>
                      </w14:textFill>
                    </w:rPr>
                  </w:pPr>
                  <w:r>
                    <w:rPr>
                      <w:rFonts w:hint="default" w:ascii="Times New Roman" w:hAnsi="Times New Roman" w:eastAsia="宋体" w:cs="Times New Roman"/>
                      <w:color w:val="000000" w:themeColor="text1"/>
                      <w:spacing w:val="-6"/>
                      <w:kern w:val="2"/>
                      <w:sz w:val="21"/>
                      <w:szCs w:val="21"/>
                      <w14:textFill>
                        <w14:solidFill>
                          <w14:schemeClr w14:val="tx1"/>
                        </w14:solidFill>
                      </w14:textFill>
                    </w:rPr>
                    <w:t>符合</w:t>
                  </w:r>
                </w:p>
              </w:tc>
            </w:tr>
            <w:tr w14:paraId="342A8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05" w:type="dxa"/>
                  <w:vMerge w:val="continue"/>
                  <w:noWrap w:val="0"/>
                  <w:vAlign w:val="center"/>
                </w:tcPr>
                <w:p w14:paraId="1492FCDA">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p>
              </w:tc>
              <w:tc>
                <w:tcPr>
                  <w:tcW w:w="740" w:type="dxa"/>
                  <w:vMerge w:val="continue"/>
                  <w:noWrap w:val="0"/>
                  <w:vAlign w:val="center"/>
                </w:tcPr>
                <w:p w14:paraId="26B27E5B">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14:textFill>
                        <w14:solidFill>
                          <w14:schemeClr w14:val="tx1"/>
                        </w14:solidFill>
                      </w14:textFill>
                    </w:rPr>
                  </w:pPr>
                </w:p>
              </w:tc>
              <w:tc>
                <w:tcPr>
                  <w:tcW w:w="501" w:type="dxa"/>
                  <w:vMerge w:val="continue"/>
                  <w:noWrap w:val="0"/>
                  <w:vAlign w:val="center"/>
                </w:tcPr>
                <w:p w14:paraId="1C63B39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p>
              </w:tc>
              <w:tc>
                <w:tcPr>
                  <w:tcW w:w="1347" w:type="dxa"/>
                  <w:noWrap w:val="0"/>
                  <w:vAlign w:val="center"/>
                </w:tcPr>
                <w:p w14:paraId="1A4A2243">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污染物排放管控</w:t>
                  </w:r>
                </w:p>
              </w:tc>
              <w:tc>
                <w:tcPr>
                  <w:tcW w:w="2500" w:type="dxa"/>
                  <w:noWrap w:val="0"/>
                  <w:vAlign w:val="center"/>
                </w:tcPr>
                <w:p w14:paraId="4EBA4602">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p>
              </w:tc>
              <w:tc>
                <w:tcPr>
                  <w:tcW w:w="2041" w:type="dxa"/>
                  <w:noWrap w:val="0"/>
                  <w:vAlign w:val="center"/>
                </w:tcPr>
                <w:p w14:paraId="4737342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p>
              </w:tc>
              <w:tc>
                <w:tcPr>
                  <w:tcW w:w="513" w:type="dxa"/>
                  <w:noWrap w:val="0"/>
                  <w:vAlign w:val="center"/>
                </w:tcPr>
                <w:p w14:paraId="7B0CED9F">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p>
              </w:tc>
            </w:tr>
            <w:tr w14:paraId="37684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05" w:type="dxa"/>
                  <w:vMerge w:val="continue"/>
                  <w:noWrap w:val="0"/>
                  <w:vAlign w:val="center"/>
                </w:tcPr>
                <w:p w14:paraId="7C31CFD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p>
              </w:tc>
              <w:tc>
                <w:tcPr>
                  <w:tcW w:w="740" w:type="dxa"/>
                  <w:vMerge w:val="continue"/>
                  <w:noWrap w:val="0"/>
                  <w:vAlign w:val="center"/>
                </w:tcPr>
                <w:p w14:paraId="2DDB6BA8">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14:textFill>
                        <w14:solidFill>
                          <w14:schemeClr w14:val="tx1"/>
                        </w14:solidFill>
                      </w14:textFill>
                    </w:rPr>
                  </w:pPr>
                </w:p>
              </w:tc>
              <w:tc>
                <w:tcPr>
                  <w:tcW w:w="501" w:type="dxa"/>
                  <w:vMerge w:val="continue"/>
                  <w:noWrap w:val="0"/>
                  <w:vAlign w:val="center"/>
                </w:tcPr>
                <w:p w14:paraId="2EAC605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p>
              </w:tc>
              <w:tc>
                <w:tcPr>
                  <w:tcW w:w="1347" w:type="dxa"/>
                  <w:noWrap w:val="0"/>
                  <w:vAlign w:val="center"/>
                </w:tcPr>
                <w:p w14:paraId="11817297">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环境风险防控</w:t>
                  </w:r>
                </w:p>
              </w:tc>
              <w:tc>
                <w:tcPr>
                  <w:tcW w:w="2500" w:type="dxa"/>
                  <w:noWrap w:val="0"/>
                  <w:vAlign w:val="center"/>
                </w:tcPr>
                <w:p w14:paraId="3540CE1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p>
              </w:tc>
              <w:tc>
                <w:tcPr>
                  <w:tcW w:w="2041" w:type="dxa"/>
                  <w:noWrap w:val="0"/>
                  <w:vAlign w:val="center"/>
                </w:tcPr>
                <w:p w14:paraId="55FE4639">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p>
              </w:tc>
              <w:tc>
                <w:tcPr>
                  <w:tcW w:w="513" w:type="dxa"/>
                  <w:noWrap w:val="0"/>
                  <w:vAlign w:val="center"/>
                </w:tcPr>
                <w:p w14:paraId="4AAF9431">
                  <w:pPr>
                    <w:pStyle w:val="21"/>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t>/</w:t>
                  </w:r>
                </w:p>
              </w:tc>
            </w:tr>
            <w:tr w14:paraId="26443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05" w:type="dxa"/>
                  <w:vMerge w:val="continue"/>
                  <w:noWrap w:val="0"/>
                  <w:vAlign w:val="center"/>
                </w:tcPr>
                <w:p w14:paraId="39D3B142">
                  <w:pPr>
                    <w:pStyle w:val="21"/>
                    <w:widowControl w:val="0"/>
                    <w:autoSpaceDE w:val="0"/>
                    <w:autoSpaceDN w:val="0"/>
                    <w:spacing w:before="0" w:beforeAutospacing="0" w:line="300" w:lineRule="exact"/>
                    <w:jc w:val="center"/>
                    <w:rPr>
                      <w:rFonts w:hint="default" w:ascii="Times New Roman" w:hAnsi="Times New Roman" w:cs="Times New Roman"/>
                      <w:color w:val="000000" w:themeColor="text1"/>
                      <w:kern w:val="2"/>
                      <w:sz w:val="21"/>
                      <w:szCs w:val="21"/>
                      <w:lang w:val="en-US" w:eastAsia="zh-CN" w:bidi="ar"/>
                      <w14:textFill>
                        <w14:solidFill>
                          <w14:schemeClr w14:val="tx1"/>
                        </w14:solidFill>
                      </w14:textFill>
                    </w:rPr>
                  </w:pPr>
                </w:p>
              </w:tc>
              <w:tc>
                <w:tcPr>
                  <w:tcW w:w="740" w:type="dxa"/>
                  <w:vMerge w:val="continue"/>
                  <w:noWrap w:val="0"/>
                  <w:vAlign w:val="center"/>
                </w:tcPr>
                <w:p w14:paraId="40E09512">
                  <w:pPr>
                    <w:pStyle w:val="21"/>
                    <w:widowControl w:val="0"/>
                    <w:autoSpaceDE w:val="0"/>
                    <w:autoSpaceDN w:val="0"/>
                    <w:spacing w:before="0" w:beforeAutospacing="0" w:line="300" w:lineRule="exact"/>
                    <w:jc w:val="center"/>
                    <w:rPr>
                      <w:rFonts w:hint="default" w:ascii="Times New Roman" w:hAnsi="Times New Roman" w:cs="Times New Roman"/>
                      <w:color w:val="000000" w:themeColor="text1"/>
                      <w:kern w:val="2"/>
                      <w:sz w:val="21"/>
                      <w:szCs w:val="21"/>
                      <w:lang w:bidi="ar"/>
                      <w14:textFill>
                        <w14:solidFill>
                          <w14:schemeClr w14:val="tx1"/>
                        </w14:solidFill>
                      </w14:textFill>
                    </w:rPr>
                  </w:pPr>
                </w:p>
              </w:tc>
              <w:tc>
                <w:tcPr>
                  <w:tcW w:w="501" w:type="dxa"/>
                  <w:vMerge w:val="continue"/>
                  <w:noWrap w:val="0"/>
                  <w:vAlign w:val="center"/>
                </w:tcPr>
                <w:p w14:paraId="65D062BE">
                  <w:pPr>
                    <w:pStyle w:val="21"/>
                    <w:widowControl w:val="0"/>
                    <w:autoSpaceDE w:val="0"/>
                    <w:autoSpaceDN w:val="0"/>
                    <w:spacing w:before="0" w:beforeAutospacing="0" w:line="300" w:lineRule="exact"/>
                    <w:jc w:val="center"/>
                    <w:rPr>
                      <w:rFonts w:hint="default" w:ascii="Times New Roman" w:hAnsi="Times New Roman" w:cs="Times New Roman"/>
                      <w:color w:val="000000" w:themeColor="text1"/>
                      <w:kern w:val="2"/>
                      <w:sz w:val="21"/>
                      <w:szCs w:val="21"/>
                      <w:lang w:val="en-US" w:eastAsia="zh-CN"/>
                      <w14:textFill>
                        <w14:solidFill>
                          <w14:schemeClr w14:val="tx1"/>
                        </w14:solidFill>
                      </w14:textFill>
                    </w:rPr>
                  </w:pPr>
                </w:p>
              </w:tc>
              <w:tc>
                <w:tcPr>
                  <w:tcW w:w="1347" w:type="dxa"/>
                  <w:noWrap w:val="0"/>
                  <w:vAlign w:val="center"/>
                </w:tcPr>
                <w:p w14:paraId="61EF53FC">
                  <w:pPr>
                    <w:pStyle w:val="21"/>
                    <w:widowControl w:val="0"/>
                    <w:autoSpaceDE w:val="0"/>
                    <w:autoSpaceDN w:val="0"/>
                    <w:adjustRightInd w:val="0"/>
                    <w:snapToGrid w:val="0"/>
                    <w:spacing w:before="0" w:beforeAutospacing="0" w:after="0" w:afterAutospacing="0"/>
                    <w:jc w:val="cente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kern w:val="2"/>
                      <w:sz w:val="21"/>
                      <w:szCs w:val="21"/>
                      <w:lang w:val="en-US" w:eastAsia="zh-CN"/>
                      <w14:textFill>
                        <w14:solidFill>
                          <w14:schemeClr w14:val="tx1"/>
                        </w14:solidFill>
                      </w14:textFill>
                    </w:rPr>
                    <w:t>资源开发效率要求</w:t>
                  </w:r>
                </w:p>
              </w:tc>
              <w:tc>
                <w:tcPr>
                  <w:tcW w:w="2500" w:type="dxa"/>
                  <w:noWrap w:val="0"/>
                  <w:vAlign w:val="center"/>
                </w:tcPr>
                <w:p w14:paraId="2F1024CB">
                  <w:pPr>
                    <w:pStyle w:val="21"/>
                    <w:widowControl w:val="0"/>
                    <w:autoSpaceDE w:val="0"/>
                    <w:autoSpaceDN w:val="0"/>
                    <w:spacing w:before="0" w:beforeAutospacing="0" w:line="280" w:lineRule="exact"/>
                    <w:jc w:val="cente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kern w:val="2"/>
                      <w:sz w:val="21"/>
                      <w:szCs w:val="21"/>
                      <w:lang w:val="en-US" w:eastAsia="zh-CN"/>
                      <w14:textFill>
                        <w14:solidFill>
                          <w14:schemeClr w14:val="tx1"/>
                        </w14:solidFill>
                      </w14:textFill>
                    </w:rPr>
                    <w:t>/</w:t>
                  </w:r>
                </w:p>
              </w:tc>
              <w:tc>
                <w:tcPr>
                  <w:tcW w:w="2041" w:type="dxa"/>
                  <w:noWrap w:val="0"/>
                  <w:vAlign w:val="center"/>
                </w:tcPr>
                <w:p w14:paraId="61B6E89D">
                  <w:pPr>
                    <w:pStyle w:val="21"/>
                    <w:widowControl w:val="0"/>
                    <w:numPr>
                      <w:ilvl w:val="0"/>
                      <w:numId w:val="0"/>
                    </w:numPr>
                    <w:autoSpaceDE w:val="0"/>
                    <w:autoSpaceDN w:val="0"/>
                    <w:spacing w:before="0" w:beforeAutospacing="0" w:line="280" w:lineRule="exact"/>
                    <w:jc w:val="center"/>
                    <w:rPr>
                      <w:rFonts w:hint="default" w:ascii="Times New Roman" w:hAnsi="Times New Roman" w:eastAsia="宋体" w:cs="Times New Roman"/>
                      <w:color w:val="000000" w:themeColor="text1"/>
                      <w:spacing w:val="-6"/>
                      <w:kern w:val="2"/>
                      <w:sz w:val="21"/>
                      <w:szCs w:val="21"/>
                      <w:lang w:val="en-US" w:eastAsia="zh-CN"/>
                      <w14:textFill>
                        <w14:solidFill>
                          <w14:schemeClr w14:val="tx1"/>
                        </w14:solidFill>
                      </w14:textFill>
                    </w:rPr>
                  </w:pPr>
                  <w:r>
                    <w:rPr>
                      <w:rFonts w:hint="default" w:ascii="Times New Roman" w:hAnsi="Times New Roman" w:cs="Times New Roman"/>
                      <w:color w:val="000000" w:themeColor="text1"/>
                      <w:spacing w:val="-6"/>
                      <w:kern w:val="2"/>
                      <w:sz w:val="21"/>
                      <w:szCs w:val="21"/>
                      <w:lang w:val="en-US" w:eastAsia="zh-CN"/>
                      <w14:textFill>
                        <w14:solidFill>
                          <w14:schemeClr w14:val="tx1"/>
                        </w14:solidFill>
                      </w14:textFill>
                    </w:rPr>
                    <w:t>/</w:t>
                  </w:r>
                </w:p>
              </w:tc>
              <w:tc>
                <w:tcPr>
                  <w:tcW w:w="513" w:type="dxa"/>
                  <w:noWrap w:val="0"/>
                  <w:vAlign w:val="center"/>
                </w:tcPr>
                <w:p w14:paraId="0CCC9614">
                  <w:pPr>
                    <w:pStyle w:val="21"/>
                    <w:widowControl w:val="0"/>
                    <w:autoSpaceDE w:val="0"/>
                    <w:autoSpaceDN w:val="0"/>
                    <w:spacing w:before="0" w:beforeAutospacing="0" w:line="300" w:lineRule="exact"/>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w:t>
                  </w:r>
                </w:p>
              </w:tc>
            </w:tr>
          </w:tbl>
          <w:p w14:paraId="23DDEEC4">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综上所述，项目的建设符合中卫市生态环境分区管控</w:t>
            </w:r>
            <w:r>
              <w:rPr>
                <w:rFonts w:hint="eastAsia"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及准入清单</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相关要求。</w:t>
            </w:r>
          </w:p>
          <w:p w14:paraId="0E119BCA">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3、项目与相关规划符合性分析</w:t>
            </w:r>
          </w:p>
          <w:p w14:paraId="517659F6">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（1）与《宁夏回族自治区水生态环境保护“十四五”规划》符合性分析</w:t>
            </w:r>
          </w:p>
          <w:p w14:paraId="571332F1">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根据《宁夏回族自治区水生态环境保护“十四五”规划》（2022年1月）中第二十七节“建设黄河生态经济带”中提出构建沿黄绿色生态廊道：把黄河生态系统作为一个有机整体，统筹河道水域、岸线和滩区生态建设，推进黄河生态修复，实施黄河宁夏段河道治理，打造集</w:t>
            </w:r>
            <w:r>
              <w:rPr>
                <w:rFonts w:hint="default" w:ascii="Times New Roman" w:hAnsi="Times New Roman" w:cs="Times New Roman" w:eastAsiaTheme="minorEastAsia"/>
                <w:b/>
                <w:bCs/>
                <w:color w:val="000000" w:themeColor="text1"/>
                <w:sz w:val="24"/>
                <w:szCs w:val="20"/>
                <w:highlight w:val="none"/>
                <w:lang w:val="en-US" w:eastAsia="zh-CN" w:bidi="en-US"/>
                <w14:textFill>
                  <w14:solidFill>
                    <w14:schemeClr w14:val="tx1"/>
                  </w14:solidFill>
                </w14:textFill>
              </w:rPr>
              <w:t>防洪护岸</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、水源涵养、生物栖息等功能为一体的沿黄绿色生态廊道河道两岸湿地生态系统，科学推进河湖湿地水系连通，加强黄河水生生物多样性保护。</w:t>
            </w:r>
          </w:p>
          <w:p w14:paraId="7AA320CC">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本项目属于河道治理项目，</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主要进行边坡砌护及沟道清淤，建成后可提升沟道抗风险能力，符合</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《宁夏回族自治区水生态环境保护“十四五”规划》</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中的防洪护岸要求</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。因此，本项目实施符合《宁夏回族自治区水生态环境保护“十四五”规划》（2022年1月）相关要求。</w:t>
            </w:r>
          </w:p>
          <w:p w14:paraId="6011581C">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仿宋_GB2312"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与《中卫市水生态环境保护“十四五”规划》符合性分析</w:t>
            </w:r>
          </w:p>
          <w:p w14:paraId="6B6563D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根据《中卫市水生态环境保护“十四五”规划》中第七节（二）构建沿黄绿色生态廊道。推进黄河滩区生态修复，实施黄河宁夏段河道治理，打造集</w:t>
            </w:r>
            <w:r>
              <w:rPr>
                <w:rFonts w:hint="default" w:ascii="Times New Roman" w:hAnsi="Times New Roman" w:cs="Times New Roman" w:eastAsiaTheme="minorEastAsia"/>
                <w:b/>
                <w:bCs/>
                <w:color w:val="000000" w:themeColor="text1"/>
                <w:sz w:val="24"/>
                <w:szCs w:val="20"/>
                <w:highlight w:val="none"/>
                <w:lang w:val="en-US" w:eastAsia="zh-CN" w:bidi="en-US"/>
                <w14:textFill>
                  <w14:solidFill>
                    <w14:schemeClr w14:val="tx1"/>
                  </w14:solidFill>
                </w14:textFill>
              </w:rPr>
              <w:t>防洪护岸</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、水源涵养、生物栖息等功能为一体的沿黄绿色生态廊道。完善河道两岸湿地生态系统，科学推进河湖湿地水系连通，加强黄河水生生物多样性保护。</w:t>
            </w:r>
          </w:p>
          <w:p w14:paraId="7C3D5DCB">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主要对三个窑沟进行</w:t>
            </w:r>
            <w:r>
              <w:rPr>
                <w:rFonts w:hint="eastAsia" w:cs="Times New Roman"/>
                <w:color w:val="000000" w:themeColor="text1"/>
                <w:kern w:val="0"/>
                <w:sz w:val="24"/>
                <w:szCs w:val="24"/>
                <w:highlight w:val="none"/>
                <w:lang w:val="en-US" w:eastAsia="zh-CN" w:bidi="ar-SA"/>
                <w14:textFill>
                  <w14:solidFill>
                    <w14:schemeClr w14:val="tx1"/>
                  </w14:solidFill>
                </w14:textFill>
              </w:rPr>
              <w:t>边坡砌护、沟道清淤，</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消除了洪水翻堤威胁，保护两岸耕地安全</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提高沟道抗风险能力，符合</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《中卫市水生态环境保护“十四五”规划》</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中的防洪护岸要求</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。因此，本项目符合《中卫市水生态环境保护“十四五”规划》相关</w:t>
            </w:r>
            <w:r>
              <w:rPr>
                <w:color w:val="000000" w:themeColor="text1"/>
                <w:kern w:val="0"/>
                <w:sz w:val="24"/>
                <w14:textFill>
                  <w14:solidFill>
                    <w14:schemeClr w14:val="tx1"/>
                  </w14:solidFill>
                </w14:textFill>
              </w:rPr>
              <w:t>要求。</w:t>
            </w:r>
          </w:p>
          <w:p w14:paraId="24B4417C">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仿宋_GB2312" w:cs="Times New Roman"/>
                <w:color w:val="000000" w:themeColor="text1"/>
                <w:kern w:val="0"/>
                <w:sz w:val="24"/>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与《黄河流域生态保护和高质量发展规划纲要》符合性分析</w:t>
            </w:r>
          </w:p>
          <w:p w14:paraId="2C66CDF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根据《黄河流域生态保护和高质量发展规划纲要》中第七</w:t>
            </w:r>
            <w:r>
              <w:rPr>
                <w:rFonts w:hint="eastAsia"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章第二节、有效提升防洪能力：实施河道和滩区综合提升治理工程，增强防洪能力，确保堤防不决口。加快河段控导工程续建加固，加强险工险段和薄弱堤防治理，提升主槽排洪输沙功能，有效控制游荡性河段河势。开展下游“二级悬河”治理，降低黄河大堤安全风险。加快推进宁蒙等河段堤防工程达标。统筹黄河干支流防洪体系建设，加强黑河、白河、湟水河、洮河、渭河、汾河、沁河等重点支流防洪安全，联防联控暴雨等引发的突发性洪水。加强黄淮海流域防洪体系协同，优化沿黄蓄滞洪区、防洪水库、排涝泵站等建设布局，提高防洪避险能力。以防洪为前提规范蓄滞洪区各类开发建设活动并控制人口规模。建立应对凌汛长效机制，强化上中游水库防凌联合调度，发挥应急分凌区作用，确保防凌安全。实施病险水库除险加固，消除安全隐患。</w:t>
            </w:r>
          </w:p>
          <w:p w14:paraId="36688682">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eastAsia" w:cs="Times New Roman" w:eastAsiaTheme="minorEastAsia"/>
                <w:color w:val="000000" w:themeColor="text1"/>
                <w:sz w:val="24"/>
                <w:szCs w:val="20"/>
                <w:highlight w:val="none"/>
                <w:lang w:val="en-US" w:eastAsia="zh-CN" w:bidi="en-US"/>
                <w14:textFill>
                  <w14:solidFill>
                    <w14:schemeClr w14:val="tx1"/>
                  </w14:solidFill>
                </w14:textFill>
              </w:rPr>
              <w:t>本项目为河道治理项目，主要对三个窑沟进行边坡砌护及沟道清淤，项目建成后能够提升沟道防洪能力，降低沟道决口机率，符合</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《黄河流域生态保护和高质量发展规划纲要》</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中“</w:t>
            </w:r>
            <w:r>
              <w:rPr>
                <w:rFonts w:hint="eastAsia"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实施河道和滩区综合提升治理工程，增强防洪能力，确保堤防不决口</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”要求，因此，本项目符合</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《黄河流域生态保护和高质量发展规划纲要》</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相关要求。</w:t>
            </w:r>
          </w:p>
          <w:p w14:paraId="694D0DF5">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eastAsia" w:ascii="Times New Roman" w:hAnsi="Times New Roman" w:eastAsia="仿宋_GB2312" w:cs="Times New Roman"/>
                <w:color w:val="000000" w:themeColor="text1"/>
                <w:kern w:val="0"/>
                <w:sz w:val="24"/>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与《黄河生态保护治理攻坚战行动方案》符合性分析</w:t>
            </w:r>
          </w:p>
          <w:p w14:paraId="497D639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eastAsia"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根据《黄河生态保护治理攻坚战行动方案》</w:t>
            </w:r>
            <w:r>
              <w:rPr>
                <w:rFonts w:hint="eastAsia"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五）生态保护修复行动：加强中游水土流失治理。以小流域为单元，大力推进水土保持重点工程建设。以多沙粗沙区为重点，建设高标准淤地坝。以窟野河、无定河、黄甫川、孤山川等粗泥沙集中来源区为重点，实施粗泥沙拦沙工程，有效减少下游粗泥沙淤积。以陇东董志塬、晋西太德塬、陕北洛川塬、关中渭北台塬等高塬沟壑区为重点，实施黄土高原固沟保塬项目。以黄土丘陵沟壑区、黄土高塬沟壑区为重点，建设高标准旱作梯田。加强病险淤地坝除险加固，提升改造老旧淤地坝、梯田。因地制宜推进林草植被建设。打造一批生态清洁小流域。加强黄河中游生态气象监测评估和预报预警服务。到2025年，新增水土流失治理200万公顷。</w:t>
            </w:r>
          </w:p>
          <w:p w14:paraId="3B200AD7">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cs="Times New Roman" w:eastAsiaTheme="minorEastAsia"/>
                <w:color w:val="000000" w:themeColor="text1"/>
                <w:sz w:val="24"/>
                <w:szCs w:val="20"/>
                <w:highlight w:val="none"/>
                <w:lang w:val="en-US" w:eastAsia="zh-CN" w:bidi="en-US"/>
                <w14:textFill>
                  <w14:solidFill>
                    <w14:schemeClr w14:val="tx1"/>
                  </w14:solidFill>
                </w14:textFill>
              </w:rPr>
            </w:pPr>
            <w:r>
              <w:rPr>
                <w:rFonts w:hint="eastAsia" w:cs="Times New Roman" w:eastAsiaTheme="minorEastAsia"/>
                <w:color w:val="000000" w:themeColor="text1"/>
                <w:sz w:val="24"/>
                <w:szCs w:val="20"/>
                <w:highlight w:val="none"/>
                <w:lang w:val="en-US" w:eastAsia="zh-CN" w:bidi="en-US"/>
                <w14:textFill>
                  <w14:solidFill>
                    <w14:schemeClr w14:val="tx1"/>
                  </w14:solidFill>
                </w14:textFill>
              </w:rPr>
              <w:t>本项目为河道治理项目，主要进行边坡砌护及沟道清淤，项目建成后可提高沟道抗风险能力，符合</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《黄河生态保护治理攻坚战行动方案》</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中“</w:t>
            </w:r>
            <w:r>
              <w:rPr>
                <w:rFonts w:hint="eastAsia"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加强病险淤地坝除险加固</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”要求，因此本项目符合</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《黄河生态保护治理攻坚战行动方案》</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相关要求。</w:t>
            </w:r>
          </w:p>
          <w:p w14:paraId="59BC4A98">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eastAsia" w:cs="Times New Roman" w:eastAsiaTheme="minorEastAsia"/>
                <w:color w:val="000000" w:themeColor="text1"/>
                <w:sz w:val="24"/>
                <w:szCs w:val="20"/>
                <w:highlight w:val="none"/>
                <w:lang w:val="en-US" w:eastAsia="zh-CN" w:bidi="en-US"/>
                <w14:textFill>
                  <w14:solidFill>
                    <w14:schemeClr w14:val="tx1"/>
                  </w14:solidFill>
                </w14:textFill>
              </w:rPr>
              <w:t>（5）与《宁夏黄河流域生态保护污染治理规划》（宁环发〔2022〕45号）</w:t>
            </w:r>
          </w:p>
          <w:p w14:paraId="4180ACB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eastAsia"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eastAsia" w:cs="Times New Roman" w:eastAsiaTheme="minorEastAsia"/>
                <w:color w:val="000000" w:themeColor="text1"/>
                <w:sz w:val="24"/>
                <w:szCs w:val="20"/>
                <w:highlight w:val="none"/>
                <w:lang w:val="en-US" w:eastAsia="zh-CN" w:bidi="en-US"/>
                <w14:textFill>
                  <w14:solidFill>
                    <w14:schemeClr w14:val="tx1"/>
                  </w14:solidFill>
                </w14:textFill>
              </w:rPr>
              <w:t>根据《宁夏黄河流域生态保护污染治理规划》（宁环发〔2022〕45号）中三、加强源头治理，全面提升绿色发展水平：</w:t>
            </w:r>
            <w:r>
              <w:rPr>
                <w:rFonts w:hint="eastAsia"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落实国家区域发展战略部署。开展高污染企业排查整治，优化沿黄地区产业布局,依法依规分类推进关停取缔、整合搬迁、提升改造。主动适应气候变化，培育沿黄城市带，推进黄河“几”字湾都市圈一体化进程。保护河湖生态岸线，严禁在黄河干流及主要支流1公里范围内新建“两高一资”项目及相关产业园区，沿黄干流1公里范围内高耗水、高污染企业分期分批迁入合规园区，守卫“塞上江南”。按照“一县一区，每个开发区原则上不超过3个区块”原则，继续推进工业园区整合优化。</w:t>
            </w:r>
          </w:p>
          <w:p w14:paraId="5461CC80">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eastAsia" w:cs="Times New Roman" w:eastAsiaTheme="minorEastAsia"/>
                <w:color w:val="000000" w:themeColor="text1"/>
                <w:sz w:val="24"/>
                <w:szCs w:val="20"/>
                <w:highlight w:val="none"/>
                <w:lang w:val="en-US" w:eastAsia="zh-CN" w:bidi="en-US"/>
                <w14:textFill>
                  <w14:solidFill>
                    <w14:schemeClr w14:val="tx1"/>
                  </w14:solidFill>
                </w14:textFill>
              </w:rPr>
              <w:t>本项目属于沟道治理项目，主要进行边坡砌护及沟道清淤，项目距离黄河最近距离为157m，本项目不属于“两资一高”项目及相关产业园区，建设单位不属于高耗水、高污染企业。项目施工期间需合理处置固体废物，严禁污水、固体废物进入黄河，因此本项目符合《宁夏黄河流域生态保护污染治理规划》相关要求。</w:t>
            </w:r>
          </w:p>
          <w:p w14:paraId="47A19A0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43D8F318">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1A718E99">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2A0968DF">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237AF58C">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154EB6CB">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72BDBDD2">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161E5041">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52CDB0D2">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p>
          <w:p w14:paraId="56087A0B">
            <w:pPr>
              <w:keepNext w:val="0"/>
              <w:keepLines w:val="0"/>
              <w:pageBreakBefore w:val="0"/>
              <w:kinsoku/>
              <w:wordWrap/>
              <w:topLinePunct w:val="0"/>
              <w:autoSpaceDE w:val="0"/>
              <w:autoSpaceDN w:val="0"/>
              <w:bidi w:val="0"/>
              <w:adjustRightInd w:val="0"/>
              <w:spacing w:line="360" w:lineRule="auto"/>
              <w:ind w:firstLine="480" w:firstLineChars="200"/>
              <w:textAlignment w:val="auto"/>
              <w:rPr>
                <w:rFonts w:hint="default" w:ascii="Times New Roman" w:hAnsi="Times New Roman" w:eastAsia="仿宋_GB2312" w:cs="Times New Roman"/>
                <w:color w:val="000000" w:themeColor="text1"/>
                <w:kern w:val="0"/>
                <w:sz w:val="24"/>
                <w:highlight w:val="none"/>
                <w:lang w:val="en-US" w:eastAsia="zh-CN"/>
                <w14:textFill>
                  <w14:solidFill>
                    <w14:schemeClr w14:val="tx1"/>
                  </w14:solidFill>
                </w14:textFill>
              </w:rPr>
            </w:pPr>
          </w:p>
        </w:tc>
      </w:tr>
    </w:tbl>
    <w:p w14:paraId="5F2BC172">
      <w:pPr>
        <w:spacing w:line="360" w:lineRule="auto"/>
        <w:outlineLvl w:val="0"/>
        <w:rPr>
          <w:rFonts w:hint="default" w:ascii="Times New Roman" w:hAnsi="Times New Roman" w:eastAsia="黑体" w:cs="Times New Roman"/>
          <w:color w:val="000000" w:themeColor="text1"/>
          <w:sz w:val="30"/>
          <w:highlight w:val="none"/>
          <w14:textFill>
            <w14:solidFill>
              <w14:schemeClr w14:val="tx1"/>
            </w14:solidFill>
          </w14:textFill>
        </w:rPr>
        <w:sectPr>
          <w:footerReference r:id="rId6" w:type="default"/>
          <w:pgSz w:w="11906" w:h="16838"/>
          <w:pgMar w:top="1701" w:right="1417" w:bottom="1701"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2C7D0C3E">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二、建设</w:t>
      </w:r>
      <w:r>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t>内容</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85"/>
        <w:gridCol w:w="8558"/>
      </w:tblGrid>
      <w:tr w14:paraId="5128989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911" w:hRule="atLeast"/>
          <w:jc w:val="center"/>
        </w:trPr>
        <w:tc>
          <w:tcPr>
            <w:tcW w:w="485" w:type="dxa"/>
            <w:tcBorders>
              <w:tl2br w:val="nil"/>
              <w:tr2bl w:val="nil"/>
            </w:tcBorders>
            <w:vAlign w:val="center"/>
          </w:tcPr>
          <w:p w14:paraId="155932C3">
            <w:pPr>
              <w:pStyle w:val="21"/>
              <w:adjustRightInd w:val="0"/>
              <w:snapToGrid w:val="0"/>
              <w:spacing w:before="0" w:beforeAutospacing="0" w:after="0" w:afterAutospacing="0"/>
              <w:jc w:val="center"/>
              <w:rPr>
                <w:rFonts w:hint="default" w:ascii="Times New Roman" w:hAnsi="Times New Roman" w:eastAsia="宋体" w:cs="Times New Roman"/>
                <w:b/>
                <w:bCs/>
                <w:color w:val="000000" w:themeColor="text1"/>
                <w:szCs w:val="24"/>
                <w:highlight w:val="none"/>
                <w:lang w:eastAsia="zh-CN"/>
                <w14:textFill>
                  <w14:solidFill>
                    <w14:schemeClr w14:val="tx1"/>
                  </w14:solidFill>
                </w14:textFill>
              </w:rPr>
            </w:pPr>
            <w:r>
              <w:rPr>
                <w:rFonts w:hint="default" w:ascii="Times New Roman" w:hAnsi="Times New Roman" w:cs="Times New Roman"/>
                <w:b/>
                <w:bCs/>
                <w:color w:val="000000" w:themeColor="text1"/>
                <w:szCs w:val="24"/>
                <w:highlight w:val="none"/>
                <w:lang w:eastAsia="zh-CN"/>
                <w14:textFill>
                  <w14:solidFill>
                    <w14:schemeClr w14:val="tx1"/>
                  </w14:solidFill>
                </w14:textFill>
              </w:rPr>
              <w:t>地理位置</w:t>
            </w:r>
          </w:p>
        </w:tc>
        <w:tc>
          <w:tcPr>
            <w:tcW w:w="8558" w:type="dxa"/>
            <w:tcBorders>
              <w:tl2br w:val="nil"/>
              <w:tr2bl w:val="nil"/>
            </w:tcBorders>
          </w:tcPr>
          <w:p w14:paraId="288E02D0">
            <w:pPr>
              <w:keepNext w:val="0"/>
              <w:keepLines w:val="0"/>
              <w:pageBreakBefore w:val="0"/>
              <w:kinsoku/>
              <w:wordWrap/>
              <w:topLinePunct w:val="0"/>
              <w:bidi w:val="0"/>
              <w:snapToGrid w:val="0"/>
              <w:spacing w:line="360" w:lineRule="auto"/>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本项目位于</w:t>
            </w:r>
            <w:r>
              <w:rPr>
                <w:rFonts w:hint="default" w:ascii="Times New Roman" w:hAnsi="Times New Roman" w:cs="Times New Roman" w:eastAsiaTheme="minorEastAsia"/>
                <w:color w:val="000000" w:themeColor="text1"/>
                <w:sz w:val="24"/>
                <w:szCs w:val="24"/>
                <w:highlight w:val="none"/>
                <w:lang w:val="en-US" w:eastAsia="zh-CN" w:bidi="en-US"/>
                <w14:textFill>
                  <w14:solidFill>
                    <w14:schemeClr w14:val="tx1"/>
                  </w14:solidFill>
                </w14:textFill>
              </w:rPr>
              <w:t>宁夏回族自治区中卫市沙坡头区，</w:t>
            </w:r>
            <w:r>
              <w:rPr>
                <w:rFonts w:hint="eastAsia" w:ascii="Times New Roman" w:hAnsi="Times New Roman" w:cs="Times New Roman" w:eastAsiaTheme="minorEastAsia"/>
                <w:color w:val="000000" w:themeColor="text1"/>
                <w:sz w:val="24"/>
                <w:szCs w:val="24"/>
                <w:highlight w:val="none"/>
                <w:lang w:val="en-US" w:eastAsia="zh-CN" w:bidi="en-US"/>
                <w14:textFill>
                  <w14:solidFill>
                    <w14:schemeClr w14:val="tx1"/>
                  </w14:solidFill>
                </w14:textFill>
              </w:rPr>
              <w:t>项目共分为三段，</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起点坐标：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E105°13′38.519″，N37°27′57.420″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终点坐标：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E105°13′30.948″，N37°25′6.224″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起点坐标：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E105°13′27.163″，N37°27′33.396″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终点坐标：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E105°13′28.090″，N37°27′36.332″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起点坐标：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E105°13′53.891″，N37°26′2.399″</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终点坐标：</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E105°13′47.556″，N37°26′19.857″</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监测站中心坐标：105°13′35.042″，37°28′7.539″。</w:t>
            </w:r>
            <w:r>
              <w:rPr>
                <w:rStyle w:val="31"/>
                <w:rFonts w:hint="eastAsia" w:eastAsiaTheme="minorEastAsia"/>
                <w:color w:val="000000" w:themeColor="text1"/>
                <w:sz w:val="24"/>
                <w:szCs w:val="20"/>
                <w:lang w:val="en-US" w:eastAsia="zh-CN" w:bidi="en-US"/>
                <w14:textFill>
                  <w14:solidFill>
                    <w14:schemeClr w14:val="tx1"/>
                  </w14:solidFill>
                </w14:textFill>
              </w:rPr>
              <w:t>本项目对三个窑沟其中的三段进行河道清淤及边坡砌护，项目北侧157m处为黄河，项目两侧多为农田，河道清淤段西侧39m处为杨滩村，边坡砌护段西侧622m处为永乐村、东北侧576m处为阳沟村。</w:t>
            </w:r>
          </w:p>
          <w:p w14:paraId="44572F9E">
            <w:pPr>
              <w:keepNext w:val="0"/>
              <w:keepLines w:val="0"/>
              <w:pageBreakBefore w:val="0"/>
              <w:kinsoku/>
              <w:wordWrap/>
              <w:topLinePunct w:val="0"/>
              <w:bidi w:val="0"/>
              <w:snapToGrid w:val="0"/>
              <w:spacing w:line="360" w:lineRule="auto"/>
              <w:ind w:firstLine="480" w:firstLineChars="200"/>
              <w:jc w:val="both"/>
              <w:textAlignment w:val="auto"/>
              <w:rPr>
                <w:rFonts w:hint="default" w:ascii="Times New Roman" w:hAnsi="Times New Roman" w:eastAsia="仿宋_GB2312" w:cs="Times New Roman"/>
                <w:bCs/>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bidi="en-US"/>
                <w14:textFill>
                  <w14:solidFill>
                    <w14:schemeClr w14:val="tx1"/>
                  </w14:solidFill>
                </w14:textFill>
              </w:rPr>
              <w:t>本项目与中卫市沙坡头区行政区划位置关系见图2-1，本项目地理位置及周边环境</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关系见图2-2。</w:t>
            </w:r>
          </w:p>
        </w:tc>
      </w:tr>
      <w:tr w14:paraId="5D1BDC6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298" w:hRule="atLeast"/>
          <w:jc w:val="center"/>
        </w:trPr>
        <w:tc>
          <w:tcPr>
            <w:tcW w:w="485" w:type="dxa"/>
            <w:tcBorders>
              <w:tl2br w:val="nil"/>
              <w:tr2bl w:val="nil"/>
            </w:tcBorders>
            <w:vAlign w:val="center"/>
          </w:tcPr>
          <w:p w14:paraId="3B00DB08">
            <w:pPr>
              <w:pStyle w:val="21"/>
              <w:adjustRightInd w:val="0"/>
              <w:snapToGrid w:val="0"/>
              <w:spacing w:before="0" w:beforeAutospacing="0" w:after="0" w:afterAutospacing="0"/>
              <w:jc w:val="center"/>
              <w:rPr>
                <w:rFonts w:hint="default" w:ascii="Times New Roman" w:hAnsi="Times New Roman" w:eastAsia="仿宋_GB2312" w:cs="Times New Roman"/>
                <w:b/>
                <w:bCs/>
                <w:color w:val="000000" w:themeColor="text1"/>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Cs w:val="24"/>
                <w:highlight w:val="none"/>
                <w:lang w:eastAsia="zh-CN"/>
                <w14:textFill>
                  <w14:solidFill>
                    <w14:schemeClr w14:val="tx1"/>
                  </w14:solidFill>
                </w14:textFill>
              </w:rPr>
              <w:t>项目组成及规模</w:t>
            </w:r>
          </w:p>
        </w:tc>
        <w:tc>
          <w:tcPr>
            <w:tcW w:w="8558" w:type="dxa"/>
            <w:tcBorders>
              <w:tl2br w:val="nil"/>
              <w:tr2bl w:val="nil"/>
            </w:tcBorders>
          </w:tcPr>
          <w:p w14:paraId="594F30A2">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1、项目组成及建设规模</w:t>
            </w:r>
          </w:p>
          <w:p w14:paraId="40B48DF2">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（1）项目背景</w:t>
            </w:r>
          </w:p>
          <w:p w14:paraId="6121C8FA">
            <w:pPr>
              <w:autoSpaceDE w:val="0"/>
              <w:autoSpaceDN w:val="0"/>
              <w:adjustRightInd w:val="0"/>
              <w:spacing w:line="360" w:lineRule="auto"/>
              <w:ind w:firstLine="480" w:firstLineChars="200"/>
              <w:rPr>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为提高三个窑沟河道防洪能力，从而确保沟道两岸村庄和农田不受洪灾，中卫市沙坡头区水务局拟建设《宁夏中小河流治理项目沙坡头区三个窑沟治理工程》（以下简称“本项目”），2025年3月26日，中卫市沙坡头区发展和改革局下发了《中卫市沙坡头区发展和改革局关于宁夏中小河流治理项目沙坡头区三个窑沟治理工程初步设计的批复》（卫沙发改（审批）[2025]37号）（见附件2），核准建设内容</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为：</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治理段长1.4公里，沟道清淤疏浚1.4公里，维修改造过水路面1座；安装自动雨量站1套，视频水位一体化监测站1套，河道水情监测站3台(套)。</w:t>
            </w:r>
          </w:p>
          <w:p w14:paraId="1B7A1B76">
            <w:pPr>
              <w:autoSpaceDE w:val="0"/>
              <w:autoSpaceDN w:val="0"/>
              <w:adjustRightInd w:val="0"/>
              <w:spacing w:line="360" w:lineRule="auto"/>
              <w:ind w:firstLine="480" w:firstLineChars="200"/>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在项目取得初步设计批复并编制环境影响评价报告期间，中卫市沙坡头区住房城乡建设和交通局在2025年3月对</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中卫市沙坡头区关于宁夏中小河流治理项目沙坡头区三个窑沟治理工程初步设计的批复</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卫沙发改（审批）发</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2025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37</w:t>
            </w:r>
            <w:r>
              <w:rPr>
                <w:rFonts w:hint="default" w:ascii="Times New Roman" w:hAnsi="Times New Roman" w:cs="Times New Roman"/>
                <w:color w:val="000000" w:themeColor="text1"/>
                <w:sz w:val="24"/>
                <w14:textFill>
                  <w14:solidFill>
                    <w14:schemeClr w14:val="tx1"/>
                  </w14:solidFill>
                </w14:textFill>
              </w:rPr>
              <w:t>号）</w:t>
            </w:r>
            <w:r>
              <w:rPr>
                <w:rFonts w:hint="eastAsia" w:cs="Times New Roman"/>
                <w:color w:val="000000" w:themeColor="text1"/>
                <w:sz w:val="24"/>
                <w:lang w:val="en-US" w:eastAsia="zh-CN"/>
                <w14:textFill>
                  <w14:solidFill>
                    <w14:schemeClr w14:val="tx1"/>
                  </w14:solidFill>
                </w14:textFill>
              </w:rPr>
              <w:t>中的过水路面等内容进行拆除重建，建设地点与建设方式与本项目一致，原初步设计</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中卫市沙坡头区关于宁夏中小河流治理项目沙坡头区三个窑沟治理工程初步设计的批复</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卫沙发改（审批）发</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2025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37</w:t>
            </w:r>
            <w:r>
              <w:rPr>
                <w:rFonts w:hint="default" w:ascii="Times New Roman" w:hAnsi="Times New Roman" w:cs="Times New Roman"/>
                <w:color w:val="000000" w:themeColor="text1"/>
                <w:sz w:val="24"/>
                <w14:textFill>
                  <w14:solidFill>
                    <w14:schemeClr w14:val="tx1"/>
                  </w14:solidFill>
                </w14:textFill>
              </w:rPr>
              <w:t>号）</w:t>
            </w:r>
            <w:r>
              <w:rPr>
                <w:rFonts w:hint="eastAsia" w:cs="Times New Roman"/>
                <w:color w:val="000000" w:themeColor="text1"/>
                <w:sz w:val="24"/>
                <w:lang w:val="en-US" w:eastAsia="zh-CN"/>
                <w14:textFill>
                  <w14:solidFill>
                    <w14:schemeClr w14:val="tx1"/>
                  </w14:solidFill>
                </w14:textFill>
              </w:rPr>
              <w:t>中有关过水路面等内容已无法实施，因此</w:t>
            </w:r>
            <w:r>
              <w:rPr>
                <w:rFonts w:hint="default" w:ascii="Times New Roman" w:hAnsi="Times New Roman" w:cs="Times New Roman"/>
                <w:color w:val="000000" w:themeColor="text1"/>
                <w:sz w:val="24"/>
                <w:lang w:val="en-US" w:eastAsia="zh-CN"/>
                <w14:textFill>
                  <w14:solidFill>
                    <w14:schemeClr w14:val="tx1"/>
                  </w14:solidFill>
                </w14:textFill>
              </w:rPr>
              <w:t>建设单位对初步设计进行优化变更，</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2026年2月6日，中卫市沙坡头区发展和改革局下发了《中卫市沙坡头区发展和改革局关于调整变更宁夏中小河流治理项目沙坡头区三个窑沟治理工程初步设计的批复》（卫沙发改（审批）[2026</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35号）（见附件3），同意建设单位对本项目进行调整变更，调整变更内容为：取消维修改造过水路面1座，取消安装自动雨量站1座、河道水情监测站3台（套），增加边坡砌护0.64公里。</w:t>
            </w:r>
          </w:p>
          <w:p w14:paraId="6DAB58C7">
            <w:pPr>
              <w:autoSpaceDE w:val="0"/>
              <w:autoSpaceDN w:val="0"/>
              <w:adjustRightInd w:val="0"/>
              <w:spacing w:line="360" w:lineRule="auto"/>
              <w:ind w:firstLine="480" w:firstLineChars="200"/>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eastAsia" w:cs="Times New Roman" w:eastAsiaTheme="minorEastAsia"/>
                <w:color w:val="000000" w:themeColor="text1"/>
                <w:sz w:val="24"/>
                <w:szCs w:val="20"/>
                <w:highlight w:val="none"/>
                <w:lang w:val="en-US" w:eastAsia="zh-CN" w:bidi="en-US"/>
                <w14:textFill>
                  <w14:solidFill>
                    <w14:schemeClr w14:val="tx1"/>
                  </w14:solidFill>
                </w14:textFill>
              </w:rPr>
              <w:t>变更后</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本项目建设内容为：沟道清淤疏浚1.4公</w:t>
            </w:r>
            <w:r>
              <w:rPr>
                <w:rFonts w:eastAsiaTheme="minorEastAsia"/>
                <w:color w:val="000000" w:themeColor="text1"/>
                <w:sz w:val="24"/>
                <w:szCs w:val="20"/>
                <w:lang w:bidi="en-US"/>
                <w14:textFill>
                  <w14:solidFill>
                    <w14:schemeClr w14:val="tx1"/>
                  </w14:solidFill>
                </w14:textFill>
              </w:rPr>
              <w:t>里，</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视频水位一体化监测站1套，边坡砌护0.64公里。</w:t>
            </w:r>
          </w:p>
          <w:p w14:paraId="76226FC4">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（2）建设规模及项目组成</w:t>
            </w:r>
          </w:p>
          <w:p w14:paraId="6FD06149">
            <w:pPr>
              <w:autoSpaceDE w:val="0"/>
              <w:autoSpaceDN w:val="0"/>
              <w:adjustRightInd w:val="0"/>
              <w:spacing w:line="360" w:lineRule="auto"/>
              <w:ind w:firstLine="480" w:firstLineChars="200"/>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根据项目工程特征，工程组成由主体工程、辅助工程、临时工程、公用工程、环保工程组成。本项目工程组成见表2-1。</w:t>
            </w:r>
          </w:p>
          <w:p w14:paraId="28FF7302">
            <w:pPr>
              <w:adjustRightInd w:val="0"/>
              <w:jc w:val="center"/>
              <w:rPr>
                <w:rFonts w:hint="default" w:ascii="Times New Roman" w:hAnsi="Times New Roman" w:eastAsia="黑体" w:cs="Times New Roman"/>
                <w:color w:val="000000" w:themeColor="text1"/>
                <w:sz w:val="24"/>
                <w:highlight w:val="none"/>
                <w14:textFill>
                  <w14:solidFill>
                    <w14:schemeClr w14:val="tx1"/>
                  </w14:solidFill>
                </w14:textFill>
              </w:rPr>
            </w:pPr>
            <w:r>
              <w:rPr>
                <w:rFonts w:hint="default" w:ascii="Times New Roman" w:hAnsi="Times New Roman" w:eastAsia="黑体" w:cs="Times New Roman"/>
                <w:color w:val="000000" w:themeColor="text1"/>
                <w:sz w:val="24"/>
                <w:highlight w:val="none"/>
                <w14:textFill>
                  <w14:solidFill>
                    <w14:schemeClr w14:val="tx1"/>
                  </w14:solidFill>
                </w14:textFill>
              </w:rPr>
              <w:t>表</w:t>
            </w: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2-1</w:t>
            </w:r>
            <w:r>
              <w:rPr>
                <w:rFonts w:hint="default" w:ascii="Times New Roman" w:hAnsi="Times New Roman" w:eastAsia="黑体" w:cs="Times New Roman"/>
                <w:color w:val="000000" w:themeColor="text1"/>
                <w:sz w:val="24"/>
                <w:highlight w:val="none"/>
                <w14:textFill>
                  <w14:solidFill>
                    <w14:schemeClr w14:val="tx1"/>
                  </w14:solidFill>
                </w14:textFill>
              </w:rPr>
              <w:t xml:space="preserve">  项目工程组成一览表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334"/>
              <w:gridCol w:w="6333"/>
            </w:tblGrid>
            <w:tr w14:paraId="582BD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402" w:type="pct"/>
                  <w:tcBorders>
                    <w:tl2br w:val="nil"/>
                    <w:tr2bl w:val="nil"/>
                  </w:tcBorders>
                  <w:noWrap w:val="0"/>
                  <w:vAlign w:val="center"/>
                </w:tcPr>
                <w:p w14:paraId="07690463">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工程类别</w:t>
                  </w:r>
                </w:p>
              </w:tc>
              <w:tc>
                <w:tcPr>
                  <w:tcW w:w="799" w:type="pct"/>
                  <w:tcBorders>
                    <w:tl2br w:val="nil"/>
                    <w:tr2bl w:val="nil"/>
                  </w:tcBorders>
                  <w:noWrap w:val="0"/>
                  <w:vAlign w:val="center"/>
                </w:tcPr>
                <w:p w14:paraId="41C55DC6">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项目名称</w:t>
                  </w:r>
                </w:p>
              </w:tc>
              <w:tc>
                <w:tcPr>
                  <w:tcW w:w="3797" w:type="pct"/>
                  <w:tcBorders>
                    <w:tl2br w:val="nil"/>
                    <w:tr2bl w:val="nil"/>
                  </w:tcBorders>
                  <w:noWrap w:val="0"/>
                  <w:vAlign w:val="center"/>
                </w:tcPr>
                <w:p w14:paraId="19A1AB65">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项目内容</w:t>
                  </w:r>
                </w:p>
              </w:tc>
            </w:tr>
            <w:tr w14:paraId="5BABE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restart"/>
                  <w:tcBorders>
                    <w:tl2br w:val="nil"/>
                    <w:tr2bl w:val="nil"/>
                  </w:tcBorders>
                  <w:noWrap w:val="0"/>
                  <w:vAlign w:val="center"/>
                </w:tcPr>
                <w:p w14:paraId="07E35565">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主体工程</w:t>
                  </w:r>
                </w:p>
              </w:tc>
              <w:tc>
                <w:tcPr>
                  <w:tcW w:w="799" w:type="pct"/>
                  <w:tcBorders>
                    <w:tl2br w:val="nil"/>
                    <w:tr2bl w:val="nil"/>
                  </w:tcBorders>
                  <w:noWrap w:val="0"/>
                  <w:vAlign w:val="center"/>
                </w:tcPr>
                <w:p w14:paraId="47B01CB0">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沟道清淤疏浚工程</w:t>
                  </w:r>
                </w:p>
              </w:tc>
              <w:tc>
                <w:tcPr>
                  <w:tcW w:w="3797" w:type="pct"/>
                  <w:tcBorders>
                    <w:tl2br w:val="nil"/>
                    <w:tr2bl w:val="nil"/>
                  </w:tcBorders>
                  <w:noWrap w:val="0"/>
                  <w:vAlign w:val="center"/>
                </w:tcPr>
                <w:p w14:paraId="70B22F97">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对三个窑沟桩号K45+610--K47+010段沟道进行清淤疏浚治理，沟道清淤疏浚1.4km，按照沟道现状已砌护护坡底高程确定沟道比降进行清淤疏浚，沟底设计比降为1/330--1/70，底宽70～160m。清理的淤泥晾干后集中收集，拉运至其他生态修复治理项目，作为回填材料综合利用。</w:t>
                  </w:r>
                </w:p>
              </w:tc>
            </w:tr>
            <w:tr w14:paraId="1D3C9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4AB134E9">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noWrap w:val="0"/>
                  <w:vAlign w:val="center"/>
                </w:tcPr>
                <w:p w14:paraId="30BC74CA">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护岸工程</w:t>
                  </w:r>
                </w:p>
              </w:tc>
              <w:tc>
                <w:tcPr>
                  <w:tcW w:w="3797" w:type="pct"/>
                  <w:tcBorders>
                    <w:tl2br w:val="nil"/>
                    <w:tr2bl w:val="nil"/>
                  </w:tcBorders>
                  <w:noWrap w:val="0"/>
                  <w:vAlign w:val="center"/>
                </w:tcPr>
                <w:p w14:paraId="5B26280D">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对桩号K40+983--K41+148段左岸护坡（</w:t>
                  </w:r>
                  <w:r>
                    <w:rPr>
                      <w:rFonts w:hint="eastAsia" w:ascii="Times New Roman" w:cs="Times New Roman"/>
                      <w:color w:val="000000" w:themeColor="text1"/>
                      <w:szCs w:val="21"/>
                      <w:highlight w:val="none"/>
                      <w:lang w:val="en-US" w:eastAsia="zh-CN"/>
                      <w14:textFill>
                        <w14:solidFill>
                          <w14:schemeClr w14:val="tx1"/>
                        </w14:solidFill>
                      </w14:textFill>
                    </w:rPr>
                    <w:t>0.14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m），采用浆砌石墙式护坡砌护，砌护高度1.5m；</w:t>
                  </w:r>
                </w:p>
                <w:p w14:paraId="46B65D16">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对桩号K41+185--K41+565段右岸护坡（</w:t>
                  </w:r>
                  <w:r>
                    <w:rPr>
                      <w:rFonts w:hint="eastAsia" w:ascii="Times New Roman" w:cs="Times New Roman"/>
                      <w:color w:val="000000" w:themeColor="text1"/>
                      <w:szCs w:val="21"/>
                      <w:highlight w:val="none"/>
                      <w:lang w:val="en-US" w:eastAsia="zh-CN"/>
                      <w14:textFill>
                        <w14:solidFill>
                          <w14:schemeClr w14:val="tx1"/>
                        </w14:solidFill>
                      </w14:textFill>
                    </w:rPr>
                    <w:t>0.38</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m），采用浆砌石墙式护坡砌护，砌护高度1.3m；</w:t>
                  </w:r>
                </w:p>
                <w:p w14:paraId="7AE2E548">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对桩号K44+830--K44+920段左岸护坡（</w:t>
                  </w:r>
                  <w:r>
                    <w:rPr>
                      <w:rFonts w:hint="eastAsia" w:ascii="Times New Roman" w:cs="Times New Roman"/>
                      <w:color w:val="000000" w:themeColor="text1"/>
                      <w:szCs w:val="21"/>
                      <w:highlight w:val="none"/>
                      <w:lang w:val="en-US" w:eastAsia="zh-CN"/>
                      <w14:textFill>
                        <w14:solidFill>
                          <w14:schemeClr w14:val="tx1"/>
                        </w14:solidFill>
                      </w14:textFill>
                    </w:rPr>
                    <w:t>0.12</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m），采用浆砌石坡式护坡砌护，砌护高度1.2m；</w:t>
                  </w:r>
                </w:p>
                <w:p w14:paraId="1989403E">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依据沟道管理范围线，沟道底宽设计在60～110m之间，沟道边坡为1:0和1:1.5，砌护护岸总长0.64km。</w:t>
                  </w:r>
                </w:p>
              </w:tc>
            </w:tr>
            <w:tr w14:paraId="5C9A2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17A35B2F">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noWrap w:val="0"/>
                  <w:vAlign w:val="center"/>
                </w:tcPr>
                <w:p w14:paraId="3170888E">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自动化设备布设工程</w:t>
                  </w:r>
                </w:p>
              </w:tc>
              <w:tc>
                <w:tcPr>
                  <w:tcW w:w="3797" w:type="pct"/>
                  <w:tcBorders>
                    <w:tl2br w:val="nil"/>
                    <w:tr2bl w:val="nil"/>
                  </w:tcBorders>
                  <w:noWrap w:val="0"/>
                  <w:vAlign w:val="center"/>
                </w:tcPr>
                <w:p w14:paraId="65EB2807">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Cs w:val="21"/>
                      <w:highlight w:val="none"/>
                      <w:lang w:val="en-US" w:eastAsia="zh-CN"/>
                      <w14:textFill>
                        <w14:solidFill>
                          <w14:schemeClr w14:val="tx1"/>
                        </w14:solidFill>
                      </w14:textFill>
                    </w:rPr>
                    <w:t>建设</w:t>
                  </w:r>
                  <w:r>
                    <w:rPr>
                      <w:rFonts w:ascii="Times New Roman"/>
                      <w:bCs/>
                      <w:color w:val="000000" w:themeColor="text1"/>
                      <w:szCs w:val="21"/>
                      <w14:textFill>
                        <w14:solidFill>
                          <w14:schemeClr w14:val="tx1"/>
                        </w14:solidFill>
                      </w14:textFill>
                    </w:rPr>
                    <w:t>视频</w:t>
                  </w:r>
                  <w:r>
                    <w:rPr>
                      <w:rFonts w:hint="eastAsia" w:ascii="Times New Roman"/>
                      <w:bCs/>
                      <w:color w:val="000000" w:themeColor="text1"/>
                      <w:szCs w:val="21"/>
                      <w:lang w:val="en-US" w:eastAsia="zh-CN"/>
                      <w14:textFill>
                        <w14:solidFill>
                          <w14:schemeClr w14:val="tx1"/>
                        </w14:solidFill>
                      </w14:textFill>
                    </w:rPr>
                    <w:t>水位</w:t>
                  </w:r>
                  <w:r>
                    <w:rPr>
                      <w:rFonts w:ascii="Times New Roman"/>
                      <w:bCs/>
                      <w:color w:val="000000" w:themeColor="text1"/>
                      <w:szCs w:val="21"/>
                      <w14:textFill>
                        <w14:solidFill>
                          <w14:schemeClr w14:val="tx1"/>
                        </w14:solidFill>
                      </w14:textFill>
                    </w:rPr>
                    <w:t>一体化监测站1座</w:t>
                  </w:r>
                  <w:r>
                    <w:rPr>
                      <w:rFonts w:hint="eastAsia" w:ascii="Times New Roman"/>
                      <w:bCs/>
                      <w:color w:val="000000" w:themeColor="text1"/>
                      <w:szCs w:val="21"/>
                      <w:lang w:eastAsia="zh-CN"/>
                      <w14:textFill>
                        <w14:solidFill>
                          <w14:schemeClr w14:val="tx1"/>
                        </w14:solidFill>
                      </w14:textFill>
                    </w:rPr>
                    <w:t>，</w:t>
                  </w:r>
                  <w:r>
                    <w:rPr>
                      <w:rFonts w:hint="eastAsia" w:ascii="Times New Roman" w:cs="Times New Roman"/>
                      <w:b w:val="0"/>
                      <w:bCs/>
                      <w:color w:val="000000" w:themeColor="text1"/>
                      <w:szCs w:val="21"/>
                      <w:highlight w:val="none"/>
                      <w:lang w:val="en-US" w:eastAsia="zh-CN"/>
                      <w14:textFill>
                        <w14:solidFill>
                          <w14:schemeClr w14:val="tx1"/>
                        </w14:solidFill>
                      </w14:textFill>
                    </w:rPr>
                    <w:t>位于</w:t>
                  </w:r>
                  <w:r>
                    <w:rPr>
                      <w:rFonts w:hint="default" w:ascii="Times New Roman" w:hAnsi="Times New Roman" w:cs="Times New Roman"/>
                      <w:b w:val="0"/>
                      <w:bCs/>
                      <w:color w:val="000000" w:themeColor="text1"/>
                      <w:szCs w:val="21"/>
                      <w:highlight w:val="none"/>
                      <w:lang w:val="en-US" w:eastAsia="zh-CN"/>
                      <w14:textFill>
                        <w14:solidFill>
                          <w14:schemeClr w14:val="tx1"/>
                        </w14:solidFill>
                      </w14:textFill>
                    </w:rPr>
                    <w:t>三个窑沟清淤疏浚段沟道</w:t>
                  </w:r>
                  <w:r>
                    <w:rPr>
                      <w:rFonts w:hint="eastAsia" w:ascii="Times New Roman" w:cs="Times New Roman"/>
                      <w:b w:val="0"/>
                      <w:bCs/>
                      <w:color w:val="000000" w:themeColor="text1"/>
                      <w:szCs w:val="21"/>
                      <w:highlight w:val="none"/>
                      <w:lang w:val="en-US" w:eastAsia="zh-CN"/>
                      <w14:textFill>
                        <w14:solidFill>
                          <w14:schemeClr w14:val="tx1"/>
                        </w14:solidFill>
                      </w14:textFill>
                    </w:rPr>
                    <w:t>与定武高速交界处</w:t>
                  </w:r>
                  <w:r>
                    <w:rPr>
                      <w:rFonts w:hint="eastAsia"/>
                      <w:color w:val="000000" w:themeColor="text1"/>
                      <w:lang w:eastAsia="zh-CN"/>
                      <w14:textFill>
                        <w14:solidFill>
                          <w14:schemeClr w14:val="tx1"/>
                        </w14:solidFill>
                      </w14:textFill>
                    </w:rPr>
                    <w:t>。</w:t>
                  </w:r>
                </w:p>
              </w:tc>
            </w:tr>
            <w:tr w14:paraId="7771D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restart"/>
                  <w:tcBorders>
                    <w:tl2br w:val="nil"/>
                    <w:tr2bl w:val="nil"/>
                  </w:tcBorders>
                  <w:noWrap w:val="0"/>
                  <w:vAlign w:val="center"/>
                </w:tcPr>
                <w:p w14:paraId="713AC24C">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lang w:eastAsia="zh-CN"/>
                      <w14:textFill>
                        <w14:solidFill>
                          <w14:schemeClr w14:val="tx1"/>
                        </w14:solidFill>
                      </w14:textFill>
                    </w:rPr>
                    <w:t>临时</w:t>
                  </w:r>
                  <w:r>
                    <w:rPr>
                      <w:rFonts w:hint="default" w:ascii="Times New Roman" w:hAnsi="Times New Roman" w:cs="Times New Roman"/>
                      <w:b/>
                      <w:bCs/>
                      <w:color w:val="000000" w:themeColor="text1"/>
                      <w:szCs w:val="21"/>
                      <w:highlight w:val="none"/>
                      <w14:textFill>
                        <w14:solidFill>
                          <w14:schemeClr w14:val="tx1"/>
                        </w14:solidFill>
                      </w14:textFill>
                    </w:rPr>
                    <w:t>工程</w:t>
                  </w:r>
                </w:p>
              </w:tc>
              <w:tc>
                <w:tcPr>
                  <w:tcW w:w="799" w:type="pct"/>
                  <w:tcBorders>
                    <w:tl2br w:val="nil"/>
                    <w:tr2bl w:val="nil"/>
                  </w:tcBorders>
                  <w:noWrap w:val="0"/>
                  <w:vAlign w:val="center"/>
                </w:tcPr>
                <w:p w14:paraId="2FC4DD12">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eastAsiaTheme="minorEastAsia"/>
                      <w:color w:val="000000" w:themeColor="text1"/>
                      <w:kern w:val="2"/>
                      <w:sz w:val="21"/>
                      <w:szCs w:val="21"/>
                      <w:highlight w:val="none"/>
                      <w:lang w:val="en-US" w:eastAsia="zh-CN" w:bidi="ar-SA"/>
                      <w14:textFill>
                        <w14:solidFill>
                          <w14:schemeClr w14:val="tx1"/>
                        </w14:solidFill>
                      </w14:textFill>
                    </w:rPr>
                    <w:t>材料堆存点</w:t>
                  </w:r>
                </w:p>
              </w:tc>
              <w:tc>
                <w:tcPr>
                  <w:tcW w:w="3797" w:type="pct"/>
                  <w:tcBorders>
                    <w:tl2br w:val="nil"/>
                    <w:tr2bl w:val="nil"/>
                  </w:tcBorders>
                  <w:noWrap w:val="0"/>
                  <w:vAlign w:val="center"/>
                </w:tcPr>
                <w:p w14:paraId="634A4B5D">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3处，</w:t>
                  </w:r>
                  <w:r>
                    <w:rPr>
                      <w:rFonts w:hint="default" w:ascii="Times New Roman" w:hAnsi="Times New Roman" w:cs="Times New Roman"/>
                      <w:color w:val="000000" w:themeColor="text1"/>
                      <w:szCs w:val="21"/>
                      <w:highlight w:val="none"/>
                      <w:lang w:val="en-US" w:eastAsia="zh-CN"/>
                      <w14:textFill>
                        <w14:solidFill>
                          <w14:schemeClr w14:val="tx1"/>
                        </w14:solidFill>
                      </w14:textFill>
                    </w:rPr>
                    <w:t>占地6105m</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highlight w:val="none"/>
                      <w:lang w:val="en-US" w:eastAsia="zh-CN"/>
                      <w14:textFill>
                        <w14:solidFill>
                          <w14:schemeClr w14:val="tx1"/>
                        </w14:solidFill>
                      </w14:textFill>
                    </w:rPr>
                    <w:t>，仅用于停放施工车辆，存放施工机械设备及施工所需的原材料（主要包括钢筋、格宾网片、木材等），占地为</w:t>
                  </w:r>
                  <w:r>
                    <w:rPr>
                      <w:rFonts w:hint="eastAsia" w:ascii="Times New Roman" w:cs="Times New Roman"/>
                      <w:color w:val="000000" w:themeColor="text1"/>
                      <w:szCs w:val="21"/>
                      <w:highlight w:val="none"/>
                      <w:lang w:val="en-US" w:eastAsia="zh-CN"/>
                      <w14:textFill>
                        <w14:solidFill>
                          <w14:schemeClr w14:val="tx1"/>
                        </w14:solidFill>
                      </w14:textFill>
                    </w:rPr>
                    <w:t>未利用地，在每个材料堆存点各设置1个沉淀池，共3座，用于收集车辆冲洗废水</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4CE81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6188DFF2">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000000" w:themeColor="text1"/>
                      <w:szCs w:val="21"/>
                      <w:highlight w:val="none"/>
                      <w:lang w:eastAsia="zh-CN"/>
                      <w14:textFill>
                        <w14:solidFill>
                          <w14:schemeClr w14:val="tx1"/>
                        </w14:solidFill>
                      </w14:textFill>
                    </w:rPr>
                  </w:pPr>
                </w:p>
              </w:tc>
              <w:tc>
                <w:tcPr>
                  <w:tcW w:w="799" w:type="pct"/>
                  <w:tcBorders>
                    <w:tl2br w:val="nil"/>
                    <w:tr2bl w:val="nil"/>
                  </w:tcBorders>
                  <w:noWrap w:val="0"/>
                  <w:vAlign w:val="center"/>
                </w:tcPr>
                <w:p w14:paraId="5CB6F8B1">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施工道路</w:t>
                  </w:r>
                </w:p>
              </w:tc>
              <w:tc>
                <w:tcPr>
                  <w:tcW w:w="3797" w:type="pct"/>
                  <w:tcBorders>
                    <w:tl2br w:val="nil"/>
                    <w:tr2bl w:val="nil"/>
                  </w:tcBorders>
                  <w:noWrap w:val="0"/>
                  <w:vAlign w:val="center"/>
                </w:tcPr>
                <w:p w14:paraId="74F9808D">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本项目施工道路均依托现有堤顶道路，满足施工条件，不再设置施工临时道路。</w:t>
                  </w:r>
                </w:p>
              </w:tc>
            </w:tr>
            <w:tr w14:paraId="11A08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006FFF27">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000000" w:themeColor="text1"/>
                      <w:szCs w:val="21"/>
                      <w:highlight w:val="none"/>
                      <w:lang w:eastAsia="zh-CN"/>
                      <w14:textFill>
                        <w14:solidFill>
                          <w14:schemeClr w14:val="tx1"/>
                        </w14:solidFill>
                      </w14:textFill>
                    </w:rPr>
                  </w:pPr>
                </w:p>
              </w:tc>
              <w:tc>
                <w:tcPr>
                  <w:tcW w:w="799" w:type="pct"/>
                  <w:tcBorders>
                    <w:tl2br w:val="nil"/>
                    <w:tr2bl w:val="nil"/>
                  </w:tcBorders>
                  <w:shd w:val="clear" w:color="auto" w:fill="auto"/>
                  <w:noWrap w:val="0"/>
                  <w:vAlign w:val="center"/>
                </w:tcPr>
                <w:p w14:paraId="336AC1EF">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eastAsiaTheme="minorEastAsia"/>
                      <w:color w:val="000000" w:themeColor="text1"/>
                      <w:kern w:val="2"/>
                      <w:sz w:val="21"/>
                      <w:szCs w:val="21"/>
                      <w:highlight w:val="none"/>
                      <w:lang w:val="en-US" w:eastAsia="zh-CN" w:bidi="ar-SA"/>
                      <w14:textFill>
                        <w14:solidFill>
                          <w14:schemeClr w14:val="tx1"/>
                        </w14:solidFill>
                      </w14:textFill>
                    </w:rPr>
                    <w:t>施工营地</w:t>
                  </w:r>
                </w:p>
              </w:tc>
              <w:tc>
                <w:tcPr>
                  <w:tcW w:w="3797" w:type="pct"/>
                  <w:tcBorders>
                    <w:tl2br w:val="nil"/>
                    <w:tr2bl w:val="nil"/>
                  </w:tcBorders>
                  <w:shd w:val="clear" w:color="auto" w:fill="auto"/>
                  <w:noWrap w:val="0"/>
                  <w:vAlign w:val="center"/>
                </w:tcPr>
                <w:p w14:paraId="3C3560D8">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本项目租用距本项目39m的杨滩村闲置院落作为施工营地，主要用于施工人员休息及材料堆放。</w:t>
                  </w:r>
                </w:p>
              </w:tc>
            </w:tr>
            <w:tr w14:paraId="18E8D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4790E300">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000000" w:themeColor="text1"/>
                      <w:szCs w:val="21"/>
                      <w:highlight w:val="none"/>
                      <w:lang w:eastAsia="zh-CN"/>
                      <w14:textFill>
                        <w14:solidFill>
                          <w14:schemeClr w14:val="tx1"/>
                        </w14:solidFill>
                      </w14:textFill>
                    </w:rPr>
                  </w:pPr>
                </w:p>
              </w:tc>
              <w:tc>
                <w:tcPr>
                  <w:tcW w:w="1334" w:type="dxa"/>
                  <w:tcBorders>
                    <w:tl2br w:val="nil"/>
                    <w:tr2bl w:val="nil"/>
                  </w:tcBorders>
                  <w:noWrap w:val="0"/>
                  <w:vAlign w:val="center"/>
                </w:tcPr>
                <w:p w14:paraId="4C3CD504">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auto"/>
                      <w:kern w:val="2"/>
                      <w:sz w:val="21"/>
                      <w:szCs w:val="21"/>
                      <w:highlight w:val="none"/>
                      <w:lang w:val="en-US" w:eastAsia="zh-CN" w:bidi="ar-SA"/>
                    </w:rPr>
                    <w:t>取</w:t>
                  </w:r>
                  <w:r>
                    <w:rPr>
                      <w:rFonts w:hint="eastAsia" w:ascii="Times New Roman" w:cs="Times New Roman" w:eastAsiaTheme="minorEastAsia"/>
                      <w:color w:val="auto"/>
                      <w:kern w:val="2"/>
                      <w:sz w:val="21"/>
                      <w:szCs w:val="21"/>
                      <w:highlight w:val="none"/>
                      <w:lang w:val="en-US" w:eastAsia="zh-CN" w:bidi="ar-SA"/>
                    </w:rPr>
                    <w:t>、</w:t>
                  </w:r>
                  <w:r>
                    <w:rPr>
                      <w:rFonts w:hint="default" w:ascii="Times New Roman" w:hAnsi="Times New Roman" w:cs="Times New Roman" w:eastAsiaTheme="minorEastAsia"/>
                      <w:color w:val="auto"/>
                      <w:kern w:val="2"/>
                      <w:sz w:val="21"/>
                      <w:szCs w:val="21"/>
                      <w:highlight w:val="none"/>
                      <w:lang w:val="en-US" w:eastAsia="zh-CN" w:bidi="ar-SA"/>
                    </w:rPr>
                    <w:t>弃土场</w:t>
                  </w:r>
                </w:p>
              </w:tc>
              <w:tc>
                <w:tcPr>
                  <w:tcW w:w="6333" w:type="dxa"/>
                  <w:tcBorders>
                    <w:tl2br w:val="nil"/>
                    <w:tr2bl w:val="nil"/>
                  </w:tcBorders>
                  <w:noWrap w:val="0"/>
                  <w:vAlign w:val="center"/>
                </w:tcPr>
                <w:p w14:paraId="6C838BAB">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auto"/>
                      <w:szCs w:val="21"/>
                      <w:highlight w:val="none"/>
                      <w:lang w:val="en-US" w:eastAsia="zh-CN"/>
                    </w:rPr>
                    <w:t>本工程土方开挖101041m³，土方回填101041m³，</w:t>
                  </w:r>
                  <w:r>
                    <w:rPr>
                      <w:rFonts w:hint="eastAsia" w:ascii="Times New Roman" w:cs="Times New Roman"/>
                      <w:color w:val="auto"/>
                      <w:szCs w:val="21"/>
                      <w:highlight w:val="none"/>
                      <w:lang w:val="en-US" w:eastAsia="zh-CN"/>
                    </w:rPr>
                    <w:t>本项目挖填平衡，</w:t>
                  </w:r>
                  <w:r>
                    <w:rPr>
                      <w:rFonts w:hint="default" w:ascii="Times New Roman" w:hAnsi="Times New Roman" w:cs="Times New Roman"/>
                      <w:color w:val="auto"/>
                      <w:szCs w:val="21"/>
                      <w:highlight w:val="none"/>
                      <w:lang w:val="en-US" w:eastAsia="zh-CN"/>
                    </w:rPr>
                    <w:t>不设置取土场</w:t>
                  </w:r>
                  <w:r>
                    <w:rPr>
                      <w:rFonts w:hint="eastAsia" w:ascii="Times New Roman" w:cs="Times New Roman"/>
                      <w:color w:val="auto"/>
                      <w:szCs w:val="21"/>
                      <w:highlight w:val="none"/>
                      <w:lang w:val="en-US" w:eastAsia="zh-CN"/>
                    </w:rPr>
                    <w:t>及弃土场</w:t>
                  </w:r>
                  <w:r>
                    <w:rPr>
                      <w:rFonts w:hint="default" w:ascii="Times New Roman" w:hAnsi="Times New Roman" w:cs="Times New Roman"/>
                      <w:color w:val="auto"/>
                      <w:szCs w:val="21"/>
                      <w:highlight w:val="none"/>
                      <w:lang w:val="en-US" w:eastAsia="zh-CN"/>
                    </w:rPr>
                    <w:t>。</w:t>
                  </w:r>
                </w:p>
              </w:tc>
            </w:tr>
            <w:tr w14:paraId="60A86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restart"/>
                  <w:tcBorders>
                    <w:tl2br w:val="nil"/>
                    <w:tr2bl w:val="nil"/>
                  </w:tcBorders>
                  <w:noWrap w:val="0"/>
                  <w:vAlign w:val="center"/>
                </w:tcPr>
                <w:p w14:paraId="00D1B6C7">
                  <w:pPr>
                    <w:pStyle w:val="38"/>
                    <w:spacing w:before="0" w:line="240" w:lineRule="auto"/>
                    <w:ind w:firstLine="0" w:firstLine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公用</w:t>
                  </w:r>
                </w:p>
                <w:p w14:paraId="10D0CC0B">
                  <w:pPr>
                    <w:pStyle w:val="38"/>
                    <w:spacing w:before="0" w:line="240" w:lineRule="auto"/>
                    <w:ind w:firstLine="0" w:firstLineChars="0"/>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工程</w:t>
                  </w:r>
                </w:p>
              </w:tc>
              <w:tc>
                <w:tcPr>
                  <w:tcW w:w="799" w:type="pct"/>
                  <w:tcBorders>
                    <w:tl2br w:val="nil"/>
                    <w:tr2bl w:val="nil"/>
                  </w:tcBorders>
                  <w:noWrap w:val="0"/>
                  <w:vAlign w:val="center"/>
                </w:tcPr>
                <w:p w14:paraId="24DC3D95">
                  <w:pPr>
                    <w:adjustRightInd w:val="0"/>
                    <w:snapToGrid w:val="0"/>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供水</w:t>
                  </w:r>
                </w:p>
              </w:tc>
              <w:tc>
                <w:tcPr>
                  <w:tcW w:w="3797" w:type="pct"/>
                  <w:tcBorders>
                    <w:tl2br w:val="nil"/>
                    <w:tr2bl w:val="nil"/>
                  </w:tcBorders>
                  <w:noWrap w:val="0"/>
                  <w:vAlign w:val="center"/>
                </w:tcPr>
                <w:p w14:paraId="159D3A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本项目施工人员住宿全部租用附近民房，生活用水由附近农村供水管网提供。项目施工期施工用水为洒水车洒水抑尘用水，由附近农村供水管网提供，拉运至工地。</w:t>
                  </w:r>
                </w:p>
              </w:tc>
            </w:tr>
            <w:tr w14:paraId="4F93B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338A27A6">
                  <w:pPr>
                    <w:pStyle w:val="38"/>
                    <w:spacing w:before="0" w:line="240" w:lineRule="auto"/>
                    <w:ind w:firstLine="0" w:firstLineChars="0"/>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noWrap w:val="0"/>
                  <w:vAlign w:val="center"/>
                </w:tcPr>
                <w:p w14:paraId="369536A6">
                  <w:pPr>
                    <w:adjustRightInd w:val="0"/>
                    <w:snapToGrid w:val="0"/>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排水</w:t>
                  </w:r>
                </w:p>
              </w:tc>
              <w:tc>
                <w:tcPr>
                  <w:tcW w:w="3797" w:type="pct"/>
                  <w:tcBorders>
                    <w:tl2br w:val="nil"/>
                    <w:tr2bl w:val="nil"/>
                  </w:tcBorders>
                  <w:noWrap w:val="0"/>
                  <w:vAlign w:val="center"/>
                </w:tcPr>
                <w:p w14:paraId="62D80A30">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本项目施工期施工人员生活污水依托租住民房的污水处理措施进行处理</w:t>
                  </w:r>
                  <w:r>
                    <w:rPr>
                      <w:rFonts w:hint="eastAsia" w:ascii="Times New Roman" w:cs="Times New Roman"/>
                      <w:color w:val="000000" w:themeColor="text1"/>
                      <w:szCs w:val="21"/>
                      <w:highlight w:val="none"/>
                      <w:lang w:val="en-US" w:eastAsia="zh-CN"/>
                      <w14:textFill>
                        <w14:solidFill>
                          <w14:schemeClr w14:val="tx1"/>
                        </w14:solidFill>
                      </w14:textFill>
                    </w:rPr>
                    <w:t>，租住民房位于本项目西侧39m的杨滩村</w:t>
                  </w:r>
                  <w:r>
                    <w:rPr>
                      <w:rFonts w:hint="default" w:ascii="Times New Roman" w:hAnsi="Times New Roman" w:cs="Times New Roman"/>
                      <w:color w:val="000000" w:themeColor="text1"/>
                      <w:szCs w:val="21"/>
                      <w:highlight w:val="none"/>
                      <w:lang w:val="en-US" w:eastAsia="zh-CN"/>
                      <w14:textFill>
                        <w14:solidFill>
                          <w14:schemeClr w14:val="tx1"/>
                        </w14:solidFill>
                      </w14:textFill>
                    </w:rPr>
                    <w:t>。</w:t>
                  </w:r>
                </w:p>
              </w:tc>
            </w:tr>
            <w:tr w14:paraId="49DCC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36CA2E21">
                  <w:pPr>
                    <w:pStyle w:val="38"/>
                    <w:spacing w:before="0" w:line="240" w:lineRule="auto"/>
                    <w:ind w:firstLine="0" w:firstLineChars="0"/>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noWrap w:val="0"/>
                  <w:vAlign w:val="center"/>
                </w:tcPr>
                <w:p w14:paraId="6E9C9CDD">
                  <w:pPr>
                    <w:adjustRightInd w:val="0"/>
                    <w:snapToGrid w:val="0"/>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供电</w:t>
                  </w:r>
                </w:p>
              </w:tc>
              <w:tc>
                <w:tcPr>
                  <w:tcW w:w="3797" w:type="pct"/>
                  <w:tcBorders>
                    <w:tl2br w:val="nil"/>
                    <w:tr2bl w:val="nil"/>
                  </w:tcBorders>
                  <w:noWrap w:val="0"/>
                  <w:vAlign w:val="center"/>
                </w:tcPr>
                <w:p w14:paraId="73CE8D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本项目施工期用电量较小，由附近农村电网提供。</w:t>
                  </w:r>
                </w:p>
              </w:tc>
            </w:tr>
            <w:tr w14:paraId="2496D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450496EB">
                  <w:pPr>
                    <w:pStyle w:val="61"/>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noWrap w:val="0"/>
                  <w:vAlign w:val="center"/>
                </w:tcPr>
                <w:p w14:paraId="0C7E06B1">
                  <w:pPr>
                    <w:pStyle w:val="61"/>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供暖及制冷</w:t>
                  </w:r>
                </w:p>
              </w:tc>
              <w:tc>
                <w:tcPr>
                  <w:tcW w:w="3797" w:type="pct"/>
                  <w:tcBorders>
                    <w:tl2br w:val="nil"/>
                    <w:tr2bl w:val="nil"/>
                  </w:tcBorders>
                  <w:noWrap w:val="0"/>
                  <w:vAlign w:val="center"/>
                </w:tcPr>
                <w:p w14:paraId="55743C12">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本项目冬季不涉及供暖及制冷。</w:t>
                  </w:r>
                </w:p>
              </w:tc>
            </w:tr>
            <w:tr w14:paraId="62992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restart"/>
                  <w:tcBorders>
                    <w:tl2br w:val="nil"/>
                    <w:tr2bl w:val="nil"/>
                  </w:tcBorders>
                  <w:noWrap w:val="0"/>
                  <w:vAlign w:val="center"/>
                </w:tcPr>
                <w:p w14:paraId="7523457B">
                  <w:pPr>
                    <w:pStyle w:val="38"/>
                    <w:spacing w:before="0" w:line="240" w:lineRule="auto"/>
                    <w:ind w:firstLine="0" w:firstLineChars="0"/>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环保</w:t>
                  </w:r>
                </w:p>
                <w:p w14:paraId="2913F510">
                  <w:pPr>
                    <w:pStyle w:val="38"/>
                    <w:spacing w:before="0" w:line="240" w:lineRule="auto"/>
                    <w:ind w:firstLine="0" w:firstLineChars="0"/>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工程</w:t>
                  </w:r>
                </w:p>
              </w:tc>
              <w:tc>
                <w:tcPr>
                  <w:tcW w:w="799" w:type="pct"/>
                  <w:tcBorders>
                    <w:tl2br w:val="nil"/>
                    <w:tr2bl w:val="nil"/>
                  </w:tcBorders>
                  <w:noWrap w:val="0"/>
                  <w:vAlign w:val="center"/>
                </w:tcPr>
                <w:p w14:paraId="68B65630">
                  <w:pPr>
                    <w:adjustRightInd w:val="0"/>
                    <w:snapToGrid w:val="0"/>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废气治理措施</w:t>
                  </w:r>
                </w:p>
              </w:tc>
              <w:tc>
                <w:tcPr>
                  <w:tcW w:w="3797" w:type="pct"/>
                  <w:tcBorders>
                    <w:tl2br w:val="nil"/>
                    <w:tr2bl w:val="nil"/>
                  </w:tcBorders>
                  <w:noWrap w:val="0"/>
                  <w:vAlign w:val="center"/>
                </w:tcPr>
                <w:p w14:paraId="769F84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施工期</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：对施工道路、施工作业面、</w:t>
                  </w:r>
                  <w:r>
                    <w:rPr>
                      <w:rFonts w:hint="eastAsia" w:cs="Times New Roman" w:eastAsiaTheme="minorEastAsia"/>
                      <w:color w:val="000000" w:themeColor="text1"/>
                      <w:sz w:val="21"/>
                      <w:szCs w:val="21"/>
                      <w:highlight w:val="none"/>
                      <w:lang w:val="en-US" w:eastAsia="zh-CN"/>
                      <w14:textFill>
                        <w14:solidFill>
                          <w14:schemeClr w14:val="tx1"/>
                        </w14:solidFill>
                      </w14:textFill>
                    </w:rPr>
                    <w:t>材料堆存点</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定期洒水抑尘</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运输车辆限速</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在大气敏感点两侧</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设置围挡等</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措施用以抑制施工扬尘</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Style w:val="31"/>
                      <w:rFonts w:hint="eastAsia"/>
                      <w:color w:val="000000" w:themeColor="text1"/>
                      <w:szCs w:val="21"/>
                      <w:lang w:val="en-US" w:eastAsia="zh-CN"/>
                      <w14:textFill>
                        <w14:solidFill>
                          <w14:schemeClr w14:val="tx1"/>
                        </w14:solidFill>
                      </w14:textFill>
                    </w:rPr>
                    <w:t>淤泥产生的恶臭通过除臭剂除臭后无组织排放</w:t>
                  </w:r>
                  <w:r>
                    <w:rPr>
                      <w:color w:val="000000" w:themeColor="text1"/>
                      <w:szCs w:val="21"/>
                      <w14:textFill>
                        <w14:solidFill>
                          <w14:schemeClr w14:val="tx1"/>
                        </w14:solidFill>
                      </w14:textFill>
                    </w:rPr>
                    <w:t>；</w:t>
                  </w:r>
                </w:p>
                <w:p w14:paraId="4F496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运营期：本项目运营期无废气产生。</w:t>
                  </w:r>
                </w:p>
              </w:tc>
            </w:tr>
            <w:tr w14:paraId="1BC81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4D76A794">
                  <w:pPr>
                    <w:pStyle w:val="38"/>
                    <w:spacing w:before="0" w:line="240" w:lineRule="auto"/>
                    <w:ind w:firstLine="0" w:firstLineChars="0"/>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noWrap w:val="0"/>
                  <w:vAlign w:val="center"/>
                </w:tcPr>
                <w:p w14:paraId="6F7757D4">
                  <w:pPr>
                    <w:adjustRightInd w:val="0"/>
                    <w:snapToGrid w:val="0"/>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废水治理措施</w:t>
                  </w:r>
                </w:p>
              </w:tc>
              <w:tc>
                <w:tcPr>
                  <w:tcW w:w="3797" w:type="pct"/>
                  <w:tcBorders>
                    <w:tl2br w:val="nil"/>
                    <w:tr2bl w:val="nil"/>
                  </w:tcBorders>
                  <w:noWrap w:val="0"/>
                  <w:vAlign w:val="center"/>
                </w:tcPr>
                <w:p w14:paraId="0A96C303">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施工期：本项目施工期施工人员生活污水依托租住民房的污水处理措施进行处理；</w:t>
                  </w:r>
                  <w:r>
                    <w:rPr>
                      <w:rFonts w:hint="eastAsia" w:ascii="Times New Roman" w:cs="Times New Roman"/>
                      <w:color w:val="000000" w:themeColor="text1"/>
                      <w:szCs w:val="21"/>
                      <w:highlight w:val="none"/>
                      <w:lang w:val="en-US" w:eastAsia="zh-CN"/>
                      <w14:textFill>
                        <w14:solidFill>
                          <w14:schemeClr w14:val="tx1"/>
                        </w14:solidFill>
                      </w14:textFill>
                    </w:rPr>
                    <w:t>车辆冲洗废水经沉淀池处理后用于洒水抑尘</w:t>
                  </w:r>
                  <w:r>
                    <w:rPr>
                      <w:rFonts w:ascii="Times New Roman"/>
                      <w:color w:val="000000" w:themeColor="text1"/>
                      <w:szCs w:val="21"/>
                      <w14:textFill>
                        <w14:solidFill>
                          <w14:schemeClr w14:val="tx1"/>
                        </w14:solidFill>
                      </w14:textFill>
                    </w:rPr>
                    <w:t>；</w:t>
                  </w:r>
                </w:p>
                <w:p w14:paraId="2FD6C362">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运营期：本项目运营期无废水产生。</w:t>
                  </w:r>
                </w:p>
              </w:tc>
            </w:tr>
            <w:tr w14:paraId="47594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469BECEF">
                  <w:pPr>
                    <w:pStyle w:val="38"/>
                    <w:spacing w:before="0" w:line="240" w:lineRule="auto"/>
                    <w:ind w:firstLine="0" w:firstLineChars="0"/>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shd w:val="clear" w:color="auto" w:fill="auto"/>
                  <w:noWrap w:val="0"/>
                  <w:vAlign w:val="center"/>
                </w:tcPr>
                <w:p w14:paraId="0503E549">
                  <w:pPr>
                    <w:adjustRightInd w:val="0"/>
                    <w:snapToGrid w:val="0"/>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噪声治理措施</w:t>
                  </w:r>
                </w:p>
              </w:tc>
              <w:tc>
                <w:tcPr>
                  <w:tcW w:w="3797" w:type="pct"/>
                  <w:tcBorders>
                    <w:tl2br w:val="nil"/>
                    <w:tr2bl w:val="nil"/>
                  </w:tcBorders>
                  <w:shd w:val="clear" w:color="auto" w:fill="auto"/>
                  <w:noWrap w:val="0"/>
                  <w:vAlign w:val="center"/>
                </w:tcPr>
                <w:p w14:paraId="78EAADA7">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施工期：</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施工机械选用低噪声设备</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eastAsia" w:ascii="Times New Roman" w:cs="Times New Roman" w:eastAsiaTheme="minorEastAsia"/>
                      <w:color w:val="000000" w:themeColor="text1"/>
                      <w:sz w:val="21"/>
                      <w:szCs w:val="21"/>
                      <w:highlight w:val="none"/>
                      <w:lang w:val="en-US" w:eastAsia="zh-CN"/>
                      <w14:textFill>
                        <w14:solidFill>
                          <w14:schemeClr w14:val="tx1"/>
                        </w14:solidFill>
                      </w14:textFill>
                    </w:rPr>
                    <w:t>大气敏感点区域</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设置围挡</w:t>
                  </w:r>
                  <w:r>
                    <w:rPr>
                      <w:rFonts w:hint="eastAsia" w:ascii="Times New Roman" w:cs="Times New Roman" w:eastAsiaTheme="minorEastAsia"/>
                      <w:color w:val="000000" w:themeColor="text1"/>
                      <w:sz w:val="21"/>
                      <w:szCs w:val="21"/>
                      <w:highlight w:val="none"/>
                      <w:lang w:eastAsia="zh-CN"/>
                      <w14:textFill>
                        <w14:solidFill>
                          <w14:schemeClr w14:val="tx1"/>
                        </w14:solidFill>
                      </w14:textFill>
                    </w:rPr>
                    <w:t>，</w:t>
                  </w:r>
                  <w:r>
                    <w:rPr>
                      <w:rFonts w:hint="eastAsia" w:ascii="Times New Roman" w:cs="Times New Roman" w:eastAsiaTheme="minorEastAsia"/>
                      <w:color w:val="000000" w:themeColor="text1"/>
                      <w:sz w:val="21"/>
                      <w:szCs w:val="21"/>
                      <w:highlight w:val="none"/>
                      <w:lang w:val="en-US" w:eastAsia="zh-CN"/>
                      <w14:textFill>
                        <w14:solidFill>
                          <w14:schemeClr w14:val="tx1"/>
                        </w14:solidFill>
                      </w14:textFill>
                    </w:rPr>
                    <w:t>降低噪声对村民的影响</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p>
                <w:p w14:paraId="4A80A439">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运营期：本项目运营期无噪声。</w:t>
                  </w:r>
                </w:p>
              </w:tc>
            </w:tr>
            <w:tr w14:paraId="1EC3D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5243EBB6">
                  <w:pPr>
                    <w:pStyle w:val="38"/>
                    <w:spacing w:before="0" w:line="240" w:lineRule="auto"/>
                    <w:ind w:firstLine="0" w:firstLineChars="0"/>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noWrap w:val="0"/>
                  <w:vAlign w:val="center"/>
                </w:tcPr>
                <w:p w14:paraId="4032A088">
                  <w:pPr>
                    <w:adjustRightInd w:val="0"/>
                    <w:snapToGrid w:val="0"/>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固体废物治理措施</w:t>
                  </w:r>
                </w:p>
              </w:tc>
              <w:tc>
                <w:tcPr>
                  <w:tcW w:w="3797" w:type="pct"/>
                  <w:tcBorders>
                    <w:tl2br w:val="nil"/>
                    <w:tr2bl w:val="nil"/>
                  </w:tcBorders>
                  <w:noWrap w:val="0"/>
                  <w:vAlign w:val="center"/>
                </w:tcPr>
                <w:p w14:paraId="5FAE86D6">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施工期：</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生活垃圾</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租住民房</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垃圾桶收集，</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定期运送至附近垃圾中转站由环卫部门处置</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eastAsia" w:ascii="Times New Roman" w:cs="Times New Roman" w:eastAsiaTheme="minorEastAsia"/>
                      <w:color w:val="000000" w:themeColor="text1"/>
                      <w:sz w:val="21"/>
                      <w:szCs w:val="21"/>
                      <w:highlight w:val="none"/>
                      <w:lang w:val="en-US" w:eastAsia="zh-CN"/>
                      <w14:textFill>
                        <w14:solidFill>
                          <w14:schemeClr w14:val="tx1"/>
                        </w14:solidFill>
                      </w14:textFill>
                    </w:rPr>
                    <w:t>建筑垃圾</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运送至政府指定地点；</w:t>
                  </w:r>
                  <w:r>
                    <w:rPr>
                      <w:rFonts w:hint="default" w:ascii="Times New Roman" w:hAnsi="Times New Roman" w:cs="Times New Roman"/>
                      <w:color w:val="000000" w:themeColor="text1"/>
                      <w:szCs w:val="21"/>
                      <w:highlight w:val="none"/>
                      <w:lang w:val="en-US" w:eastAsia="zh-CN"/>
                      <w14:textFill>
                        <w14:solidFill>
                          <w14:schemeClr w14:val="tx1"/>
                        </w14:solidFill>
                      </w14:textFill>
                    </w:rPr>
                    <w:t>清理的淤泥晾干后集中收集，拉运至其他生态修复治理项目，作为回填材料综合利用；</w:t>
                  </w:r>
                </w:p>
                <w:p w14:paraId="5F682D4A">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运营期：本项目运营期无固体废物产生。</w:t>
                  </w:r>
                </w:p>
              </w:tc>
            </w:tr>
            <w:tr w14:paraId="3592F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pct"/>
                  <w:vMerge w:val="continue"/>
                  <w:tcBorders>
                    <w:tl2br w:val="nil"/>
                    <w:tr2bl w:val="nil"/>
                  </w:tcBorders>
                  <w:noWrap w:val="0"/>
                  <w:vAlign w:val="center"/>
                </w:tcPr>
                <w:p w14:paraId="665320D7">
                  <w:pPr>
                    <w:pStyle w:val="38"/>
                    <w:spacing w:before="0" w:line="240" w:lineRule="auto"/>
                    <w:ind w:firstLine="0" w:firstLineChars="0"/>
                    <w:rPr>
                      <w:rFonts w:hint="default" w:ascii="Times New Roman" w:hAnsi="Times New Roman" w:cs="Times New Roman"/>
                      <w:b/>
                      <w:bCs/>
                      <w:color w:val="000000" w:themeColor="text1"/>
                      <w:szCs w:val="21"/>
                      <w:highlight w:val="none"/>
                      <w14:textFill>
                        <w14:solidFill>
                          <w14:schemeClr w14:val="tx1"/>
                        </w14:solidFill>
                      </w14:textFill>
                    </w:rPr>
                  </w:pPr>
                </w:p>
              </w:tc>
              <w:tc>
                <w:tcPr>
                  <w:tcW w:w="799" w:type="pct"/>
                  <w:tcBorders>
                    <w:tl2br w:val="nil"/>
                    <w:tr2bl w:val="nil"/>
                  </w:tcBorders>
                  <w:noWrap w:val="0"/>
                  <w:vAlign w:val="center"/>
                </w:tcPr>
                <w:p w14:paraId="4665F3B4">
                  <w:pPr>
                    <w:adjustRightInd w:val="0"/>
                    <w:snapToGrid w:val="0"/>
                    <w:spacing w:line="240" w:lineRule="auto"/>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生态治理措施</w:t>
                  </w:r>
                </w:p>
              </w:tc>
              <w:tc>
                <w:tcPr>
                  <w:tcW w:w="3797" w:type="pct"/>
                  <w:tcBorders>
                    <w:tl2br w:val="nil"/>
                    <w:tr2bl w:val="nil"/>
                  </w:tcBorders>
                  <w:noWrap w:val="0"/>
                  <w:vAlign w:val="center"/>
                </w:tcPr>
                <w:p w14:paraId="53266567">
                  <w:pPr>
                    <w:pStyle w:val="6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Cs w:val="21"/>
                      <w:highlight w:val="none"/>
                      <w:vertAlign w:val="baseline"/>
                      <w:lang w:val="en-US" w:eastAsia="zh-CN"/>
                      <w14:textFill>
                        <w14:solidFill>
                          <w14:schemeClr w14:val="tx1"/>
                        </w14:solidFill>
                      </w14:textFill>
                    </w:rPr>
                    <w:t>项目施工期通过采取防尘网苫盖降低水土流失，施工期严格控制施工范围，不得对周边耕地造成影响</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w:t>
                  </w:r>
                </w:p>
              </w:tc>
            </w:tr>
          </w:tbl>
          <w:p w14:paraId="282B449A">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2、建设规模及主要工程参数</w:t>
            </w:r>
          </w:p>
          <w:p w14:paraId="302C31F8">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（1）建设规模</w:t>
            </w:r>
          </w:p>
          <w:p w14:paraId="7F1FCF79">
            <w:pPr>
              <w:autoSpaceDE w:val="0"/>
              <w:autoSpaceDN w:val="0"/>
              <w:adjustRightInd w:val="0"/>
              <w:spacing w:line="360" w:lineRule="auto"/>
              <w:ind w:firstLine="480" w:firstLineChars="200"/>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沟道清淤疏浚1.4公里，视频水位一体化监测站1套，边坡砌护0.64公里；</w:t>
            </w:r>
          </w:p>
          <w:p w14:paraId="754683F6">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（2）主要工程参数</w:t>
            </w:r>
          </w:p>
          <w:p w14:paraId="53EA78AE">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①防洪标准</w:t>
            </w:r>
          </w:p>
          <w:p w14:paraId="0D2DD5BE">
            <w:pPr>
              <w:autoSpaceDE w:val="0"/>
              <w:autoSpaceDN w:val="0"/>
              <w:adjustRightInd w:val="0"/>
              <w:spacing w:line="360" w:lineRule="auto"/>
              <w:ind w:firstLine="480" w:firstLineChars="200"/>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根据《防洪标准》（GB50201-2014）规定，以乡村、农田为主的防洪区。当防洪区人口≤20万人且防洪区耕地面积≤30万亩时，工程等级为Ⅳ等，防洪标准为20～10年一遇，</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三个窑沟原有设计防洪标准为</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10年</w:t>
            </w:r>
            <w:r>
              <w:rPr>
                <w:rFonts w:hint="eastAsia" w:cs="Times New Roman" w:eastAsiaTheme="minorEastAsia"/>
                <w:color w:val="000000" w:themeColor="text1"/>
                <w:sz w:val="24"/>
                <w:szCs w:val="20"/>
                <w:highlight w:val="none"/>
                <w:lang w:val="en-US" w:eastAsia="zh-CN" w:bidi="en-US"/>
                <w14:textFill>
                  <w14:solidFill>
                    <w14:schemeClr w14:val="tx1"/>
                  </w14:solidFill>
                </w14:textFill>
              </w:rPr>
              <w:t>一遇</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w:t>
            </w:r>
          </w:p>
          <w:p w14:paraId="47F9CF2C">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pPr>
            <w:r>
              <w:rPr>
                <w:rFonts w:hint="default" w:ascii="Times New Roman" w:hAnsi="Times New Roman" w:eastAsia="黑体" w:cs="Times New Roman"/>
                <w:b w:val="0"/>
                <w:bCs w:val="0"/>
                <w:color w:val="000000" w:themeColor="text1"/>
                <w:sz w:val="24"/>
                <w:szCs w:val="20"/>
                <w:highlight w:val="none"/>
                <w:lang w:val="en-US" w:eastAsia="zh-CN" w:bidi="en-US"/>
                <w14:textFill>
                  <w14:solidFill>
                    <w14:schemeClr w14:val="tx1"/>
                  </w14:solidFill>
                </w14:textFill>
              </w:rPr>
              <w:t>②主要工程量</w:t>
            </w:r>
          </w:p>
          <w:p w14:paraId="430ECE77">
            <w:pPr>
              <w:autoSpaceDE w:val="0"/>
              <w:autoSpaceDN w:val="0"/>
              <w:adjustRightInd w:val="0"/>
              <w:spacing w:line="360" w:lineRule="auto"/>
              <w:ind w:firstLine="480" w:firstLineChars="200"/>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pP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本项目主要工程量见表2-2。</w:t>
            </w:r>
          </w:p>
          <w:p w14:paraId="1D7665EB">
            <w:pPr>
              <w:pStyle w:val="9"/>
              <w:adjustRightInd w:val="0"/>
              <w:spacing w:before="0" w:after="0" w:line="240" w:lineRule="auto"/>
              <w:ind w:right="0"/>
              <w:jc w:val="cente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表2-2  三个窑沟治理工程量清单</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4333"/>
              <w:gridCol w:w="1272"/>
              <w:gridCol w:w="1983"/>
            </w:tblGrid>
            <w:tr w14:paraId="68826E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top"/>
                </w:tcPr>
                <w:p w14:paraId="21AAAEC1">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4333" w:type="dxa"/>
                  <w:tcBorders>
                    <w:tl2br w:val="nil"/>
                    <w:tr2bl w:val="nil"/>
                  </w:tcBorders>
                  <w:vAlign w:val="top"/>
                </w:tcPr>
                <w:p w14:paraId="7934FC7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工程名称</w:t>
                  </w:r>
                </w:p>
              </w:tc>
              <w:tc>
                <w:tcPr>
                  <w:tcW w:w="1272" w:type="dxa"/>
                  <w:tcBorders>
                    <w:tl2br w:val="nil"/>
                    <w:tr2bl w:val="nil"/>
                  </w:tcBorders>
                  <w:vAlign w:val="top"/>
                </w:tcPr>
                <w:p w14:paraId="2C3B2203">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单位</w:t>
                  </w:r>
                </w:p>
              </w:tc>
              <w:tc>
                <w:tcPr>
                  <w:tcW w:w="1983" w:type="dxa"/>
                  <w:tcBorders>
                    <w:tl2br w:val="nil"/>
                    <w:tr2bl w:val="nil"/>
                  </w:tcBorders>
                  <w:vAlign w:val="top"/>
                </w:tcPr>
                <w:p w14:paraId="7F59B29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数量</w:t>
                  </w:r>
                </w:p>
              </w:tc>
            </w:tr>
            <w:tr w14:paraId="56EDB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2B0AFF13">
                  <w:pPr>
                    <w:pStyle w:val="14"/>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一</w:t>
                  </w:r>
                </w:p>
              </w:tc>
              <w:tc>
                <w:tcPr>
                  <w:tcW w:w="4333" w:type="dxa"/>
                  <w:tcBorders>
                    <w:tl2br w:val="nil"/>
                    <w:tr2bl w:val="nil"/>
                  </w:tcBorders>
                  <w:vAlign w:val="center"/>
                </w:tcPr>
                <w:p w14:paraId="2CD39CAB">
                  <w:pPr>
                    <w:pStyle w:val="14"/>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沟道清淤疏浚工程</w:t>
                  </w:r>
                </w:p>
              </w:tc>
              <w:tc>
                <w:tcPr>
                  <w:tcW w:w="1272" w:type="dxa"/>
                  <w:tcBorders>
                    <w:tl2br w:val="nil"/>
                    <w:tr2bl w:val="nil"/>
                  </w:tcBorders>
                  <w:vAlign w:val="center"/>
                </w:tcPr>
                <w:p w14:paraId="7B3D6378">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c>
                <w:tcPr>
                  <w:tcW w:w="1983" w:type="dxa"/>
                  <w:tcBorders>
                    <w:tl2br w:val="nil"/>
                    <w:tr2bl w:val="nil"/>
                  </w:tcBorders>
                  <w:vAlign w:val="center"/>
                </w:tcPr>
                <w:p w14:paraId="6DF924C6">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p>
              </w:tc>
            </w:tr>
            <w:tr w14:paraId="197EC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0D241926">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1</w:t>
                  </w:r>
                </w:p>
              </w:tc>
              <w:tc>
                <w:tcPr>
                  <w:tcW w:w="4333" w:type="dxa"/>
                  <w:tcBorders>
                    <w:tl2br w:val="nil"/>
                    <w:tr2bl w:val="nil"/>
                  </w:tcBorders>
                  <w:vAlign w:val="center"/>
                </w:tcPr>
                <w:p w14:paraId="6368C2F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三个窑沟K45+610--K47+010段清淤疏浚工程</w:t>
                  </w:r>
                </w:p>
              </w:tc>
              <w:tc>
                <w:tcPr>
                  <w:tcW w:w="1272" w:type="dxa"/>
                  <w:tcBorders>
                    <w:tl2br w:val="nil"/>
                    <w:tr2bl w:val="nil"/>
                  </w:tcBorders>
                  <w:vAlign w:val="center"/>
                </w:tcPr>
                <w:p w14:paraId="40840E10">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km</w:t>
                  </w:r>
                </w:p>
              </w:tc>
              <w:tc>
                <w:tcPr>
                  <w:tcW w:w="1983" w:type="dxa"/>
                  <w:tcBorders>
                    <w:tl2br w:val="nil"/>
                    <w:tr2bl w:val="nil"/>
                  </w:tcBorders>
                  <w:vAlign w:val="center"/>
                </w:tcPr>
                <w:p w14:paraId="1178EE1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1.4</w:t>
                  </w:r>
                </w:p>
              </w:tc>
            </w:tr>
            <w:tr w14:paraId="724D0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4560C7AA">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4BD41C3F">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淤泥开挖</w:t>
                  </w:r>
                </w:p>
              </w:tc>
              <w:tc>
                <w:tcPr>
                  <w:tcW w:w="1272" w:type="dxa"/>
                  <w:tcBorders>
                    <w:tl2br w:val="nil"/>
                    <w:tr2bl w:val="nil"/>
                  </w:tcBorders>
                  <w:vAlign w:val="center"/>
                </w:tcPr>
                <w:p w14:paraId="43ED9F7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31501D43">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96760</w:t>
                  </w:r>
                  <w:r>
                    <w:rPr>
                      <w:rFonts w:hint="eastAsia"/>
                      <w:color w:val="000000" w:themeColor="text1"/>
                      <w:lang w:val="en-US" w:eastAsia="zh-CN"/>
                      <w14:textFill>
                        <w14:solidFill>
                          <w14:schemeClr w14:val="tx1"/>
                        </w14:solidFill>
                      </w14:textFill>
                    </w:rPr>
                    <w:t>m³，深1.5m</w:t>
                  </w:r>
                </w:p>
              </w:tc>
            </w:tr>
            <w:tr w14:paraId="4FAD9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6D97501C">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二</w:t>
                  </w:r>
                </w:p>
              </w:tc>
              <w:tc>
                <w:tcPr>
                  <w:tcW w:w="4333" w:type="dxa"/>
                  <w:tcBorders>
                    <w:tl2br w:val="nil"/>
                    <w:tr2bl w:val="nil"/>
                  </w:tcBorders>
                  <w:vAlign w:val="center"/>
                </w:tcPr>
                <w:p w14:paraId="0066AD71">
                  <w:pPr>
                    <w:pStyle w:val="14"/>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边坡</w:t>
                  </w: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砌护工程</w:t>
                  </w:r>
                </w:p>
              </w:tc>
              <w:tc>
                <w:tcPr>
                  <w:tcW w:w="1272" w:type="dxa"/>
                  <w:tcBorders>
                    <w:tl2br w:val="nil"/>
                    <w:tr2bl w:val="nil"/>
                  </w:tcBorders>
                  <w:vAlign w:val="center"/>
                </w:tcPr>
                <w:p w14:paraId="6F7EFD92">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p>
              </w:tc>
              <w:tc>
                <w:tcPr>
                  <w:tcW w:w="1983" w:type="dxa"/>
                  <w:tcBorders>
                    <w:tl2br w:val="nil"/>
                    <w:tr2bl w:val="nil"/>
                  </w:tcBorders>
                  <w:vAlign w:val="center"/>
                </w:tcPr>
                <w:p w14:paraId="3FD61A1D">
                  <w:pPr>
                    <w:pStyle w:val="14"/>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pPr>
                </w:p>
              </w:tc>
            </w:tr>
            <w:tr w14:paraId="305A1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706706F2">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1</w:t>
                  </w:r>
                </w:p>
              </w:tc>
              <w:tc>
                <w:tcPr>
                  <w:tcW w:w="4333" w:type="dxa"/>
                  <w:tcBorders>
                    <w:tl2br w:val="nil"/>
                    <w:tr2bl w:val="nil"/>
                  </w:tcBorders>
                  <w:vAlign w:val="center"/>
                </w:tcPr>
                <w:p w14:paraId="08E8F0ED">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K40+983--K41+148段左岸护坡</w:t>
                  </w:r>
                </w:p>
              </w:tc>
              <w:tc>
                <w:tcPr>
                  <w:tcW w:w="1272" w:type="dxa"/>
                  <w:tcBorders>
                    <w:tl2br w:val="nil"/>
                    <w:tr2bl w:val="nil"/>
                  </w:tcBorders>
                  <w:vAlign w:val="center"/>
                </w:tcPr>
                <w:p w14:paraId="4FC61A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p>
              </w:tc>
              <w:tc>
                <w:tcPr>
                  <w:tcW w:w="1983" w:type="dxa"/>
                  <w:tcBorders>
                    <w:tl2br w:val="nil"/>
                    <w:tr2bl w:val="nil"/>
                  </w:tcBorders>
                  <w:vAlign w:val="center"/>
                </w:tcPr>
                <w:p w14:paraId="4B25102E">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134</w:t>
                  </w:r>
                </w:p>
              </w:tc>
            </w:tr>
            <w:tr w14:paraId="21FAA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50AC3B6E">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29641BD2">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土方开挖</w:t>
                  </w:r>
                </w:p>
              </w:tc>
              <w:tc>
                <w:tcPr>
                  <w:tcW w:w="1272" w:type="dxa"/>
                  <w:tcBorders>
                    <w:tl2br w:val="nil"/>
                    <w:tr2bl w:val="nil"/>
                  </w:tcBorders>
                  <w:vAlign w:val="center"/>
                </w:tcPr>
                <w:p w14:paraId="05D6A3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2A281ED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1072</w:t>
                  </w:r>
                </w:p>
              </w:tc>
            </w:tr>
            <w:tr w14:paraId="2FAE6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75B6B12A">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0640967C">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土方回填压实</w:t>
                  </w:r>
                </w:p>
              </w:tc>
              <w:tc>
                <w:tcPr>
                  <w:tcW w:w="1272" w:type="dxa"/>
                  <w:tcBorders>
                    <w:tl2br w:val="nil"/>
                    <w:tr2bl w:val="nil"/>
                  </w:tcBorders>
                  <w:vAlign w:val="center"/>
                </w:tcPr>
                <w:p w14:paraId="58197F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326B3E83">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1072</w:t>
                  </w:r>
                </w:p>
              </w:tc>
            </w:tr>
            <w:tr w14:paraId="618C4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35C1555D">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2B5C200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浆砌石基础</w:t>
                  </w:r>
                </w:p>
              </w:tc>
              <w:tc>
                <w:tcPr>
                  <w:tcW w:w="1272" w:type="dxa"/>
                  <w:tcBorders>
                    <w:tl2br w:val="nil"/>
                    <w:tr2bl w:val="nil"/>
                  </w:tcBorders>
                  <w:vAlign w:val="center"/>
                </w:tcPr>
                <w:p w14:paraId="64ECD1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79E2557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191.62</w:t>
                  </w:r>
                </w:p>
              </w:tc>
            </w:tr>
            <w:tr w14:paraId="2964D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73FC37E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6BB6F6F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浆砌石挡土墙</w:t>
                  </w:r>
                </w:p>
              </w:tc>
              <w:tc>
                <w:tcPr>
                  <w:tcW w:w="1272" w:type="dxa"/>
                  <w:tcBorders>
                    <w:tl2br w:val="nil"/>
                    <w:tr2bl w:val="nil"/>
                  </w:tcBorders>
                  <w:vAlign w:val="center"/>
                </w:tcPr>
                <w:p w14:paraId="1D07C5E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72435D5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160.80</w:t>
                  </w:r>
                </w:p>
              </w:tc>
            </w:tr>
            <w:tr w14:paraId="0EC2D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38467F0B">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730591DD">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格宾护底</w:t>
                  </w:r>
                </w:p>
              </w:tc>
              <w:tc>
                <w:tcPr>
                  <w:tcW w:w="1272" w:type="dxa"/>
                  <w:tcBorders>
                    <w:tl2br w:val="nil"/>
                    <w:tr2bl w:val="nil"/>
                  </w:tcBorders>
                  <w:vAlign w:val="center"/>
                </w:tcPr>
                <w:p w14:paraId="0DDCAC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0A3E62BA">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134.00</w:t>
                  </w:r>
                </w:p>
              </w:tc>
            </w:tr>
            <w:tr w14:paraId="47A7B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2AE0459A">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405BC6EE">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单组份聚氨酯密封胶</w:t>
                  </w:r>
                </w:p>
              </w:tc>
              <w:tc>
                <w:tcPr>
                  <w:tcW w:w="1272" w:type="dxa"/>
                  <w:tcBorders>
                    <w:tl2br w:val="nil"/>
                    <w:tr2bl w:val="nil"/>
                  </w:tcBorders>
                  <w:vAlign w:val="center"/>
                </w:tcPr>
                <w:p w14:paraId="4EEB48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5075B32A">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0.02</w:t>
                  </w:r>
                </w:p>
              </w:tc>
            </w:tr>
            <w:tr w14:paraId="2FC0A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405A276D">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3DE4E767">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苯板（20kg/m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272" w:type="dxa"/>
                  <w:tcBorders>
                    <w:tl2br w:val="nil"/>
                    <w:tr2bl w:val="nil"/>
                  </w:tcBorders>
                  <w:vAlign w:val="center"/>
                </w:tcPr>
                <w:p w14:paraId="2B58AAD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162C83C1">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1.06</w:t>
                  </w:r>
                </w:p>
              </w:tc>
            </w:tr>
            <w:tr w14:paraId="222BB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54BA744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2</w:t>
                  </w:r>
                </w:p>
              </w:tc>
              <w:tc>
                <w:tcPr>
                  <w:tcW w:w="4333" w:type="dxa"/>
                  <w:tcBorders>
                    <w:tl2br w:val="nil"/>
                    <w:tr2bl w:val="nil"/>
                  </w:tcBorders>
                  <w:vAlign w:val="center"/>
                </w:tcPr>
                <w:p w14:paraId="77EF7007">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K41+185--K41+565段右岸护坡</w:t>
                  </w:r>
                </w:p>
              </w:tc>
              <w:tc>
                <w:tcPr>
                  <w:tcW w:w="1272" w:type="dxa"/>
                  <w:tcBorders>
                    <w:tl2br w:val="nil"/>
                    <w:tr2bl w:val="nil"/>
                  </w:tcBorders>
                  <w:vAlign w:val="center"/>
                </w:tcPr>
                <w:p w14:paraId="33275874">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p>
              </w:tc>
              <w:tc>
                <w:tcPr>
                  <w:tcW w:w="1983" w:type="dxa"/>
                  <w:tcBorders>
                    <w:tl2br w:val="nil"/>
                    <w:tr2bl w:val="nil"/>
                  </w:tcBorders>
                  <w:vAlign w:val="center"/>
                </w:tcPr>
                <w:p w14:paraId="4B160800">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381</w:t>
                  </w:r>
                </w:p>
              </w:tc>
            </w:tr>
            <w:tr w14:paraId="07C54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2D4E5997">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02DFBDF5">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土方开挖</w:t>
                  </w:r>
                </w:p>
              </w:tc>
              <w:tc>
                <w:tcPr>
                  <w:tcW w:w="1272" w:type="dxa"/>
                  <w:tcBorders>
                    <w:tl2br w:val="nil"/>
                    <w:tr2bl w:val="nil"/>
                  </w:tcBorders>
                  <w:vAlign w:val="center"/>
                </w:tcPr>
                <w:p w14:paraId="5B69F3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22037C6B">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2604</w:t>
                  </w:r>
                </w:p>
              </w:tc>
            </w:tr>
            <w:tr w14:paraId="2B8A7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2C1F383B">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458226E6">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土方回填压实</w:t>
                  </w:r>
                </w:p>
              </w:tc>
              <w:tc>
                <w:tcPr>
                  <w:tcW w:w="1272" w:type="dxa"/>
                  <w:tcBorders>
                    <w:tl2br w:val="nil"/>
                    <w:tr2bl w:val="nil"/>
                  </w:tcBorders>
                  <w:vAlign w:val="center"/>
                </w:tcPr>
                <w:p w14:paraId="58595D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5C626C86">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2604</w:t>
                  </w:r>
                </w:p>
              </w:tc>
            </w:tr>
            <w:tr w14:paraId="0244B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4034953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0B91308D">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浆砌石基础</w:t>
                  </w:r>
                </w:p>
              </w:tc>
              <w:tc>
                <w:tcPr>
                  <w:tcW w:w="1272" w:type="dxa"/>
                  <w:tcBorders>
                    <w:tl2br w:val="nil"/>
                    <w:tr2bl w:val="nil"/>
                  </w:tcBorders>
                  <w:vAlign w:val="center"/>
                </w:tcPr>
                <w:p w14:paraId="3BC0A5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317B374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466.34</w:t>
                  </w:r>
                </w:p>
              </w:tc>
            </w:tr>
            <w:tr w14:paraId="0DE06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4FC733DD">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420B02D2">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浆砌石挡土墙</w:t>
                  </w:r>
                </w:p>
              </w:tc>
              <w:tc>
                <w:tcPr>
                  <w:tcW w:w="1272" w:type="dxa"/>
                  <w:tcBorders>
                    <w:tl2br w:val="nil"/>
                    <w:tr2bl w:val="nil"/>
                  </w:tcBorders>
                  <w:vAlign w:val="center"/>
                </w:tcPr>
                <w:p w14:paraId="7D3E54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4D42EA6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376.43</w:t>
                  </w:r>
                </w:p>
              </w:tc>
            </w:tr>
            <w:tr w14:paraId="4D943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059A0213">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34399A31">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格宾护底</w:t>
                  </w:r>
                </w:p>
              </w:tc>
              <w:tc>
                <w:tcPr>
                  <w:tcW w:w="1272" w:type="dxa"/>
                  <w:tcBorders>
                    <w:tl2br w:val="nil"/>
                    <w:tr2bl w:val="nil"/>
                  </w:tcBorders>
                  <w:vAlign w:val="center"/>
                </w:tcPr>
                <w:p w14:paraId="009A47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69840987">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381.00</w:t>
                  </w:r>
                </w:p>
              </w:tc>
            </w:tr>
            <w:tr w14:paraId="2E2C2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0D6652E1">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504551FA">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单组份聚氨酯密封胶</w:t>
                  </w:r>
                </w:p>
              </w:tc>
              <w:tc>
                <w:tcPr>
                  <w:tcW w:w="1272" w:type="dxa"/>
                  <w:tcBorders>
                    <w:tl2br w:val="nil"/>
                    <w:tr2bl w:val="nil"/>
                  </w:tcBorders>
                  <w:vAlign w:val="center"/>
                </w:tcPr>
                <w:p w14:paraId="48DB649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136C0C6B">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0.10</w:t>
                  </w:r>
                </w:p>
              </w:tc>
            </w:tr>
            <w:tr w14:paraId="36C0D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54E26A7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3EDB3E95">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苯板（20kg/m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272" w:type="dxa"/>
                  <w:tcBorders>
                    <w:tl2br w:val="nil"/>
                    <w:tr2bl w:val="nil"/>
                  </w:tcBorders>
                  <w:vAlign w:val="center"/>
                </w:tcPr>
                <w:p w14:paraId="4BD1D1C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026584D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2.53</w:t>
                  </w:r>
                </w:p>
              </w:tc>
            </w:tr>
            <w:tr w14:paraId="1848C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17D2DA5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3</w:t>
                  </w:r>
                </w:p>
              </w:tc>
              <w:tc>
                <w:tcPr>
                  <w:tcW w:w="4333" w:type="dxa"/>
                  <w:tcBorders>
                    <w:tl2br w:val="nil"/>
                    <w:tr2bl w:val="nil"/>
                  </w:tcBorders>
                  <w:vAlign w:val="center"/>
                </w:tcPr>
                <w:p w14:paraId="23A4D704">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K44+830--K44+920段左岸护坡</w:t>
                  </w:r>
                </w:p>
              </w:tc>
              <w:tc>
                <w:tcPr>
                  <w:tcW w:w="1272" w:type="dxa"/>
                  <w:tcBorders>
                    <w:tl2br w:val="nil"/>
                    <w:tr2bl w:val="nil"/>
                  </w:tcBorders>
                  <w:vAlign w:val="center"/>
                </w:tcPr>
                <w:p w14:paraId="163A8B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p>
              </w:tc>
              <w:tc>
                <w:tcPr>
                  <w:tcW w:w="1983" w:type="dxa"/>
                  <w:tcBorders>
                    <w:tl2br w:val="nil"/>
                    <w:tr2bl w:val="nil"/>
                  </w:tcBorders>
                  <w:vAlign w:val="center"/>
                </w:tcPr>
                <w:p w14:paraId="59904335">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120</w:t>
                  </w:r>
                </w:p>
              </w:tc>
            </w:tr>
            <w:tr w14:paraId="2B296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13229C6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7972EEEB">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土方开挖</w:t>
                  </w:r>
                </w:p>
              </w:tc>
              <w:tc>
                <w:tcPr>
                  <w:tcW w:w="1272" w:type="dxa"/>
                  <w:tcBorders>
                    <w:tl2br w:val="nil"/>
                    <w:tr2bl w:val="nil"/>
                  </w:tcBorders>
                  <w:vAlign w:val="center"/>
                </w:tcPr>
                <w:p w14:paraId="2F2F905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186D531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1145</w:t>
                  </w:r>
                </w:p>
              </w:tc>
            </w:tr>
            <w:tr w14:paraId="14CFA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622B33DB">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5BA6DA11">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土方回填压实</w:t>
                  </w:r>
                </w:p>
              </w:tc>
              <w:tc>
                <w:tcPr>
                  <w:tcW w:w="1272" w:type="dxa"/>
                  <w:tcBorders>
                    <w:tl2br w:val="nil"/>
                    <w:tr2bl w:val="nil"/>
                  </w:tcBorders>
                  <w:vAlign w:val="center"/>
                </w:tcPr>
                <w:p w14:paraId="0666CC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2D408568">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1145</w:t>
                  </w:r>
                </w:p>
              </w:tc>
            </w:tr>
            <w:tr w14:paraId="1046D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22B5857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51EFE370">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浆砌石基础</w:t>
                  </w:r>
                </w:p>
              </w:tc>
              <w:tc>
                <w:tcPr>
                  <w:tcW w:w="1272" w:type="dxa"/>
                  <w:tcBorders>
                    <w:tl2br w:val="nil"/>
                    <w:tr2bl w:val="nil"/>
                  </w:tcBorders>
                  <w:vAlign w:val="center"/>
                </w:tcPr>
                <w:p w14:paraId="29E2F96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5FD0621B">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193.20</w:t>
                  </w:r>
                </w:p>
              </w:tc>
            </w:tr>
            <w:tr w14:paraId="04A5F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358267F6">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6BE6EEE2">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浆砌石护坡</w:t>
                  </w:r>
                </w:p>
              </w:tc>
              <w:tc>
                <w:tcPr>
                  <w:tcW w:w="1272" w:type="dxa"/>
                  <w:tcBorders>
                    <w:tl2br w:val="nil"/>
                    <w:tr2bl w:val="nil"/>
                  </w:tcBorders>
                  <w:vAlign w:val="center"/>
                </w:tcPr>
                <w:p w14:paraId="444B3F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53ACF407">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104.88</w:t>
                  </w:r>
                </w:p>
              </w:tc>
            </w:tr>
            <w:tr w14:paraId="154F7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5146823C">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01AC492B">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人工修整边坡</w:t>
                  </w:r>
                </w:p>
              </w:tc>
              <w:tc>
                <w:tcPr>
                  <w:tcW w:w="1272" w:type="dxa"/>
                  <w:tcBorders>
                    <w:tl2br w:val="nil"/>
                    <w:tr2bl w:val="nil"/>
                  </w:tcBorders>
                  <w:vAlign w:val="center"/>
                </w:tcPr>
                <w:p w14:paraId="5C4220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983" w:type="dxa"/>
                  <w:tcBorders>
                    <w:tl2br w:val="nil"/>
                    <w:tr2bl w:val="nil"/>
                  </w:tcBorders>
                  <w:vAlign w:val="center"/>
                </w:tcPr>
                <w:p w14:paraId="6EB145B4">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314.58</w:t>
                  </w:r>
                </w:p>
              </w:tc>
            </w:tr>
            <w:tr w14:paraId="60A12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34C1846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1070B35B">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单组份聚氨酯密封胶</w:t>
                  </w:r>
                </w:p>
              </w:tc>
              <w:tc>
                <w:tcPr>
                  <w:tcW w:w="1272" w:type="dxa"/>
                  <w:tcBorders>
                    <w:tl2br w:val="nil"/>
                    <w:tr2bl w:val="nil"/>
                  </w:tcBorders>
                  <w:vAlign w:val="center"/>
                </w:tcPr>
                <w:p w14:paraId="25EEF9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6A9E3ED6">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0.05</w:t>
                  </w:r>
                </w:p>
              </w:tc>
            </w:tr>
            <w:tr w14:paraId="37830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4F5D26A2">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0D87A517">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苯板（20kg/m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1272" w:type="dxa"/>
                  <w:tcBorders>
                    <w:tl2br w:val="nil"/>
                    <w:tr2bl w:val="nil"/>
                  </w:tcBorders>
                  <w:vAlign w:val="center"/>
                </w:tcPr>
                <w:p w14:paraId="656CBD1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5A0593F0">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0.89</w:t>
                  </w:r>
                </w:p>
              </w:tc>
            </w:tr>
            <w:tr w14:paraId="7F733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31EA7F3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473CFCFB">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格宾护底</w:t>
                  </w:r>
                </w:p>
              </w:tc>
              <w:tc>
                <w:tcPr>
                  <w:tcW w:w="1272" w:type="dxa"/>
                  <w:tcBorders>
                    <w:tl2br w:val="nil"/>
                    <w:tr2bl w:val="nil"/>
                  </w:tcBorders>
                  <w:vAlign w:val="center"/>
                </w:tcPr>
                <w:p w14:paraId="5642A7E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008C26CB">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120.00</w:t>
                  </w:r>
                </w:p>
              </w:tc>
            </w:tr>
            <w:tr w14:paraId="2C88F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1F09749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7626AB08">
                  <w:pPr>
                    <w:pStyle w:val="14"/>
                    <w:keepNext w:val="0"/>
                    <w:keepLines w:val="0"/>
                    <w:suppressLineNumbers w:val="0"/>
                    <w:spacing w:before="0" w:beforeAutospacing="0" w:after="0" w:afterAutospacing="0"/>
                    <w:ind w:left="0" w:leftChars="0" w:right="0" w:rightChars="0"/>
                    <w:jc w:val="cente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现状浆砌石拆除外运</w:t>
                  </w:r>
                </w:p>
              </w:tc>
              <w:tc>
                <w:tcPr>
                  <w:tcW w:w="1272" w:type="dxa"/>
                  <w:tcBorders>
                    <w:tl2br w:val="nil"/>
                    <w:tr2bl w:val="nil"/>
                  </w:tcBorders>
                  <w:vAlign w:val="center"/>
                </w:tcPr>
                <w:p w14:paraId="790B23F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p>
              </w:tc>
              <w:tc>
                <w:tcPr>
                  <w:tcW w:w="1983" w:type="dxa"/>
                  <w:tcBorders>
                    <w:tl2br w:val="nil"/>
                    <w:tr2bl w:val="nil"/>
                  </w:tcBorders>
                  <w:vAlign w:val="center"/>
                </w:tcPr>
                <w:p w14:paraId="6F70442E">
                  <w:pPr>
                    <w:pStyle w:val="14"/>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193.20</w:t>
                  </w:r>
                </w:p>
              </w:tc>
            </w:tr>
            <w:tr w14:paraId="1CB24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68CCDF0F">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三</w:t>
                  </w:r>
                </w:p>
              </w:tc>
              <w:tc>
                <w:tcPr>
                  <w:tcW w:w="4333" w:type="dxa"/>
                  <w:tcBorders>
                    <w:tl2br w:val="nil"/>
                    <w:tr2bl w:val="nil"/>
                  </w:tcBorders>
                  <w:vAlign w:val="center"/>
                </w:tcPr>
                <w:p w14:paraId="29612B69">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三个窑沟自动化设施</w:t>
                  </w:r>
                </w:p>
              </w:tc>
              <w:tc>
                <w:tcPr>
                  <w:tcW w:w="1272" w:type="dxa"/>
                  <w:tcBorders>
                    <w:tl2br w:val="nil"/>
                    <w:tr2bl w:val="nil"/>
                  </w:tcBorders>
                  <w:vAlign w:val="center"/>
                </w:tcPr>
                <w:p w14:paraId="7BB3C1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983" w:type="dxa"/>
                  <w:tcBorders>
                    <w:tl2br w:val="nil"/>
                    <w:tr2bl w:val="nil"/>
                  </w:tcBorders>
                  <w:vAlign w:val="center"/>
                </w:tcPr>
                <w:p w14:paraId="2CAB52AD">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14:paraId="6CACA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4" w:type="dxa"/>
                  <w:tcBorders>
                    <w:tl2br w:val="nil"/>
                    <w:tr2bl w:val="nil"/>
                  </w:tcBorders>
                  <w:vAlign w:val="center"/>
                </w:tcPr>
                <w:p w14:paraId="57D034F1">
                  <w:pPr>
                    <w:pStyle w:val="14"/>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333" w:type="dxa"/>
                  <w:tcBorders>
                    <w:tl2br w:val="nil"/>
                    <w:tr2bl w:val="nil"/>
                  </w:tcBorders>
                  <w:vAlign w:val="center"/>
                </w:tcPr>
                <w:p w14:paraId="06C58D0B">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sz w:val="21"/>
                      <w:szCs w:val="21"/>
                      <w14:textFill>
                        <w14:solidFill>
                          <w14:schemeClr w14:val="tx1"/>
                        </w14:solidFill>
                      </w14:textFill>
                    </w:rPr>
                    <w:t>视频</w:t>
                  </w:r>
                  <w:r>
                    <w:rPr>
                      <w:rFonts w:hint="eastAsia"/>
                      <w:color w:val="000000" w:themeColor="text1"/>
                      <w:sz w:val="21"/>
                      <w:szCs w:val="21"/>
                      <w:lang w:val="en-US" w:eastAsia="zh-CN"/>
                      <w14:textFill>
                        <w14:solidFill>
                          <w14:schemeClr w14:val="tx1"/>
                        </w14:solidFill>
                      </w14:textFill>
                    </w:rPr>
                    <w:t>水位</w:t>
                  </w:r>
                  <w:r>
                    <w:rPr>
                      <w:color w:val="000000" w:themeColor="text1"/>
                      <w:sz w:val="21"/>
                      <w:szCs w:val="21"/>
                      <w14:textFill>
                        <w14:solidFill>
                          <w14:schemeClr w14:val="tx1"/>
                        </w14:solidFill>
                      </w14:textFill>
                    </w:rPr>
                    <w:t>一体化监测站</w:t>
                  </w:r>
                </w:p>
              </w:tc>
              <w:tc>
                <w:tcPr>
                  <w:tcW w:w="1272" w:type="dxa"/>
                  <w:tcBorders>
                    <w:tl2br w:val="nil"/>
                    <w:tr2bl w:val="nil"/>
                  </w:tcBorders>
                  <w:vAlign w:val="center"/>
                </w:tcPr>
                <w:p w14:paraId="7F1B768C">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座</w:t>
                  </w:r>
                </w:p>
              </w:tc>
              <w:tc>
                <w:tcPr>
                  <w:tcW w:w="1983" w:type="dxa"/>
                  <w:tcBorders>
                    <w:tl2br w:val="nil"/>
                    <w:tr2bl w:val="nil"/>
                  </w:tcBorders>
                  <w:vAlign w:val="center"/>
                </w:tcPr>
                <w:p w14:paraId="541E06A3">
                  <w:pPr>
                    <w:pStyle w:val="1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w:t>
                  </w:r>
                </w:p>
              </w:tc>
            </w:tr>
          </w:tbl>
          <w:p w14:paraId="4E549EE9">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③主要施工设备</w:t>
            </w:r>
          </w:p>
          <w:p w14:paraId="7252B440">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本项目主要设备为施工期间所用施工车辆以及施工机械设备，施工车辆</w:t>
            </w:r>
            <w:r>
              <w:rPr>
                <w:rFonts w:hint="eastAsia" w:cs="Times New Roman"/>
                <w:color w:val="000000" w:themeColor="text1"/>
                <w:kern w:val="0"/>
                <w:sz w:val="24"/>
                <w:szCs w:val="24"/>
                <w:highlight w:val="none"/>
                <w:lang w:val="en-US" w:eastAsia="zh-CN" w:bidi="ar-SA"/>
                <w14:textFill>
                  <w14:solidFill>
                    <w14:schemeClr w14:val="tx1"/>
                  </w14:solidFill>
                </w14:textFill>
              </w:rPr>
              <w:t>及</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施工机械设备全部存放在</w:t>
            </w:r>
            <w:r>
              <w:rPr>
                <w:rFonts w:hint="eastAsia" w:cs="Times New Roman"/>
                <w:color w:val="000000" w:themeColor="text1"/>
                <w:kern w:val="0"/>
                <w:sz w:val="24"/>
                <w:szCs w:val="24"/>
                <w:highlight w:val="none"/>
                <w:lang w:val="en-US" w:eastAsia="zh-CN" w:bidi="ar-SA"/>
                <w14:textFill>
                  <w14:solidFill>
                    <w14:schemeClr w14:val="tx1"/>
                  </w14:solidFill>
                </w14:textFill>
              </w:rPr>
              <w:t>材料堆存点</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。具体设备一览表见表</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1F8BD03B">
            <w:pPr>
              <w:pStyle w:val="9"/>
              <w:adjustRightInd w:val="0"/>
              <w:spacing w:before="0" w:after="0" w:line="240" w:lineRule="auto"/>
              <w:ind w:right="0"/>
              <w:jc w:val="cente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2"/>
                <w:sz w:val="24"/>
                <w:szCs w:val="24"/>
                <w:highlight w:val="none"/>
                <w:lang w:val="en-US" w:eastAsia="zh-CN" w:bidi="ar-SA"/>
                <w14:textFill>
                  <w14:solidFill>
                    <w14:schemeClr w14:val="tx1"/>
                  </w14:solidFill>
                </w14:textFill>
              </w:rPr>
              <w:t>表2-3  项目主要设备一览表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326"/>
              <w:gridCol w:w="3477"/>
              <w:gridCol w:w="932"/>
              <w:gridCol w:w="897"/>
            </w:tblGrid>
            <w:tr w14:paraId="40F3A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7A9281E6">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序号</w:t>
                  </w:r>
                </w:p>
              </w:tc>
              <w:tc>
                <w:tcPr>
                  <w:tcW w:w="2208" w:type="dxa"/>
                  <w:tcBorders>
                    <w:tl2br w:val="nil"/>
                    <w:tr2bl w:val="nil"/>
                  </w:tcBorders>
                  <w:vAlign w:val="center"/>
                </w:tcPr>
                <w:p w14:paraId="72349F6F">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名称</w:t>
                  </w:r>
                </w:p>
              </w:tc>
              <w:tc>
                <w:tcPr>
                  <w:tcW w:w="3300" w:type="dxa"/>
                  <w:tcBorders>
                    <w:tl2br w:val="nil"/>
                    <w:tr2bl w:val="nil"/>
                  </w:tcBorders>
                  <w:vAlign w:val="center"/>
                </w:tcPr>
                <w:p w14:paraId="72B37E04">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规格型号</w:t>
                  </w:r>
                </w:p>
              </w:tc>
              <w:tc>
                <w:tcPr>
                  <w:tcW w:w="885" w:type="dxa"/>
                  <w:tcBorders>
                    <w:tl2br w:val="nil"/>
                    <w:tr2bl w:val="nil"/>
                  </w:tcBorders>
                  <w:vAlign w:val="center"/>
                </w:tcPr>
                <w:p w14:paraId="44FD911A">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单位</w:t>
                  </w:r>
                </w:p>
              </w:tc>
              <w:tc>
                <w:tcPr>
                  <w:tcW w:w="852" w:type="dxa"/>
                  <w:tcBorders>
                    <w:tl2br w:val="nil"/>
                    <w:tr2bl w:val="nil"/>
                  </w:tcBorders>
                  <w:vAlign w:val="center"/>
                </w:tcPr>
                <w:p w14:paraId="0837C7F2">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highlight w:val="none"/>
                      <w:vertAlign w:val="baseline"/>
                      <w:lang w:val="en-US" w:eastAsia="zh-CN"/>
                      <w14:textFill>
                        <w14:solidFill>
                          <w14:schemeClr w14:val="tx1"/>
                        </w14:solidFill>
                      </w14:textFill>
                    </w:rPr>
                    <w:t>数量</w:t>
                  </w:r>
                </w:p>
              </w:tc>
            </w:tr>
            <w:tr w14:paraId="09FD9D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770D2A88">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1</w:t>
                  </w:r>
                </w:p>
              </w:tc>
              <w:tc>
                <w:tcPr>
                  <w:tcW w:w="2208" w:type="dxa"/>
                  <w:tcBorders>
                    <w:tl2br w:val="nil"/>
                    <w:tr2bl w:val="nil"/>
                  </w:tcBorders>
                  <w:vAlign w:val="center"/>
                </w:tcPr>
                <w:p w14:paraId="7ED02E84">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挖掘机</w:t>
                  </w:r>
                </w:p>
              </w:tc>
              <w:tc>
                <w:tcPr>
                  <w:tcW w:w="3300" w:type="dxa"/>
                  <w:tcBorders>
                    <w:tl2br w:val="nil"/>
                    <w:tr2bl w:val="nil"/>
                  </w:tcBorders>
                  <w:vAlign w:val="center"/>
                </w:tcPr>
                <w:p w14:paraId="1F2FB9FC">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柳工220</w:t>
                  </w:r>
                </w:p>
              </w:tc>
              <w:tc>
                <w:tcPr>
                  <w:tcW w:w="885" w:type="dxa"/>
                  <w:tcBorders>
                    <w:tl2br w:val="nil"/>
                    <w:tr2bl w:val="nil"/>
                  </w:tcBorders>
                  <w:vAlign w:val="center"/>
                </w:tcPr>
                <w:p w14:paraId="1F820383">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35BD5D76">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w:t>
                  </w:r>
                </w:p>
              </w:tc>
            </w:tr>
            <w:tr w14:paraId="227C6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7769EBE6">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2</w:t>
                  </w:r>
                </w:p>
              </w:tc>
              <w:tc>
                <w:tcPr>
                  <w:tcW w:w="2208" w:type="dxa"/>
                  <w:tcBorders>
                    <w:tl2br w:val="nil"/>
                    <w:tr2bl w:val="nil"/>
                  </w:tcBorders>
                  <w:vAlign w:val="center"/>
                </w:tcPr>
                <w:p w14:paraId="039F3B7B">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挖掘机</w:t>
                  </w:r>
                </w:p>
              </w:tc>
              <w:tc>
                <w:tcPr>
                  <w:tcW w:w="3300" w:type="dxa"/>
                  <w:tcBorders>
                    <w:tl2br w:val="nil"/>
                    <w:tr2bl w:val="nil"/>
                  </w:tcBorders>
                  <w:vAlign w:val="center"/>
                </w:tcPr>
                <w:p w14:paraId="505B099A">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沃尔沃330</w:t>
                  </w:r>
                </w:p>
              </w:tc>
              <w:tc>
                <w:tcPr>
                  <w:tcW w:w="885" w:type="dxa"/>
                  <w:tcBorders>
                    <w:tl2br w:val="nil"/>
                    <w:tr2bl w:val="nil"/>
                  </w:tcBorders>
                  <w:vAlign w:val="center"/>
                </w:tcPr>
                <w:p w14:paraId="7AF826D6">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2AC892AA">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w:t>
                  </w:r>
                </w:p>
              </w:tc>
            </w:tr>
            <w:tr w14:paraId="10E66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4E43A965">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3</w:t>
                  </w:r>
                </w:p>
              </w:tc>
              <w:tc>
                <w:tcPr>
                  <w:tcW w:w="2208" w:type="dxa"/>
                  <w:tcBorders>
                    <w:tl2br w:val="nil"/>
                    <w:tr2bl w:val="nil"/>
                  </w:tcBorders>
                  <w:vAlign w:val="center"/>
                </w:tcPr>
                <w:p w14:paraId="55F3F5A7">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挖掘机</w:t>
                  </w:r>
                </w:p>
              </w:tc>
              <w:tc>
                <w:tcPr>
                  <w:tcW w:w="3300" w:type="dxa"/>
                  <w:tcBorders>
                    <w:tl2br w:val="nil"/>
                    <w:tr2bl w:val="nil"/>
                  </w:tcBorders>
                  <w:vAlign w:val="center"/>
                </w:tcPr>
                <w:p w14:paraId="1146E96E">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柳工180</w:t>
                  </w:r>
                </w:p>
              </w:tc>
              <w:tc>
                <w:tcPr>
                  <w:tcW w:w="885" w:type="dxa"/>
                  <w:tcBorders>
                    <w:tl2br w:val="nil"/>
                    <w:tr2bl w:val="nil"/>
                  </w:tcBorders>
                  <w:vAlign w:val="center"/>
                </w:tcPr>
                <w:p w14:paraId="741D8664">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45500368">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w:t>
                  </w:r>
                </w:p>
              </w:tc>
            </w:tr>
            <w:tr w14:paraId="4B4D4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0C377DC4">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4</w:t>
                  </w:r>
                </w:p>
              </w:tc>
              <w:tc>
                <w:tcPr>
                  <w:tcW w:w="2208" w:type="dxa"/>
                  <w:tcBorders>
                    <w:tl2br w:val="nil"/>
                    <w:tr2bl w:val="nil"/>
                  </w:tcBorders>
                  <w:vAlign w:val="center"/>
                </w:tcPr>
                <w:p w14:paraId="6C770DCB">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挖掘机</w:t>
                  </w:r>
                </w:p>
              </w:tc>
              <w:tc>
                <w:tcPr>
                  <w:tcW w:w="3300" w:type="dxa"/>
                  <w:tcBorders>
                    <w:tl2br w:val="nil"/>
                    <w:tr2bl w:val="nil"/>
                  </w:tcBorders>
                  <w:vAlign w:val="center"/>
                </w:tcPr>
                <w:p w14:paraId="0D3A2049">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沃尔沃370</w:t>
                  </w:r>
                </w:p>
              </w:tc>
              <w:tc>
                <w:tcPr>
                  <w:tcW w:w="885" w:type="dxa"/>
                  <w:tcBorders>
                    <w:tl2br w:val="nil"/>
                    <w:tr2bl w:val="nil"/>
                  </w:tcBorders>
                  <w:vAlign w:val="center"/>
                </w:tcPr>
                <w:p w14:paraId="3145FFB3">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3E55A797">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w:t>
                  </w:r>
                </w:p>
              </w:tc>
            </w:tr>
            <w:tr w14:paraId="0E494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175C0637">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5</w:t>
                  </w:r>
                </w:p>
              </w:tc>
              <w:tc>
                <w:tcPr>
                  <w:tcW w:w="2208" w:type="dxa"/>
                  <w:tcBorders>
                    <w:tl2br w:val="nil"/>
                    <w:tr2bl w:val="nil"/>
                  </w:tcBorders>
                  <w:vAlign w:val="center"/>
                </w:tcPr>
                <w:p w14:paraId="3004C47A">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挖掘机</w:t>
                  </w:r>
                </w:p>
              </w:tc>
              <w:tc>
                <w:tcPr>
                  <w:tcW w:w="3300" w:type="dxa"/>
                  <w:tcBorders>
                    <w:tl2br w:val="nil"/>
                    <w:tr2bl w:val="nil"/>
                  </w:tcBorders>
                  <w:vAlign w:val="center"/>
                </w:tcPr>
                <w:p w14:paraId="10968EAC">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230</w:t>
                  </w:r>
                </w:p>
              </w:tc>
              <w:tc>
                <w:tcPr>
                  <w:tcW w:w="885" w:type="dxa"/>
                  <w:tcBorders>
                    <w:tl2br w:val="nil"/>
                    <w:tr2bl w:val="nil"/>
                  </w:tcBorders>
                  <w:vAlign w:val="center"/>
                </w:tcPr>
                <w:p w14:paraId="2ACD356E">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38F6B477">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w:t>
                  </w:r>
                </w:p>
              </w:tc>
            </w:tr>
            <w:tr w14:paraId="78979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3B5DBE9B">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6</w:t>
                  </w:r>
                </w:p>
              </w:tc>
              <w:tc>
                <w:tcPr>
                  <w:tcW w:w="2208" w:type="dxa"/>
                  <w:tcBorders>
                    <w:tl2br w:val="nil"/>
                    <w:tr2bl w:val="nil"/>
                  </w:tcBorders>
                  <w:vAlign w:val="center"/>
                </w:tcPr>
                <w:p w14:paraId="60E277F8">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挖掘机</w:t>
                  </w:r>
                </w:p>
              </w:tc>
              <w:tc>
                <w:tcPr>
                  <w:tcW w:w="3300" w:type="dxa"/>
                  <w:tcBorders>
                    <w:tl2br w:val="nil"/>
                    <w:tr2bl w:val="nil"/>
                  </w:tcBorders>
                  <w:vAlign w:val="center"/>
                </w:tcPr>
                <w:p w14:paraId="2CC2D43A">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260</w:t>
                  </w:r>
                </w:p>
              </w:tc>
              <w:tc>
                <w:tcPr>
                  <w:tcW w:w="885" w:type="dxa"/>
                  <w:tcBorders>
                    <w:tl2br w:val="nil"/>
                    <w:tr2bl w:val="nil"/>
                  </w:tcBorders>
                  <w:vAlign w:val="center"/>
                </w:tcPr>
                <w:p w14:paraId="45E84F73">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28DA73F9">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w:t>
                  </w:r>
                </w:p>
              </w:tc>
            </w:tr>
            <w:tr w14:paraId="782C0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09764E39">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7</w:t>
                  </w:r>
                </w:p>
              </w:tc>
              <w:tc>
                <w:tcPr>
                  <w:tcW w:w="2208" w:type="dxa"/>
                  <w:tcBorders>
                    <w:tl2br w:val="nil"/>
                    <w:tr2bl w:val="nil"/>
                  </w:tcBorders>
                  <w:vAlign w:val="center"/>
                </w:tcPr>
                <w:p w14:paraId="40741439">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挖掘机</w:t>
                  </w:r>
                </w:p>
              </w:tc>
              <w:tc>
                <w:tcPr>
                  <w:tcW w:w="3300" w:type="dxa"/>
                  <w:tcBorders>
                    <w:tl2br w:val="nil"/>
                    <w:tr2bl w:val="nil"/>
                  </w:tcBorders>
                  <w:vAlign w:val="center"/>
                </w:tcPr>
                <w:p w14:paraId="1D391713">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150</w:t>
                  </w:r>
                </w:p>
              </w:tc>
              <w:tc>
                <w:tcPr>
                  <w:tcW w:w="885" w:type="dxa"/>
                  <w:tcBorders>
                    <w:tl2br w:val="nil"/>
                    <w:tr2bl w:val="nil"/>
                  </w:tcBorders>
                  <w:vAlign w:val="center"/>
                </w:tcPr>
                <w:p w14:paraId="55A87BB0">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2CD70AEE">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3</w:t>
                  </w:r>
                </w:p>
              </w:tc>
            </w:tr>
            <w:tr w14:paraId="37255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12BEF528">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8</w:t>
                  </w:r>
                </w:p>
              </w:tc>
              <w:tc>
                <w:tcPr>
                  <w:tcW w:w="2208" w:type="dxa"/>
                  <w:tcBorders>
                    <w:tl2br w:val="nil"/>
                    <w:tr2bl w:val="nil"/>
                  </w:tcBorders>
                  <w:vAlign w:val="center"/>
                </w:tcPr>
                <w:p w14:paraId="7A30B855">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双桥载重汽车</w:t>
                  </w:r>
                </w:p>
              </w:tc>
              <w:tc>
                <w:tcPr>
                  <w:tcW w:w="3300" w:type="dxa"/>
                  <w:tcBorders>
                    <w:tl2br w:val="nil"/>
                    <w:tr2bl w:val="nil"/>
                  </w:tcBorders>
                  <w:vAlign w:val="center"/>
                </w:tcPr>
                <w:p w14:paraId="34086F4F">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东风</w:t>
                  </w:r>
                </w:p>
              </w:tc>
              <w:tc>
                <w:tcPr>
                  <w:tcW w:w="885" w:type="dxa"/>
                  <w:tcBorders>
                    <w:tl2br w:val="nil"/>
                    <w:tr2bl w:val="nil"/>
                  </w:tcBorders>
                  <w:vAlign w:val="center"/>
                </w:tcPr>
                <w:p w14:paraId="586B772F">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3A1D048B">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8</w:t>
                  </w:r>
                </w:p>
              </w:tc>
            </w:tr>
            <w:tr w14:paraId="0E41B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2D2CE797">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9</w:t>
                  </w:r>
                </w:p>
              </w:tc>
              <w:tc>
                <w:tcPr>
                  <w:tcW w:w="2208" w:type="dxa"/>
                  <w:tcBorders>
                    <w:tl2br w:val="nil"/>
                    <w:tr2bl w:val="nil"/>
                  </w:tcBorders>
                  <w:vAlign w:val="center"/>
                </w:tcPr>
                <w:p w14:paraId="6FEA10FD">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装载机</w:t>
                  </w:r>
                </w:p>
              </w:tc>
              <w:tc>
                <w:tcPr>
                  <w:tcW w:w="3300" w:type="dxa"/>
                  <w:tcBorders>
                    <w:tl2br w:val="nil"/>
                    <w:tr2bl w:val="nil"/>
                  </w:tcBorders>
                  <w:vAlign w:val="center"/>
                </w:tcPr>
                <w:p w14:paraId="721ABE1F">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龙工245</w:t>
                  </w:r>
                </w:p>
              </w:tc>
              <w:tc>
                <w:tcPr>
                  <w:tcW w:w="885" w:type="dxa"/>
                  <w:tcBorders>
                    <w:tl2br w:val="nil"/>
                    <w:tr2bl w:val="nil"/>
                  </w:tcBorders>
                  <w:vAlign w:val="center"/>
                </w:tcPr>
                <w:p w14:paraId="16CFB62F">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63CC1A51">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w:t>
                  </w:r>
                </w:p>
              </w:tc>
            </w:tr>
            <w:tr w14:paraId="008E4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33F92663">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10</w:t>
                  </w:r>
                </w:p>
              </w:tc>
              <w:tc>
                <w:tcPr>
                  <w:tcW w:w="2208" w:type="dxa"/>
                  <w:tcBorders>
                    <w:tl2br w:val="nil"/>
                    <w:tr2bl w:val="nil"/>
                  </w:tcBorders>
                  <w:vAlign w:val="center"/>
                </w:tcPr>
                <w:p w14:paraId="166DF6F0">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装载机</w:t>
                  </w:r>
                </w:p>
              </w:tc>
              <w:tc>
                <w:tcPr>
                  <w:tcW w:w="3300" w:type="dxa"/>
                  <w:tcBorders>
                    <w:tl2br w:val="nil"/>
                    <w:tr2bl w:val="nil"/>
                  </w:tcBorders>
                  <w:vAlign w:val="center"/>
                </w:tcPr>
                <w:p w14:paraId="11A742B5">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ZL50</w:t>
                  </w:r>
                </w:p>
              </w:tc>
              <w:tc>
                <w:tcPr>
                  <w:tcW w:w="885" w:type="dxa"/>
                  <w:tcBorders>
                    <w:tl2br w:val="nil"/>
                    <w:tr2bl w:val="nil"/>
                  </w:tcBorders>
                  <w:vAlign w:val="center"/>
                </w:tcPr>
                <w:p w14:paraId="53ECEC9E">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60A5C9F7">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4</w:t>
                  </w:r>
                </w:p>
              </w:tc>
            </w:tr>
            <w:tr w14:paraId="0BE4F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597F0E75">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11</w:t>
                  </w:r>
                </w:p>
              </w:tc>
              <w:tc>
                <w:tcPr>
                  <w:tcW w:w="2208" w:type="dxa"/>
                  <w:tcBorders>
                    <w:tl2br w:val="nil"/>
                    <w:tr2bl w:val="nil"/>
                  </w:tcBorders>
                  <w:vAlign w:val="center"/>
                </w:tcPr>
                <w:p w14:paraId="65F8AD01">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洒水车</w:t>
                  </w:r>
                </w:p>
              </w:tc>
              <w:tc>
                <w:tcPr>
                  <w:tcW w:w="3300" w:type="dxa"/>
                  <w:tcBorders>
                    <w:tl2br w:val="nil"/>
                    <w:tr2bl w:val="nil"/>
                  </w:tcBorders>
                  <w:vAlign w:val="center"/>
                </w:tcPr>
                <w:p w14:paraId="3E6F1E00">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3m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p>
              </w:tc>
              <w:tc>
                <w:tcPr>
                  <w:tcW w:w="885" w:type="dxa"/>
                  <w:tcBorders>
                    <w:tl2br w:val="nil"/>
                    <w:tr2bl w:val="nil"/>
                  </w:tcBorders>
                  <w:vAlign w:val="center"/>
                </w:tcPr>
                <w:p w14:paraId="145F2E55">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07A850FB">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w:t>
                  </w:r>
                </w:p>
              </w:tc>
            </w:tr>
            <w:tr w14:paraId="05278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vAlign w:val="center"/>
                </w:tcPr>
                <w:p w14:paraId="7FCC5D3A">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t>12</w:t>
                  </w:r>
                </w:p>
              </w:tc>
              <w:tc>
                <w:tcPr>
                  <w:tcW w:w="2208" w:type="dxa"/>
                  <w:tcBorders>
                    <w:tl2br w:val="nil"/>
                    <w:tr2bl w:val="nil"/>
                  </w:tcBorders>
                  <w:vAlign w:val="center"/>
                </w:tcPr>
                <w:p w14:paraId="0A21CCE5">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洒水车</w:t>
                  </w:r>
                </w:p>
              </w:tc>
              <w:tc>
                <w:tcPr>
                  <w:tcW w:w="3300" w:type="dxa"/>
                  <w:tcBorders>
                    <w:tl2br w:val="nil"/>
                    <w:tr2bl w:val="nil"/>
                  </w:tcBorders>
                  <w:vAlign w:val="center"/>
                </w:tcPr>
                <w:p w14:paraId="3719F50C">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4m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p>
              </w:tc>
              <w:tc>
                <w:tcPr>
                  <w:tcW w:w="885" w:type="dxa"/>
                  <w:tcBorders>
                    <w:tl2br w:val="nil"/>
                    <w:tr2bl w:val="nil"/>
                  </w:tcBorders>
                  <w:vAlign w:val="center"/>
                </w:tcPr>
                <w:p w14:paraId="2EAEC093">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辆</w:t>
                  </w:r>
                </w:p>
              </w:tc>
              <w:tc>
                <w:tcPr>
                  <w:tcW w:w="852" w:type="dxa"/>
                  <w:tcBorders>
                    <w:tl2br w:val="nil"/>
                    <w:tr2bl w:val="nil"/>
                  </w:tcBorders>
                  <w:vAlign w:val="center"/>
                </w:tcPr>
                <w:p w14:paraId="4AC0B4E1">
                  <w:pPr>
                    <w:pStyle w:val="23"/>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1</w:t>
                  </w:r>
                </w:p>
              </w:tc>
            </w:tr>
          </w:tbl>
          <w:p w14:paraId="3CE7C8BF">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（3）工程设计</w:t>
            </w:r>
          </w:p>
          <w:p w14:paraId="6722EA65">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①沟道清淤疏浚工程</w:t>
            </w:r>
          </w:p>
          <w:p w14:paraId="484565F5">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本工程对三个窑沟桩号K45+610--K47+010段沟道进行清淤疏浚治理，沟道清淤疏浚1.4km，按照沟道现状已砌护护坡底高程确定沟道比降进行清淤疏浚，沟底设计比降为1/330--1/70，底宽70～160m。</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本次清淤产生的淤泥量约为96760m</w:t>
            </w:r>
            <w:r>
              <w:rPr>
                <w:rFonts w:hint="default" w:ascii="Times New Roman" w:hAnsi="Times New Roman"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待淤泥晾晒干后，用于两侧堤顶平整。</w:t>
            </w:r>
          </w:p>
          <w:p w14:paraId="7BCE995E">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②</w:t>
            </w: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边坡</w:t>
            </w: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砌护工程</w:t>
            </w:r>
          </w:p>
          <w:p w14:paraId="4EA5DBD0">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横断面设计</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工程规划对三个窑沟行洪断面威胁水利设施及交通道路段落进行砌护治理，砌护坡比为1</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0和1：1.5；沟道设计宽度维持现状行洪断面宽度。</w:t>
            </w:r>
          </w:p>
          <w:p w14:paraId="0C68EF9B">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护岸高度确定</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根据《中小河流治理工程初步设计指导意见》，护岸工程上部护坡顶部高程应超过设计洪水位0.5m，本工程护坡安全超高取0.5m，本次对三个窑沟桩号K40+983--K41+148段左岸护坡（</w:t>
            </w:r>
            <w:r>
              <w:rPr>
                <w:rFonts w:hint="eastAsia" w:cs="Times New Roman"/>
                <w:color w:val="000000" w:themeColor="text1"/>
                <w:kern w:val="0"/>
                <w:sz w:val="24"/>
                <w:szCs w:val="24"/>
                <w:highlight w:val="none"/>
                <w:lang w:val="en-US" w:eastAsia="zh-CN" w:bidi="ar-SA"/>
                <w14:textFill>
                  <w14:solidFill>
                    <w14:schemeClr w14:val="tx1"/>
                  </w14:solidFill>
                </w14:textFill>
              </w:rPr>
              <w:t>0.14k</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m）、K41+185--K41+565段右岸护坡（</w:t>
            </w:r>
            <w:r>
              <w:rPr>
                <w:rFonts w:hint="eastAsia" w:cs="Times New Roman"/>
                <w:color w:val="000000" w:themeColor="text1"/>
                <w:kern w:val="0"/>
                <w:sz w:val="24"/>
                <w:szCs w:val="24"/>
                <w:highlight w:val="none"/>
                <w:lang w:val="en-US" w:eastAsia="zh-CN" w:bidi="ar-SA"/>
                <w14:textFill>
                  <w14:solidFill>
                    <w14:schemeClr w14:val="tx1"/>
                  </w14:solidFill>
                </w14:textFill>
              </w:rPr>
              <w:t>0.38</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m）及K44+830</w:t>
            </w: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K44+920段左岸护坡(</w:t>
            </w:r>
            <w:r>
              <w:rPr>
                <w:rFonts w:hint="eastAsia" w:cs="Times New Roman"/>
                <w:color w:val="000000" w:themeColor="text1"/>
                <w:kern w:val="0"/>
                <w:sz w:val="24"/>
                <w:szCs w:val="24"/>
                <w:highlight w:val="none"/>
                <w:lang w:val="en-US" w:eastAsia="zh-CN" w:bidi="ar-SA"/>
                <w14:textFill>
                  <w14:solidFill>
                    <w14:schemeClr w14:val="tx1"/>
                  </w14:solidFill>
                </w14:textFill>
              </w:rPr>
              <w:t>0.12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m)进行砌护治理，砌护高度见表</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2-4</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62359B18">
            <w:pPr>
              <w:autoSpaceDE w:val="0"/>
              <w:autoSpaceDN w:val="0"/>
              <w:adjustRightInd w:val="0"/>
              <w:spacing w:line="240" w:lineRule="auto"/>
              <w:jc w:val="cente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表2-4  三个窑沟水力计算表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213"/>
              <w:gridCol w:w="813"/>
              <w:gridCol w:w="713"/>
              <w:gridCol w:w="776"/>
              <w:gridCol w:w="913"/>
              <w:gridCol w:w="771"/>
              <w:gridCol w:w="1044"/>
            </w:tblGrid>
            <w:tr w14:paraId="57E3F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tcBorders>
                    <w:tl2br w:val="nil"/>
                    <w:tr2bl w:val="nil"/>
                  </w:tcBorders>
                  <w:vAlign w:val="center"/>
                </w:tcPr>
                <w:p w14:paraId="7EE7F1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桩号</w:t>
                  </w:r>
                </w:p>
              </w:tc>
              <w:tc>
                <w:tcPr>
                  <w:tcW w:w="1209" w:type="dxa"/>
                  <w:tcBorders>
                    <w:tl2br w:val="nil"/>
                    <w:tr2bl w:val="nil"/>
                  </w:tcBorders>
                  <w:vAlign w:val="center"/>
                </w:tcPr>
                <w:p w14:paraId="0F4F08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设计流量（十年一遇）（m</w:t>
                  </w:r>
                  <w:r>
                    <w:rPr>
                      <w:rFonts w:hint="default" w:ascii="Times New Roman" w:hAnsi="Times New Roman" w:cs="Times New Roman" w:eastAsiaTheme="minorEastAsia"/>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/s）</w:t>
                  </w:r>
                </w:p>
              </w:tc>
              <w:tc>
                <w:tcPr>
                  <w:tcW w:w="810" w:type="dxa"/>
                  <w:tcBorders>
                    <w:tl2br w:val="nil"/>
                    <w:tr2bl w:val="nil"/>
                  </w:tcBorders>
                  <w:vAlign w:val="center"/>
                </w:tcPr>
                <w:p w14:paraId="42243B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底宽（m）</w:t>
                  </w:r>
                </w:p>
              </w:tc>
              <w:tc>
                <w:tcPr>
                  <w:tcW w:w="710" w:type="dxa"/>
                  <w:tcBorders>
                    <w:tl2br w:val="nil"/>
                    <w:tr2bl w:val="nil"/>
                  </w:tcBorders>
                  <w:vAlign w:val="center"/>
                </w:tcPr>
                <w:p w14:paraId="32F53A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比降</w:t>
                  </w:r>
                </w:p>
              </w:tc>
              <w:tc>
                <w:tcPr>
                  <w:tcW w:w="773" w:type="dxa"/>
                  <w:tcBorders>
                    <w:tl2br w:val="nil"/>
                    <w:tr2bl w:val="nil"/>
                  </w:tcBorders>
                  <w:vAlign w:val="center"/>
                </w:tcPr>
                <w:p w14:paraId="45E1F7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边坡系数</w:t>
                  </w:r>
                </w:p>
              </w:tc>
              <w:tc>
                <w:tcPr>
                  <w:tcW w:w="910" w:type="dxa"/>
                  <w:tcBorders>
                    <w:tl2br w:val="nil"/>
                    <w:tr2bl w:val="nil"/>
                  </w:tcBorders>
                  <w:vAlign w:val="center"/>
                </w:tcPr>
                <w:p w14:paraId="137532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流速（m/s）</w:t>
                  </w:r>
                </w:p>
              </w:tc>
              <w:tc>
                <w:tcPr>
                  <w:tcW w:w="768" w:type="dxa"/>
                  <w:tcBorders>
                    <w:tl2br w:val="nil"/>
                    <w:tr2bl w:val="nil"/>
                  </w:tcBorders>
                  <w:vAlign w:val="center"/>
                </w:tcPr>
                <w:p w14:paraId="71489B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超高（m）</w:t>
                  </w:r>
                </w:p>
              </w:tc>
              <w:tc>
                <w:tcPr>
                  <w:tcW w:w="1040" w:type="dxa"/>
                  <w:tcBorders>
                    <w:tl2br w:val="nil"/>
                    <w:tr2bl w:val="nil"/>
                  </w:tcBorders>
                  <w:vAlign w:val="center"/>
                </w:tcPr>
                <w:p w14:paraId="15ED87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设计砌护高度</w:t>
                  </w:r>
                </w:p>
              </w:tc>
            </w:tr>
            <w:tr w14:paraId="1C616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tcBorders>
                    <w:tl2br w:val="nil"/>
                    <w:tr2bl w:val="nil"/>
                  </w:tcBorders>
                  <w:vAlign w:val="center"/>
                </w:tcPr>
                <w:p w14:paraId="3F043D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K40+983--K41+148</w:t>
                  </w:r>
                </w:p>
              </w:tc>
              <w:tc>
                <w:tcPr>
                  <w:tcW w:w="1209" w:type="dxa"/>
                  <w:tcBorders>
                    <w:tl2br w:val="nil"/>
                    <w:tr2bl w:val="nil"/>
                  </w:tcBorders>
                  <w:vAlign w:val="center"/>
                </w:tcPr>
                <w:p w14:paraId="62E17E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204.14</w:t>
                  </w:r>
                </w:p>
              </w:tc>
              <w:tc>
                <w:tcPr>
                  <w:tcW w:w="810" w:type="dxa"/>
                  <w:tcBorders>
                    <w:tl2br w:val="nil"/>
                    <w:tr2bl w:val="nil"/>
                  </w:tcBorders>
                  <w:vAlign w:val="center"/>
                </w:tcPr>
                <w:p w14:paraId="36BB6F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70</w:t>
                  </w:r>
                </w:p>
              </w:tc>
              <w:tc>
                <w:tcPr>
                  <w:tcW w:w="710" w:type="dxa"/>
                  <w:tcBorders>
                    <w:tl2br w:val="nil"/>
                    <w:tr2bl w:val="nil"/>
                  </w:tcBorders>
                  <w:vAlign w:val="center"/>
                </w:tcPr>
                <w:p w14:paraId="24FC69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1/45</w:t>
                  </w:r>
                </w:p>
              </w:tc>
              <w:tc>
                <w:tcPr>
                  <w:tcW w:w="773" w:type="dxa"/>
                  <w:tcBorders>
                    <w:tl2br w:val="nil"/>
                    <w:tr2bl w:val="nil"/>
                  </w:tcBorders>
                  <w:vAlign w:val="center"/>
                </w:tcPr>
                <w:p w14:paraId="0BC37D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0</w:t>
                  </w:r>
                </w:p>
              </w:tc>
              <w:tc>
                <w:tcPr>
                  <w:tcW w:w="910" w:type="dxa"/>
                  <w:tcBorders>
                    <w:tl2br w:val="nil"/>
                    <w:tr2bl w:val="nil"/>
                  </w:tcBorders>
                  <w:vAlign w:val="center"/>
                </w:tcPr>
                <w:p w14:paraId="142A4B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3.89</w:t>
                  </w:r>
                </w:p>
              </w:tc>
              <w:tc>
                <w:tcPr>
                  <w:tcW w:w="768" w:type="dxa"/>
                  <w:tcBorders>
                    <w:tl2br w:val="nil"/>
                    <w:tr2bl w:val="nil"/>
                  </w:tcBorders>
                  <w:vAlign w:val="center"/>
                </w:tcPr>
                <w:p w14:paraId="28D3E0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0.50</w:t>
                  </w:r>
                </w:p>
              </w:tc>
              <w:tc>
                <w:tcPr>
                  <w:tcW w:w="1040" w:type="dxa"/>
                  <w:tcBorders>
                    <w:tl2br w:val="nil"/>
                    <w:tr2bl w:val="nil"/>
                  </w:tcBorders>
                  <w:vAlign w:val="center"/>
                </w:tcPr>
                <w:p w14:paraId="57B8FA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1.5</w:t>
                  </w:r>
                </w:p>
              </w:tc>
            </w:tr>
            <w:tr w14:paraId="2C2C8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tcBorders>
                    <w:tl2br w:val="nil"/>
                    <w:tr2bl w:val="nil"/>
                  </w:tcBorders>
                  <w:vAlign w:val="center"/>
                </w:tcPr>
                <w:p w14:paraId="257126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K41+185--K41+565</w:t>
                  </w:r>
                </w:p>
              </w:tc>
              <w:tc>
                <w:tcPr>
                  <w:tcW w:w="1209" w:type="dxa"/>
                  <w:tcBorders>
                    <w:tl2br w:val="nil"/>
                    <w:tr2bl w:val="nil"/>
                  </w:tcBorders>
                  <w:vAlign w:val="center"/>
                </w:tcPr>
                <w:p w14:paraId="15AAB8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204.14</w:t>
                  </w:r>
                </w:p>
              </w:tc>
              <w:tc>
                <w:tcPr>
                  <w:tcW w:w="810" w:type="dxa"/>
                  <w:tcBorders>
                    <w:tl2br w:val="nil"/>
                    <w:tr2bl w:val="nil"/>
                  </w:tcBorders>
                  <w:vAlign w:val="center"/>
                </w:tcPr>
                <w:p w14:paraId="4326C3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90</w:t>
                  </w:r>
                </w:p>
              </w:tc>
              <w:tc>
                <w:tcPr>
                  <w:tcW w:w="710" w:type="dxa"/>
                  <w:tcBorders>
                    <w:tl2br w:val="nil"/>
                    <w:tr2bl w:val="nil"/>
                  </w:tcBorders>
                  <w:vAlign w:val="center"/>
                </w:tcPr>
                <w:p w14:paraId="22C58A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1/70</w:t>
                  </w:r>
                </w:p>
              </w:tc>
              <w:tc>
                <w:tcPr>
                  <w:tcW w:w="773" w:type="dxa"/>
                  <w:tcBorders>
                    <w:tl2br w:val="nil"/>
                    <w:tr2bl w:val="nil"/>
                  </w:tcBorders>
                  <w:vAlign w:val="center"/>
                </w:tcPr>
                <w:p w14:paraId="764F6D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0</w:t>
                  </w:r>
                </w:p>
              </w:tc>
              <w:tc>
                <w:tcPr>
                  <w:tcW w:w="910" w:type="dxa"/>
                  <w:tcBorders>
                    <w:tl2br w:val="nil"/>
                    <w:tr2bl w:val="nil"/>
                  </w:tcBorders>
                  <w:vAlign w:val="center"/>
                </w:tcPr>
                <w:p w14:paraId="68F79F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3.14</w:t>
                  </w:r>
                </w:p>
              </w:tc>
              <w:tc>
                <w:tcPr>
                  <w:tcW w:w="768" w:type="dxa"/>
                  <w:tcBorders>
                    <w:tl2br w:val="nil"/>
                    <w:tr2bl w:val="nil"/>
                  </w:tcBorders>
                  <w:vAlign w:val="center"/>
                </w:tcPr>
                <w:p w14:paraId="7FBB82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0.50</w:t>
                  </w:r>
                </w:p>
              </w:tc>
              <w:tc>
                <w:tcPr>
                  <w:tcW w:w="1040" w:type="dxa"/>
                  <w:tcBorders>
                    <w:tl2br w:val="nil"/>
                    <w:tr2bl w:val="nil"/>
                  </w:tcBorders>
                  <w:vAlign w:val="center"/>
                </w:tcPr>
                <w:p w14:paraId="6D7D06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1.3</w:t>
                  </w:r>
                </w:p>
              </w:tc>
            </w:tr>
            <w:tr w14:paraId="40886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2" w:type="dxa"/>
                  <w:tcBorders>
                    <w:tl2br w:val="nil"/>
                    <w:tr2bl w:val="nil"/>
                  </w:tcBorders>
                  <w:vAlign w:val="center"/>
                </w:tcPr>
                <w:p w14:paraId="00D712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K44+830--K44+920</w:t>
                  </w:r>
                </w:p>
              </w:tc>
              <w:tc>
                <w:tcPr>
                  <w:tcW w:w="1209" w:type="dxa"/>
                  <w:tcBorders>
                    <w:tl2br w:val="nil"/>
                    <w:tr2bl w:val="nil"/>
                  </w:tcBorders>
                  <w:vAlign w:val="center"/>
                </w:tcPr>
                <w:p w14:paraId="6BDC51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166.73</w:t>
                  </w:r>
                </w:p>
              </w:tc>
              <w:tc>
                <w:tcPr>
                  <w:tcW w:w="810" w:type="dxa"/>
                  <w:tcBorders>
                    <w:tl2br w:val="nil"/>
                    <w:tr2bl w:val="nil"/>
                  </w:tcBorders>
                  <w:vAlign w:val="center"/>
                </w:tcPr>
                <w:p w14:paraId="66933C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60</w:t>
                  </w:r>
                </w:p>
              </w:tc>
              <w:tc>
                <w:tcPr>
                  <w:tcW w:w="710" w:type="dxa"/>
                  <w:tcBorders>
                    <w:tl2br w:val="nil"/>
                    <w:tr2bl w:val="nil"/>
                  </w:tcBorders>
                  <w:vAlign w:val="center"/>
                </w:tcPr>
                <w:p w14:paraId="6ED247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1/45</w:t>
                  </w:r>
                </w:p>
              </w:tc>
              <w:tc>
                <w:tcPr>
                  <w:tcW w:w="773" w:type="dxa"/>
                  <w:tcBorders>
                    <w:tl2br w:val="nil"/>
                    <w:tr2bl w:val="nil"/>
                  </w:tcBorders>
                  <w:vAlign w:val="center"/>
                </w:tcPr>
                <w:p w14:paraId="312085F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1.5</w:t>
                  </w:r>
                </w:p>
              </w:tc>
              <w:tc>
                <w:tcPr>
                  <w:tcW w:w="910" w:type="dxa"/>
                  <w:tcBorders>
                    <w:tl2br w:val="nil"/>
                    <w:tr2bl w:val="nil"/>
                  </w:tcBorders>
                  <w:vAlign w:val="center"/>
                </w:tcPr>
                <w:p w14:paraId="588A35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3.87</w:t>
                  </w:r>
                </w:p>
              </w:tc>
              <w:tc>
                <w:tcPr>
                  <w:tcW w:w="768" w:type="dxa"/>
                  <w:tcBorders>
                    <w:tl2br w:val="nil"/>
                    <w:tr2bl w:val="nil"/>
                  </w:tcBorders>
                  <w:vAlign w:val="center"/>
                </w:tcPr>
                <w:p w14:paraId="09CD6E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0.50</w:t>
                  </w:r>
                </w:p>
              </w:tc>
              <w:tc>
                <w:tcPr>
                  <w:tcW w:w="1040" w:type="dxa"/>
                  <w:tcBorders>
                    <w:tl2br w:val="nil"/>
                    <w:tr2bl w:val="nil"/>
                  </w:tcBorders>
                  <w:vAlign w:val="center"/>
                </w:tcPr>
                <w:p w14:paraId="3B362D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1.2</w:t>
                  </w:r>
                </w:p>
              </w:tc>
            </w:tr>
          </w:tbl>
          <w:p w14:paraId="3C408FE2">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③</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砌护型式比选</w:t>
            </w:r>
          </w:p>
          <w:p w14:paraId="5C0162A0">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本次设计考虑对沟道治理段进行砌护处理，主要有以下几种方案进行选择。</w:t>
            </w:r>
          </w:p>
          <w:p w14:paraId="0FE51743">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方案一：格宾基础+格宾护坡，采用格宾护坡型式，格宾护坡厚度为0.3m，坡脚齿墙采用格宾石笼，尺寸为0.8×1.5(m)；护坡下铺设土工布；</w:t>
            </w:r>
          </w:p>
          <w:p w14:paraId="0BC49AD4">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方案二：浆砌石基础+浆砌石护坡、浆砌石挡土墙，护坡厚度为0.3～0.6m，挡土墙厚度0.5～1.1m，基础深1.2～2.0m，宽0.8～1.1m；</w:t>
            </w:r>
          </w:p>
          <w:p w14:paraId="7DFB2F02">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方案三：混凝土基础+混凝土护坡，坡脚采用格宾防护，护坡厚度为0.3m，基础深1.5m，宽0.5-0.95m，格宾厚度0.5m，格宾宽度1m。</w:t>
            </w:r>
          </w:p>
          <w:p w14:paraId="611743E9">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砌护形式从造价上分析比较看，格宾护坡砌护边坡为1：1.5，耐久性好、抗冲刷能力强、适应地基变形的能力强，透水性好，抗冻胀性能好；浆砌石护坡及基础稳定性较好，冻胀破坏影响较小；混凝土护坡及混凝土基础施工方便，所需原材料易购买，造型美观。综合比较考虑本次三个窑沟砌护段落采用混凝土基础+混凝土护坡及浆砌石护坡+基础的砌护形式。沟道砌护处理方案比选表见表</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2A20A09A">
            <w:pPr>
              <w:autoSpaceDE w:val="0"/>
              <w:autoSpaceDN w:val="0"/>
              <w:adjustRightInd w:val="0"/>
              <w:spacing w:line="240" w:lineRule="auto"/>
              <w:jc w:val="cente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表2-5  沟道砌护处理方案比选表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238"/>
              <w:gridCol w:w="1963"/>
              <w:gridCol w:w="2526"/>
              <w:gridCol w:w="1126"/>
              <w:gridCol w:w="739"/>
            </w:tblGrid>
            <w:tr w14:paraId="0C201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7" w:type="dxa"/>
                  <w:tcBorders>
                    <w:tl2br w:val="nil"/>
                    <w:tr2bl w:val="nil"/>
                  </w:tcBorders>
                  <w:vAlign w:val="center"/>
                </w:tcPr>
                <w:p w14:paraId="0454CD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序号</w:t>
                  </w:r>
                </w:p>
              </w:tc>
              <w:tc>
                <w:tcPr>
                  <w:tcW w:w="1234" w:type="dxa"/>
                  <w:tcBorders>
                    <w:tl2br w:val="nil"/>
                    <w:tr2bl w:val="nil"/>
                  </w:tcBorders>
                  <w:vAlign w:val="center"/>
                </w:tcPr>
                <w:p w14:paraId="700FB72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砌护形式</w:t>
                  </w:r>
                </w:p>
              </w:tc>
              <w:tc>
                <w:tcPr>
                  <w:tcW w:w="1956" w:type="dxa"/>
                  <w:tcBorders>
                    <w:tl2br w:val="nil"/>
                    <w:tr2bl w:val="nil"/>
                  </w:tcBorders>
                  <w:vAlign w:val="center"/>
                </w:tcPr>
                <w:p w14:paraId="2592BA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设计方案</w:t>
                  </w:r>
                </w:p>
              </w:tc>
              <w:tc>
                <w:tcPr>
                  <w:tcW w:w="2517" w:type="dxa"/>
                  <w:tcBorders>
                    <w:tl2br w:val="nil"/>
                    <w:tr2bl w:val="nil"/>
                  </w:tcBorders>
                  <w:vAlign w:val="center"/>
                </w:tcPr>
                <w:p w14:paraId="4AAC73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优点</w:t>
                  </w:r>
                </w:p>
              </w:tc>
              <w:tc>
                <w:tcPr>
                  <w:tcW w:w="1122" w:type="dxa"/>
                  <w:tcBorders>
                    <w:tl2br w:val="nil"/>
                    <w:tr2bl w:val="nil"/>
                  </w:tcBorders>
                  <w:vAlign w:val="center"/>
                </w:tcPr>
                <w:p w14:paraId="4E843A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缺点</w:t>
                  </w:r>
                </w:p>
              </w:tc>
              <w:tc>
                <w:tcPr>
                  <w:tcW w:w="736" w:type="dxa"/>
                  <w:tcBorders>
                    <w:tl2br w:val="nil"/>
                    <w:tr2bl w:val="nil"/>
                  </w:tcBorders>
                  <w:vAlign w:val="center"/>
                </w:tcPr>
                <w:p w14:paraId="018338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结论</w:t>
                  </w:r>
                </w:p>
              </w:tc>
            </w:tr>
            <w:tr w14:paraId="20391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560FEC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方案一</w:t>
                  </w:r>
                </w:p>
              </w:tc>
              <w:tc>
                <w:tcPr>
                  <w:tcW w:w="1234" w:type="dxa"/>
                  <w:tcBorders>
                    <w:tl2br w:val="nil"/>
                    <w:tr2bl w:val="nil"/>
                  </w:tcBorders>
                  <w:vAlign w:val="center"/>
                </w:tcPr>
                <w:p w14:paraId="56CC1C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格宾基础+格宾护坡</w:t>
                  </w:r>
                </w:p>
              </w:tc>
              <w:tc>
                <w:tcPr>
                  <w:tcW w:w="1956" w:type="dxa"/>
                  <w:tcBorders>
                    <w:tl2br w:val="nil"/>
                    <w:tr2bl w:val="nil"/>
                  </w:tcBorders>
                  <w:vAlign w:val="center"/>
                </w:tcPr>
                <w:p w14:paraId="268709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采用格宾基础+格宾护坡，格宾护坡厚度为0.3m，坡脚齿墙采用格宾石笼，尺寸为0.8×1.5（m)；护坡下铺设土工布</w:t>
                  </w:r>
                </w:p>
              </w:tc>
              <w:tc>
                <w:tcPr>
                  <w:tcW w:w="2517" w:type="dxa"/>
                  <w:tcBorders>
                    <w:tl2br w:val="nil"/>
                    <w:tr2bl w:val="nil"/>
                  </w:tcBorders>
                  <w:vAlign w:val="center"/>
                </w:tcPr>
                <w:p w14:paraId="111C30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耐久性好、抗冲刷能力强、适应地基变形的能力强；透水性好，抗冻胀性能好；对块石材的要求较宽松，可因地制宜充分利用当地材料；施工时不用水、不用电，施工方便；具有良好的生态效应。</w:t>
                  </w:r>
                </w:p>
              </w:tc>
              <w:tc>
                <w:tcPr>
                  <w:tcW w:w="1122" w:type="dxa"/>
                  <w:tcBorders>
                    <w:tl2br w:val="nil"/>
                    <w:tr2bl w:val="nil"/>
                  </w:tcBorders>
                  <w:vAlign w:val="center"/>
                </w:tcPr>
                <w:p w14:paraId="45B5619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投资较高，块石料场距项目区较远</w:t>
                  </w:r>
                </w:p>
              </w:tc>
              <w:tc>
                <w:tcPr>
                  <w:tcW w:w="736" w:type="dxa"/>
                  <w:tcBorders>
                    <w:tl2br w:val="nil"/>
                    <w:tr2bl w:val="nil"/>
                  </w:tcBorders>
                  <w:vAlign w:val="center"/>
                </w:tcPr>
                <w:p w14:paraId="1BAB4B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w:t>
                  </w:r>
                </w:p>
              </w:tc>
            </w:tr>
            <w:tr w14:paraId="7FF53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17DAC9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方案二</w:t>
                  </w:r>
                </w:p>
              </w:tc>
              <w:tc>
                <w:tcPr>
                  <w:tcW w:w="1234" w:type="dxa"/>
                  <w:tcBorders>
                    <w:tl2br w:val="nil"/>
                    <w:tr2bl w:val="nil"/>
                  </w:tcBorders>
                  <w:vAlign w:val="center"/>
                </w:tcPr>
                <w:p w14:paraId="319B90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浆砌石基础+浆砌石护坡、浆砌石挡土墙</w:t>
                  </w:r>
                </w:p>
              </w:tc>
              <w:tc>
                <w:tcPr>
                  <w:tcW w:w="1956" w:type="dxa"/>
                  <w:tcBorders>
                    <w:tl2br w:val="nil"/>
                    <w:tr2bl w:val="nil"/>
                  </w:tcBorders>
                  <w:vAlign w:val="center"/>
                </w:tcPr>
                <w:p w14:paraId="5E2C0C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护坡厚度为0.3～0.6m，挡土墙厚度0.5～1.1m，基础深1.2～2.0m，宽0.8～1.1m</w:t>
                  </w:r>
                </w:p>
              </w:tc>
              <w:tc>
                <w:tcPr>
                  <w:tcW w:w="2517" w:type="dxa"/>
                  <w:tcBorders>
                    <w:tl2br w:val="nil"/>
                    <w:tr2bl w:val="nil"/>
                  </w:tcBorders>
                  <w:vAlign w:val="center"/>
                </w:tcPr>
                <w:p w14:paraId="0754B4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耐久性好；对沟道的边坡要求低；与现状砌护形式较为契合；投资较低。</w:t>
                  </w:r>
                </w:p>
              </w:tc>
              <w:tc>
                <w:tcPr>
                  <w:tcW w:w="1122" w:type="dxa"/>
                  <w:tcBorders>
                    <w:tl2br w:val="nil"/>
                    <w:tr2bl w:val="nil"/>
                  </w:tcBorders>
                  <w:vAlign w:val="center"/>
                </w:tcPr>
                <w:p w14:paraId="26F642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适应变形能力较差，块石料场距项目区较远</w:t>
                  </w:r>
                </w:p>
              </w:tc>
              <w:tc>
                <w:tcPr>
                  <w:tcW w:w="736" w:type="dxa"/>
                  <w:tcBorders>
                    <w:tl2br w:val="nil"/>
                    <w:tr2bl w:val="nil"/>
                  </w:tcBorders>
                  <w:vAlign w:val="center"/>
                </w:tcPr>
                <w:p w14:paraId="0BD6890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推荐</w:t>
                  </w:r>
                </w:p>
              </w:tc>
            </w:tr>
            <w:tr w14:paraId="335D8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55BE5E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方案三</w:t>
                  </w:r>
                </w:p>
              </w:tc>
              <w:tc>
                <w:tcPr>
                  <w:tcW w:w="1234" w:type="dxa"/>
                  <w:tcBorders>
                    <w:tl2br w:val="nil"/>
                    <w:tr2bl w:val="nil"/>
                  </w:tcBorders>
                  <w:vAlign w:val="center"/>
                </w:tcPr>
                <w:p w14:paraId="2DC97E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混凝土基础+混凝土护坡</w:t>
                  </w:r>
                </w:p>
              </w:tc>
              <w:tc>
                <w:tcPr>
                  <w:tcW w:w="1956" w:type="dxa"/>
                  <w:tcBorders>
                    <w:tl2br w:val="nil"/>
                    <w:tr2bl w:val="nil"/>
                  </w:tcBorders>
                  <w:vAlign w:val="center"/>
                </w:tcPr>
                <w:p w14:paraId="51F181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护坡厚度为0.3m，基础深1.5m，宽0.5-0.95m</w:t>
                  </w:r>
                </w:p>
              </w:tc>
              <w:tc>
                <w:tcPr>
                  <w:tcW w:w="2517" w:type="dxa"/>
                  <w:tcBorders>
                    <w:tl2br w:val="nil"/>
                    <w:tr2bl w:val="nil"/>
                  </w:tcBorders>
                  <w:vAlign w:val="center"/>
                </w:tcPr>
                <w:p w14:paraId="46139B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耐久性好、抗冲刷能力强；容易施工，建设完成后较为美观，对沟道的边坡要求低；投资较低。</w:t>
                  </w:r>
                </w:p>
              </w:tc>
              <w:tc>
                <w:tcPr>
                  <w:tcW w:w="1122" w:type="dxa"/>
                  <w:tcBorders>
                    <w:tl2br w:val="nil"/>
                    <w:tr2bl w:val="nil"/>
                  </w:tcBorders>
                  <w:vAlign w:val="center"/>
                </w:tcPr>
                <w:p w14:paraId="6DE167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适应变形能力较差</w:t>
                  </w:r>
                </w:p>
              </w:tc>
              <w:tc>
                <w:tcPr>
                  <w:tcW w:w="736" w:type="dxa"/>
                  <w:tcBorders>
                    <w:tl2br w:val="nil"/>
                    <w:tr2bl w:val="nil"/>
                  </w:tcBorders>
                  <w:vAlign w:val="center"/>
                </w:tcPr>
                <w:p w14:paraId="03BB28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t>/</w:t>
                  </w:r>
                </w:p>
              </w:tc>
            </w:tr>
          </w:tbl>
          <w:p w14:paraId="6B773B83">
            <w:pPr>
              <w:autoSpaceDE w:val="0"/>
              <w:autoSpaceDN w:val="0"/>
              <w:adjustRightInd w:val="0"/>
              <w:spacing w:line="360" w:lineRule="auto"/>
              <w:ind w:firstLine="480" w:firstLineChars="200"/>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④沟道治理断面型式</w:t>
            </w:r>
          </w:p>
          <w:p w14:paraId="12CB18A7">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工程规划对三个窑沟桩号K40+983--K41+148段左岸、K41+185--K41+565段右岸及K44+830-K44+920段左岸进行砌护治理，设计砌护横断面结构尺寸如下：</w:t>
            </w:r>
          </w:p>
          <w:p w14:paraId="7459EEE4">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砌护高度按设计水深加安全超高控制（详见沟道护坡砌护统计表），桩号K40+983--K41+148段砌护基础深1.3m，宽1.1m，挡土墙厚度0.5--1.1m，挡土墙为直墙砌护；桩号K41+185--K41+565段砌护基础深1.2m，宽1.02m，挡土墙厚度0.5--1.02m，挡土墙为直墙砌护；桩号K44+830-K44+920段基础深2.0m，宽0.8m，护坡厚度0.3m～0.6m，基础及护坡均采用浆砌石砌护，砌护面边坡1：1.5；浆砌石砌护每10m设置一道沉降缝，沉降缝宽30mm，上部填筑50mm厚单组份聚氨酯密封胶，下部填苯板，沟道砌护底铺设格宾网箱护坦，格宾网箱尺寸长×宽×高为2m×2m×0.5m，回填土压实度不小于0.91。</w:t>
            </w:r>
          </w:p>
          <w:p w14:paraId="567F2D7B">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砌护剖面图见</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下</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图。</w:t>
            </w:r>
          </w:p>
          <w:p w14:paraId="6AA6F1E4">
            <w:pPr>
              <w:autoSpaceDE w:val="0"/>
              <w:autoSpaceDN w:val="0"/>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42"/>
            </w:tblGrid>
            <w:tr w14:paraId="3BA11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3" w:type="dxa"/>
                  <w:tcBorders>
                    <w:tl2br w:val="nil"/>
                    <w:tr2bl w:val="nil"/>
                  </w:tcBorders>
                  <w:vAlign w:val="center"/>
                </w:tcPr>
                <w:p w14:paraId="04D5CD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4102100" cy="2553335"/>
                        <wp:effectExtent l="19050" t="19050" r="31750" b="374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rcRect r="-1080" b="6118"/>
                                <a:stretch>
                                  <a:fillRect/>
                                </a:stretch>
                              </pic:blipFill>
                              <pic:spPr>
                                <a:xfrm>
                                  <a:off x="0" y="0"/>
                                  <a:ext cx="4102100" cy="2553335"/>
                                </a:xfrm>
                                <a:prstGeom prst="rect">
                                  <a:avLst/>
                                </a:prstGeom>
                                <a:noFill/>
                                <a:ln w="19050">
                                  <a:solidFill>
                                    <a:schemeClr val="tx1"/>
                                  </a:solidFill>
                                </a:ln>
                              </pic:spPr>
                            </pic:pic>
                          </a:graphicData>
                        </a:graphic>
                      </wp:inline>
                    </w:drawing>
                  </w:r>
                </w:p>
              </w:tc>
            </w:tr>
            <w:tr w14:paraId="4BEBC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3" w:type="dxa"/>
                  <w:tcBorders>
                    <w:tl2br w:val="nil"/>
                    <w:tr2bl w:val="nil"/>
                  </w:tcBorders>
                  <w:vAlign w:val="center"/>
                </w:tcPr>
                <w:p w14:paraId="517486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黑体" w:cs="Times New Roman"/>
                      <w:b w:val="0"/>
                      <w:bCs/>
                      <w:color w:val="000000" w:themeColor="text1"/>
                      <w:sz w:val="21"/>
                      <w:szCs w:val="21"/>
                      <w:highlight w:val="none"/>
                      <w:vertAlign w:val="baseline"/>
                      <w:lang w:val="en-US" w:eastAsia="zh-CN"/>
                      <w14:textFill>
                        <w14:solidFill>
                          <w14:schemeClr w14:val="tx1"/>
                        </w14:solidFill>
                      </w14:textFill>
                    </w:rPr>
                    <w:t>桩号K40+983--K41+148段砌护剖面示意图</w:t>
                  </w:r>
                </w:p>
              </w:tc>
            </w:tr>
            <w:tr w14:paraId="6B166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3" w:type="dxa"/>
                  <w:tcBorders>
                    <w:tl2br w:val="nil"/>
                    <w:tr2bl w:val="nil"/>
                  </w:tcBorders>
                  <w:vAlign w:val="center"/>
                </w:tcPr>
                <w:p w14:paraId="4D22105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4203700" cy="2264410"/>
                        <wp:effectExtent l="19050" t="19050" r="25400" b="215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rcRect r="-1177" b="8365"/>
                                <a:stretch>
                                  <a:fillRect/>
                                </a:stretch>
                              </pic:blipFill>
                              <pic:spPr>
                                <a:xfrm>
                                  <a:off x="0" y="0"/>
                                  <a:ext cx="4203700" cy="2264410"/>
                                </a:xfrm>
                                <a:prstGeom prst="rect">
                                  <a:avLst/>
                                </a:prstGeom>
                                <a:noFill/>
                                <a:ln w="19050">
                                  <a:solidFill>
                                    <a:schemeClr val="tx1"/>
                                  </a:solidFill>
                                </a:ln>
                              </pic:spPr>
                            </pic:pic>
                          </a:graphicData>
                        </a:graphic>
                      </wp:inline>
                    </w:drawing>
                  </w:r>
                </w:p>
              </w:tc>
            </w:tr>
            <w:tr w14:paraId="7F8DB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3" w:type="dxa"/>
                  <w:tcBorders>
                    <w:tl2br w:val="nil"/>
                    <w:tr2bl w:val="nil"/>
                  </w:tcBorders>
                  <w:vAlign w:val="center"/>
                </w:tcPr>
                <w:p w14:paraId="619DD8B8">
                  <w:pPr>
                    <w:autoSpaceDE w:val="0"/>
                    <w:autoSpaceDN w:val="0"/>
                    <w:adjustRightInd w:val="0"/>
                    <w:spacing w:line="360" w:lineRule="auto"/>
                    <w:ind w:firstLine="420" w:firstLineChars="200"/>
                    <w:jc w:val="center"/>
                    <w:rPr>
                      <w:rFonts w:hint="default" w:ascii="Times New Roman" w:hAnsi="Times New Roman" w:cs="Times New Roman" w:eastAsiaTheme="minorEastAsia"/>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黑体" w:cs="Times New Roman"/>
                      <w:b w:val="0"/>
                      <w:bCs/>
                      <w:color w:val="000000" w:themeColor="text1"/>
                      <w:sz w:val="21"/>
                      <w:szCs w:val="21"/>
                      <w:highlight w:val="none"/>
                      <w:vertAlign w:val="baseline"/>
                      <w:lang w:val="en-US" w:eastAsia="zh-CN"/>
                      <w14:textFill>
                        <w14:solidFill>
                          <w14:schemeClr w14:val="tx1"/>
                        </w14:solidFill>
                      </w14:textFill>
                    </w:rPr>
                    <w:t>桩号K40+983--K41+148段砌护剖面示意图</w:t>
                  </w:r>
                </w:p>
              </w:tc>
            </w:tr>
            <w:tr w14:paraId="5DA54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3" w:type="dxa"/>
                  <w:tcBorders>
                    <w:tl2br w:val="nil"/>
                    <w:tr2bl w:val="nil"/>
                  </w:tcBorders>
                  <w:vAlign w:val="center"/>
                </w:tcPr>
                <w:p w14:paraId="710FD3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drawing>
                      <wp:inline distT="0" distB="0" distL="114300" distR="114300">
                        <wp:extent cx="4261485" cy="2379345"/>
                        <wp:effectExtent l="19050" t="19050" r="24765" b="2095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4261485" cy="2379345"/>
                                </a:xfrm>
                                <a:prstGeom prst="rect">
                                  <a:avLst/>
                                </a:prstGeom>
                                <a:noFill/>
                                <a:ln w="19050">
                                  <a:solidFill>
                                    <a:schemeClr val="tx1"/>
                                  </a:solidFill>
                                </a:ln>
                              </pic:spPr>
                            </pic:pic>
                          </a:graphicData>
                        </a:graphic>
                      </wp:inline>
                    </w:drawing>
                  </w:r>
                </w:p>
              </w:tc>
            </w:tr>
            <w:tr w14:paraId="794B5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3" w:type="dxa"/>
                  <w:tcBorders>
                    <w:tl2br w:val="nil"/>
                    <w:tr2bl w:val="nil"/>
                  </w:tcBorders>
                  <w:vAlign w:val="center"/>
                </w:tcPr>
                <w:p w14:paraId="10D48A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黑体" w:cs="Times New Roman"/>
                      <w:b w:val="0"/>
                      <w:bCs/>
                      <w:color w:val="000000" w:themeColor="text1"/>
                      <w:sz w:val="21"/>
                      <w:szCs w:val="21"/>
                      <w:highlight w:val="none"/>
                      <w:vertAlign w:val="baseline"/>
                      <w:lang w:val="en-US" w:eastAsia="zh-CN"/>
                      <w14:textFill>
                        <w14:solidFill>
                          <w14:schemeClr w14:val="tx1"/>
                        </w14:solidFill>
                      </w14:textFill>
                    </w:rPr>
                    <w:t>桩号K40+983--K41+148段砌护剖面示意图</w:t>
                  </w:r>
                </w:p>
              </w:tc>
            </w:tr>
          </w:tbl>
          <w:p w14:paraId="1311C559">
            <w:pPr>
              <w:autoSpaceDE w:val="0"/>
              <w:autoSpaceDN w:val="0"/>
              <w:adjustRightInd w:val="0"/>
              <w:spacing w:line="360" w:lineRule="auto"/>
              <w:jc w:val="cente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color w:val="000000" w:themeColor="text1"/>
                <w:sz w:val="24"/>
                <w:highlight w:val="none"/>
                <w:vertAlign w:val="baseline"/>
                <w:lang w:val="en-US" w:eastAsia="zh-CN"/>
                <w14:textFill>
                  <w14:solidFill>
                    <w14:schemeClr w14:val="tx1"/>
                  </w14:solidFill>
                </w14:textFill>
              </w:rPr>
              <w:t>图</w:t>
            </w:r>
            <w:r>
              <w:rPr>
                <w:rFonts w:hint="eastAsia" w:eastAsia="黑体" w:cs="Times New Roman"/>
                <w:b w:val="0"/>
                <w:bCs/>
                <w:color w:val="000000" w:themeColor="text1"/>
                <w:sz w:val="24"/>
                <w:highlight w:val="none"/>
                <w:vertAlign w:val="baseline"/>
                <w:lang w:val="en-US" w:eastAsia="zh-CN"/>
                <w14:textFill>
                  <w14:solidFill>
                    <w14:schemeClr w14:val="tx1"/>
                  </w14:solidFill>
                </w14:textFill>
              </w:rPr>
              <w:t>2-</w:t>
            </w:r>
            <w:r>
              <w:rPr>
                <w:rFonts w:hint="default" w:ascii="Times New Roman" w:hAnsi="Times New Roman" w:eastAsia="黑体" w:cs="Times New Roman"/>
                <w:b w:val="0"/>
                <w:bCs/>
                <w:color w:val="000000" w:themeColor="text1"/>
                <w:sz w:val="24"/>
                <w:highlight w:val="none"/>
                <w:vertAlign w:val="baseline"/>
                <w:lang w:val="en-US" w:eastAsia="zh-CN"/>
                <w14:textFill>
                  <w14:solidFill>
                    <w14:schemeClr w14:val="tx1"/>
                  </w14:solidFill>
                </w14:textFill>
              </w:rPr>
              <w:t>1  项目砌护剖面示意图</w:t>
            </w:r>
          </w:p>
          <w:p w14:paraId="4CA2177A">
            <w:pPr>
              <w:autoSpaceDE w:val="0"/>
              <w:autoSpaceDN w:val="0"/>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（3）运行方式</w:t>
            </w:r>
          </w:p>
          <w:p w14:paraId="7BDA3067">
            <w:pPr>
              <w:autoSpaceDE w:val="0"/>
              <w:autoSpaceDN w:val="0"/>
              <w:adjustRightInd w:val="0"/>
              <w:spacing w:line="360" w:lineRule="auto"/>
              <w:ind w:firstLine="480" w:firstLineChars="200"/>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本项目建成后，采用无人值守、少人巡检的运行方式。</w:t>
            </w:r>
          </w:p>
          <w:p w14:paraId="592EDC90">
            <w:pPr>
              <w:pStyle w:val="9"/>
              <w:adjustRightInd w:val="0"/>
              <w:spacing w:before="0" w:after="0" w:line="360" w:lineRule="auto"/>
              <w:ind w:right="0"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3、土石方平衡</w:t>
            </w:r>
          </w:p>
          <w:p w14:paraId="6BA24654">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根据项目工程量统计表可知，施工期开挖土方</w:t>
            </w:r>
            <w:r>
              <w:rPr>
                <w:rFonts w:hint="eastAsia" w:cs="Times New Roman"/>
                <w:color w:val="000000" w:themeColor="text1"/>
                <w:kern w:val="0"/>
                <w:sz w:val="24"/>
                <w:szCs w:val="24"/>
                <w:highlight w:val="none"/>
                <w:lang w:val="en-US" w:eastAsia="zh-CN" w:bidi="ar-SA"/>
                <w14:textFill>
                  <w14:solidFill>
                    <w14:schemeClr w14:val="tx1"/>
                  </w14:solidFill>
                </w14:textFill>
              </w:rPr>
              <w:t>101041</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，回填土方</w:t>
            </w:r>
            <w:r>
              <w:rPr>
                <w:rFonts w:hint="eastAsia" w:cs="Times New Roman"/>
                <w:color w:val="000000" w:themeColor="text1"/>
                <w:kern w:val="0"/>
                <w:sz w:val="24"/>
                <w:szCs w:val="24"/>
                <w:highlight w:val="none"/>
                <w:lang w:val="en-US" w:eastAsia="zh-CN" w:bidi="ar-SA"/>
                <w14:textFill>
                  <w14:solidFill>
                    <w14:schemeClr w14:val="tx1"/>
                  </w14:solidFill>
                </w14:textFill>
              </w:rPr>
              <w:t>101041</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清淤工程产生的96760m³淤泥晾干后集中收集，拉运至其他生态修复治理项目，作为回填材料综合利用；边坡砌护工程产生的土方挖填平衡</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。本项目土石方平衡见表</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2-4</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土石方平衡图见图2-6。</w:t>
            </w:r>
          </w:p>
          <w:p w14:paraId="0F23FC80">
            <w:pPr>
              <w:adjustRightInd w:val="0"/>
              <w:snapToGrid w:val="0"/>
              <w:jc w:val="cente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黑体" w:cs="Times New Roman"/>
                <w:color w:val="000000" w:themeColor="text1"/>
                <w:sz w:val="24"/>
                <w:highlight w:val="none"/>
                <w:lang w:val="en-US" w:eastAsia="zh-CN"/>
                <w14:textFill>
                  <w14:solidFill>
                    <w14:schemeClr w14:val="tx1"/>
                  </w14:solidFill>
                </w14:textFill>
              </w:rPr>
              <w:t>表2-6  土石方</w:t>
            </w:r>
            <w:r>
              <w:rPr>
                <w:rFonts w:eastAsia="黑体"/>
                <w:color w:val="000000" w:themeColor="text1"/>
                <w:sz w:val="24"/>
                <w14:textFill>
                  <w14:solidFill>
                    <w14:schemeClr w14:val="tx1"/>
                  </w14:solidFill>
                </w14:textFill>
              </w:rPr>
              <w:t>平衡表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668"/>
              <w:gridCol w:w="1669"/>
              <w:gridCol w:w="1669"/>
              <w:gridCol w:w="1669"/>
            </w:tblGrid>
            <w:tr w14:paraId="5E041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7" w:type="dxa"/>
                  <w:tcBorders>
                    <w:tl2br w:val="nil"/>
                    <w:tr2bl w:val="nil"/>
                  </w:tcBorders>
                  <w:vAlign w:val="center"/>
                </w:tcPr>
                <w:p w14:paraId="24A18526">
                  <w:pPr>
                    <w:pStyle w:val="9"/>
                    <w:adjustRightInd w:val="0"/>
                    <w:spacing w:before="0" w:after="0" w:line="240" w:lineRule="auto"/>
                    <w:ind w:right="0"/>
                    <w:jc w:val="cente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项目名称</w:t>
                  </w:r>
                </w:p>
              </w:tc>
              <w:tc>
                <w:tcPr>
                  <w:tcW w:w="1668" w:type="dxa"/>
                  <w:tcBorders>
                    <w:tl2br w:val="nil"/>
                    <w:tr2bl w:val="nil"/>
                  </w:tcBorders>
                  <w:vAlign w:val="center"/>
                </w:tcPr>
                <w:p w14:paraId="1FE1176A">
                  <w:pPr>
                    <w:pStyle w:val="9"/>
                    <w:adjustRightInd w:val="0"/>
                    <w:spacing w:before="0" w:after="0" w:line="240" w:lineRule="auto"/>
                    <w:ind w:right="0"/>
                    <w:jc w:val="cente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土方开挖（m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w:t>
                  </w:r>
                </w:p>
              </w:tc>
              <w:tc>
                <w:tcPr>
                  <w:tcW w:w="1669" w:type="dxa"/>
                  <w:tcBorders>
                    <w:tl2br w:val="nil"/>
                    <w:tr2bl w:val="nil"/>
                  </w:tcBorders>
                  <w:vAlign w:val="center"/>
                </w:tcPr>
                <w:p w14:paraId="73BCC251">
                  <w:pPr>
                    <w:pStyle w:val="9"/>
                    <w:adjustRightInd w:val="0"/>
                    <w:spacing w:before="0" w:after="0" w:line="240" w:lineRule="auto"/>
                    <w:ind w:right="0"/>
                    <w:jc w:val="cente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土方回填（m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w:t>
                  </w:r>
                </w:p>
              </w:tc>
              <w:tc>
                <w:tcPr>
                  <w:tcW w:w="1669" w:type="dxa"/>
                  <w:tcBorders>
                    <w:tl2br w:val="nil"/>
                    <w:tr2bl w:val="nil"/>
                  </w:tcBorders>
                  <w:vAlign w:val="center"/>
                </w:tcPr>
                <w:p w14:paraId="4494C45D">
                  <w:pPr>
                    <w:pStyle w:val="9"/>
                    <w:adjustRightInd w:val="0"/>
                    <w:spacing w:before="0" w:after="0" w:line="240" w:lineRule="auto"/>
                    <w:ind w:right="0"/>
                    <w:jc w:val="cente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bCs/>
                      <w:color w:val="000000" w:themeColor="text1"/>
                      <w:kern w:val="2"/>
                      <w:sz w:val="21"/>
                      <w:szCs w:val="21"/>
                      <w:highlight w:val="none"/>
                      <w:vertAlign w:val="baseline"/>
                      <w:lang w:val="en-US" w:eastAsia="zh-CN" w:bidi="ar-SA"/>
                      <w14:textFill>
                        <w14:solidFill>
                          <w14:schemeClr w14:val="tx1"/>
                        </w14:solidFill>
                      </w14:textFill>
                    </w:rPr>
                    <w:t>调入</w:t>
                  </w: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w:t>
                  </w:r>
                </w:p>
              </w:tc>
              <w:tc>
                <w:tcPr>
                  <w:tcW w:w="1669" w:type="dxa"/>
                  <w:tcBorders>
                    <w:tl2br w:val="nil"/>
                    <w:tr2bl w:val="nil"/>
                  </w:tcBorders>
                  <w:vAlign w:val="center"/>
                </w:tcPr>
                <w:p w14:paraId="01F7792B">
                  <w:pPr>
                    <w:pStyle w:val="9"/>
                    <w:adjustRightInd w:val="0"/>
                    <w:spacing w:before="0" w:after="0" w:line="240" w:lineRule="auto"/>
                    <w:ind w:right="0"/>
                    <w:jc w:val="cente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bCs/>
                      <w:color w:val="000000" w:themeColor="text1"/>
                      <w:kern w:val="2"/>
                      <w:sz w:val="21"/>
                      <w:szCs w:val="21"/>
                      <w:highlight w:val="none"/>
                      <w:vertAlign w:val="baseline"/>
                      <w:lang w:val="en-US" w:eastAsia="zh-CN" w:bidi="ar-SA"/>
                      <w14:textFill>
                        <w14:solidFill>
                          <w14:schemeClr w14:val="tx1"/>
                        </w14:solidFill>
                      </w14:textFill>
                    </w:rPr>
                    <w:t>调出</w:t>
                  </w: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w:t>
                  </w:r>
                </w:p>
              </w:tc>
            </w:tr>
            <w:tr w14:paraId="620F5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7" w:type="dxa"/>
                  <w:tcBorders>
                    <w:tl2br w:val="nil"/>
                    <w:tr2bl w:val="nil"/>
                  </w:tcBorders>
                  <w:vAlign w:val="center"/>
                </w:tcPr>
                <w:p w14:paraId="011832AD">
                  <w:pPr>
                    <w:pStyle w:val="9"/>
                    <w:adjustRightInd w:val="0"/>
                    <w:spacing w:before="0" w:after="0" w:line="240" w:lineRule="auto"/>
                    <w:ind w:right="0" w:rightChars="0"/>
                    <w:jc w:val="cente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highlight w:val="none"/>
                      <w:vertAlign w:val="baseline"/>
                      <w:lang w:val="en-US" w:eastAsia="zh-CN" w:bidi="ar-SA"/>
                      <w14:textFill>
                        <w14:solidFill>
                          <w14:schemeClr w14:val="tx1"/>
                        </w14:solidFill>
                      </w14:textFill>
                    </w:rPr>
                    <w:t>清淤工程</w:t>
                  </w:r>
                </w:p>
              </w:tc>
              <w:tc>
                <w:tcPr>
                  <w:tcW w:w="1668" w:type="dxa"/>
                  <w:tcBorders>
                    <w:tl2br w:val="nil"/>
                    <w:tr2bl w:val="nil"/>
                  </w:tcBorders>
                  <w:vAlign w:val="center"/>
                </w:tcPr>
                <w:p w14:paraId="6D2C064D">
                  <w:pPr>
                    <w:pStyle w:val="9"/>
                    <w:adjustRightInd w:val="0"/>
                    <w:spacing w:before="0" w:after="0" w:line="240" w:lineRule="auto"/>
                    <w:ind w:right="0" w:rightChars="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96760</w:t>
                  </w:r>
                </w:p>
              </w:tc>
              <w:tc>
                <w:tcPr>
                  <w:tcW w:w="1669" w:type="dxa"/>
                  <w:tcBorders>
                    <w:tl2br w:val="nil"/>
                    <w:tr2bl w:val="nil"/>
                  </w:tcBorders>
                  <w:vAlign w:val="center"/>
                </w:tcPr>
                <w:p w14:paraId="44ADF4F2">
                  <w:pPr>
                    <w:pStyle w:val="9"/>
                    <w:adjustRightInd w:val="0"/>
                    <w:spacing w:before="0" w:after="0" w:line="240" w:lineRule="auto"/>
                    <w:ind w:right="0" w:rightChars="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0</w:t>
                  </w:r>
                </w:p>
              </w:tc>
              <w:tc>
                <w:tcPr>
                  <w:tcW w:w="1669" w:type="dxa"/>
                  <w:tcBorders>
                    <w:tl2br w:val="nil"/>
                    <w:tr2bl w:val="nil"/>
                  </w:tcBorders>
                  <w:vAlign w:val="center"/>
                </w:tcPr>
                <w:p w14:paraId="28B0B22B">
                  <w:pPr>
                    <w:pStyle w:val="9"/>
                    <w:adjustRightInd w:val="0"/>
                    <w:spacing w:before="0" w:after="0" w:line="240" w:lineRule="auto"/>
                    <w:ind w:right="0" w:rightChars="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c>
                <w:tcPr>
                  <w:tcW w:w="1669" w:type="dxa"/>
                  <w:tcBorders>
                    <w:tl2br w:val="nil"/>
                    <w:tr2bl w:val="nil"/>
                  </w:tcBorders>
                  <w:vAlign w:val="center"/>
                </w:tcPr>
                <w:p w14:paraId="66BFC877">
                  <w:pPr>
                    <w:pStyle w:val="9"/>
                    <w:adjustRightInd w:val="0"/>
                    <w:spacing w:before="0" w:after="0" w:line="240" w:lineRule="auto"/>
                    <w:ind w:right="0" w:rightChars="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-96760</w:t>
                  </w:r>
                </w:p>
              </w:tc>
            </w:tr>
            <w:tr w14:paraId="67C6E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7" w:type="dxa"/>
                  <w:tcBorders>
                    <w:tl2br w:val="nil"/>
                    <w:tr2bl w:val="nil"/>
                  </w:tcBorders>
                  <w:vAlign w:val="center"/>
                </w:tcPr>
                <w:p w14:paraId="6B0A3C5B">
                  <w:pPr>
                    <w:pStyle w:val="9"/>
                    <w:adjustRightInd w:val="0"/>
                    <w:spacing w:before="0" w:after="0" w:line="240" w:lineRule="auto"/>
                    <w:ind w:right="0"/>
                    <w:jc w:val="center"/>
                    <w:rPr>
                      <w:rFonts w:hint="default" w:ascii="Times New Roman" w:hAnsi="Times New Roman"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bCs/>
                      <w:color w:val="000000" w:themeColor="text1"/>
                      <w:kern w:val="2"/>
                      <w:sz w:val="21"/>
                      <w:szCs w:val="21"/>
                      <w:highlight w:val="none"/>
                      <w:vertAlign w:val="baseline"/>
                      <w:lang w:val="en-US" w:eastAsia="zh-CN" w:bidi="ar-SA"/>
                      <w14:textFill>
                        <w14:solidFill>
                          <w14:schemeClr w14:val="tx1"/>
                        </w14:solidFill>
                      </w14:textFill>
                    </w:rPr>
                    <w:t>边坡砌护</w:t>
                  </w:r>
                </w:p>
              </w:tc>
              <w:tc>
                <w:tcPr>
                  <w:tcW w:w="1668" w:type="dxa"/>
                  <w:tcBorders>
                    <w:tl2br w:val="nil"/>
                    <w:tr2bl w:val="nil"/>
                  </w:tcBorders>
                  <w:vAlign w:val="center"/>
                </w:tcPr>
                <w:p w14:paraId="77F0A54E">
                  <w:pPr>
                    <w:pStyle w:val="9"/>
                    <w:adjustRightInd w:val="0"/>
                    <w:spacing w:before="0" w:after="0" w:line="240" w:lineRule="auto"/>
                    <w:ind w:right="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t>4281</w:t>
                  </w:r>
                </w:p>
              </w:tc>
              <w:tc>
                <w:tcPr>
                  <w:tcW w:w="1669" w:type="dxa"/>
                  <w:tcBorders>
                    <w:tl2br w:val="nil"/>
                    <w:tr2bl w:val="nil"/>
                  </w:tcBorders>
                  <w:vAlign w:val="center"/>
                </w:tcPr>
                <w:p w14:paraId="755A4801">
                  <w:pPr>
                    <w:pStyle w:val="9"/>
                    <w:adjustRightInd w:val="0"/>
                    <w:spacing w:before="0" w:after="0" w:line="240" w:lineRule="auto"/>
                    <w:ind w:right="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101041</w:t>
                  </w:r>
                </w:p>
              </w:tc>
              <w:tc>
                <w:tcPr>
                  <w:tcW w:w="1669" w:type="dxa"/>
                  <w:tcBorders>
                    <w:tl2br w:val="nil"/>
                    <w:tr2bl w:val="nil"/>
                  </w:tcBorders>
                  <w:vAlign w:val="center"/>
                </w:tcPr>
                <w:p w14:paraId="6D7D216A">
                  <w:pPr>
                    <w:pStyle w:val="9"/>
                    <w:adjustRightInd w:val="0"/>
                    <w:spacing w:before="0" w:after="0" w:line="240" w:lineRule="auto"/>
                    <w:ind w:right="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+96760</w:t>
                  </w:r>
                </w:p>
              </w:tc>
              <w:tc>
                <w:tcPr>
                  <w:tcW w:w="1669" w:type="dxa"/>
                  <w:tcBorders>
                    <w:tl2br w:val="nil"/>
                    <w:tr2bl w:val="nil"/>
                  </w:tcBorders>
                  <w:vAlign w:val="center"/>
                </w:tcPr>
                <w:p w14:paraId="730BB0AA">
                  <w:pPr>
                    <w:pStyle w:val="9"/>
                    <w:adjustRightInd w:val="0"/>
                    <w:spacing w:before="0" w:after="0" w:line="240" w:lineRule="auto"/>
                    <w:ind w:right="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w:t>
                  </w:r>
                </w:p>
              </w:tc>
            </w:tr>
            <w:tr w14:paraId="3A6CE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7" w:type="dxa"/>
                  <w:tcBorders>
                    <w:tl2br w:val="nil"/>
                    <w:tr2bl w:val="nil"/>
                  </w:tcBorders>
                  <w:vAlign w:val="center"/>
                </w:tcPr>
                <w:p w14:paraId="1F3BFA93">
                  <w:pPr>
                    <w:pStyle w:val="9"/>
                    <w:adjustRightInd w:val="0"/>
                    <w:spacing w:before="0" w:after="0" w:line="240" w:lineRule="auto"/>
                    <w:ind w:right="0"/>
                    <w:jc w:val="cente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合计</w:t>
                  </w:r>
                </w:p>
              </w:tc>
              <w:tc>
                <w:tcPr>
                  <w:tcW w:w="1668" w:type="dxa"/>
                  <w:tcBorders>
                    <w:tl2br w:val="nil"/>
                    <w:tr2bl w:val="nil"/>
                  </w:tcBorders>
                  <w:vAlign w:val="center"/>
                </w:tcPr>
                <w:p w14:paraId="0AA37437">
                  <w:pPr>
                    <w:pStyle w:val="9"/>
                    <w:adjustRightInd w:val="0"/>
                    <w:spacing w:before="0" w:after="0" w:line="240" w:lineRule="auto"/>
                    <w:ind w:right="0"/>
                    <w:jc w:val="center"/>
                    <w:rPr>
                      <w:rFonts w:hint="default" w:ascii="Times New Roman" w:hAnsi="Times New Roman" w:eastAsia="宋体" w:cs="Times New Roman"/>
                      <w:b w:val="0"/>
                      <w:bCs w:val="0"/>
                      <w:color w:val="000000" w:themeColor="text1"/>
                      <w:kern w:val="2"/>
                      <w:sz w:val="18"/>
                      <w:szCs w:val="18"/>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101041</w:t>
                  </w:r>
                </w:p>
              </w:tc>
              <w:tc>
                <w:tcPr>
                  <w:tcW w:w="1669" w:type="dxa"/>
                  <w:tcBorders>
                    <w:tl2br w:val="nil"/>
                    <w:tr2bl w:val="nil"/>
                  </w:tcBorders>
                  <w:vAlign w:val="center"/>
                </w:tcPr>
                <w:p w14:paraId="19C9EC40">
                  <w:pPr>
                    <w:pStyle w:val="9"/>
                    <w:adjustRightInd w:val="0"/>
                    <w:spacing w:before="0" w:after="0" w:line="240" w:lineRule="auto"/>
                    <w:ind w:right="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101041</w:t>
                  </w:r>
                </w:p>
              </w:tc>
              <w:tc>
                <w:tcPr>
                  <w:tcW w:w="1669" w:type="dxa"/>
                  <w:tcBorders>
                    <w:tl2br w:val="nil"/>
                    <w:tr2bl w:val="nil"/>
                  </w:tcBorders>
                  <w:vAlign w:val="center"/>
                </w:tcPr>
                <w:p w14:paraId="1645CDBC">
                  <w:pPr>
                    <w:pStyle w:val="9"/>
                    <w:adjustRightInd w:val="0"/>
                    <w:spacing w:before="0" w:after="0" w:line="240" w:lineRule="auto"/>
                    <w:ind w:right="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96760</w:t>
                  </w:r>
                </w:p>
              </w:tc>
              <w:tc>
                <w:tcPr>
                  <w:tcW w:w="1669" w:type="dxa"/>
                  <w:tcBorders>
                    <w:tl2br w:val="nil"/>
                    <w:tr2bl w:val="nil"/>
                  </w:tcBorders>
                  <w:vAlign w:val="center"/>
                </w:tcPr>
                <w:p w14:paraId="58E0FAFD">
                  <w:pPr>
                    <w:pStyle w:val="9"/>
                    <w:adjustRightInd w:val="0"/>
                    <w:spacing w:before="0" w:after="0" w:line="240" w:lineRule="auto"/>
                    <w:ind w:right="0"/>
                    <w:jc w:val="center"/>
                    <w:rPr>
                      <w:rFonts w:hint="default" w:ascii="Times New Roman" w:hAnsi="Times New Roman" w:eastAsia="宋体" w:cs="Times New Roman"/>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96760</w:t>
                  </w:r>
                </w:p>
              </w:tc>
            </w:tr>
          </w:tbl>
          <w:p w14:paraId="7BE8569B">
            <w:pPr>
              <w:pStyle w:val="9"/>
              <w:adjustRightInd w:val="0"/>
              <w:spacing w:before="0" w:after="0" w:line="360" w:lineRule="auto"/>
              <w:ind w:right="0"/>
              <w:jc w:val="cente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object>
                <v:shape id="_x0000_i1025" o:spt="75" type="#_x0000_t75" style="height:144.4pt;width:303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14:paraId="6304BFEA">
            <w:pPr>
              <w:pStyle w:val="9"/>
              <w:adjustRightInd w:val="0"/>
              <w:spacing w:before="0" w:after="0" w:line="360" w:lineRule="auto"/>
              <w:ind w:right="0"/>
              <w:jc w:val="cente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bidi="ar-SA"/>
                <w14:textFill>
                  <w14:solidFill>
                    <w14:schemeClr w14:val="tx1"/>
                  </w14:solidFill>
                </w14:textFill>
              </w:rPr>
              <w:t>图</w:t>
            </w:r>
            <w:r>
              <w:rPr>
                <w:rFonts w:hint="eastAsia" w:cs="Times New Roman"/>
                <w:b/>
                <w:bCs/>
                <w:color w:val="000000" w:themeColor="text1"/>
                <w:kern w:val="0"/>
                <w:sz w:val="24"/>
                <w:szCs w:val="24"/>
                <w:highlight w:val="none"/>
                <w:lang w:val="en-US" w:eastAsia="zh-CN" w:bidi="ar-SA"/>
                <w14:textFill>
                  <w14:solidFill>
                    <w14:schemeClr w14:val="tx1"/>
                  </w14:solidFill>
                </w14:textFill>
              </w:rPr>
              <w:t>2-2</w:t>
            </w:r>
            <w:r>
              <w:rPr>
                <w:rFonts w:hint="default" w:ascii="Times New Roman" w:hAnsi="Times New Roman" w:cs="Times New Roman"/>
                <w:b/>
                <w:bCs/>
                <w:color w:val="000000" w:themeColor="text1"/>
                <w:kern w:val="0"/>
                <w:sz w:val="24"/>
                <w:szCs w:val="24"/>
                <w:highlight w:val="none"/>
                <w:lang w:val="en-US" w:eastAsia="zh-CN" w:bidi="ar-SA"/>
                <w14:textFill>
                  <w14:solidFill>
                    <w14:schemeClr w14:val="tx1"/>
                  </w14:solidFill>
                </w14:textFill>
              </w:rPr>
              <w:t xml:space="preserve">  项目土石方平衡图</w:t>
            </w:r>
          </w:p>
          <w:p w14:paraId="213C73A7">
            <w:pPr>
              <w:pStyle w:val="9"/>
              <w:adjustRightInd w:val="0"/>
              <w:spacing w:before="0" w:after="0" w:line="360" w:lineRule="auto"/>
              <w:ind w:right="0"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4、建设征地</w:t>
            </w:r>
          </w:p>
          <w:p w14:paraId="24783F25">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（1）永久占地</w:t>
            </w:r>
          </w:p>
          <w:p w14:paraId="263984A0">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本项目所有工程占地均在原沟道管理范围内建设，无新增永久占地。</w:t>
            </w:r>
          </w:p>
          <w:p w14:paraId="4ABEB2EF">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（2）临时占地</w:t>
            </w:r>
          </w:p>
          <w:p w14:paraId="69E5D968">
            <w:pPr>
              <w:pStyle w:val="9"/>
              <w:adjustRightInd w:val="0"/>
              <w:spacing w:before="0" w:after="0" w:line="360" w:lineRule="auto"/>
              <w:ind w:right="0" w:firstLine="480" w:firstLineChars="200"/>
              <w:rPr>
                <w:rFonts w:hint="default" w:ascii="Times New Roman" w:hAnsi="Times New Roman" w:eastAsia="仿宋_GB2312" w:cs="Times New Roman"/>
                <w:bCs/>
                <w:color w:val="000000" w:themeColor="text1"/>
                <w:sz w:val="24"/>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本项目仅设置</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材料堆存点</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位于每段工程一侧</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总</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占地面积6105m</w:t>
            </w:r>
            <w:r>
              <w:rPr>
                <w:rFonts w:hint="default" w:ascii="Times New Roman" w:hAnsi="Times New Roman" w:cs="Times New Roman"/>
                <w:color w:val="000000" w:themeColor="text1"/>
                <w:kern w:val="0"/>
                <w:sz w:val="24"/>
                <w:szCs w:val="24"/>
                <w:highlight w:val="none"/>
                <w:vertAlign w:val="superscript"/>
                <w:lang w:val="en-US" w:eastAsia="zh-CN" w:bidi="ar-SA"/>
                <w14:textFill>
                  <w14:solidFill>
                    <w14:schemeClr w14:val="tx1"/>
                  </w14:solidFill>
                </w14:textFill>
              </w:rPr>
              <w:t>2</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，占地类型为</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未利用地</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w:t>
            </w:r>
          </w:p>
        </w:tc>
      </w:tr>
      <w:tr w14:paraId="6559EA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485" w:type="dxa"/>
            <w:tcBorders>
              <w:tl2br w:val="nil"/>
              <w:tr2bl w:val="nil"/>
            </w:tcBorders>
            <w:vAlign w:val="center"/>
          </w:tcPr>
          <w:p w14:paraId="76767370">
            <w:pPr>
              <w:pStyle w:val="21"/>
              <w:adjustRightInd w:val="0"/>
              <w:snapToGrid w:val="0"/>
              <w:spacing w:before="0" w:beforeAutospacing="0" w:after="0" w:afterAutospacing="0"/>
              <w:jc w:val="center"/>
              <w:rPr>
                <w:rFonts w:hint="default" w:ascii="Times New Roman" w:hAnsi="Times New Roman" w:eastAsia="仿宋_GB2312" w:cs="Times New Roman"/>
                <w:b/>
                <w:bCs/>
                <w:color w:val="000000" w:themeColor="text1"/>
                <w:szCs w:val="24"/>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szCs w:val="24"/>
                <w:highlight w:val="none"/>
                <w:lang w:eastAsia="zh-CN"/>
                <w14:textFill>
                  <w14:solidFill>
                    <w14:schemeClr w14:val="tx1"/>
                  </w14:solidFill>
                </w14:textFill>
              </w:rPr>
              <w:t>总平面及现场布置</w:t>
            </w:r>
          </w:p>
        </w:tc>
        <w:tc>
          <w:tcPr>
            <w:tcW w:w="8558" w:type="dxa"/>
            <w:tcBorders>
              <w:tl2br w:val="nil"/>
              <w:tr2bl w:val="nil"/>
            </w:tcBorders>
          </w:tcPr>
          <w:p w14:paraId="355634B4">
            <w:pPr>
              <w:pStyle w:val="9"/>
              <w:adjustRightInd w:val="0"/>
              <w:spacing w:before="0" w:after="0" w:line="360" w:lineRule="auto"/>
              <w:ind w:right="0" w:firstLine="480" w:firstLineChars="200"/>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1、工程布局情况</w:t>
            </w:r>
          </w:p>
          <w:p w14:paraId="7D84956F">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（1）沟道清淤疏浚工程：本工程共清淤沟道</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1.4</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km，对</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三个窑沟内</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进行杂草清理、清淤疏浚。</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本次清淤产生的淤泥量约为</w:t>
            </w:r>
            <w:r>
              <w:rPr>
                <w:rFonts w:hint="eastAsia" w:cs="Times New Roman"/>
                <w:color w:val="000000" w:themeColor="text1"/>
                <w:kern w:val="0"/>
                <w:sz w:val="24"/>
                <w:szCs w:val="24"/>
                <w:highlight w:val="none"/>
                <w:lang w:val="en-US" w:eastAsia="zh-CN" w:bidi="ar-SA"/>
                <w14:textFill>
                  <w14:solidFill>
                    <w14:schemeClr w14:val="tx1"/>
                  </w14:solidFill>
                </w14:textFill>
              </w:rPr>
              <w:t>96760</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m</w:t>
            </w:r>
            <w:r>
              <w:rPr>
                <w:rFonts w:hint="default" w:ascii="Times New Roman" w:hAnsi="Times New Roman"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将</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沟道</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内淤泥晾干后集中收集，拉运至其他生态修复治理项目，作为回填材料综合利用。</w:t>
            </w:r>
          </w:p>
          <w:p w14:paraId="699CA8AF">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w:t>
            </w:r>
            <w:r>
              <w:rPr>
                <w:rFonts w:hint="eastAsia" w:cs="Times New Roman"/>
                <w:color w:val="000000" w:themeColor="text1"/>
                <w:kern w:val="0"/>
                <w:sz w:val="24"/>
                <w:szCs w:val="24"/>
                <w:highlight w:val="none"/>
                <w:lang w:val="en-US" w:eastAsia="zh-CN" w:bidi="ar-SA"/>
                <w14:textFill>
                  <w14:solidFill>
                    <w14:schemeClr w14:val="tx1"/>
                  </w14:solidFill>
                </w14:textFill>
              </w:rPr>
              <w:t>边坡砌护</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工程</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：对桩号K40+983--K41+148段左岸护坡（134m），采用浆砌石墙式护坡砌护，砌护高度1.5m；</w:t>
            </w:r>
          </w:p>
          <w:p w14:paraId="0404B23E">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对桩号K41+185--K41+565段右岸护坡（381m），采用浆砌石墙式护坡砌护，砌护高度1.3m；</w:t>
            </w:r>
          </w:p>
          <w:p w14:paraId="669DBBA0">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对桩号K44+830--K44+920段左岸护坡（120m），采用浆砌石坡式护坡砌护，砌护高度1.2m</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p>
          <w:p w14:paraId="796989B3">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自动化设备布设</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工程</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：桩号K46+660处建设视频</w:t>
            </w:r>
            <w:r>
              <w:rPr>
                <w:rFonts w:hint="eastAsia" w:cs="Times New Roman"/>
                <w:color w:val="000000" w:themeColor="text1"/>
                <w:kern w:val="0"/>
                <w:sz w:val="24"/>
                <w:szCs w:val="24"/>
                <w:highlight w:val="none"/>
                <w:lang w:val="en-US" w:eastAsia="zh-CN" w:bidi="ar-SA"/>
                <w14:textFill>
                  <w14:solidFill>
                    <w14:schemeClr w14:val="tx1"/>
                  </w14:solidFill>
                </w14:textFill>
              </w:rPr>
              <w:t>水位</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一体化监测站1座。</w:t>
            </w:r>
          </w:p>
          <w:p w14:paraId="3895B2A4">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具体总平面布置见图</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5B7C588D">
            <w:pPr>
              <w:pStyle w:val="9"/>
              <w:adjustRightInd w:val="0"/>
              <w:spacing w:before="0" w:after="0" w:line="360" w:lineRule="auto"/>
              <w:ind w:right="0" w:firstLine="480" w:firstLineChars="200"/>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2、施工布置情况</w:t>
            </w:r>
          </w:p>
          <w:p w14:paraId="5EA1E9D0">
            <w:pPr>
              <w:pStyle w:val="9"/>
              <w:adjustRightInd w:val="0"/>
              <w:spacing w:before="0" w:after="0" w:line="360" w:lineRule="auto"/>
              <w:ind w:right="0" w:firstLine="480" w:firstLineChars="200"/>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本项目仅设置</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材料堆存点</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位于每段工程一侧</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，占地面积6105m</w:t>
            </w:r>
            <w:r>
              <w:rPr>
                <w:rFonts w:hint="default" w:ascii="Times New Roman" w:hAnsi="Times New Roman" w:cs="Times New Roman"/>
                <w:color w:val="000000" w:themeColor="text1"/>
                <w:kern w:val="0"/>
                <w:sz w:val="24"/>
                <w:szCs w:val="24"/>
                <w:highlight w:val="none"/>
                <w:vertAlign w:val="superscript"/>
                <w:lang w:val="en-US" w:eastAsia="zh-CN" w:bidi="ar-SA"/>
                <w14:textFill>
                  <w14:solidFill>
                    <w14:schemeClr w14:val="tx1"/>
                  </w14:solidFill>
                </w14:textFill>
              </w:rPr>
              <w:t>2</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w:t>
            </w:r>
          </w:p>
          <w:p w14:paraId="48FB655F">
            <w:pPr>
              <w:pStyle w:val="9"/>
              <w:adjustRightInd w:val="0"/>
              <w:spacing w:before="0" w:after="0" w:line="360" w:lineRule="auto"/>
              <w:ind w:right="0" w:firstLine="480" w:firstLineChars="200"/>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pP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本项目将材料堆存点设置在项目施工地一侧，便于施工设备及施工材料存放；本项目租用距本项目39m的杨滩村的闲置民房作为施工营地，用于施工人员休息及办公。</w:t>
            </w:r>
          </w:p>
        </w:tc>
      </w:tr>
      <w:tr w14:paraId="2595CAF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656" w:hRule="atLeast"/>
          <w:jc w:val="center"/>
        </w:trPr>
        <w:tc>
          <w:tcPr>
            <w:tcW w:w="485" w:type="dxa"/>
            <w:tcBorders>
              <w:tl2br w:val="nil"/>
              <w:tr2bl w:val="nil"/>
            </w:tcBorders>
            <w:vAlign w:val="center"/>
          </w:tcPr>
          <w:p w14:paraId="1C14C142">
            <w:pPr>
              <w:pStyle w:val="21"/>
              <w:adjustRightInd w:val="0"/>
              <w:snapToGrid w:val="0"/>
              <w:spacing w:before="0" w:beforeAutospacing="0" w:after="0" w:afterAutospacing="0"/>
              <w:jc w:val="center"/>
              <w:rPr>
                <w:rFonts w:hint="default" w:ascii="Times New Roman" w:hAnsi="Times New Roman" w:eastAsia="仿宋_GB2312" w:cs="Times New Roman"/>
                <w:b/>
                <w:bCs/>
                <w:color w:val="000000" w:themeColor="text1"/>
                <w:szCs w:val="24"/>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szCs w:val="24"/>
                <w:highlight w:val="none"/>
                <w:lang w:eastAsia="zh-CN"/>
                <w14:textFill>
                  <w14:solidFill>
                    <w14:schemeClr w14:val="tx1"/>
                  </w14:solidFill>
                </w14:textFill>
              </w:rPr>
              <w:t>施工方案</w:t>
            </w:r>
          </w:p>
        </w:tc>
        <w:tc>
          <w:tcPr>
            <w:tcW w:w="8558" w:type="dxa"/>
            <w:tcBorders>
              <w:tl2br w:val="nil"/>
              <w:tr2bl w:val="nil"/>
            </w:tcBorders>
          </w:tcPr>
          <w:p w14:paraId="301CB703">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1、施工工艺</w:t>
            </w:r>
          </w:p>
          <w:p w14:paraId="77A9DB9B">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（1）施工排水</w:t>
            </w:r>
          </w:p>
          <w:p w14:paraId="15A0BF2C">
            <w:pPr>
              <w:adjustRightInd w:val="0"/>
              <w:spacing w:line="360" w:lineRule="auto"/>
              <w:ind w:firstLine="480" w:firstLineChars="200"/>
              <w:rPr>
                <w:rFonts w:hint="default"/>
                <w:color w:val="000000" w:themeColor="text1"/>
                <w:kern w:val="0"/>
                <w:sz w:val="24"/>
                <w:lang w:val="en-US"/>
                <w14:textFill>
                  <w14:solidFill>
                    <w14:schemeClr w14:val="tx1"/>
                  </w14:solidFill>
                </w14:textFill>
              </w:rPr>
            </w:pPr>
            <w:r>
              <w:rPr>
                <w:color w:val="000000" w:themeColor="text1"/>
                <w:kern w:val="0"/>
                <w:sz w:val="24"/>
                <w14:textFill>
                  <w14:solidFill>
                    <w14:schemeClr w14:val="tx1"/>
                  </w14:solidFill>
                </w14:textFill>
              </w:rPr>
              <w:t>本工程建设内容沟道砌护以排水沟内作业为主，三个窑沟为泄洪沟，无长年流经地表水。施工选在旱季进行，无需排水。</w:t>
            </w:r>
            <w:r>
              <w:rPr>
                <w:rFonts w:hint="eastAsia"/>
                <w:color w:val="000000" w:themeColor="text1"/>
                <w:kern w:val="0"/>
                <w:sz w:val="24"/>
                <w:lang w:val="en-US" w:eastAsia="zh-CN"/>
                <w14:textFill>
                  <w14:solidFill>
                    <w14:schemeClr w14:val="tx1"/>
                  </w14:solidFill>
                </w14:textFill>
              </w:rPr>
              <w:t>本项目距黄河最近距离为157m，本项目计划在春夏干旱季节施工，在秋季丰水期前完成施工，因此本项目施工不会对沟道排水造成影响</w:t>
            </w:r>
          </w:p>
          <w:p w14:paraId="57B18782">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w:t>
            </w: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施工工艺流程</w:t>
            </w:r>
          </w:p>
          <w:p w14:paraId="60AC31DE">
            <w:pPr>
              <w:adjustRightInd w:val="0"/>
              <w:spacing w:line="360" w:lineRule="auto"/>
              <w:ind w:firstLine="480" w:firstLineChars="200"/>
              <w:rPr>
                <w:rFonts w:hint="default"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w:t>
            </w:r>
            <w:r>
              <w:rPr>
                <w:rFonts w:hint="eastAsia" w:cs="Times New Roman"/>
                <w:color w:val="000000" w:themeColor="text1"/>
                <w:kern w:val="0"/>
                <w:sz w:val="24"/>
                <w:szCs w:val="24"/>
                <w:highlight w:val="none"/>
                <w:lang w:val="en-US" w:eastAsia="zh-CN" w:bidi="ar-SA"/>
                <w14:textFill>
                  <w14:solidFill>
                    <w14:schemeClr w14:val="tx1"/>
                  </w14:solidFill>
                </w14:textFill>
              </w:rPr>
              <w:t>施工期工艺流程如下：</w:t>
            </w:r>
          </w:p>
          <w:p w14:paraId="0E8705B5">
            <w:pPr>
              <w:adjustRightInd w:val="0"/>
              <w:spacing w:line="360" w:lineRule="auto"/>
              <w:ind w:firstLine="480" w:firstLineChars="200"/>
              <w:rPr>
                <w:rFonts w:hint="default" w:eastAsia="黑体" w:cs="Times New Roman"/>
                <w:b w:val="0"/>
                <w:bCs w:val="0"/>
                <w:color w:val="000000" w:themeColor="text1"/>
                <w:kern w:val="0"/>
                <w:sz w:val="24"/>
                <w:szCs w:val="24"/>
                <w:highlight w:val="none"/>
                <w:lang w:val="en-US" w:eastAsia="zh-CN" w:bidi="ar-SA"/>
                <w14:textFill>
                  <w14:solidFill>
                    <w14:schemeClr w14:val="tx1"/>
                  </w14:solidFill>
                </w14:textFill>
              </w:rPr>
            </w:pPr>
          </w:p>
          <w:p w14:paraId="42E84077">
            <w:pPr>
              <w:adjustRightInd w:val="0"/>
              <w:spacing w:line="360" w:lineRule="auto"/>
              <w:ind w:firstLine="480" w:firstLineChars="200"/>
              <w:rPr>
                <w:rFonts w:hint="default" w:eastAsia="黑体" w:cs="Times New Roman"/>
                <w:b w:val="0"/>
                <w:bCs w:val="0"/>
                <w:color w:val="000000" w:themeColor="text1"/>
                <w:kern w:val="0"/>
                <w:sz w:val="24"/>
                <w:szCs w:val="24"/>
                <w:highlight w:val="none"/>
                <w:lang w:val="en-US" w:eastAsia="zh-CN" w:bidi="ar-SA"/>
                <w14:textFill>
                  <w14:solidFill>
                    <w14:schemeClr w14:val="tx1"/>
                  </w14:solidFill>
                </w14:textFill>
              </w:rPr>
            </w:pPr>
          </w:p>
          <w:p w14:paraId="47E8B493">
            <w:pPr>
              <w:adjustRightInd w:val="0"/>
              <w:spacing w:line="360" w:lineRule="auto"/>
              <w:ind w:firstLine="480" w:firstLineChars="200"/>
              <w:rPr>
                <w:rFonts w:hint="default" w:eastAsia="黑体" w:cs="Times New Roman"/>
                <w:b w:val="0"/>
                <w:bCs w:val="0"/>
                <w:color w:val="000000" w:themeColor="text1"/>
                <w:kern w:val="0"/>
                <w:sz w:val="24"/>
                <w:szCs w:val="24"/>
                <w:highlight w:val="none"/>
                <w:lang w:val="en-US" w:eastAsia="zh-CN" w:bidi="ar-SA"/>
                <w14:textFill>
                  <w14:solidFill>
                    <w14:schemeClr w14:val="tx1"/>
                  </w14:solidFill>
                </w14:textFill>
              </w:rPr>
            </w:pPr>
          </w:p>
          <w:p w14:paraId="3759E2D2">
            <w:pPr>
              <w:adjustRightInd w:val="0"/>
              <w:spacing w:line="360" w:lineRule="auto"/>
              <w:ind w:firstLine="480" w:firstLineChars="200"/>
              <w:rPr>
                <w:rFonts w:hint="default" w:eastAsia="黑体" w:cs="Times New Roman"/>
                <w:b w:val="0"/>
                <w:bCs w:val="0"/>
                <w:color w:val="000000" w:themeColor="text1"/>
                <w:kern w:val="0"/>
                <w:sz w:val="24"/>
                <w:szCs w:val="24"/>
                <w:highlight w:val="none"/>
                <w:lang w:val="en-US" w:eastAsia="zh-CN" w:bidi="ar-SA"/>
                <w14:textFill>
                  <w14:solidFill>
                    <w14:schemeClr w14:val="tx1"/>
                  </w14:solidFill>
                </w14:textFill>
              </w:rPr>
            </w:pPr>
          </w:p>
          <w:p w14:paraId="66CDC149">
            <w:pPr>
              <w:adjustRightInd w:val="0"/>
              <w:spacing w:line="360" w:lineRule="auto"/>
              <w:ind w:firstLine="480" w:firstLineChars="200"/>
              <w:rPr>
                <w:rFonts w:hint="default" w:eastAsia="黑体" w:cs="Times New Roman"/>
                <w:b w:val="0"/>
                <w:bCs w:val="0"/>
                <w:color w:val="000000" w:themeColor="text1"/>
                <w:kern w:val="0"/>
                <w:sz w:val="24"/>
                <w:szCs w:val="24"/>
                <w:highlight w:val="none"/>
                <w:lang w:val="en-US" w:eastAsia="zh-CN" w:bidi="ar-SA"/>
                <w14:textFill>
                  <w14:solidFill>
                    <w14:schemeClr w14:val="tx1"/>
                  </w14:solidFill>
                </w14:textFill>
              </w:rPr>
            </w:pPr>
          </w:p>
          <w:p w14:paraId="34E1D12C">
            <w:pPr>
              <w:adjustRightInd w:val="0"/>
              <w:spacing w:line="360" w:lineRule="auto"/>
              <w:ind w:firstLine="480" w:firstLineChars="200"/>
              <w:rPr>
                <w:rFonts w:hint="default" w:eastAsia="黑体" w:cs="Times New Roman"/>
                <w:b w:val="0"/>
                <w:bCs w:val="0"/>
                <w:color w:val="000000" w:themeColor="text1"/>
                <w:kern w:val="0"/>
                <w:sz w:val="24"/>
                <w:szCs w:val="24"/>
                <w:highlight w:val="none"/>
                <w:lang w:val="en-US" w:eastAsia="zh-CN" w:bidi="ar-SA"/>
                <w14:textFill>
                  <w14:solidFill>
                    <w14:schemeClr w14:val="tx1"/>
                  </w14:solidFill>
                </w14:textFill>
              </w:rPr>
            </w:pPr>
          </w:p>
          <w:p w14:paraId="11B9B259">
            <w:pPr>
              <w:adjustRightInd w:val="0"/>
              <w:spacing w:line="360" w:lineRule="auto"/>
              <w:ind w:firstLine="480" w:firstLineChars="200"/>
              <w:jc w:val="cente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object>
                <v:shape id="_x0000_i1026" o:spt="75" type="#_x0000_t75" style="height:357.05pt;width:297.1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14:paraId="259C7B38">
            <w:pPr>
              <w:adjustRightInd w:val="0"/>
              <w:spacing w:line="360" w:lineRule="auto"/>
              <w:jc w:val="center"/>
              <w:rPr>
                <w:rFonts w:hint="default"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图2-3  施工工艺流程图</w:t>
            </w:r>
          </w:p>
          <w:p w14:paraId="4A2A64E7">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①</w:t>
            </w: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沟道清淤疏浚工程</w:t>
            </w:r>
          </w:p>
          <w:p w14:paraId="473F43E6">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基底修复时，挖掘机与推土机相互配合，清除表层的不合格土以及杂物（无树根、草皮、乱石），符合设计的标准。</w:t>
            </w:r>
          </w:p>
          <w:p w14:paraId="0A053618">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施工顺序：测量放线→测设淤泥表面标高→清淤→测设清淤后底面标高→翻晒。</w:t>
            </w:r>
          </w:p>
          <w:p w14:paraId="77D27F25">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该工序会产生淤泥、淤泥恶臭、噪声及固体废物（</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不合格土以及杂物</w:t>
            </w:r>
            <w:r>
              <w:rPr>
                <w:rFonts w:hint="eastAsia" w:cs="Times New Roman"/>
                <w:color w:val="000000" w:themeColor="text1"/>
                <w:kern w:val="0"/>
                <w:sz w:val="24"/>
                <w:szCs w:val="24"/>
                <w:highlight w:val="none"/>
                <w:lang w:val="en-US" w:eastAsia="zh-CN" w:bidi="ar-SA"/>
                <w14:textFill>
                  <w14:solidFill>
                    <w14:schemeClr w14:val="tx1"/>
                  </w14:solidFill>
                </w14:textFill>
              </w:rPr>
              <w:t>）。</w:t>
            </w:r>
          </w:p>
          <w:p w14:paraId="73AD61FD">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②边坡开挖及</w:t>
            </w: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土石方填筑</w:t>
            </w:r>
          </w:p>
          <w:p w14:paraId="3751971A">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对不平整区域进行开挖，</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土石方堤填筑采用分层碾压填筑法。填筑料使用岸坡削坡开挖土料。填筑前先进行基面开挖清理挖出原基面淤积浮泥，基面整平压实后再行土石料铺填，分层铺填厚度控制在0.3m左右，推土机推平，压实机械压实；控制压实度不小于0.91。边坡部位初期填筑超宽不小于0.5m，堤防填筑压实至设计标高，实施机械理坡至设计边坡轮廓后，进行护面施工。</w:t>
            </w:r>
          </w:p>
          <w:p w14:paraId="04981C1C">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该工序会产生噪声及扬尘。</w:t>
            </w:r>
          </w:p>
          <w:p w14:paraId="626D22D3">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③</w:t>
            </w: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混凝土工程</w:t>
            </w:r>
          </w:p>
          <w:p w14:paraId="6B4FBBAE">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采用商品混凝土，6m</w:t>
            </w:r>
            <w:r>
              <w:rPr>
                <w:rFonts w:hint="default" w:ascii="Times New Roman" w:hAnsi="Times New Roman" w:eastAsia="宋体"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混凝土搅拌运输车运输，溜槽入仓，人工摊铺、平整。主体混凝土浇筑采用6m</w:t>
            </w:r>
            <w:r>
              <w:rPr>
                <w:rFonts w:hint="default" w:ascii="Times New Roman" w:hAnsi="Times New Roman" w:eastAsia="宋体"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混凝土搅拌运输车送至工作面，人工立模，电动插入式振捣器振捣。</w:t>
            </w:r>
          </w:p>
          <w:p w14:paraId="23DE7811">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水泥标号应与砼设计强度相适应，不应低于425号，无特殊要求，一般采用普通硅酸盐水泥，对于局部地段具有弱腐蚀性的水环境采用抗硫水泥。建筑物砼工程施工按有关规定进行防护。</w:t>
            </w:r>
          </w:p>
          <w:p w14:paraId="3843C7C4">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砼浇筑均要求采用机械振捣。对于钢筋砼结构，砼保护层厚度应严格按设计要求控制，不得随意加大或减小。</w:t>
            </w:r>
          </w:p>
          <w:p w14:paraId="56510E9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钢筋砼结构用的钢筋均为热轧钢筋，其性能必须符合国家标准 GB14992-200</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的要求。</w:t>
            </w:r>
          </w:p>
          <w:p w14:paraId="739F4AA1">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建筑基础开挖至设计高程后，应由甲方代表、设计代表和工程监理人员共同检查，核实地质状况与图纸是否相符，由设计代表提出补充整改意见。</w:t>
            </w:r>
          </w:p>
          <w:p w14:paraId="1074ADF9">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施工完毕应恢复原沟道地貌，清除杂物及临时建筑。</w:t>
            </w:r>
          </w:p>
          <w:p w14:paraId="4BE7AC74">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④</w:t>
            </w: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浆砌石工程</w:t>
            </w:r>
          </w:p>
          <w:p w14:paraId="722B18BC">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浆砌石全部采用Mu30块石、M7.5水泥砂浆砌筑。石料的石质新鲜、坚硬、密实、无裂缝，选择的块石重量大于25kg，厚度大于25cm，长厚比小于3，其软化系数应大于0.75以上。监理工程师严把进料关，不符合要求的块石料不得用于施工。</w:t>
            </w:r>
          </w:p>
          <w:p w14:paraId="77143934">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拌制砂浆的水泥标号不应低于425号。</w:t>
            </w:r>
          </w:p>
          <w:p w14:paraId="1856BEB4">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砌筑应分层，每层砌筑应坐浆，随铺浆随砌石，砌缝须用砂浆填充饱满，这是砌石的基本要求，必须做到。</w:t>
            </w:r>
          </w:p>
          <w:p w14:paraId="033C39C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上下层砌石应错缝砌筑，砌体外露面应平整美观，外露面上的砌缝应预留约4cm深的空隙，以备勾缝处理。勾缝砂浆为M10。勾缝前必须清缝，用水冲净并保持缝槽内湿润。砂浆应分次向缝内填塞，按实有砌缝勾平缝，不准勾假缝和凸缝。</w:t>
            </w:r>
          </w:p>
          <w:p w14:paraId="46982D95">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该工序会产生噪声及废石料。</w:t>
            </w:r>
          </w:p>
          <w:p w14:paraId="00CAD2FC">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⑤</w:t>
            </w: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格宾网垫施工</w:t>
            </w:r>
          </w:p>
          <w:p w14:paraId="311A3FAA">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本工程格宾均采用Ⅲ类格宾，即“低碳钢丝”+“锌-10%铝-稀土合金镀层”结构。网面钢丝直径为2.7mm，允许偏差值±0.05mm，镀层重量≥275g/m</w:t>
            </w:r>
            <w:r>
              <w:rPr>
                <w:rFonts w:hint="default" w:ascii="Times New Roman" w:hAnsi="Times New Roman" w:eastAsia="宋体" w:cs="Times New Roman"/>
                <w:color w:val="000000" w:themeColor="text1"/>
                <w:kern w:val="0"/>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，镀层最薄处厚度≥30μm；边丝直径3.4mm，允许偏差值±0.05mm，镀层重量≥320g/m</w:t>
            </w:r>
            <w:r>
              <w:rPr>
                <w:rFonts w:hint="default" w:ascii="Times New Roman" w:hAnsi="Times New Roman" w:eastAsia="宋体" w:cs="Times New Roman"/>
                <w:color w:val="000000" w:themeColor="text1"/>
                <w:kern w:val="0"/>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，镀层最薄处厚度≥32μm。</w:t>
            </w:r>
          </w:p>
          <w:p w14:paraId="07F9439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安放格宾网垫时，必须按照要求，在现场监理人员监督、厂家技术员指导下，将其布置在平整良好的工作面上且满足高程及质量要求；石笼中的块石填料必须是粒径和质量符合设计要求的开山碎石；进行填料填充之前，应先把石笼放在平整好的平面上并进行张拉，以保证石笼形状良好并且外表面光滑整洁。格宾网垫安装可按照《宁夏水利工程格宾应用技术导则》（DB 64/T 1094-2015）执行。</w:t>
            </w:r>
          </w:p>
          <w:p w14:paraId="0DB0EFFD">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⑥</w:t>
            </w: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格宾网箱施工</w:t>
            </w:r>
          </w:p>
          <w:p w14:paraId="66E9E921">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护坡以下设格宾基础，基础宽1m，高1m。先按要求清理和修整坡脚河床，把格宾箱成品运到工地现场按设计尺寸拼装，检查连接的平整度，达到要求后，用挂线连接。然后用人工配合机械进行填充料施工，填满后要高出箱体3cm左右，一次性封盖。基础铅丝笼：石笼体积控制在1～2m</w:t>
            </w:r>
            <w:r>
              <w:rPr>
                <w:rFonts w:hint="default" w:ascii="Times New Roman" w:hAnsi="Times New Roman" w:cs="Times New Roman"/>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，石笼形状按其所在位置按图排整，石笼砌筑时要求错缝，严禁出现通缝。填充石料粒径60～200mm，空隙间密实用10～40mm 粒径石，填实整体空隙密率应小于30%，表面尽量铺设大粒径石块，保证面层均匀平整。</w:t>
            </w:r>
          </w:p>
          <w:p w14:paraId="0E96D682">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w:t>
            </w:r>
            <w:r>
              <w:rPr>
                <w:rFonts w:hint="eastAsia" w:eastAsia="黑体" w:cs="Times New Roman"/>
                <w:b w:val="0"/>
                <w:bCs w:val="0"/>
                <w:color w:val="000000" w:themeColor="text1"/>
                <w:kern w:val="0"/>
                <w:sz w:val="24"/>
                <w:szCs w:val="24"/>
                <w:highlight w:val="none"/>
                <w:lang w:val="en-US" w:eastAsia="zh-CN" w:bidi="ar-SA"/>
                <w14:textFill>
                  <w14:solidFill>
                    <w14:schemeClr w14:val="tx1"/>
                  </w14:solidFill>
                </w14:textFill>
              </w:rPr>
              <w:t>施工时序</w:t>
            </w:r>
          </w:p>
          <w:p w14:paraId="2D6D1E79">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根据主体</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施工安排，本项目计划于</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202</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年</w:t>
            </w:r>
            <w:r>
              <w:rPr>
                <w:rFonts w:hint="eastAsia" w:cs="Times New Roman"/>
                <w:color w:val="000000" w:themeColor="text1"/>
                <w:kern w:val="0"/>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月</w:t>
            </w:r>
            <w:r>
              <w:rPr>
                <w:rFonts w:hint="eastAsia" w:cs="Times New Roman"/>
                <w:color w:val="000000" w:themeColor="text1"/>
                <w:kern w:val="0"/>
                <w:sz w:val="24"/>
                <w:szCs w:val="24"/>
                <w:highlight w:val="none"/>
                <w:lang w:val="en-US" w:eastAsia="zh-CN" w:bidi="ar-SA"/>
                <w14:textFill>
                  <w14:solidFill>
                    <w14:schemeClr w14:val="tx1"/>
                  </w14:solidFill>
                </w14:textFill>
              </w:rPr>
              <w:t>初</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开工，</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2026年</w:t>
            </w:r>
            <w:r>
              <w:rPr>
                <w:rFonts w:hint="eastAsia" w:cs="Times New Roman"/>
                <w:color w:val="000000" w:themeColor="text1"/>
                <w:kern w:val="0"/>
                <w:sz w:val="24"/>
                <w:szCs w:val="24"/>
                <w:highlight w:val="none"/>
                <w:lang w:val="en-US" w:eastAsia="zh-CN" w:bidi="ar-SA"/>
                <w14:textFill>
                  <w14:solidFill>
                    <w14:schemeClr w14:val="tx1"/>
                  </w14:solidFill>
                </w14:textFill>
              </w:rPr>
              <w:t>11</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月</w:t>
            </w:r>
            <w:r>
              <w:rPr>
                <w:rFonts w:hint="eastAsia" w:cs="Times New Roman"/>
                <w:color w:val="000000" w:themeColor="text1"/>
                <w:kern w:val="0"/>
                <w:sz w:val="24"/>
                <w:szCs w:val="24"/>
                <w:highlight w:val="none"/>
                <w:lang w:val="en-US" w:eastAsia="zh-CN" w:bidi="ar-SA"/>
                <w14:textFill>
                  <w14:solidFill>
                    <w14:schemeClr w14:val="tx1"/>
                  </w14:solidFill>
                </w14:textFill>
              </w:rPr>
              <w:t>初</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完工，总工期</w:t>
            </w:r>
            <w:r>
              <w:rPr>
                <w:rFonts w:hint="eastAsia" w:cs="Times New Roman"/>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个月</w:t>
            </w:r>
            <w:r>
              <w:rPr>
                <w:rFonts w:hint="eastAsia" w:cs="Times New Roman"/>
                <w:color w:val="000000" w:themeColor="text1"/>
                <w:kern w:val="0"/>
                <w:sz w:val="24"/>
                <w:szCs w:val="24"/>
                <w:highlight w:val="none"/>
                <w:lang w:val="en-US" w:eastAsia="zh-CN" w:bidi="ar-SA"/>
                <w14:textFill>
                  <w14:solidFill>
                    <w14:schemeClr w14:val="tx1"/>
                  </w14:solidFill>
                </w14:textFill>
              </w:rPr>
              <w:t>，在秋季丰水期前建设完成</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0553AA5A">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3、建设周期</w:t>
            </w:r>
            <w:bookmarkStart w:id="10" w:name="_GoBack"/>
            <w:bookmarkEnd w:id="10"/>
          </w:p>
          <w:p w14:paraId="0BB16903">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（1）202</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年</w:t>
            </w:r>
            <w:r>
              <w:rPr>
                <w:rFonts w:hint="eastAsia" w:cs="Times New Roman"/>
                <w:color w:val="000000" w:themeColor="text1"/>
                <w:kern w:val="0"/>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月</w:t>
            </w:r>
            <w:r>
              <w:rPr>
                <w:rFonts w:hint="eastAsia" w:cs="Times New Roman"/>
                <w:color w:val="000000" w:themeColor="text1"/>
                <w:kern w:val="0"/>
                <w:sz w:val="24"/>
                <w:szCs w:val="24"/>
                <w:highlight w:val="none"/>
                <w:lang w:val="en-US" w:eastAsia="zh-CN" w:bidi="ar-SA"/>
                <w14:textFill>
                  <w14:solidFill>
                    <w14:schemeClr w14:val="tx1"/>
                  </w14:solidFill>
                </w14:textFill>
              </w:rPr>
              <w:t>初~8月底</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：项目筹建期，完成项目的立项审批、招标、评标、签约等工作。</w:t>
            </w:r>
          </w:p>
          <w:p w14:paraId="2384280C">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（2）202</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年</w:t>
            </w:r>
            <w:r>
              <w:rPr>
                <w:rFonts w:hint="eastAsia" w:cs="Times New Roman"/>
                <w:color w:val="000000" w:themeColor="text1"/>
                <w:kern w:val="0"/>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月初～2026年</w:t>
            </w:r>
            <w:r>
              <w:rPr>
                <w:rFonts w:hint="eastAsia" w:cs="Times New Roman"/>
                <w:color w:val="000000" w:themeColor="text1"/>
                <w:kern w:val="0"/>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月初：工程准备期，完成前期准备工作。</w:t>
            </w:r>
          </w:p>
          <w:p w14:paraId="615E052D">
            <w:pPr>
              <w:adjustRightInd w:val="0"/>
              <w:spacing w:line="360" w:lineRule="auto"/>
              <w:ind w:firstLine="480" w:firstLineChars="200"/>
              <w:rPr>
                <w:rFonts w:hint="default" w:ascii="Times New Roman" w:hAnsi="Times New Roman" w:eastAsia="仿宋_GB2312"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（3）202</w:t>
            </w:r>
            <w:r>
              <w:rPr>
                <w:rFonts w:hint="eastAsia" w:cs="Times New Roman"/>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年</w:t>
            </w:r>
            <w:r>
              <w:rPr>
                <w:rFonts w:hint="eastAsia" w:cs="Times New Roman"/>
                <w:color w:val="000000" w:themeColor="text1"/>
                <w:kern w:val="0"/>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月初～2026年</w:t>
            </w:r>
            <w:r>
              <w:rPr>
                <w:rFonts w:hint="eastAsia" w:cs="Times New Roman"/>
                <w:color w:val="000000" w:themeColor="text1"/>
                <w:kern w:val="0"/>
                <w:sz w:val="24"/>
                <w:szCs w:val="24"/>
                <w:highlight w:val="none"/>
                <w:lang w:val="en-US" w:eastAsia="zh-CN" w:bidi="ar-SA"/>
                <w14:textFill>
                  <w14:solidFill>
                    <w14:schemeClr w14:val="tx1"/>
                  </w14:solidFill>
                </w14:textFill>
              </w:rPr>
              <w:t>11</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月初：进行主体工程施工</w:t>
            </w:r>
            <w:r>
              <w:rPr>
                <w:rFonts w:hint="eastAsia" w:cs="Times New Roman"/>
                <w:color w:val="000000" w:themeColor="text1"/>
                <w:kern w:val="0"/>
                <w:sz w:val="24"/>
                <w:szCs w:val="24"/>
                <w:highlight w:val="none"/>
                <w:lang w:val="en-US" w:eastAsia="zh-CN" w:bidi="ar-SA"/>
                <w14:textFill>
                  <w14:solidFill>
                    <w14:schemeClr w14:val="tx1"/>
                  </w14:solidFill>
                </w14:textFill>
              </w:rPr>
              <w:t>完工</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逐步拆除施工临时设施、清理施工场地、整理资料、工程验收等内容。</w:t>
            </w:r>
          </w:p>
        </w:tc>
      </w:tr>
      <w:tr w14:paraId="193D2FA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485" w:type="dxa"/>
            <w:tcBorders>
              <w:tl2br w:val="nil"/>
              <w:tr2bl w:val="nil"/>
            </w:tcBorders>
            <w:vAlign w:val="center"/>
          </w:tcPr>
          <w:p w14:paraId="254B2243">
            <w:pPr>
              <w:pStyle w:val="21"/>
              <w:adjustRightInd w:val="0"/>
              <w:snapToGrid w:val="0"/>
              <w:spacing w:before="0" w:beforeAutospacing="0" w:after="0" w:afterAutospacing="0"/>
              <w:jc w:val="center"/>
              <w:rPr>
                <w:rFonts w:hint="default" w:ascii="Times New Roman" w:hAnsi="Times New Roman" w:cs="Times New Roman" w:eastAsiaTheme="minorEastAsia"/>
                <w:b/>
                <w:bCs/>
                <w:color w:val="000000" w:themeColor="text1"/>
                <w:szCs w:val="24"/>
                <w:highlight w:val="none"/>
                <w:lang w:eastAsia="zh-CN"/>
                <w14:textFill>
                  <w14:solidFill>
                    <w14:schemeClr w14:val="tx1"/>
                  </w14:solidFill>
                </w14:textFill>
              </w:rPr>
            </w:pPr>
            <w:r>
              <w:rPr>
                <w:rFonts w:hint="default" w:ascii="Times New Roman" w:hAnsi="Times New Roman" w:cs="Times New Roman" w:eastAsiaTheme="minorEastAsia"/>
                <w:b/>
                <w:bCs/>
                <w:color w:val="000000" w:themeColor="text1"/>
                <w:szCs w:val="24"/>
                <w:highlight w:val="none"/>
                <w:lang w:eastAsia="zh-CN"/>
                <w14:textFill>
                  <w14:solidFill>
                    <w14:schemeClr w14:val="tx1"/>
                  </w14:solidFill>
                </w14:textFill>
              </w:rPr>
              <w:t>其他</w:t>
            </w:r>
          </w:p>
        </w:tc>
        <w:tc>
          <w:tcPr>
            <w:tcW w:w="8558" w:type="dxa"/>
            <w:tcBorders>
              <w:tl2br w:val="nil"/>
              <w:tr2bl w:val="nil"/>
            </w:tcBorders>
            <w:vAlign w:val="center"/>
          </w:tcPr>
          <w:p w14:paraId="0DC23088">
            <w:pPr>
              <w:pStyle w:val="9"/>
              <w:numPr>
                <w:ilvl w:val="0"/>
                <w:numId w:val="0"/>
              </w:numPr>
              <w:adjustRightInd w:val="0"/>
              <w:spacing w:before="0" w:after="0" w:line="360" w:lineRule="auto"/>
              <w:ind w:right="0" w:rightChars="0"/>
              <w:jc w:val="center"/>
              <w:rPr>
                <w:rFonts w:hint="default" w:ascii="Times New Roman" w:hAnsi="Times New Roman" w:eastAsia="仿宋_GB2312" w:cs="Times New Roman"/>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无</w:t>
            </w:r>
          </w:p>
        </w:tc>
      </w:tr>
    </w:tbl>
    <w:p w14:paraId="0A754AD7">
      <w:pPr>
        <w:pStyle w:val="21"/>
        <w:jc w:val="cente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sectPr>
          <w:pgSz w:w="11906" w:h="16838"/>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4F812A75">
      <w:pPr>
        <w:pStyle w:val="21"/>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p>
    <w:p w14:paraId="4D05C78F">
      <w:pPr>
        <w:pStyle w:val="2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三、</w:t>
      </w:r>
      <w:r>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t>生态</w:t>
      </w: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环境质量现状、保护目标及评价标准</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29"/>
        <w:gridCol w:w="8561"/>
      </w:tblGrid>
      <w:tr w14:paraId="59075CF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429" w:type="dxa"/>
            <w:tcBorders>
              <w:tl2br w:val="nil"/>
              <w:tr2bl w:val="nil"/>
            </w:tcBorders>
            <w:vAlign w:val="center"/>
          </w:tcPr>
          <w:p w14:paraId="2463601B">
            <w:pPr>
              <w:adjustRightInd w:val="0"/>
              <w:snapToGrid w:val="0"/>
              <w:jc w:val="center"/>
              <w:rPr>
                <w:rFonts w:hint="default" w:ascii="Times New Roman" w:hAnsi="Times New Roman" w:eastAsia="仿宋_GB2312"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t>生态环境现状</w:t>
            </w:r>
          </w:p>
        </w:tc>
        <w:tc>
          <w:tcPr>
            <w:tcW w:w="8561" w:type="dxa"/>
            <w:tcBorders>
              <w:tl2br w:val="nil"/>
              <w:tr2bl w:val="nil"/>
            </w:tcBorders>
          </w:tcPr>
          <w:p w14:paraId="1E8C525C">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1、生态环境状况</w:t>
            </w:r>
          </w:p>
          <w:p w14:paraId="38C36FB7">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（1）与《宁夏回族自治区主体功能区规划》的情况分析</w:t>
            </w:r>
          </w:p>
          <w:p w14:paraId="633DC17B">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宁夏回族自治区主体功能区规划》将全区国土空间划分为以下主体功能区：按开发方式，划分为重点开发区域、限制开发区域和禁止开发区域；按开发内容，划分为城市化地区、农产品主产区和重点生态功能区；按层次，划分为国家级和自治区级两个层面。</w:t>
            </w:r>
          </w:p>
          <w:p w14:paraId="6CB1925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本项目位于宁夏回族自治区</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中卫市沙坡头区永康镇</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，属于《宁夏回族自治区主体功能区规划》中的</w:t>
            </w:r>
            <w:r>
              <w:rPr>
                <w:rFonts w:hint="eastAsia" w:cs="Times New Roman"/>
                <w:color w:val="000000" w:themeColor="text1"/>
                <w:kern w:val="0"/>
                <w:sz w:val="24"/>
                <w:szCs w:val="24"/>
                <w:highlight w:val="none"/>
                <w:lang w:val="en-US" w:eastAsia="zh-CN" w:bidi="ar-SA"/>
                <w14:textFill>
                  <w14:solidFill>
                    <w14:schemeClr w14:val="tx1"/>
                  </w14:solidFill>
                </w14:textFill>
              </w:rPr>
              <w:t>国家农产品主产区，属于</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限制开发区域。该规划中对农产品主产区的发展方向和开发原则：加强水利设施建设，加快灌区续建配套与节水改造以及南部山区水源工程建设。鼓励和支持农民开展小型农田水利设施建设、小流域综合治理。建设节水型社会，加强节水农业建设，大力推广节水灌溉，搞好旱作农业示范工程。加强人工增雨和防雹设施建设。开展规模化人工影响天气作业，坚持抗旱型和储蓄型增雨并重，为农业稳产和增产提供优质保障。</w:t>
            </w:r>
          </w:p>
          <w:p w14:paraId="04D1C32B">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本项目对</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三个窑沟</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进行修复治理，</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属于农产品主产区发展方向中的小流域综合治理工程，因此本项目的建设</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符合《宁夏回族自治区主体功能区规划》中的发展要求。项目与宁夏回族自治区主体功能区规划关系详见图</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3-1</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3D26161C">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（2）生态功能定位</w:t>
            </w:r>
          </w:p>
          <w:p w14:paraId="0CDAD50C">
            <w:pPr>
              <w:tabs>
                <w:tab w:val="left" w:pos="2040"/>
              </w:tabs>
              <w:spacing w:after="0"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本项目位于宁夏回族自治区中卫市沙坡头区永康镇，根据《宁夏生态功能区划》，宁</w:t>
            </w:r>
            <w:r>
              <w:rPr>
                <w:rFonts w:hint="default" w:ascii="Times New Roman" w:hAnsi="Times New Roman" w:cs="Times New Roman"/>
                <w:color w:val="000000" w:themeColor="text1"/>
                <w:sz w:val="24"/>
                <w14:textFill>
                  <w14:solidFill>
                    <w14:schemeClr w14:val="tx1"/>
                  </w14:solidFill>
                </w14:textFill>
              </w:rPr>
              <w:t>夏生态功能区划共划分3个一级区，10个二级区，37个三级区。</w:t>
            </w:r>
          </w:p>
          <w:p w14:paraId="00AD9895">
            <w:pPr>
              <w:tabs>
                <w:tab w:val="left" w:pos="2040"/>
              </w:tabs>
              <w:spacing w:after="0"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对照宁夏生态功能区划图可知，本项目主要位于II2-4清水河下游、南山台子台地杨黄节灌农田生态功能区，属于三级区。</w:t>
            </w:r>
          </w:p>
          <w:p w14:paraId="79EFD387">
            <w:pPr>
              <w:tabs>
                <w:tab w:val="left" w:pos="2040"/>
              </w:tabs>
              <w:spacing w:after="0" w:line="360" w:lineRule="auto"/>
              <w:ind w:firstLine="480" w:firstLineChars="200"/>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本项目具体生态功能区域见表3-1和图</w:t>
            </w:r>
            <w:r>
              <w:rPr>
                <w:rFonts w:hint="default" w:ascii="Times New Roman" w:hAnsi="Times New Roman" w:cs="Times New Roman"/>
                <w:color w:val="000000" w:themeColor="text1"/>
                <w:sz w:val="24"/>
                <w:lang w:val="en-US" w:eastAsia="zh-CN"/>
                <w14:textFill>
                  <w14:solidFill>
                    <w14:schemeClr w14:val="tx1"/>
                  </w14:solidFill>
                </w14:textFill>
              </w:rPr>
              <w:t>3-2</w:t>
            </w:r>
            <w:r>
              <w:rPr>
                <w:rFonts w:hint="default" w:ascii="Times New Roman" w:hAnsi="Times New Roman" w:cs="Times New Roman"/>
                <w:color w:val="000000" w:themeColor="text1"/>
                <w:sz w:val="24"/>
                <w14:textFill>
                  <w14:solidFill>
                    <w14:schemeClr w14:val="tx1"/>
                  </w14:solidFill>
                </w14:textFill>
              </w:rPr>
              <w:t>。</w:t>
            </w:r>
          </w:p>
          <w:p w14:paraId="10E35195">
            <w:pPr>
              <w:tabs>
                <w:tab w:val="left" w:pos="2040"/>
              </w:tabs>
              <w:spacing w:after="0" w:line="400" w:lineRule="exact"/>
              <w:ind w:firstLine="240" w:firstLineChars="100"/>
              <w:jc w:val="center"/>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表3-1  项目区生态功能区划表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012"/>
              <w:gridCol w:w="1116"/>
              <w:gridCol w:w="5174"/>
            </w:tblGrid>
            <w:tr w14:paraId="1E058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8" w:type="dxa"/>
                  <w:noWrap w:val="0"/>
                  <w:vAlign w:val="center"/>
                </w:tcPr>
                <w:p w14:paraId="2CF73163">
                  <w:pPr>
                    <w:tabs>
                      <w:tab w:val="left" w:pos="2040"/>
                    </w:tabs>
                    <w:spacing w:after="0" w:line="30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一级区</w:t>
                  </w:r>
                </w:p>
              </w:tc>
              <w:tc>
                <w:tcPr>
                  <w:tcW w:w="910" w:type="dxa"/>
                  <w:noWrap w:val="0"/>
                  <w:vAlign w:val="center"/>
                </w:tcPr>
                <w:p w14:paraId="7ABCC068">
                  <w:pPr>
                    <w:tabs>
                      <w:tab w:val="left" w:pos="2040"/>
                    </w:tabs>
                    <w:spacing w:after="0" w:line="30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二级区</w:t>
                  </w:r>
                </w:p>
              </w:tc>
              <w:tc>
                <w:tcPr>
                  <w:tcW w:w="1003" w:type="dxa"/>
                  <w:noWrap w:val="0"/>
                  <w:vAlign w:val="center"/>
                </w:tcPr>
                <w:p w14:paraId="74EAD6CC">
                  <w:pPr>
                    <w:tabs>
                      <w:tab w:val="left" w:pos="2040"/>
                    </w:tabs>
                    <w:spacing w:after="0" w:line="30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三级区</w:t>
                  </w:r>
                </w:p>
              </w:tc>
              <w:tc>
                <w:tcPr>
                  <w:tcW w:w="4650" w:type="dxa"/>
                  <w:noWrap w:val="0"/>
                  <w:vAlign w:val="center"/>
                </w:tcPr>
                <w:p w14:paraId="532F9FD2">
                  <w:pPr>
                    <w:tabs>
                      <w:tab w:val="left" w:pos="2040"/>
                    </w:tabs>
                    <w:spacing w:after="0" w:line="30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主要生态特点、问题及措施</w:t>
                  </w:r>
                </w:p>
              </w:tc>
            </w:tr>
            <w:tr w14:paraId="395F2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8" w:type="dxa"/>
                  <w:noWrap w:val="0"/>
                  <w:vAlign w:val="center"/>
                </w:tcPr>
                <w:p w14:paraId="79542601">
                  <w:pPr>
                    <w:tabs>
                      <w:tab w:val="left" w:pos="2040"/>
                    </w:tabs>
                    <w:spacing w:after="0" w:line="300" w:lineRule="exact"/>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宁夏中部半干旱台地、山地、平原干旱风沙生态区</w:t>
                  </w:r>
                </w:p>
              </w:tc>
              <w:tc>
                <w:tcPr>
                  <w:tcW w:w="910" w:type="dxa"/>
                  <w:noWrap w:val="0"/>
                  <w:vAlign w:val="center"/>
                </w:tcPr>
                <w:p w14:paraId="6EB270EE">
                  <w:pPr>
                    <w:tabs>
                      <w:tab w:val="left" w:pos="2040"/>
                    </w:tabs>
                    <w:spacing w:after="0" w:line="300" w:lineRule="exact"/>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中部低山、丘陵、平原水旱混合农业开发生态亚区</w:t>
                  </w:r>
                </w:p>
              </w:tc>
              <w:tc>
                <w:tcPr>
                  <w:tcW w:w="1003" w:type="dxa"/>
                  <w:noWrap w:val="0"/>
                  <w:vAlign w:val="center"/>
                </w:tcPr>
                <w:p w14:paraId="319A6A2A">
                  <w:pPr>
                    <w:tabs>
                      <w:tab w:val="left" w:pos="2040"/>
                    </w:tabs>
                    <w:spacing w:after="0" w:line="300" w:lineRule="exact"/>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I</w:t>
                  </w:r>
                  <w:r>
                    <w:rPr>
                      <w:rFonts w:hint="default" w:ascii="Times New Roman" w:hAnsi="Times New Roman" w:cs="Times New Roman"/>
                      <w:color w:val="000000" w:themeColor="text1"/>
                      <w:szCs w:val="21"/>
                      <w14:textFill>
                        <w14:solidFill>
                          <w14:schemeClr w14:val="tx1"/>
                        </w14:solidFill>
                      </w14:textFill>
                    </w:rPr>
                    <w:t>I</w:t>
                  </w:r>
                  <w:r>
                    <w:rPr>
                      <w:rFonts w:hint="default" w:ascii="Times New Roman" w:hAnsi="Times New Roman" w:cs="Times New Roman"/>
                      <w:color w:val="000000" w:themeColor="text1"/>
                      <w:szCs w:val="21"/>
                      <w:lang w:val="en-US" w:eastAsia="zh-CN"/>
                      <w14:textFill>
                        <w14:solidFill>
                          <w14:schemeClr w14:val="tx1"/>
                        </w14:solidFill>
                      </w14:textFill>
                    </w:rPr>
                    <w:t>2-4清水河下游、南山台子台地杨黄节灌农田生态功能区</w:t>
                  </w:r>
                </w:p>
              </w:tc>
              <w:tc>
                <w:tcPr>
                  <w:tcW w:w="4650" w:type="dxa"/>
                  <w:noWrap w:val="0"/>
                  <w:vAlign w:val="center"/>
                </w:tcPr>
                <w:p w14:paraId="04ED2F03">
                  <w:pPr>
                    <w:tabs>
                      <w:tab w:val="left" w:pos="2040"/>
                    </w:tabs>
                    <w:spacing w:after="0" w:line="300" w:lineRule="exact"/>
                    <w:jc w:val="both"/>
                    <w:rPr>
                      <w:rFonts w:hint="default" w:ascii="Times New Roman" w:hAnsi="Times New Roman" w:eastAsia="宋体" w:cs="Times New Roman"/>
                      <w:color w:val="000000" w:themeColor="text1"/>
                      <w:szCs w:val="21"/>
                      <w:vertAlign w:val="superscript"/>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本生态功能区位于清水河下游和南山台子，包括海原县的兴隆、高崖等乡，同心县的王团、城郊、河西、纪家、石炭沟等乡</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中宁的长山头乡、大战场乡、马家梁乡及长山头农场，中卫的西台、东台等乡镇的扬黄灌区。本区主要的生态环境问题是</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渠道年久失修，渗漏严重，导致水资源浪费严重</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土地沙化，水土流失和草场退化。应采取的主要措施是</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加强扬黄灌溉渠系的砌护，减少渗漏，推行畦灌、喷灌、</w:t>
                  </w:r>
                  <w:r>
                    <w:rPr>
                      <w:rFonts w:hint="eastAsia" w:cs="Times New Roman"/>
                      <w:color w:val="000000" w:themeColor="text1"/>
                      <w:szCs w:val="21"/>
                      <w:lang w:val="en-US" w:eastAsia="zh-CN"/>
                      <w14:textFill>
                        <w14:solidFill>
                          <w14:schemeClr w14:val="tx1"/>
                        </w14:solidFill>
                      </w14:textFill>
                    </w:rPr>
                    <w:t>滴灌</w:t>
                  </w:r>
                  <w:r>
                    <w:rPr>
                      <w:rFonts w:hint="default" w:ascii="Times New Roman" w:hAnsi="Times New Roman" w:eastAsia="宋体" w:cs="Times New Roman"/>
                      <w:color w:val="000000" w:themeColor="text1"/>
                      <w:szCs w:val="21"/>
                      <w14:textFill>
                        <w14:solidFill>
                          <w14:schemeClr w14:val="tx1"/>
                        </w14:solidFill>
                      </w14:textFill>
                    </w:rPr>
                    <w:t>、暗管灌等节水新技术</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采用地膜覆盖，减少田间蒸发</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尽量种植节水型作物，加强灌水定额管理，把节灌作为提高本区生态服务功能的主要任务来抓。同时要注意发展草田轮作，增施有机肥，充分利用农作物秸秆进行氨化处理，发展舍养畜牧业，增加土壤有机质，不断提高农田的单产水平和生态服务功能</w:t>
                  </w:r>
                  <w:r>
                    <w:rPr>
                      <w:rFonts w:hint="default" w:ascii="Times New Roman" w:hAnsi="Times New Roman" w:eastAsia="宋体" w:cs="Times New Roman"/>
                      <w:color w:val="000000" w:themeColor="text1"/>
                      <w:szCs w:val="21"/>
                      <w:lang w:eastAsia="zh-CN"/>
                      <w14:textFill>
                        <w14:solidFill>
                          <w14:schemeClr w14:val="tx1"/>
                        </w14:solidFill>
                      </w14:textFill>
                    </w:rPr>
                    <w:t>。</w:t>
                  </w:r>
                </w:p>
              </w:tc>
            </w:tr>
          </w:tbl>
          <w:p w14:paraId="5A6E7FFF">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4"/>
                <w:szCs w:val="24"/>
                <w:lang w:val="en-US" w:eastAsia="zh-CN"/>
                <w14:textFill>
                  <w14:solidFill>
                    <w14:schemeClr w14:val="tx1"/>
                  </w14:solidFill>
                </w14:textFill>
              </w:rPr>
              <w:t>本项目属于河道治理项目，项目建成后能够有效减少渠道年久失修、渗漏严重等问题。</w:t>
            </w:r>
            <w:r>
              <w:rPr>
                <w:rFonts w:hint="default" w:ascii="Times New Roman" w:hAnsi="Times New Roman" w:cs="Times New Roman"/>
                <w:b w:val="0"/>
                <w:bCs/>
                <w:color w:val="000000" w:themeColor="text1"/>
                <w:sz w:val="24"/>
                <w:szCs w:val="24"/>
                <w:lang w:val="sq-AL" w:eastAsia="zh-CN"/>
                <w14:textFill>
                  <w14:solidFill>
                    <w14:schemeClr w14:val="tx1"/>
                  </w14:solidFill>
                </w14:textFill>
              </w:rPr>
              <w:t>本项目地处生态脆弱区，但通过优化项目施工工艺及设计，避免大面积的开挖和场地平整，减少对原地貌的扰动和植被破坏；在工程建设过程中，通过水土流失预防和生态治理措施，采取合理的临时措施</w:t>
            </w:r>
            <w:r>
              <w:rPr>
                <w:rFonts w:hint="eastAsia" w:cs="Times New Roman"/>
                <w:b w:val="0"/>
                <w:bCs/>
                <w:color w:val="000000" w:themeColor="text1"/>
                <w:sz w:val="24"/>
                <w:szCs w:val="24"/>
                <w:lang w:val="sq-AL" w:eastAsia="zh-CN"/>
                <w14:textFill>
                  <w14:solidFill>
                    <w14:schemeClr w14:val="tx1"/>
                  </w14:solidFill>
                </w14:textFill>
              </w:rPr>
              <w:t>，</w:t>
            </w:r>
            <w:r>
              <w:rPr>
                <w:rFonts w:hint="default" w:ascii="Times New Roman" w:hAnsi="Times New Roman" w:cs="Times New Roman"/>
                <w:b w:val="0"/>
                <w:bCs/>
                <w:color w:val="000000" w:themeColor="text1"/>
                <w:sz w:val="24"/>
                <w:szCs w:val="24"/>
                <w:lang w:val="sq-AL" w:eastAsia="zh-CN"/>
                <w14:textFill>
                  <w14:solidFill>
                    <w14:schemeClr w14:val="tx1"/>
                  </w14:solidFill>
                </w14:textFill>
              </w:rPr>
              <w:t>如苫盖和洒水等措施</w:t>
            </w:r>
            <w:r>
              <w:rPr>
                <w:rFonts w:hint="eastAsia" w:cs="Times New Roman"/>
                <w:b w:val="0"/>
                <w:bCs/>
                <w:color w:val="000000" w:themeColor="text1"/>
                <w:sz w:val="24"/>
                <w:szCs w:val="24"/>
                <w:lang w:val="en-US" w:eastAsia="zh-CN"/>
                <w14:textFill>
                  <w14:solidFill>
                    <w14:schemeClr w14:val="tx1"/>
                  </w14:solidFill>
                </w14:textFill>
              </w:rPr>
              <w:t>降低扬尘污染</w:t>
            </w:r>
            <w:r>
              <w:rPr>
                <w:rFonts w:hint="default" w:ascii="Times New Roman" w:hAnsi="Times New Roman" w:cs="Times New Roman"/>
                <w:b w:val="0"/>
                <w:bCs/>
                <w:color w:val="000000" w:themeColor="text1"/>
                <w:sz w:val="24"/>
                <w:szCs w:val="24"/>
                <w:lang w:val="sq-AL" w:eastAsia="zh-CN"/>
                <w14:textFill>
                  <w14:solidFill>
                    <w14:schemeClr w14:val="tx1"/>
                  </w14:solidFill>
                </w14:textFill>
              </w:rPr>
              <w:t>。同时，对本项目提出合理施工要求，控制施工扰动范围。充分考虑项目区域生态环境特点，做到防治责任范围界定合理，防治目标明确，防治分区科学，防治措施得当，防治效果显著，使项目建设造成的水土流失得到有效治理的同时，使原有的水土流失得到治理，区域生态环境得到改善。</w:t>
            </w:r>
          </w:p>
          <w:p w14:paraId="5AAB9394">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（3）生态环境质量现状</w:t>
            </w:r>
          </w:p>
          <w:p w14:paraId="0C5AEACF">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instrText xml:space="preserve"> = 1 \* GB3 </w:instrTex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fldChar w:fldCharType="end"/>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土地利用现状调查</w:t>
            </w:r>
          </w:p>
          <w:p w14:paraId="4EB0F457">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项目所在区域土地利用现状主要为</w:t>
            </w:r>
            <w:r>
              <w:rPr>
                <w:rFonts w:hint="eastAsia" w:cs="Times New Roman"/>
                <w:color w:val="000000" w:themeColor="text1"/>
                <w:kern w:val="0"/>
                <w:sz w:val="24"/>
                <w:szCs w:val="24"/>
                <w:highlight w:val="none"/>
                <w:lang w:val="en-US" w:eastAsia="zh-CN" w:bidi="ar-SA"/>
                <w14:textFill>
                  <w14:solidFill>
                    <w14:schemeClr w14:val="tx1"/>
                  </w14:solidFill>
                </w14:textFill>
              </w:rPr>
              <w:t>未利用地</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土壤类型主要为风沙土，</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根据现场调查所在区域土地类型为</w:t>
            </w:r>
            <w:r>
              <w:rPr>
                <w:rFonts w:hint="eastAsia" w:cs="Times New Roman"/>
                <w:color w:val="000000" w:themeColor="text1"/>
                <w:kern w:val="0"/>
                <w:sz w:val="24"/>
                <w:szCs w:val="24"/>
                <w:highlight w:val="none"/>
                <w:lang w:val="en-US" w:eastAsia="zh-CN" w:bidi="ar-SA"/>
                <w14:textFill>
                  <w14:solidFill>
                    <w14:schemeClr w14:val="tx1"/>
                  </w14:solidFill>
                </w14:textFill>
              </w:rPr>
              <w:t>未利用地</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4868AFF7">
            <w:pPr>
              <w:adjustRightInd w:val="0"/>
              <w:spacing w:line="360" w:lineRule="auto"/>
              <w:ind w:firstLine="480" w:firstLineChars="200"/>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当地</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地层自上而下可分为下述四层，现分层描述如下</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p>
          <w:p w14:paraId="44985668">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素填土层Q4ml</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黄褐色~灰褐色，松散，稍湿，该层</w:t>
            </w:r>
            <w:r>
              <w:rPr>
                <w:rFonts w:hint="eastAsia" w:cs="Times New Roman"/>
                <w:color w:val="000000" w:themeColor="text1"/>
                <w:kern w:val="0"/>
                <w:sz w:val="24"/>
                <w:szCs w:val="24"/>
                <w:highlight w:val="none"/>
                <w:lang w:val="en-US" w:eastAsia="zh-CN" w:bidi="ar-SA"/>
                <w14:textFill>
                  <w14:solidFill>
                    <w14:schemeClr w14:val="tx1"/>
                  </w14:solidFill>
                </w14:textFill>
              </w:rPr>
              <w:t>成分</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以粉质黏土为主，次为粉土、粉砂，见有植物根系。</w:t>
            </w:r>
          </w:p>
          <w:p w14:paraId="62099D36">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粉质黏土层Q4al:黄褐色~灰褐色，可塑状，无摇震反应，稍有-有光泽，干强度中等-高，韧性中等-高，属中等压缩性土层。该层土土质不均匀，局部地段夹薄层粉土。该层土在场区分布不连续。</w:t>
            </w:r>
          </w:p>
          <w:p w14:paraId="2E98BC6B">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粉细砂层Q4al:黄褐色、青灰色、中密状，饱和状态。主要矿物</w:t>
            </w:r>
            <w:r>
              <w:rPr>
                <w:rFonts w:hint="eastAsia" w:cs="Times New Roman"/>
                <w:color w:val="000000" w:themeColor="text1"/>
                <w:kern w:val="0"/>
                <w:sz w:val="24"/>
                <w:szCs w:val="24"/>
                <w:highlight w:val="none"/>
                <w:lang w:val="en-US" w:eastAsia="zh-CN" w:bidi="ar-SA"/>
                <w14:textFill>
                  <w14:solidFill>
                    <w14:schemeClr w14:val="tx1"/>
                  </w14:solidFill>
                </w14:textFill>
              </w:rPr>
              <w:t>成分</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为长石、石英、云母片等。该土层土质均匀，局部地段夹薄层粉土。该层土在场区分布不连续。</w:t>
            </w:r>
          </w:p>
          <w:p w14:paraId="0D8FD33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卵石Q4pl:杂色，饱和，中密~密实。卵石磨圆度为次</w:t>
            </w:r>
            <w:r>
              <w:rPr>
                <w:rFonts w:hint="eastAsia" w:cs="Times New Roman"/>
                <w:color w:val="000000" w:themeColor="text1"/>
                <w:kern w:val="0"/>
                <w:sz w:val="24"/>
                <w:szCs w:val="24"/>
                <w:highlight w:val="none"/>
                <w:lang w:val="en-US" w:eastAsia="zh-CN" w:bidi="ar-SA"/>
                <w14:textFill>
                  <w14:solidFill>
                    <w14:schemeClr w14:val="tx1"/>
                  </w14:solidFill>
                </w14:textFill>
              </w:rPr>
              <w:t>圆状</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分选性较差，粒径大于2cm的颗粒超过总质量的50%，主要成分为砂岩、灰岩、砾砂及中粗砂充填。该层土在场区分布连续，厚度大，土质均匀，层顶普遍夹有薄层粉细砂。该层土密实度在横向上较均匀，在纵向上变化较大，随深度的增加其强度、密实度也增大，本次勘察未穿透此层，据区域地质资料，该层为巨厚层状。所有钻孔均未穿透此层，最大露深度25.30m。</w:t>
            </w:r>
          </w:p>
          <w:p w14:paraId="595C445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②植被资源现状</w:t>
            </w:r>
          </w:p>
          <w:p w14:paraId="6FE65317">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陆生植被：</w:t>
            </w:r>
          </w:p>
          <w:p w14:paraId="2EACAD77">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根据宁夏植被区划，项目区位于</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宁夏平原</w:t>
            </w:r>
            <w:r>
              <w:rPr>
                <w:rFonts w:hint="eastAsia" w:cs="Times New Roman"/>
                <w:color w:val="000000" w:themeColor="text1"/>
                <w:kern w:val="0"/>
                <w:sz w:val="24"/>
                <w:szCs w:val="24"/>
                <w:highlight w:val="none"/>
                <w:lang w:val="en-US" w:eastAsia="zh-CN" w:bidi="ar-SA"/>
                <w14:textFill>
                  <w14:solidFill>
                    <w14:schemeClr w14:val="tx1"/>
                  </w14:solidFill>
                </w14:textFill>
              </w:rPr>
              <w:t>引黄灌区</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栽培植被小区</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（ⅠAL</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3e</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）。经现场调查，项目所在区域内植被有显著的旱生形态特点，植被以茭蒿为主，伴生其他旱生草本植物，如</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冰草</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、冷蒿等，无国家和宁夏回族自治区保护的珍稀濒危植物物种、古树名木、特有植物和独特的资源植物，多为一般种，种群分布广泛，适应性强，项目区域植被覆盖率约为</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0~</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0%左右。</w:t>
            </w:r>
          </w:p>
          <w:p w14:paraId="3E3B5F6C">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项目所在区域农业生态系统较为单一，包括粮食作物和经济作物。粮食作物主要有荞麦、谷子等，呈片状或小块状零星分布于评价区地势平坦的耕地上。</w:t>
            </w:r>
          </w:p>
          <w:p w14:paraId="6C149D77">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综上所述，本项目所在区域无国家级、自治区级珍稀、濒危野生保护植物物种。本项目与宁夏植被区划位置关系见图</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3、本项目植被覆盖见图</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4。</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项目区现状照片见下图。</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1"/>
              <w:gridCol w:w="4174"/>
            </w:tblGrid>
            <w:tr w14:paraId="58A35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8" w:hRule="atLeast"/>
                <w:jc w:val="center"/>
              </w:trPr>
              <w:tc>
                <w:tcPr>
                  <w:tcW w:w="3995" w:type="dxa"/>
                  <w:noWrap w:val="0"/>
                  <w:vAlign w:val="center"/>
                </w:tcPr>
                <w:p w14:paraId="7D898A48">
                  <w:pPr>
                    <w:keepNext w:val="0"/>
                    <w:keepLines w:val="0"/>
                    <w:pageBreakBefore w:val="0"/>
                    <w:widowControl w:val="0"/>
                    <w:tabs>
                      <w:tab w:val="left" w:pos="204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-45085</wp:posOffset>
                        </wp:positionH>
                        <wp:positionV relativeFrom="paragraph">
                          <wp:posOffset>35560</wp:posOffset>
                        </wp:positionV>
                        <wp:extent cx="2581910" cy="2821940"/>
                        <wp:effectExtent l="0" t="0" r="8890" b="16510"/>
                        <wp:wrapTopAndBottom/>
                        <wp:docPr id="1" name="图片 1" descr="微信图片_20260319144219_540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319144219_540_85"/>
                                <pic:cNvPicPr>
                                  <a:picLocks noChangeAspect="1"/>
                                </pic:cNvPicPr>
                              </pic:nvPicPr>
                              <pic:blipFill>
                                <a:blip r:embed="rId16"/>
                                <a:srcRect t="17457" r="-717"/>
                                <a:stretch>
                                  <a:fillRect/>
                                </a:stretch>
                              </pic:blipFill>
                              <pic:spPr>
                                <a:xfrm>
                                  <a:off x="0" y="0"/>
                                  <a:ext cx="2581910" cy="2821940"/>
                                </a:xfrm>
                                <a:prstGeom prst="rect">
                                  <a:avLst/>
                                </a:prstGeom>
                              </pic:spPr>
                            </pic:pic>
                          </a:graphicData>
                        </a:graphic>
                      </wp:anchor>
                    </w:drawing>
                  </w:r>
                </w:p>
              </w:tc>
              <w:tc>
                <w:tcPr>
                  <w:tcW w:w="3996" w:type="dxa"/>
                  <w:noWrap w:val="0"/>
                  <w:vAlign w:val="center"/>
                </w:tcPr>
                <w:p w14:paraId="347DC204">
                  <w:pPr>
                    <w:keepNext w:val="0"/>
                    <w:keepLines w:val="0"/>
                    <w:pageBreakBefore w:val="0"/>
                    <w:widowControl w:val="0"/>
                    <w:tabs>
                      <w:tab w:val="left" w:pos="204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b/>
                      <w:bCs/>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-62865</wp:posOffset>
                        </wp:positionH>
                        <wp:positionV relativeFrom="paragraph">
                          <wp:posOffset>3810</wp:posOffset>
                        </wp:positionV>
                        <wp:extent cx="2701290" cy="2731770"/>
                        <wp:effectExtent l="0" t="0" r="0" b="11430"/>
                        <wp:wrapTopAndBottom/>
                        <wp:docPr id="3" name="图片 3" descr="微信图片_20260319144220_541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319144220_541_85"/>
                                <pic:cNvPicPr>
                                  <a:picLocks noChangeAspect="1"/>
                                </pic:cNvPicPr>
                              </pic:nvPicPr>
                              <pic:blipFill>
                                <a:blip r:embed="rId17"/>
                                <a:srcRect t="21907" r="-2997"/>
                                <a:stretch>
                                  <a:fillRect/>
                                </a:stretch>
                              </pic:blipFill>
                              <pic:spPr>
                                <a:xfrm>
                                  <a:off x="0" y="0"/>
                                  <a:ext cx="2701290" cy="2731770"/>
                                </a:xfrm>
                                <a:prstGeom prst="rect">
                                  <a:avLst/>
                                </a:prstGeom>
                              </pic:spPr>
                            </pic:pic>
                          </a:graphicData>
                        </a:graphic>
                      </wp:anchor>
                    </w:drawing>
                  </w:r>
                </w:p>
              </w:tc>
            </w:tr>
            <w:tr w14:paraId="3509A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5" w:type="dxa"/>
                  <w:noWrap w:val="0"/>
                  <w:vAlign w:val="center"/>
                </w:tcPr>
                <w:p w14:paraId="0691027E">
                  <w:pPr>
                    <w:keepNext w:val="0"/>
                    <w:keepLines w:val="0"/>
                    <w:pageBreakBefore w:val="0"/>
                    <w:widowControl w:val="0"/>
                    <w:tabs>
                      <w:tab w:val="left" w:pos="2040"/>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现场照片1</w:t>
                  </w:r>
                </w:p>
              </w:tc>
              <w:tc>
                <w:tcPr>
                  <w:tcW w:w="3996" w:type="dxa"/>
                  <w:noWrap w:val="0"/>
                  <w:vAlign w:val="center"/>
                </w:tcPr>
                <w:p w14:paraId="229D72E7">
                  <w:pPr>
                    <w:keepNext w:val="0"/>
                    <w:keepLines w:val="0"/>
                    <w:pageBreakBefore w:val="0"/>
                    <w:widowControl w:val="0"/>
                    <w:tabs>
                      <w:tab w:val="left" w:pos="2040"/>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现场照片2</w:t>
                  </w:r>
                </w:p>
              </w:tc>
            </w:tr>
            <w:tr w14:paraId="09978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5" w:type="dxa"/>
                  <w:noWrap w:val="0"/>
                  <w:vAlign w:val="center"/>
                </w:tcPr>
                <w:p w14:paraId="1B252C25">
                  <w:pPr>
                    <w:keepNext w:val="0"/>
                    <w:keepLines w:val="0"/>
                    <w:pageBreakBefore w:val="0"/>
                    <w:widowControl w:val="0"/>
                    <w:tabs>
                      <w:tab w:val="left" w:pos="204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439670" cy="3253740"/>
                        <wp:effectExtent l="0" t="0" r="17780" b="3810"/>
                        <wp:wrapTopAndBottom/>
                        <wp:docPr id="4" name="图片 4" descr="微信图片_20260319144221_542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60319144221_542_85"/>
                                <pic:cNvPicPr>
                                  <a:picLocks noChangeAspect="1"/>
                                </pic:cNvPicPr>
                              </pic:nvPicPr>
                              <pic:blipFill>
                                <a:blip r:embed="rId18"/>
                                <a:stretch>
                                  <a:fillRect/>
                                </a:stretch>
                              </pic:blipFill>
                              <pic:spPr>
                                <a:xfrm>
                                  <a:off x="0" y="0"/>
                                  <a:ext cx="2439670" cy="3253740"/>
                                </a:xfrm>
                                <a:prstGeom prst="rect">
                                  <a:avLst/>
                                </a:prstGeom>
                              </pic:spPr>
                            </pic:pic>
                          </a:graphicData>
                        </a:graphic>
                      </wp:anchor>
                    </w:drawing>
                  </w:r>
                </w:p>
              </w:tc>
              <w:tc>
                <w:tcPr>
                  <w:tcW w:w="3996" w:type="dxa"/>
                  <w:noWrap w:val="0"/>
                  <w:vAlign w:val="center"/>
                </w:tcPr>
                <w:p w14:paraId="67CC3A5F">
                  <w:pPr>
                    <w:keepNext w:val="0"/>
                    <w:keepLines w:val="0"/>
                    <w:pageBreakBefore w:val="0"/>
                    <w:widowControl w:val="0"/>
                    <w:tabs>
                      <w:tab w:val="left" w:pos="2040"/>
                    </w:tabs>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505075" cy="3341370"/>
                        <wp:effectExtent l="0" t="0" r="9525" b="11430"/>
                        <wp:wrapTopAndBottom/>
                        <wp:docPr id="5" name="图片 5" descr="微信图片_20260319144226_547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60319144226_547_85"/>
                                <pic:cNvPicPr>
                                  <a:picLocks noChangeAspect="1"/>
                                </pic:cNvPicPr>
                              </pic:nvPicPr>
                              <pic:blipFill>
                                <a:blip r:embed="rId19"/>
                                <a:stretch>
                                  <a:fillRect/>
                                </a:stretch>
                              </pic:blipFill>
                              <pic:spPr>
                                <a:xfrm>
                                  <a:off x="0" y="0"/>
                                  <a:ext cx="2505075" cy="3341370"/>
                                </a:xfrm>
                                <a:prstGeom prst="rect">
                                  <a:avLst/>
                                </a:prstGeom>
                              </pic:spPr>
                            </pic:pic>
                          </a:graphicData>
                        </a:graphic>
                      </wp:anchor>
                    </w:drawing>
                  </w:r>
                </w:p>
              </w:tc>
            </w:tr>
            <w:tr w14:paraId="26E23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5" w:type="dxa"/>
                  <w:noWrap w:val="0"/>
                  <w:vAlign w:val="center"/>
                </w:tcPr>
                <w:p w14:paraId="6148D49A">
                  <w:pPr>
                    <w:keepNext w:val="0"/>
                    <w:keepLines w:val="0"/>
                    <w:pageBreakBefore w:val="0"/>
                    <w:widowControl w:val="0"/>
                    <w:tabs>
                      <w:tab w:val="left" w:pos="2040"/>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现场照片3</w:t>
                  </w:r>
                </w:p>
              </w:tc>
              <w:tc>
                <w:tcPr>
                  <w:tcW w:w="3996" w:type="dxa"/>
                  <w:noWrap w:val="0"/>
                  <w:vAlign w:val="center"/>
                </w:tcPr>
                <w:p w14:paraId="2F7F1E4E">
                  <w:pPr>
                    <w:keepNext w:val="0"/>
                    <w:keepLines w:val="0"/>
                    <w:pageBreakBefore w:val="0"/>
                    <w:widowControl w:val="0"/>
                    <w:tabs>
                      <w:tab w:val="left" w:pos="2040"/>
                    </w:tabs>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现场照片4</w:t>
                  </w:r>
                </w:p>
              </w:tc>
            </w:tr>
          </w:tbl>
          <w:p w14:paraId="32DCBCE2">
            <w:pPr>
              <w:tabs>
                <w:tab w:val="left" w:pos="2040"/>
              </w:tabs>
              <w:spacing w:after="0" w:line="400" w:lineRule="exact"/>
              <w:ind w:firstLine="240" w:firstLineChars="100"/>
              <w:jc w:val="center"/>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图</w:t>
            </w:r>
            <w:r>
              <w:rPr>
                <w:rFonts w:hint="default" w:ascii="Times New Roman" w:hAnsi="Times New Roman" w:eastAsia="黑体" w:cs="Times New Roman"/>
                <w:b w:val="0"/>
                <w:bCs w:val="0"/>
                <w:color w:val="000000" w:themeColor="text1"/>
                <w:sz w:val="24"/>
                <w:szCs w:val="24"/>
                <w14:textFill>
                  <w14:solidFill>
                    <w14:schemeClr w14:val="tx1"/>
                  </w14:solidFill>
                </w14:textFill>
              </w:rPr>
              <w:t>3-</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项目区</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现场照片</w:t>
            </w:r>
          </w:p>
          <w:p w14:paraId="0F56134F">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水生植被：</w:t>
            </w:r>
          </w:p>
          <w:p w14:paraId="215F577C">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现场调查期间为枯水期，河床干涸，无法观测到水生植被。经走访调查，丰水期水生植被以少量芦苇、少量藻类植物为主；受淤积与断流影响，植被呈斑块化分布。</w:t>
            </w:r>
          </w:p>
          <w:p w14:paraId="07E2842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③动物资源现状</w:t>
            </w:r>
          </w:p>
          <w:p w14:paraId="1619A1C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陆生动物：</w:t>
            </w:r>
          </w:p>
          <w:p w14:paraId="69F430DA">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现场踏勘调查，本项目区域内动物种类较少，无大型野生动物分布，主要为小型爬行类、兽类，常见鸟类。兽类主要有啮齿中的野兔、鼠类等；爬行类动物主要有沙蜥、麻蜥；鸟类主要有麻雀、喜鹊、乌鸦等当地常见种类。根据现场调查和访问，评价区域内无国家及自治区级珍稀野生保护动物及栖息地分布区，也无重要物种天然集中分布区、栖息地，重要水生生物产卵场、索饵场、越冬场和洄游通道，迁徙鸟类的重要繁殖地、停歇地、越冬地以及野生动物迁徙通道等。</w:t>
            </w:r>
          </w:p>
          <w:p w14:paraId="10DC7873">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水生动物：</w:t>
            </w:r>
          </w:p>
          <w:p w14:paraId="4ACD348E">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本项目枯水期无水生动物，丰水期水生动物中</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鱼类种群以小型、杂食性、抗逆性强个体为主，种群结构单一、优势种突出，幼体存活率受水文骤变、泥沙扰动影响较大。底栖生物以耐污型物种为绝对优势，群落结构简单，生物多样性偏低。常见类群包括摇蚊幼虫、水丝蚓等</w:t>
            </w:r>
            <w:r>
              <w:rPr>
                <w:rFonts w:hint="eastAsia" w:cs="Times New Roman"/>
                <w:color w:val="000000" w:themeColor="text1"/>
                <w:kern w:val="0"/>
                <w:sz w:val="24"/>
                <w:szCs w:val="24"/>
                <w:highlight w:val="none"/>
                <w:lang w:val="en-US" w:eastAsia="zh-CN" w:bidi="ar-SA"/>
                <w14:textFill>
                  <w14:solidFill>
                    <w14:schemeClr w14:val="tx1"/>
                  </w14:solidFill>
                </w14:textFill>
              </w:rPr>
              <w:t>；两栖动物主要为蛙类</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12FB469F">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④土壤环境现状</w:t>
            </w:r>
          </w:p>
          <w:p w14:paraId="6BED3BB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所在区域土壤类型主要是黄绵土和灰钙土。黄绵土是由黄土母质经直接耕种而形成的一种幼年土壤。土体疏松，土色浅淡，实质为岩成土，剖面发育不明显，仅有A层及C层，且二者之间无明显界限；土壤侵蚀严重。黄棉土常和灰钙土交错存在，是黄土高原上分布面积最大的土壤。土壤腐殖质含量低，土壤团粒结构性差，抗冲性较差，抗蚀性相对较弱，极易造成风蚀和水力侵蚀。</w:t>
            </w:r>
          </w:p>
          <w:p w14:paraId="49DBB543">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⑤水土流失现状</w:t>
            </w:r>
          </w:p>
          <w:p w14:paraId="451F50C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通过查阅宁夏回族自治区土壤侵蚀图和《土壤侵蚀分类分级标准》（SL190-2007），结合对项目区的实际调查，分析项目区的地形、地貌、植被、土壤、风速、降雨及植被覆盖度等水土流失影响因子，确定项目区土壤侵蚀模数背景值确定为：项目区水土流失类型以中度风力侵蚀为主，水土侵蚀模数为2600t/km</w:t>
            </w:r>
            <w:r>
              <w:rPr>
                <w:rFonts w:hint="default" w:ascii="Times New Roman" w:hAnsi="Times New Roman" w:eastAsia="宋体" w:cs="Times New Roman"/>
                <w:color w:val="000000" w:themeColor="text1"/>
                <w:kern w:val="0"/>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•a。</w:t>
            </w:r>
          </w:p>
          <w:p w14:paraId="5C6A4EFB">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综上所述，项目所在区域生态系统相对较为简单，原生生态系统主要为低矮的干旱草原植被，植物种群较少，生态可承载力水平较低，物种相对不够丰富，生态环境质量一般。</w:t>
            </w:r>
          </w:p>
          <w:p w14:paraId="183B70A9">
            <w:pPr>
              <w:adjustRightInd w:val="0"/>
              <w:spacing w:line="360" w:lineRule="auto"/>
              <w:ind w:firstLine="480" w:firstLineChars="200"/>
              <w:rPr>
                <w:rFonts w:eastAsia="黑体"/>
                <w:color w:val="000000" w:themeColor="text1"/>
                <w:kern w:val="0"/>
                <w:sz w:val="24"/>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2、沟道现状及</w:t>
            </w:r>
            <w:r>
              <w:rPr>
                <w:rFonts w:eastAsia="黑体"/>
                <w:color w:val="000000" w:themeColor="text1"/>
                <w:kern w:val="0"/>
                <w:sz w:val="24"/>
                <w14:textFill>
                  <w14:solidFill>
                    <w14:schemeClr w14:val="tx1"/>
                  </w14:solidFill>
                </w14:textFill>
              </w:rPr>
              <w:t>问题</w:t>
            </w:r>
          </w:p>
          <w:p w14:paraId="58DD8C34">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（1）沟道防洪体系及治理情况</w:t>
            </w:r>
          </w:p>
          <w:p w14:paraId="7C4F3316">
            <w:pPr>
              <w:adjustRightInd w:val="0"/>
              <w:spacing w:line="360" w:lineRule="auto"/>
              <w:ind w:firstLine="480" w:firstLineChars="200"/>
              <w:jc w:val="both"/>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三个窑沟规划治理段落目前主要依赖自然沟道行洪，沟道过三泵站处及沟道下游已通过2017年实施的《宁夏中小河流治理项目中卫市沙坡头区三个窑沟治理工程》和2023年实施的工程对部分段落护坡进行了砌护，</w:t>
            </w:r>
            <w:r>
              <w:rPr>
                <w:rFonts w:hint="eastAsia" w:cs="Times New Roman"/>
                <w:color w:val="000000" w:themeColor="text1"/>
                <w:kern w:val="0"/>
                <w:sz w:val="24"/>
                <w:szCs w:val="24"/>
                <w:highlight w:val="none"/>
                <w:lang w:val="en-US" w:eastAsia="zh-CN" w:bidi="ar-SA"/>
                <w14:textFill>
                  <w14:solidFill>
                    <w14:schemeClr w14:val="tx1"/>
                  </w14:solidFill>
                </w14:textFill>
              </w:rPr>
              <w:t>截至目前，仍有两端边坡防护能力较弱，终端部分区域积存淤泥过多</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p>
          <w:p w14:paraId="238DEB71">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（2）沟道存在的问题</w:t>
            </w:r>
          </w:p>
          <w:p w14:paraId="2A7EA433">
            <w:pPr>
              <w:adjustRightInd w:val="0"/>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部分河段沟道淤泥淤积挤占严重，沟道过流能力不足</w:t>
            </w: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三个窑沟进入灌区后，部分段落现状沟道宽度40--200m，沟道内淤积挤占严重，通过水力计算如遇10年一遇洪水，部分段落洪水将漫过沟拜，对两岸农田及村庄造成损失。</w:t>
            </w:r>
          </w:p>
          <w:p w14:paraId="5A0E58C4">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（3）洪水危害</w:t>
            </w:r>
          </w:p>
          <w:p w14:paraId="1AAEE13E">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2024年8月中卫市连降暴雨，沟道暴发几次山洪，8月8日三个窑沟最大排洪流量达到110m³/s，造成三个窑沟已治理段几处护坡被冲毁，洪水携带泥沙，沟道下游淤积较为严重，滨河南路过三个窑沟过水路面建筑物受到不同程度的损坏。</w:t>
            </w:r>
          </w:p>
          <w:p w14:paraId="7AD2B6EF">
            <w:pPr>
              <w:adjustRightInd w:val="0"/>
              <w:spacing w:line="240" w:lineRule="auto"/>
              <w:jc w:val="cente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drawing>
                <wp:inline distT="0" distB="0" distL="114300" distR="114300">
                  <wp:extent cx="5034280" cy="2832100"/>
                  <wp:effectExtent l="19050" t="19050" r="21590" b="29210"/>
                  <wp:docPr id="20" name="图片 4" descr="DJI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JI_0040"/>
                          <pic:cNvPicPr>
                            <a:picLocks noChangeAspect="1"/>
                          </pic:cNvPicPr>
                        </pic:nvPicPr>
                        <pic:blipFill>
                          <a:blip r:embed="rId20"/>
                          <a:stretch>
                            <a:fillRect/>
                          </a:stretch>
                        </pic:blipFill>
                        <pic:spPr>
                          <a:xfrm>
                            <a:off x="0" y="0"/>
                            <a:ext cx="5034280" cy="2832100"/>
                          </a:xfrm>
                          <a:prstGeom prst="rect">
                            <a:avLst/>
                          </a:prstGeom>
                          <a:noFill/>
                          <a:ln w="19050">
                            <a:solidFill>
                              <a:schemeClr val="tx1"/>
                            </a:solidFill>
                          </a:ln>
                        </pic:spPr>
                      </pic:pic>
                    </a:graphicData>
                  </a:graphic>
                </wp:inline>
              </w:drawing>
            </w:r>
          </w:p>
          <w:p w14:paraId="5F9B8F40">
            <w:pPr>
              <w:adjustRightInd w:val="0"/>
              <w:spacing w:line="240" w:lineRule="auto"/>
              <w:jc w:val="cente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图3-3  三个窑沟沟道淤积严重</w:t>
            </w:r>
          </w:p>
          <w:p w14:paraId="02AE01AA">
            <w:pPr>
              <w:adjustRightInd w:val="0"/>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结合洪水造成的危害，为使洪水能更好的排入黄河，本次计划对三个窑沟下游段进行</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治理</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w:t>
            </w:r>
          </w:p>
          <w:p w14:paraId="0A75B8C3">
            <w:pPr>
              <w:pStyle w:val="11"/>
              <w:adjustRightInd w:val="0"/>
              <w:spacing w:line="360" w:lineRule="auto"/>
              <w:ind w:firstLine="480" w:firstLineChars="200"/>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3、大气环境质量现状</w:t>
            </w:r>
          </w:p>
          <w:p w14:paraId="65504948">
            <w:pPr>
              <w:adjustRightInd w:val="0"/>
              <w:spacing w:line="360" w:lineRule="auto"/>
              <w:ind w:firstLine="480" w:firstLineChars="200"/>
              <w:rPr>
                <w:rFonts w:hint="default" w:ascii="Times New Roman" w:hAnsi="Times New Roman" w:cs="Times New Roman"/>
                <w:b w:val="0"/>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本项目位于宁夏回族自治区</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中卫市沙坡头区永康镇</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b w:val="0"/>
                <w:bCs/>
                <w:color w:val="000000" w:themeColor="text1"/>
                <w:sz w:val="24"/>
                <w:szCs w:val="24"/>
                <w:lang w:eastAsia="zh-CN"/>
                <w14:textFill>
                  <w14:solidFill>
                    <w14:schemeClr w14:val="tx1"/>
                  </w14:solidFill>
                </w14:textFill>
              </w:rPr>
              <w:t>按照《环境影响评价技术导则大气环境》(HJ2.2-2018)中环境空气现状调查数据来源要求，采用宁夏回族自治区生态环境厅公开发布的《202</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4</w:t>
            </w:r>
            <w:r>
              <w:rPr>
                <w:rFonts w:hint="default" w:ascii="Times New Roman" w:hAnsi="Times New Roman" w:cs="Times New Roman"/>
                <w:b w:val="0"/>
                <w:bCs/>
                <w:color w:val="000000" w:themeColor="text1"/>
                <w:sz w:val="24"/>
                <w:szCs w:val="24"/>
                <w:lang w:eastAsia="zh-CN"/>
                <w14:textFill>
                  <w14:solidFill>
                    <w14:schemeClr w14:val="tx1"/>
                  </w14:solidFill>
                </w14:textFill>
              </w:rPr>
              <w:t>年宁夏生态环境质量状况》中</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中卫</w:t>
            </w:r>
            <w:r>
              <w:rPr>
                <w:rFonts w:hint="default" w:ascii="Times New Roman" w:hAnsi="Times New Roman" w:cs="Times New Roman"/>
                <w:b w:val="0"/>
                <w:bCs/>
                <w:color w:val="000000" w:themeColor="text1"/>
                <w:sz w:val="24"/>
                <w:szCs w:val="24"/>
                <w:lang w:eastAsia="zh-CN"/>
                <w14:textFill>
                  <w14:solidFill>
                    <w14:schemeClr w14:val="tx1"/>
                  </w14:solidFill>
                </w14:textFill>
              </w:rPr>
              <w:t>市</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沙坡头区</w:t>
            </w:r>
            <w:r>
              <w:rPr>
                <w:rFonts w:hint="default" w:ascii="Times New Roman" w:hAnsi="Times New Roman" w:cs="Times New Roman"/>
                <w:b w:val="0"/>
                <w:bCs/>
                <w:color w:val="000000" w:themeColor="text1"/>
                <w:sz w:val="24"/>
                <w:szCs w:val="24"/>
                <w:lang w:eastAsia="zh-CN"/>
                <w14:textFill>
                  <w14:solidFill>
                    <w14:schemeClr w14:val="tx1"/>
                  </w14:solidFill>
                </w14:textFill>
              </w:rPr>
              <w:t>环境空气监测数据和结论作为本次评价依据，符合《环境影响评价技术导则 大气环境》(HJ2.2-2018)中环境质量数据来源要求。项目所在区域环境空气质量状况表具体见表3-</w:t>
            </w:r>
            <w:r>
              <w:rPr>
                <w:rFonts w:hint="default" w:ascii="Times New Roman" w:hAnsi="Times New Roman" w:cs="Times New Roman"/>
                <w:b w:val="0"/>
                <w:bCs/>
                <w:color w:val="000000" w:themeColor="text1"/>
                <w:sz w:val="24"/>
                <w:szCs w:val="24"/>
                <w:lang w:val="en-US" w:eastAsia="zh-CN"/>
                <w14:textFill>
                  <w14:solidFill>
                    <w14:schemeClr w14:val="tx1"/>
                  </w14:solidFill>
                </w14:textFill>
              </w:rPr>
              <w:t>2</w:t>
            </w:r>
            <w:r>
              <w:rPr>
                <w:rFonts w:hint="default" w:ascii="Times New Roman" w:hAnsi="Times New Roman" w:cs="Times New Roman"/>
                <w:b w:val="0"/>
                <w:bCs/>
                <w:color w:val="000000" w:themeColor="text1"/>
                <w:sz w:val="24"/>
                <w:szCs w:val="24"/>
                <w:lang w:eastAsia="zh-CN"/>
                <w14:textFill>
                  <w14:solidFill>
                    <w14:schemeClr w14:val="tx1"/>
                  </w14:solidFill>
                </w14:textFill>
              </w:rPr>
              <w:t>。</w:t>
            </w:r>
          </w:p>
          <w:p w14:paraId="2AD96DC7">
            <w:pPr>
              <w:pStyle w:val="10"/>
              <w:keepNext w:val="0"/>
              <w:keepLines w:val="0"/>
              <w:pageBreakBefore w:val="0"/>
              <w:widowControl w:val="0"/>
              <w:kinsoku/>
              <w:wordWrap/>
              <w:overflowPunct/>
              <w:topLinePunct w:val="0"/>
              <w:autoSpaceDE/>
              <w:autoSpaceDN/>
              <w:bidi w:val="0"/>
              <w:adjustRightInd w:val="0"/>
              <w:snapToGrid w:val="0"/>
              <w:spacing w:after="0" w:line="288" w:lineRule="auto"/>
              <w:ind w:left="0" w:leftChars="0"/>
              <w:jc w:val="center"/>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lang w:val="en-US" w:eastAsia="zh-CN"/>
                <w14:textFill>
                  <w14:solidFill>
                    <w14:schemeClr w14:val="tx1"/>
                  </w14:solidFill>
                </w14:textFill>
              </w:rPr>
              <w:t>表3-2  项目所在区域环境空气质量评价表</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893"/>
              <w:gridCol w:w="2298"/>
              <w:gridCol w:w="1276"/>
              <w:gridCol w:w="1200"/>
              <w:gridCol w:w="893"/>
              <w:gridCol w:w="757"/>
              <w:gridCol w:w="1029"/>
            </w:tblGrid>
            <w:tr w14:paraId="384E3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60B60D6B">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污染物</w:t>
                  </w:r>
                </w:p>
              </w:tc>
              <w:tc>
                <w:tcPr>
                  <w:tcW w:w="1376" w:type="pct"/>
                  <w:tcBorders>
                    <w:tl2br w:val="nil"/>
                    <w:tr2bl w:val="nil"/>
                  </w:tcBorders>
                  <w:noWrap w:val="0"/>
                  <w:vAlign w:val="center"/>
                </w:tcPr>
                <w:p w14:paraId="35DD0701">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评价指标</w:t>
                  </w:r>
                </w:p>
              </w:tc>
              <w:tc>
                <w:tcPr>
                  <w:tcW w:w="765" w:type="pct"/>
                  <w:tcBorders>
                    <w:tl2br w:val="nil"/>
                    <w:tr2bl w:val="nil"/>
                  </w:tcBorders>
                  <w:noWrap w:val="0"/>
                  <w:vAlign w:val="center"/>
                </w:tcPr>
                <w:p w14:paraId="1725BBD3">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评价标准/（µg/m³）</w:t>
                  </w:r>
                </w:p>
              </w:tc>
              <w:tc>
                <w:tcPr>
                  <w:tcW w:w="720" w:type="pct"/>
                  <w:tcBorders>
                    <w:tl2br w:val="nil"/>
                    <w:tr2bl w:val="nil"/>
                  </w:tcBorders>
                  <w:noWrap w:val="0"/>
                  <w:vAlign w:val="center"/>
                </w:tcPr>
                <w:p w14:paraId="1E857A97">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现状浓度/（µg/m³）</w:t>
                  </w:r>
                </w:p>
              </w:tc>
              <w:tc>
                <w:tcPr>
                  <w:tcW w:w="535" w:type="pct"/>
                  <w:tcBorders>
                    <w:tl2br w:val="nil"/>
                    <w:tr2bl w:val="nil"/>
                  </w:tcBorders>
                  <w:noWrap w:val="0"/>
                  <w:vAlign w:val="center"/>
                </w:tcPr>
                <w:p w14:paraId="78BD1F7B">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占标率/%</w:t>
                  </w:r>
                </w:p>
              </w:tc>
              <w:tc>
                <w:tcPr>
                  <w:tcW w:w="453" w:type="pct"/>
                  <w:tcBorders>
                    <w:tl2br w:val="nil"/>
                    <w:tr2bl w:val="nil"/>
                  </w:tcBorders>
                  <w:noWrap w:val="0"/>
                  <w:vAlign w:val="center"/>
                </w:tcPr>
                <w:p w14:paraId="24774D3D">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超标</w:t>
                  </w:r>
                </w:p>
                <w:p w14:paraId="41E1A120">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倍数</w:t>
                  </w:r>
                </w:p>
              </w:tc>
              <w:tc>
                <w:tcPr>
                  <w:tcW w:w="613" w:type="pct"/>
                  <w:tcBorders>
                    <w:tl2br w:val="nil"/>
                    <w:tr2bl w:val="nil"/>
                  </w:tcBorders>
                  <w:noWrap w:val="0"/>
                  <w:vAlign w:val="center"/>
                </w:tcPr>
                <w:p w14:paraId="0C8D8395">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达标情况</w:t>
                  </w:r>
                </w:p>
              </w:tc>
            </w:tr>
            <w:tr w14:paraId="602C07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425562FD">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1376" w:type="pct"/>
                  <w:tcBorders>
                    <w:tl2br w:val="nil"/>
                    <w:tr2bl w:val="nil"/>
                  </w:tcBorders>
                  <w:noWrap w:val="0"/>
                  <w:vAlign w:val="center"/>
                </w:tcPr>
                <w:p w14:paraId="3E7B0D7F">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年平均质量浓度</w:t>
                  </w:r>
                </w:p>
              </w:tc>
              <w:tc>
                <w:tcPr>
                  <w:tcW w:w="765" w:type="pct"/>
                  <w:tcBorders>
                    <w:tl2br w:val="nil"/>
                    <w:tr2bl w:val="nil"/>
                  </w:tcBorders>
                  <w:noWrap w:val="0"/>
                  <w:vAlign w:val="center"/>
                </w:tcPr>
                <w:p w14:paraId="674062D9">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720" w:type="pct"/>
                  <w:tcBorders>
                    <w:tl2br w:val="nil"/>
                    <w:tr2bl w:val="nil"/>
                  </w:tcBorders>
                  <w:noWrap w:val="0"/>
                  <w:vAlign w:val="center"/>
                </w:tcPr>
                <w:p w14:paraId="6C94B1DB">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535" w:type="pct"/>
                  <w:tcBorders>
                    <w:tl2br w:val="nil"/>
                    <w:tr2bl w:val="nil"/>
                  </w:tcBorders>
                  <w:noWrap w:val="0"/>
                  <w:vAlign w:val="center"/>
                </w:tcPr>
                <w:p w14:paraId="569C4B09">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13.3</w:t>
                  </w:r>
                </w:p>
              </w:tc>
              <w:tc>
                <w:tcPr>
                  <w:tcW w:w="453" w:type="pct"/>
                  <w:tcBorders>
                    <w:tl2br w:val="nil"/>
                    <w:tr2bl w:val="nil"/>
                  </w:tcBorders>
                  <w:noWrap w:val="0"/>
                  <w:vAlign w:val="center"/>
                </w:tcPr>
                <w:p w14:paraId="60D71C97">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3" w:type="pct"/>
                  <w:tcBorders>
                    <w:tl2br w:val="nil"/>
                    <w:tr2bl w:val="nil"/>
                  </w:tcBorders>
                  <w:noWrap w:val="0"/>
                  <w:vAlign w:val="center"/>
                </w:tcPr>
                <w:p w14:paraId="6DCABCBD">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r>
            <w:tr w14:paraId="388F9E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42087093">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1376" w:type="pct"/>
                  <w:tcBorders>
                    <w:tl2br w:val="nil"/>
                    <w:tr2bl w:val="nil"/>
                  </w:tcBorders>
                  <w:noWrap w:val="0"/>
                  <w:vAlign w:val="center"/>
                </w:tcPr>
                <w:p w14:paraId="1CB92671">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年平均质量浓度</w:t>
                  </w:r>
                </w:p>
              </w:tc>
              <w:tc>
                <w:tcPr>
                  <w:tcW w:w="765" w:type="pct"/>
                  <w:tcBorders>
                    <w:tl2br w:val="nil"/>
                    <w:tr2bl w:val="nil"/>
                  </w:tcBorders>
                  <w:noWrap w:val="0"/>
                  <w:vAlign w:val="center"/>
                </w:tcPr>
                <w:p w14:paraId="31CD8290">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720" w:type="pct"/>
                  <w:tcBorders>
                    <w:tl2br w:val="nil"/>
                    <w:tr2bl w:val="nil"/>
                  </w:tcBorders>
                  <w:noWrap w:val="0"/>
                  <w:vAlign w:val="center"/>
                </w:tcPr>
                <w:p w14:paraId="43EF9A30">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535" w:type="pct"/>
                  <w:tcBorders>
                    <w:tl2br w:val="nil"/>
                    <w:tr2bl w:val="nil"/>
                  </w:tcBorders>
                  <w:noWrap w:val="0"/>
                  <w:vAlign w:val="center"/>
                </w:tcPr>
                <w:p w14:paraId="06DF9142">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57.5</w:t>
                  </w:r>
                </w:p>
              </w:tc>
              <w:tc>
                <w:tcPr>
                  <w:tcW w:w="453" w:type="pct"/>
                  <w:tcBorders>
                    <w:tl2br w:val="nil"/>
                    <w:tr2bl w:val="nil"/>
                  </w:tcBorders>
                  <w:noWrap w:val="0"/>
                  <w:vAlign w:val="center"/>
                </w:tcPr>
                <w:p w14:paraId="28250C5D">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3" w:type="pct"/>
                  <w:tcBorders>
                    <w:tl2br w:val="nil"/>
                    <w:tr2bl w:val="nil"/>
                  </w:tcBorders>
                  <w:noWrap w:val="0"/>
                  <w:vAlign w:val="center"/>
                </w:tcPr>
                <w:p w14:paraId="40838006">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r>
            <w:tr w14:paraId="1D571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534CC65D">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w:t>
                  </w:r>
                </w:p>
              </w:tc>
              <w:tc>
                <w:tcPr>
                  <w:tcW w:w="1376" w:type="pct"/>
                  <w:tcBorders>
                    <w:tl2br w:val="nil"/>
                    <w:tr2bl w:val="nil"/>
                  </w:tcBorders>
                  <w:noWrap w:val="0"/>
                  <w:vAlign w:val="center"/>
                </w:tcPr>
                <w:p w14:paraId="5971FC49">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24h平均第95百分位数</w:t>
                  </w:r>
                </w:p>
              </w:tc>
              <w:tc>
                <w:tcPr>
                  <w:tcW w:w="765" w:type="pct"/>
                  <w:tcBorders>
                    <w:tl2br w:val="nil"/>
                    <w:tr2bl w:val="nil"/>
                  </w:tcBorders>
                  <w:noWrap w:val="0"/>
                  <w:vAlign w:val="center"/>
                </w:tcPr>
                <w:p w14:paraId="0F3268A2">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20" w:type="pct"/>
                  <w:tcBorders>
                    <w:tl2br w:val="nil"/>
                    <w:tr2bl w:val="nil"/>
                  </w:tcBorders>
                  <w:noWrap w:val="0"/>
                  <w:vAlign w:val="center"/>
                </w:tcPr>
                <w:p w14:paraId="258B35DA">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0.8</w:t>
                  </w:r>
                </w:p>
              </w:tc>
              <w:tc>
                <w:tcPr>
                  <w:tcW w:w="535" w:type="pct"/>
                  <w:tcBorders>
                    <w:tl2br w:val="nil"/>
                    <w:tr2bl w:val="nil"/>
                  </w:tcBorders>
                  <w:noWrap w:val="0"/>
                  <w:vAlign w:val="center"/>
                </w:tcPr>
                <w:p w14:paraId="6F6B84FD">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453" w:type="pct"/>
                  <w:tcBorders>
                    <w:tl2br w:val="nil"/>
                    <w:tr2bl w:val="nil"/>
                  </w:tcBorders>
                  <w:noWrap w:val="0"/>
                  <w:vAlign w:val="center"/>
                </w:tcPr>
                <w:p w14:paraId="55D7E895">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3" w:type="pct"/>
                  <w:tcBorders>
                    <w:tl2br w:val="nil"/>
                    <w:tr2bl w:val="nil"/>
                  </w:tcBorders>
                  <w:noWrap w:val="0"/>
                  <w:vAlign w:val="center"/>
                </w:tcPr>
                <w:p w14:paraId="5DB2214F">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r>
            <w:tr w14:paraId="494713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2E84A6E5">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p>
              </w:tc>
              <w:tc>
                <w:tcPr>
                  <w:tcW w:w="1376" w:type="pct"/>
                  <w:tcBorders>
                    <w:tl2br w:val="nil"/>
                    <w:tr2bl w:val="nil"/>
                  </w:tcBorders>
                  <w:noWrap w:val="0"/>
                  <w:vAlign w:val="center"/>
                </w:tcPr>
                <w:p w14:paraId="26F6D8BE">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日最大8h滑动平均值的第90百分位数</w:t>
                  </w:r>
                </w:p>
              </w:tc>
              <w:tc>
                <w:tcPr>
                  <w:tcW w:w="765" w:type="pct"/>
                  <w:tcBorders>
                    <w:tl2br w:val="nil"/>
                    <w:tr2bl w:val="nil"/>
                  </w:tcBorders>
                  <w:noWrap w:val="0"/>
                  <w:vAlign w:val="center"/>
                </w:tcPr>
                <w:p w14:paraId="057950D6">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160</w:t>
                  </w:r>
                </w:p>
              </w:tc>
              <w:tc>
                <w:tcPr>
                  <w:tcW w:w="720" w:type="pct"/>
                  <w:tcBorders>
                    <w:tl2br w:val="nil"/>
                    <w:tr2bl w:val="nil"/>
                  </w:tcBorders>
                  <w:noWrap w:val="0"/>
                  <w:vAlign w:val="center"/>
                </w:tcPr>
                <w:p w14:paraId="4A9976AB">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144</w:t>
                  </w:r>
                </w:p>
              </w:tc>
              <w:tc>
                <w:tcPr>
                  <w:tcW w:w="535" w:type="pct"/>
                  <w:tcBorders>
                    <w:tl2br w:val="nil"/>
                    <w:tr2bl w:val="nil"/>
                  </w:tcBorders>
                  <w:noWrap w:val="0"/>
                  <w:vAlign w:val="center"/>
                </w:tcPr>
                <w:p w14:paraId="2FCD8CA7">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w:t>
                  </w:r>
                </w:p>
              </w:tc>
              <w:tc>
                <w:tcPr>
                  <w:tcW w:w="453" w:type="pct"/>
                  <w:tcBorders>
                    <w:tl2br w:val="nil"/>
                    <w:tr2bl w:val="nil"/>
                  </w:tcBorders>
                  <w:noWrap w:val="0"/>
                  <w:vAlign w:val="center"/>
                </w:tcPr>
                <w:p w14:paraId="4C3D5625">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3" w:type="pct"/>
                  <w:tcBorders>
                    <w:tl2br w:val="nil"/>
                    <w:tr2bl w:val="nil"/>
                  </w:tcBorders>
                  <w:noWrap w:val="0"/>
                  <w:vAlign w:val="center"/>
                </w:tcPr>
                <w:p w14:paraId="5D6D31E2">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r>
            <w:tr w14:paraId="5502FB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177AEC68">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2.5</w:t>
                  </w:r>
                </w:p>
              </w:tc>
              <w:tc>
                <w:tcPr>
                  <w:tcW w:w="1376" w:type="pct"/>
                  <w:tcBorders>
                    <w:tl2br w:val="nil"/>
                    <w:tr2bl w:val="nil"/>
                  </w:tcBorders>
                  <w:noWrap w:val="0"/>
                  <w:vAlign w:val="center"/>
                </w:tcPr>
                <w:p w14:paraId="06E51D89">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年平均质量浓度</w:t>
                  </w:r>
                </w:p>
              </w:tc>
              <w:tc>
                <w:tcPr>
                  <w:tcW w:w="765" w:type="pct"/>
                  <w:tcBorders>
                    <w:tl2br w:val="nil"/>
                    <w:tr2bl w:val="nil"/>
                  </w:tcBorders>
                  <w:noWrap w:val="0"/>
                  <w:vAlign w:val="center"/>
                </w:tcPr>
                <w:p w14:paraId="778713AA">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w:t>
                  </w:r>
                </w:p>
              </w:tc>
              <w:tc>
                <w:tcPr>
                  <w:tcW w:w="720" w:type="pct"/>
                  <w:tcBorders>
                    <w:tl2br w:val="nil"/>
                    <w:tr2bl w:val="nil"/>
                  </w:tcBorders>
                  <w:noWrap w:val="0"/>
                  <w:vAlign w:val="center"/>
                </w:tcPr>
                <w:p w14:paraId="3D88EE60">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31</w:t>
                  </w:r>
                </w:p>
              </w:tc>
              <w:tc>
                <w:tcPr>
                  <w:tcW w:w="535" w:type="pct"/>
                  <w:tcBorders>
                    <w:tl2br w:val="nil"/>
                    <w:tr2bl w:val="nil"/>
                  </w:tcBorders>
                  <w:noWrap w:val="0"/>
                  <w:vAlign w:val="center"/>
                </w:tcPr>
                <w:p w14:paraId="705F9327">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88.6</w:t>
                  </w:r>
                </w:p>
              </w:tc>
              <w:tc>
                <w:tcPr>
                  <w:tcW w:w="453" w:type="pct"/>
                  <w:tcBorders>
                    <w:tl2br w:val="nil"/>
                    <w:tr2bl w:val="nil"/>
                  </w:tcBorders>
                  <w:noWrap w:val="0"/>
                  <w:vAlign w:val="center"/>
                </w:tcPr>
                <w:p w14:paraId="53B7CDCA">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13" w:type="pct"/>
                  <w:tcBorders>
                    <w:tl2br w:val="nil"/>
                    <w:tr2bl w:val="nil"/>
                  </w:tcBorders>
                  <w:noWrap w:val="0"/>
                  <w:vAlign w:val="center"/>
                </w:tcPr>
                <w:p w14:paraId="45E6E9A1">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w:t>
                  </w:r>
                </w:p>
              </w:tc>
            </w:tr>
            <w:tr w14:paraId="2B91D5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35" w:type="pct"/>
                  <w:tcBorders>
                    <w:tl2br w:val="nil"/>
                    <w:tr2bl w:val="nil"/>
                  </w:tcBorders>
                  <w:noWrap w:val="0"/>
                  <w:vAlign w:val="center"/>
                </w:tcPr>
                <w:p w14:paraId="7DC44148">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10</w:t>
                  </w:r>
                </w:p>
              </w:tc>
              <w:tc>
                <w:tcPr>
                  <w:tcW w:w="1376" w:type="pct"/>
                  <w:tcBorders>
                    <w:tl2br w:val="nil"/>
                    <w:tr2bl w:val="nil"/>
                  </w:tcBorders>
                  <w:noWrap w:val="0"/>
                  <w:vAlign w:val="center"/>
                </w:tcPr>
                <w:p w14:paraId="024ACBCF">
                  <w:pPr>
                    <w:pStyle w:val="9"/>
                    <w:keepNext w:val="0"/>
                    <w:keepLines w:val="0"/>
                    <w:pageBreakBefore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年平均质量浓度</w:t>
                  </w:r>
                </w:p>
              </w:tc>
              <w:tc>
                <w:tcPr>
                  <w:tcW w:w="1276" w:type="dxa"/>
                  <w:tcBorders>
                    <w:tl2br w:val="nil"/>
                    <w:tr2bl w:val="nil"/>
                  </w:tcBorders>
                  <w:noWrap w:val="0"/>
                  <w:vAlign w:val="center"/>
                </w:tcPr>
                <w:p w14:paraId="29F81BFD">
                  <w:pPr>
                    <w:pStyle w:val="9"/>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62</w:t>
                  </w:r>
                </w:p>
              </w:tc>
              <w:tc>
                <w:tcPr>
                  <w:tcW w:w="1200" w:type="dxa"/>
                  <w:tcBorders>
                    <w:tl2br w:val="nil"/>
                    <w:tr2bl w:val="nil"/>
                  </w:tcBorders>
                  <w:noWrap w:val="0"/>
                  <w:vAlign w:val="center"/>
                </w:tcPr>
                <w:p w14:paraId="1F714B05">
                  <w:pPr>
                    <w:pStyle w:val="9"/>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88.6</w:t>
                  </w:r>
                </w:p>
              </w:tc>
              <w:tc>
                <w:tcPr>
                  <w:tcW w:w="893" w:type="dxa"/>
                  <w:tcBorders>
                    <w:tl2br w:val="nil"/>
                    <w:tr2bl w:val="nil"/>
                  </w:tcBorders>
                  <w:noWrap w:val="0"/>
                  <w:vAlign w:val="center"/>
                </w:tcPr>
                <w:p w14:paraId="2F509EE2">
                  <w:pPr>
                    <w:pStyle w:val="9"/>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57" w:type="dxa"/>
                  <w:tcBorders>
                    <w:tl2br w:val="nil"/>
                    <w:tr2bl w:val="nil"/>
                  </w:tcBorders>
                  <w:noWrap w:val="0"/>
                  <w:vAlign w:val="center"/>
                </w:tcPr>
                <w:p w14:paraId="4CE104C0">
                  <w:pPr>
                    <w:pStyle w:val="9"/>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c>
                <w:tcPr>
                  <w:tcW w:w="1029" w:type="dxa"/>
                  <w:tcBorders>
                    <w:tl2br w:val="nil"/>
                    <w:tr2bl w:val="nil"/>
                  </w:tcBorders>
                  <w:noWrap w:val="0"/>
                  <w:vAlign w:val="center"/>
                </w:tcPr>
                <w:p w14:paraId="22C20E40">
                  <w:pPr>
                    <w:pStyle w:val="9"/>
                    <w:keepNext w:val="0"/>
                    <w:keepLines w:val="0"/>
                    <w:pageBreakBefore w:val="0"/>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62</w:t>
                  </w:r>
                </w:p>
              </w:tc>
            </w:tr>
            <w:tr w14:paraId="68E4D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5000" w:type="pct"/>
                  <w:gridSpan w:val="7"/>
                  <w:tcBorders>
                    <w:tl2br w:val="nil"/>
                    <w:tr2bl w:val="nil"/>
                  </w:tcBorders>
                  <w:noWrap w:val="0"/>
                  <w:vAlign w:val="center"/>
                </w:tcPr>
                <w:p w14:paraId="3A33CB08">
                  <w:pPr>
                    <w:pStyle w:val="81"/>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w:t>
                  </w:r>
                </w:p>
                <w:p w14:paraId="65F0397D">
                  <w:pPr>
                    <w:pStyle w:val="81"/>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1、CO现状浓度和标准值单位均为mg/m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p w14:paraId="4F61377B">
                  <w:pPr>
                    <w:pStyle w:val="81"/>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2、现状浓度中PM</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为剔除沙尘天气后的数值。</w:t>
                  </w:r>
                </w:p>
                <w:p w14:paraId="0303EC78">
                  <w:pPr>
                    <w:pStyle w:val="81"/>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right="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3、《2024年宁夏生态环境报告》中未公布SO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、PM</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相应百分位数24h平均浓度，故未评价上述污染物相应百分位数24h平均浓度达标情况。</w:t>
                  </w:r>
                </w:p>
              </w:tc>
            </w:tr>
          </w:tbl>
          <w:p w14:paraId="50964103">
            <w:pPr>
              <w:pStyle w:val="83"/>
              <w:spacing w:line="360" w:lineRule="auto"/>
              <w:ind w:firstLine="514"/>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根据《202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年宁夏生态环境质量报告》公开的区域环境空气质量数据可知</w:t>
            </w: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剔除沙尘天气后</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项目区域的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P</w:t>
            </w:r>
            <w:r>
              <w:rPr>
                <w:rFonts w:hint="eastAsia"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5</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P</w:t>
            </w:r>
            <w:r>
              <w:rPr>
                <w:rFonts w:hint="eastAsia" w:cs="Times New Roman"/>
                <w:color w:val="000000" w:themeColor="text1"/>
                <w:sz w:val="24"/>
                <w:szCs w:val="24"/>
                <w:highlight w:val="none"/>
                <w:lang w:val="en-US" w:eastAsia="zh-CN"/>
                <w14:textFill>
                  <w14:solidFill>
                    <w14:schemeClr w14:val="tx1"/>
                  </w14:solidFill>
                </w14:textFill>
              </w:rPr>
              <w:t>M</w:t>
            </w:r>
            <w:r>
              <w:rPr>
                <w:rFonts w:hint="eastAsia" w:cs="Times New Roman"/>
                <w:color w:val="000000" w:themeColor="text1"/>
                <w:sz w:val="24"/>
                <w:szCs w:val="24"/>
                <w:highlight w:val="none"/>
                <w:vertAlign w:val="subscript"/>
                <w:lang w:val="en-US" w:eastAsia="zh-CN"/>
                <w14:textFill>
                  <w14:solidFill>
                    <w14:schemeClr w14:val="tx1"/>
                  </w14:solidFill>
                </w14:textFill>
              </w:rPr>
              <w:t>10</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SO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、NO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年平均质量浓度和CO24h平均第95百分位数浓度</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日最大8h滑动平均值的第90百分位数均满足《环境空气质量标准》（GB3095-2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012</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及修改单</w:t>
            </w:r>
            <w:r>
              <w:rPr>
                <w:rFonts w:hint="default" w:ascii="Times New Roman" w:hAnsi="Times New Roman" w:cs="Times New Roman"/>
                <w:color w:val="000000" w:themeColor="text1"/>
                <w:sz w:val="24"/>
                <w:szCs w:val="24"/>
                <w:highlight w:val="none"/>
                <w14:textFill>
                  <w14:solidFill>
                    <w14:schemeClr w14:val="tx1"/>
                  </w14:solidFill>
                </w14:textFill>
              </w:rPr>
              <w:t>中的二级标准要求。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根据HJ633-2013判定，中卫市</w:t>
            </w:r>
            <w:r>
              <w:rPr>
                <w:rFonts w:hint="default" w:ascii="Times New Roman" w:hAnsi="Times New Roman" w:cs="Times New Roman"/>
                <w:b w:val="0"/>
                <w:bCs/>
                <w:color w:val="000000" w:themeColor="text1"/>
                <w:sz w:val="24"/>
                <w:szCs w:val="24"/>
                <w:highlight w:val="none"/>
                <w:lang w:val="en-US" w:eastAsia="zh-CN"/>
                <w14:textFill>
                  <w14:solidFill>
                    <w14:schemeClr w14:val="tx1"/>
                  </w14:solidFill>
                </w14:textFill>
              </w:rPr>
              <w:t>沙坡头区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2024年为环境空气质量达标区。</w:t>
            </w:r>
          </w:p>
          <w:p w14:paraId="0F05B3FB">
            <w:pPr>
              <w:tabs>
                <w:tab w:val="left" w:pos="2700"/>
              </w:tabs>
              <w:autoSpaceDE w:val="0"/>
              <w:autoSpaceDN w:val="0"/>
              <w:adjustRightInd w:val="0"/>
              <w:snapToGrid w:val="0"/>
              <w:spacing w:line="360" w:lineRule="auto"/>
              <w:ind w:firstLine="480" w:firstLineChars="200"/>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4、地表水环境质量状况</w:t>
            </w:r>
          </w:p>
          <w:p w14:paraId="402C7269">
            <w:pPr>
              <w:tabs>
                <w:tab w:val="left" w:pos="2700"/>
              </w:tabs>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本项目三个窑沟为泄洪沟，无常年流径地表水，三个窑沟最终汇入黄河，本次工程终点距离黄河1</w:t>
            </w:r>
            <w:r>
              <w:rPr>
                <w:rFonts w:hint="eastAsia" w:cs="Times New Roman"/>
                <w:color w:val="000000" w:themeColor="text1"/>
                <w:kern w:val="0"/>
                <w:sz w:val="24"/>
                <w:szCs w:val="24"/>
                <w:highlight w:val="none"/>
                <w:lang w:val="en-US" w:eastAsia="zh-CN" w:bidi="ar-SA"/>
                <w14:textFill>
                  <w14:solidFill>
                    <w14:schemeClr w14:val="tx1"/>
                  </w14:solidFill>
                </w14:textFill>
              </w:rPr>
              <w:t>57</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m，根据《2024年宁夏生态环境质量报告》，2024年黄河干流下河沿断面水质均达到</w:t>
            </w:r>
            <w:r>
              <w:rPr>
                <w:rFonts w:hint="default" w:ascii="Times New Roman" w:hAnsi="Times New Roman" w:eastAsia="微软雅黑" w:cs="Times New Roman"/>
                <w:color w:val="000000" w:themeColor="text1"/>
                <w:kern w:val="0"/>
                <w:sz w:val="24"/>
                <w:szCs w:val="24"/>
                <w:highlight w:val="none"/>
                <w:lang w:val="en-US" w:eastAsia="zh-CN" w:bidi="ar-SA"/>
                <w14:textFill>
                  <w14:solidFill>
                    <w14:schemeClr w14:val="tx1"/>
                  </w14:solidFill>
                </w14:textFill>
              </w:rPr>
              <w:t>Ⅱ</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类标准要求</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03347A97">
            <w:pPr>
              <w:tabs>
                <w:tab w:val="left" w:pos="2700"/>
              </w:tabs>
              <w:autoSpaceDE w:val="0"/>
              <w:autoSpaceDN w:val="0"/>
              <w:adjustRightInd w:val="0"/>
              <w:snapToGrid w:val="0"/>
              <w:spacing w:line="360" w:lineRule="auto"/>
              <w:ind w:firstLine="480" w:firstLineChars="200"/>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5、三个窑沟底泥质量现状</w:t>
            </w:r>
          </w:p>
          <w:p w14:paraId="445F61C7">
            <w:pPr>
              <w:tabs>
                <w:tab w:val="left" w:pos="2700"/>
              </w:tabs>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为了解项目</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三个窑沟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沟道内底泥重金属污染情况，本次委托甘</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肃亿源环境检测科技有限公司</w:t>
            </w:r>
            <w:r>
              <w:rPr>
                <w:rFonts w:hint="eastAsia" w:cs="Times New Roman"/>
                <w:color w:val="000000" w:themeColor="text1"/>
                <w:kern w:val="0"/>
                <w:sz w:val="24"/>
                <w:highlight w:val="none"/>
                <w:lang w:val="en-US" w:eastAsia="zh-CN"/>
                <w14:textFill>
                  <w14:solidFill>
                    <w14:schemeClr w14:val="tx1"/>
                  </w14:solidFill>
                </w14:textFill>
              </w:rPr>
              <w:t>于2026年2月11日</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对</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三个窑沟</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底泥进行监</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测</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，检测报告见附件4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2182B5DD">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（1）监测布点</w:t>
            </w:r>
          </w:p>
          <w:p w14:paraId="2A5C1CD6">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项目河道终点处，项目现状监测布点见图3-5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本项目选择在清淤段后端、靠近黄河处采样，监测点位于三个窑沟下游，能最大程度体现三个窑沟重金属含量。</w:t>
            </w:r>
          </w:p>
          <w:p w14:paraId="71D5A73B">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）监测因子及频率</w:t>
            </w:r>
          </w:p>
          <w:p w14:paraId="40EE3AF2">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监测因子：pH值、汞、砷、镉、铅、铬、铜、锌、镍</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6A686E92">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监测频率：监测1次</w:t>
            </w:r>
            <w:r>
              <w:rPr>
                <w:rFonts w:hint="default" w:ascii="Times New Roman" w:hAnsi="Times New Roman" w:eastAsia="宋体" w:cs="Times New Roman"/>
                <w:color w:val="000000" w:themeColor="text1"/>
                <w:sz w:val="24"/>
                <w:szCs w:val="24"/>
                <w14:textFill>
                  <w14:solidFill>
                    <w14:schemeClr w14:val="tx1"/>
                  </w14:solidFill>
                </w14:textFill>
              </w:rPr>
              <w:t>，监测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天。</w:t>
            </w:r>
          </w:p>
          <w:p w14:paraId="3554F8DD">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）评价标准</w:t>
            </w:r>
          </w:p>
          <w:p w14:paraId="495DB658">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《土壤环境质量 农用地土壤污染风险管控标准（试行）》（GB15618-2018）标准。</w:t>
            </w:r>
          </w:p>
          <w:p w14:paraId="47A6C9F0">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）监测结果分析与评价</w:t>
            </w:r>
          </w:p>
          <w:p w14:paraId="10CD7B70">
            <w:pPr>
              <w:tabs>
                <w:tab w:val="left" w:pos="2700"/>
              </w:tabs>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具体监测结果见表</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3-3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5648F097">
            <w:pPr>
              <w:pStyle w:val="36"/>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表3-3  沟道底泥现状监测结果一览表</w:t>
            </w:r>
          </w:p>
          <w:tbl>
            <w:tblPr>
              <w:tblStyle w:val="26"/>
              <w:tblW w:w="79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320"/>
              <w:gridCol w:w="1595"/>
              <w:gridCol w:w="1570"/>
              <w:gridCol w:w="1164"/>
              <w:gridCol w:w="1158"/>
            </w:tblGrid>
            <w:tr w14:paraId="723F5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vMerge w:val="restart"/>
                  <w:tcBorders>
                    <w:tl2br w:val="nil"/>
                    <w:tr2bl w:val="nil"/>
                  </w:tcBorders>
                  <w:noWrap w:val="0"/>
                  <w:vAlign w:val="center"/>
                </w:tcPr>
                <w:p w14:paraId="50389BD9">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p>
              </w:tc>
              <w:tc>
                <w:tcPr>
                  <w:tcW w:w="1320" w:type="dxa"/>
                  <w:vMerge w:val="restart"/>
                  <w:tcBorders>
                    <w:tl2br w:val="nil"/>
                    <w:tr2bl w:val="nil"/>
                  </w:tcBorders>
                  <w:noWrap w:val="0"/>
                  <w:vAlign w:val="center"/>
                </w:tcPr>
                <w:p w14:paraId="34551D62">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w:t>
                  </w:r>
                </w:p>
              </w:tc>
              <w:tc>
                <w:tcPr>
                  <w:tcW w:w="3165" w:type="dxa"/>
                  <w:gridSpan w:val="2"/>
                  <w:tcBorders>
                    <w:tl2br w:val="nil"/>
                    <w:tr2bl w:val="nil"/>
                  </w:tcBorders>
                  <w:noWrap w:val="0"/>
                  <w:vAlign w:val="center"/>
                </w:tcPr>
                <w:p w14:paraId="75F7A2B3">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监测结果</w:t>
                  </w:r>
                </w:p>
              </w:tc>
              <w:tc>
                <w:tcPr>
                  <w:tcW w:w="1164" w:type="dxa"/>
                  <w:vMerge w:val="restart"/>
                  <w:tcBorders>
                    <w:tl2br w:val="nil"/>
                    <w:tr2bl w:val="nil"/>
                  </w:tcBorders>
                  <w:noWrap w:val="0"/>
                  <w:vAlign w:val="center"/>
                </w:tcPr>
                <w:p w14:paraId="45ABF121">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标准限值</w:t>
                  </w:r>
                </w:p>
              </w:tc>
              <w:tc>
                <w:tcPr>
                  <w:tcW w:w="1158" w:type="dxa"/>
                  <w:vMerge w:val="restart"/>
                  <w:tcBorders>
                    <w:tl2br w:val="nil"/>
                    <w:tr2bl w:val="nil"/>
                  </w:tcBorders>
                  <w:noWrap w:val="0"/>
                  <w:vAlign w:val="center"/>
                </w:tcPr>
                <w:p w14:paraId="04AEFC7B">
                  <w:pPr>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达标情况</w:t>
                  </w:r>
                </w:p>
              </w:tc>
            </w:tr>
            <w:tr w14:paraId="287D5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vMerge w:val="continue"/>
                  <w:tcBorders>
                    <w:tl2br w:val="nil"/>
                    <w:tr2bl w:val="nil"/>
                  </w:tcBorders>
                  <w:noWrap w:val="0"/>
                  <w:vAlign w:val="center"/>
                </w:tcPr>
                <w:p w14:paraId="5E19D37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20" w:type="dxa"/>
                  <w:vMerge w:val="continue"/>
                  <w:tcBorders>
                    <w:tl2br w:val="nil"/>
                    <w:tr2bl w:val="nil"/>
                  </w:tcBorders>
                  <w:noWrap w:val="0"/>
                  <w:vAlign w:val="center"/>
                </w:tcPr>
                <w:p w14:paraId="1D01696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95" w:type="dxa"/>
                  <w:tcBorders>
                    <w:tl2br w:val="nil"/>
                    <w:tr2bl w:val="nil"/>
                  </w:tcBorders>
                  <w:noWrap w:val="0"/>
                  <w:vAlign w:val="center"/>
                </w:tcPr>
                <w:p w14:paraId="605CBE70">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0~15cm</w:t>
                  </w:r>
                </w:p>
              </w:tc>
              <w:tc>
                <w:tcPr>
                  <w:tcW w:w="1570" w:type="dxa"/>
                  <w:tcBorders>
                    <w:tl2br w:val="nil"/>
                    <w:tr2bl w:val="nil"/>
                  </w:tcBorders>
                  <w:noWrap w:val="0"/>
                  <w:vAlign w:val="center"/>
                </w:tcPr>
                <w:p w14:paraId="4E37A579">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15~30cm</w:t>
                  </w:r>
                </w:p>
              </w:tc>
              <w:tc>
                <w:tcPr>
                  <w:tcW w:w="1164" w:type="dxa"/>
                  <w:vMerge w:val="continue"/>
                  <w:tcBorders>
                    <w:tl2br w:val="nil"/>
                    <w:tr2bl w:val="nil"/>
                  </w:tcBorders>
                  <w:noWrap w:val="0"/>
                  <w:vAlign w:val="center"/>
                </w:tcPr>
                <w:p w14:paraId="392754B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58" w:type="dxa"/>
                  <w:vMerge w:val="continue"/>
                  <w:tcBorders>
                    <w:tl2br w:val="nil"/>
                    <w:tr2bl w:val="nil"/>
                  </w:tcBorders>
                  <w:noWrap w:val="0"/>
                  <w:vAlign w:val="center"/>
                </w:tcPr>
                <w:p w14:paraId="19BCA8FC">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6EC1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63" w:type="dxa"/>
                  <w:tcBorders>
                    <w:tl2br w:val="nil"/>
                    <w:tr2bl w:val="nil"/>
                  </w:tcBorders>
                  <w:noWrap w:val="0"/>
                  <w:vAlign w:val="center"/>
                </w:tcPr>
                <w:p w14:paraId="56178F53">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1320" w:type="dxa"/>
                  <w:tcBorders>
                    <w:tl2br w:val="nil"/>
                    <w:tr2bl w:val="nil"/>
                  </w:tcBorders>
                  <w:noWrap w:val="0"/>
                  <w:vAlign w:val="center"/>
                </w:tcPr>
                <w:p w14:paraId="276672D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无量纲</w:t>
                  </w:r>
                </w:p>
              </w:tc>
              <w:tc>
                <w:tcPr>
                  <w:tcW w:w="1595" w:type="dxa"/>
                  <w:tcBorders>
                    <w:tl2br w:val="nil"/>
                    <w:tr2bl w:val="nil"/>
                  </w:tcBorders>
                  <w:noWrap w:val="0"/>
                  <w:vAlign w:val="center"/>
                </w:tcPr>
                <w:p w14:paraId="5B4EEAD4">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7.5</w:t>
                  </w:r>
                </w:p>
              </w:tc>
              <w:tc>
                <w:tcPr>
                  <w:tcW w:w="1570" w:type="dxa"/>
                  <w:tcBorders>
                    <w:tl2br w:val="nil"/>
                    <w:tr2bl w:val="nil"/>
                  </w:tcBorders>
                  <w:noWrap w:val="0"/>
                  <w:vAlign w:val="center"/>
                </w:tcPr>
                <w:p w14:paraId="6EDB578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7.7</w:t>
                  </w:r>
                </w:p>
              </w:tc>
              <w:tc>
                <w:tcPr>
                  <w:tcW w:w="1164" w:type="dxa"/>
                  <w:tcBorders>
                    <w:tl2br w:val="nil"/>
                    <w:tr2bl w:val="nil"/>
                  </w:tcBorders>
                  <w:noWrap w:val="0"/>
                  <w:vAlign w:val="center"/>
                </w:tcPr>
                <w:p w14:paraId="5B4EE349">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158" w:type="dxa"/>
                  <w:tcBorders>
                    <w:tl2br w:val="nil"/>
                    <w:tr2bl w:val="nil"/>
                  </w:tcBorders>
                  <w:noWrap w:val="0"/>
                  <w:vAlign w:val="center"/>
                </w:tcPr>
                <w:p w14:paraId="4348746C">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2C006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l2br w:val="nil"/>
                    <w:tr2bl w:val="nil"/>
                  </w:tcBorders>
                  <w:noWrap w:val="0"/>
                  <w:vAlign w:val="center"/>
                </w:tcPr>
                <w:p w14:paraId="2175CD7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总铜</w:t>
                  </w:r>
                </w:p>
              </w:tc>
              <w:tc>
                <w:tcPr>
                  <w:tcW w:w="1320" w:type="dxa"/>
                  <w:tcBorders>
                    <w:tl2br w:val="nil"/>
                    <w:tr2bl w:val="nil"/>
                  </w:tcBorders>
                  <w:noWrap w:val="0"/>
                  <w:vAlign w:val="center"/>
                </w:tcPr>
                <w:p w14:paraId="53F4E0F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595" w:type="dxa"/>
                  <w:tcBorders>
                    <w:tl2br w:val="nil"/>
                    <w:tr2bl w:val="nil"/>
                  </w:tcBorders>
                  <w:noWrap w:val="0"/>
                  <w:vAlign w:val="center"/>
                </w:tcPr>
                <w:p w14:paraId="6CE493D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26</w:t>
                  </w:r>
                </w:p>
              </w:tc>
              <w:tc>
                <w:tcPr>
                  <w:tcW w:w="1570" w:type="dxa"/>
                  <w:tcBorders>
                    <w:tl2br w:val="nil"/>
                    <w:tr2bl w:val="nil"/>
                  </w:tcBorders>
                  <w:noWrap w:val="0"/>
                  <w:vAlign w:val="center"/>
                </w:tcPr>
                <w:p w14:paraId="3E60B6BC">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p>
              </w:tc>
              <w:tc>
                <w:tcPr>
                  <w:tcW w:w="1164" w:type="dxa"/>
                  <w:tcBorders>
                    <w:tl2br w:val="nil"/>
                    <w:tr2bl w:val="nil"/>
                  </w:tcBorders>
                  <w:noWrap w:val="0"/>
                  <w:vAlign w:val="center"/>
                </w:tcPr>
                <w:p w14:paraId="28B1852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1158" w:type="dxa"/>
                  <w:tcBorders>
                    <w:tl2br w:val="nil"/>
                    <w:tr2bl w:val="nil"/>
                  </w:tcBorders>
                  <w:noWrap w:val="0"/>
                  <w:vAlign w:val="center"/>
                </w:tcPr>
                <w:p w14:paraId="192ECEF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5E907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l2br w:val="nil"/>
                    <w:tr2bl w:val="nil"/>
                  </w:tcBorders>
                  <w:noWrap w:val="0"/>
                  <w:vAlign w:val="center"/>
                </w:tcPr>
                <w:p w14:paraId="634CAFB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总锌</w:t>
                  </w:r>
                </w:p>
              </w:tc>
              <w:tc>
                <w:tcPr>
                  <w:tcW w:w="1320" w:type="dxa"/>
                  <w:tcBorders>
                    <w:tl2br w:val="nil"/>
                    <w:tr2bl w:val="nil"/>
                  </w:tcBorders>
                  <w:noWrap w:val="0"/>
                  <w:vAlign w:val="center"/>
                </w:tcPr>
                <w:p w14:paraId="6016AE9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595" w:type="dxa"/>
                  <w:tcBorders>
                    <w:tl2br w:val="nil"/>
                    <w:tr2bl w:val="nil"/>
                  </w:tcBorders>
                  <w:noWrap w:val="0"/>
                  <w:vAlign w:val="center"/>
                </w:tcPr>
                <w:p w14:paraId="45CD5453">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77</w:t>
                  </w:r>
                </w:p>
              </w:tc>
              <w:tc>
                <w:tcPr>
                  <w:tcW w:w="1570" w:type="dxa"/>
                  <w:tcBorders>
                    <w:tl2br w:val="nil"/>
                    <w:tr2bl w:val="nil"/>
                  </w:tcBorders>
                  <w:noWrap w:val="0"/>
                  <w:vAlign w:val="center"/>
                </w:tcPr>
                <w:p w14:paraId="74D985C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83</w:t>
                  </w:r>
                </w:p>
              </w:tc>
              <w:tc>
                <w:tcPr>
                  <w:tcW w:w="1164" w:type="dxa"/>
                  <w:tcBorders>
                    <w:tl2br w:val="nil"/>
                    <w:tr2bl w:val="nil"/>
                  </w:tcBorders>
                  <w:noWrap w:val="0"/>
                  <w:vAlign w:val="center"/>
                </w:tcPr>
                <w:p w14:paraId="5DDF368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1158" w:type="dxa"/>
                  <w:tcBorders>
                    <w:tl2br w:val="nil"/>
                    <w:tr2bl w:val="nil"/>
                  </w:tcBorders>
                  <w:noWrap w:val="0"/>
                  <w:vAlign w:val="center"/>
                </w:tcPr>
                <w:p w14:paraId="3C6A5B64">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47856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l2br w:val="nil"/>
                    <w:tr2bl w:val="nil"/>
                  </w:tcBorders>
                  <w:noWrap w:val="0"/>
                  <w:vAlign w:val="center"/>
                </w:tcPr>
                <w:p w14:paraId="4EA64A7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总铅</w:t>
                  </w:r>
                </w:p>
              </w:tc>
              <w:tc>
                <w:tcPr>
                  <w:tcW w:w="1320" w:type="dxa"/>
                  <w:tcBorders>
                    <w:tl2br w:val="nil"/>
                    <w:tr2bl w:val="nil"/>
                  </w:tcBorders>
                  <w:noWrap w:val="0"/>
                  <w:vAlign w:val="center"/>
                </w:tcPr>
                <w:p w14:paraId="7888F6E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595" w:type="dxa"/>
                  <w:tcBorders>
                    <w:tl2br w:val="nil"/>
                    <w:tr2bl w:val="nil"/>
                  </w:tcBorders>
                  <w:noWrap w:val="0"/>
                  <w:vAlign w:val="center"/>
                </w:tcPr>
                <w:p w14:paraId="7185FEFA">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23</w:t>
                  </w:r>
                </w:p>
              </w:tc>
              <w:tc>
                <w:tcPr>
                  <w:tcW w:w="1570" w:type="dxa"/>
                  <w:tcBorders>
                    <w:tl2br w:val="nil"/>
                    <w:tr2bl w:val="nil"/>
                  </w:tcBorders>
                  <w:noWrap w:val="0"/>
                  <w:vAlign w:val="center"/>
                </w:tcPr>
                <w:p w14:paraId="54BE077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26</w:t>
                  </w:r>
                </w:p>
              </w:tc>
              <w:tc>
                <w:tcPr>
                  <w:tcW w:w="1164" w:type="dxa"/>
                  <w:tcBorders>
                    <w:tl2br w:val="nil"/>
                    <w:tr2bl w:val="nil"/>
                  </w:tcBorders>
                  <w:noWrap w:val="0"/>
                  <w:vAlign w:val="center"/>
                </w:tcPr>
                <w:p w14:paraId="6B9EE64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170</w:t>
                  </w:r>
                </w:p>
              </w:tc>
              <w:tc>
                <w:tcPr>
                  <w:tcW w:w="1158" w:type="dxa"/>
                  <w:tcBorders>
                    <w:tl2br w:val="nil"/>
                    <w:tr2bl w:val="nil"/>
                  </w:tcBorders>
                  <w:noWrap w:val="0"/>
                  <w:vAlign w:val="center"/>
                </w:tcPr>
                <w:p w14:paraId="3F3B98D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402F1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l2br w:val="nil"/>
                    <w:tr2bl w:val="nil"/>
                  </w:tcBorders>
                  <w:noWrap w:val="0"/>
                  <w:vAlign w:val="center"/>
                </w:tcPr>
                <w:p w14:paraId="39F3F4BF">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总镉</w:t>
                  </w:r>
                </w:p>
              </w:tc>
              <w:tc>
                <w:tcPr>
                  <w:tcW w:w="1320" w:type="dxa"/>
                  <w:tcBorders>
                    <w:tl2br w:val="nil"/>
                    <w:tr2bl w:val="nil"/>
                  </w:tcBorders>
                  <w:noWrap w:val="0"/>
                  <w:vAlign w:val="center"/>
                </w:tcPr>
                <w:p w14:paraId="6822FC2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595" w:type="dxa"/>
                  <w:tcBorders>
                    <w:tl2br w:val="nil"/>
                    <w:tr2bl w:val="nil"/>
                  </w:tcBorders>
                  <w:noWrap w:val="0"/>
                  <w:vAlign w:val="center"/>
                </w:tcPr>
                <w:p w14:paraId="1C4CD0F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0.23</w:t>
                  </w:r>
                </w:p>
              </w:tc>
              <w:tc>
                <w:tcPr>
                  <w:tcW w:w="1570" w:type="dxa"/>
                  <w:tcBorders>
                    <w:tl2br w:val="nil"/>
                    <w:tr2bl w:val="nil"/>
                  </w:tcBorders>
                  <w:noWrap w:val="0"/>
                  <w:vAlign w:val="center"/>
                </w:tcPr>
                <w:p w14:paraId="65F7CFC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0.21</w:t>
                  </w:r>
                </w:p>
              </w:tc>
              <w:tc>
                <w:tcPr>
                  <w:tcW w:w="1164" w:type="dxa"/>
                  <w:tcBorders>
                    <w:tl2br w:val="nil"/>
                    <w:tr2bl w:val="nil"/>
                  </w:tcBorders>
                  <w:noWrap w:val="0"/>
                  <w:vAlign w:val="center"/>
                </w:tcPr>
                <w:p w14:paraId="450A594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0.6</w:t>
                  </w:r>
                </w:p>
              </w:tc>
              <w:tc>
                <w:tcPr>
                  <w:tcW w:w="1158" w:type="dxa"/>
                  <w:tcBorders>
                    <w:tl2br w:val="nil"/>
                    <w:tr2bl w:val="nil"/>
                  </w:tcBorders>
                  <w:noWrap w:val="0"/>
                  <w:vAlign w:val="center"/>
                </w:tcPr>
                <w:p w14:paraId="5EA27A6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24D77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l2br w:val="nil"/>
                    <w:tr2bl w:val="nil"/>
                  </w:tcBorders>
                  <w:noWrap w:val="0"/>
                  <w:vAlign w:val="center"/>
                </w:tcPr>
                <w:p w14:paraId="1A8666B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总砷</w:t>
                  </w:r>
                </w:p>
              </w:tc>
              <w:tc>
                <w:tcPr>
                  <w:tcW w:w="1320" w:type="dxa"/>
                  <w:tcBorders>
                    <w:tl2br w:val="nil"/>
                    <w:tr2bl w:val="nil"/>
                  </w:tcBorders>
                  <w:noWrap w:val="0"/>
                  <w:vAlign w:val="center"/>
                </w:tcPr>
                <w:p w14:paraId="58787B0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595" w:type="dxa"/>
                  <w:tcBorders>
                    <w:tl2br w:val="nil"/>
                    <w:tr2bl w:val="nil"/>
                  </w:tcBorders>
                  <w:noWrap w:val="0"/>
                  <w:vAlign w:val="center"/>
                </w:tcPr>
                <w:p w14:paraId="2E0B33A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3.27</w:t>
                  </w:r>
                </w:p>
              </w:tc>
              <w:tc>
                <w:tcPr>
                  <w:tcW w:w="1570" w:type="dxa"/>
                  <w:tcBorders>
                    <w:tl2br w:val="nil"/>
                    <w:tr2bl w:val="nil"/>
                  </w:tcBorders>
                  <w:noWrap w:val="0"/>
                  <w:vAlign w:val="center"/>
                </w:tcPr>
                <w:p w14:paraId="44878EE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3.10</w:t>
                  </w:r>
                </w:p>
              </w:tc>
              <w:tc>
                <w:tcPr>
                  <w:tcW w:w="1164" w:type="dxa"/>
                  <w:tcBorders>
                    <w:tl2br w:val="nil"/>
                    <w:tr2bl w:val="nil"/>
                  </w:tcBorders>
                  <w:noWrap w:val="0"/>
                  <w:vAlign w:val="center"/>
                </w:tcPr>
                <w:p w14:paraId="4A831E94">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1158" w:type="dxa"/>
                  <w:tcBorders>
                    <w:tl2br w:val="nil"/>
                    <w:tr2bl w:val="nil"/>
                  </w:tcBorders>
                  <w:noWrap w:val="0"/>
                  <w:vAlign w:val="center"/>
                </w:tcPr>
                <w:p w14:paraId="2466115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64459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l2br w:val="nil"/>
                    <w:tr2bl w:val="nil"/>
                  </w:tcBorders>
                  <w:noWrap w:val="0"/>
                  <w:vAlign w:val="center"/>
                </w:tcPr>
                <w:p w14:paraId="28132FE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总汞</w:t>
                  </w:r>
                </w:p>
              </w:tc>
              <w:tc>
                <w:tcPr>
                  <w:tcW w:w="1320" w:type="dxa"/>
                  <w:tcBorders>
                    <w:tl2br w:val="nil"/>
                    <w:tr2bl w:val="nil"/>
                  </w:tcBorders>
                  <w:noWrap w:val="0"/>
                  <w:vAlign w:val="center"/>
                </w:tcPr>
                <w:p w14:paraId="63177D40">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595" w:type="dxa"/>
                  <w:tcBorders>
                    <w:tl2br w:val="nil"/>
                    <w:tr2bl w:val="nil"/>
                  </w:tcBorders>
                  <w:noWrap w:val="0"/>
                  <w:vAlign w:val="center"/>
                </w:tcPr>
                <w:p w14:paraId="0520385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0.194</w:t>
                  </w:r>
                </w:p>
              </w:tc>
              <w:tc>
                <w:tcPr>
                  <w:tcW w:w="1570" w:type="dxa"/>
                  <w:tcBorders>
                    <w:tl2br w:val="nil"/>
                    <w:tr2bl w:val="nil"/>
                  </w:tcBorders>
                  <w:noWrap w:val="0"/>
                  <w:vAlign w:val="center"/>
                </w:tcPr>
                <w:p w14:paraId="15CA6E9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0.168</w:t>
                  </w:r>
                </w:p>
              </w:tc>
              <w:tc>
                <w:tcPr>
                  <w:tcW w:w="1164" w:type="dxa"/>
                  <w:tcBorders>
                    <w:tl2br w:val="nil"/>
                    <w:tr2bl w:val="nil"/>
                  </w:tcBorders>
                  <w:noWrap w:val="0"/>
                  <w:vAlign w:val="center"/>
                </w:tcPr>
                <w:p w14:paraId="4E7AFE6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3.4</w:t>
                  </w:r>
                </w:p>
              </w:tc>
              <w:tc>
                <w:tcPr>
                  <w:tcW w:w="1158" w:type="dxa"/>
                  <w:tcBorders>
                    <w:tl2br w:val="nil"/>
                    <w:tr2bl w:val="nil"/>
                  </w:tcBorders>
                  <w:noWrap w:val="0"/>
                  <w:vAlign w:val="center"/>
                </w:tcPr>
                <w:p w14:paraId="359BF6C5">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2A64B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l2br w:val="nil"/>
                    <w:tr2bl w:val="nil"/>
                  </w:tcBorders>
                  <w:noWrap w:val="0"/>
                  <w:vAlign w:val="center"/>
                </w:tcPr>
                <w:p w14:paraId="048FD99F">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总铬</w:t>
                  </w:r>
                </w:p>
              </w:tc>
              <w:tc>
                <w:tcPr>
                  <w:tcW w:w="1320" w:type="dxa"/>
                  <w:tcBorders>
                    <w:tl2br w:val="nil"/>
                    <w:tr2bl w:val="nil"/>
                  </w:tcBorders>
                  <w:noWrap w:val="0"/>
                  <w:vAlign w:val="center"/>
                </w:tcPr>
                <w:p w14:paraId="7E6A6614">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595" w:type="dxa"/>
                  <w:tcBorders>
                    <w:tl2br w:val="nil"/>
                    <w:tr2bl w:val="nil"/>
                  </w:tcBorders>
                  <w:noWrap w:val="0"/>
                  <w:vAlign w:val="center"/>
                </w:tcPr>
                <w:p w14:paraId="5041518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34</w:t>
                  </w:r>
                </w:p>
              </w:tc>
              <w:tc>
                <w:tcPr>
                  <w:tcW w:w="1570" w:type="dxa"/>
                  <w:tcBorders>
                    <w:tl2br w:val="nil"/>
                    <w:tr2bl w:val="nil"/>
                  </w:tcBorders>
                  <w:noWrap w:val="0"/>
                  <w:vAlign w:val="center"/>
                </w:tcPr>
                <w:p w14:paraId="2342CC8A">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38</w:t>
                  </w:r>
                </w:p>
              </w:tc>
              <w:tc>
                <w:tcPr>
                  <w:tcW w:w="1164" w:type="dxa"/>
                  <w:tcBorders>
                    <w:tl2br w:val="nil"/>
                    <w:tr2bl w:val="nil"/>
                  </w:tcBorders>
                  <w:noWrap w:val="0"/>
                  <w:vAlign w:val="center"/>
                </w:tcPr>
                <w:p w14:paraId="70F6AC9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250</w:t>
                  </w:r>
                </w:p>
              </w:tc>
              <w:tc>
                <w:tcPr>
                  <w:tcW w:w="1158" w:type="dxa"/>
                  <w:tcBorders>
                    <w:tl2br w:val="nil"/>
                    <w:tr2bl w:val="nil"/>
                  </w:tcBorders>
                  <w:noWrap w:val="0"/>
                  <w:vAlign w:val="center"/>
                </w:tcPr>
                <w:p w14:paraId="2187D634">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6C99C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3" w:type="dxa"/>
                  <w:tcBorders>
                    <w:tl2br w:val="nil"/>
                    <w:tr2bl w:val="nil"/>
                  </w:tcBorders>
                  <w:noWrap w:val="0"/>
                  <w:vAlign w:val="center"/>
                </w:tcPr>
                <w:p w14:paraId="16E4F0D3">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总镍</w:t>
                  </w:r>
                </w:p>
              </w:tc>
              <w:tc>
                <w:tcPr>
                  <w:tcW w:w="1320" w:type="dxa"/>
                  <w:tcBorders>
                    <w:tl2br w:val="nil"/>
                    <w:tr2bl w:val="nil"/>
                  </w:tcBorders>
                  <w:noWrap w:val="0"/>
                  <w:vAlign w:val="center"/>
                </w:tcPr>
                <w:p w14:paraId="251BB4F0">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mg/L</w:t>
                  </w:r>
                </w:p>
              </w:tc>
              <w:tc>
                <w:tcPr>
                  <w:tcW w:w="1595" w:type="dxa"/>
                  <w:tcBorders>
                    <w:tl2br w:val="nil"/>
                    <w:tr2bl w:val="nil"/>
                  </w:tcBorders>
                  <w:noWrap w:val="0"/>
                  <w:vAlign w:val="center"/>
                </w:tcPr>
                <w:p w14:paraId="6BCCAC1A">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w:t>
                  </w:r>
                </w:p>
              </w:tc>
              <w:tc>
                <w:tcPr>
                  <w:tcW w:w="1570" w:type="dxa"/>
                  <w:tcBorders>
                    <w:tl2br w:val="nil"/>
                    <w:tr2bl w:val="nil"/>
                  </w:tcBorders>
                  <w:noWrap w:val="0"/>
                  <w:vAlign w:val="center"/>
                </w:tcPr>
                <w:p w14:paraId="5277018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14</w:t>
                  </w:r>
                </w:p>
              </w:tc>
              <w:tc>
                <w:tcPr>
                  <w:tcW w:w="1164" w:type="dxa"/>
                  <w:tcBorders>
                    <w:tl2br w:val="nil"/>
                    <w:tr2bl w:val="nil"/>
                  </w:tcBorders>
                  <w:noWrap w:val="0"/>
                  <w:vAlign w:val="center"/>
                </w:tcPr>
                <w:p w14:paraId="25CE245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190</w:t>
                  </w:r>
                </w:p>
              </w:tc>
              <w:tc>
                <w:tcPr>
                  <w:tcW w:w="1158" w:type="dxa"/>
                  <w:tcBorders>
                    <w:tl2br w:val="nil"/>
                    <w:tr2bl w:val="nil"/>
                  </w:tcBorders>
                  <w:noWrap w:val="0"/>
                  <w:vAlign w:val="center"/>
                </w:tcPr>
                <w:p w14:paraId="3DAF812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bl>
          <w:p w14:paraId="6E9C8CCA">
            <w:pPr>
              <w:pStyle w:val="11"/>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根据监测数据分析结果，本项目</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三个窑沟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沟道内底泥各项污染物均达标，均满足《土壤环境质量 农用地土壤污染风险管控标准（试行）》（GB15618-2018）标准。</w:t>
            </w:r>
          </w:p>
          <w:p w14:paraId="79AE6F3E">
            <w:pPr>
              <w:pStyle w:val="11"/>
              <w:spacing w:line="360" w:lineRule="auto"/>
              <w:ind w:firstLine="480" w:firstLineChars="200"/>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6、声环境</w:t>
            </w:r>
            <w:r>
              <w:rPr>
                <w:rFonts w:hint="eastAsia"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质量现状</w:t>
            </w:r>
          </w:p>
          <w:p w14:paraId="7520892D">
            <w:pPr>
              <w:pStyle w:val="67"/>
              <w:keepNext w:val="0"/>
              <w:keepLines w:val="0"/>
              <w:pageBreakBefore w:val="0"/>
              <w:suppressLineNumbers w:val="0"/>
              <w:kinsoku/>
              <w:wordWrap/>
              <w:topLinePunct w:val="0"/>
              <w:bidi w:val="0"/>
              <w:adjustRightInd w:val="0"/>
              <w:snapToGrid w:val="0"/>
              <w:spacing w:before="0" w:beforeAutospacing="0" w:after="0" w:afterAutospacing="0" w:line="360" w:lineRule="auto"/>
              <w:ind w:left="0" w:right="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根据实地调查，本项目外周边50米范围有居民区声环境保护目标杨滩村。因此，本次委托甘肃亿源环境检测科技有限公司于2026年2月11日对居民区声环境开展了监测。项目敏感目标分布图见图3-6。</w:t>
            </w:r>
          </w:p>
          <w:p w14:paraId="1999031C">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（1）监测布点</w:t>
            </w:r>
          </w:p>
          <w:p w14:paraId="6B0DA794">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w:t>
            </w:r>
            <w:r>
              <w:rPr>
                <w:rFonts w:hint="eastAsia" w:eastAsia="宋体" w:cs="Times New Roman"/>
                <w:color w:val="000000" w:themeColor="text1"/>
                <w:sz w:val="24"/>
                <w:szCs w:val="24"/>
                <w:lang w:val="en-US" w:eastAsia="zh-CN"/>
                <w14:textFill>
                  <w14:solidFill>
                    <w14:schemeClr w14:val="tx1"/>
                  </w14:solidFill>
                </w14:textFill>
              </w:rPr>
              <w:t>声环境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敏感目标</w:t>
            </w:r>
            <w:r>
              <w:rPr>
                <w:rFonts w:hint="eastAsia" w:eastAsia="宋体" w:cs="Times New Roman"/>
                <w:color w:val="000000" w:themeColor="text1"/>
                <w:sz w:val="24"/>
                <w:szCs w:val="24"/>
                <w:lang w:val="en-US" w:eastAsia="zh-CN"/>
                <w14:textFill>
                  <w14:solidFill>
                    <w14:schemeClr w14:val="tx1"/>
                  </w14:solidFill>
                </w14:textFill>
              </w:rPr>
              <w:t>杨滩村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处、项目起点处、项目与滨河南路交界处南侧各设置1个监测点，共</w:t>
            </w:r>
            <w:r>
              <w:rPr>
                <w:rFonts w:hint="default" w:ascii="Times New Roman" w:hAnsi="Times New Roman" w:eastAsia="宋体" w:cs="Times New Roman"/>
                <w:color w:val="000000" w:themeColor="text1"/>
                <w:sz w:val="24"/>
                <w:szCs w:val="24"/>
                <w14:textFill>
                  <w14:solidFill>
                    <w14:schemeClr w14:val="tx1"/>
                  </w14:solidFill>
                </w14:textFill>
              </w:rPr>
              <w:t>布设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个监测点；</w:t>
            </w:r>
          </w:p>
          <w:p w14:paraId="024FEE48">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eastAsia="宋体" w:cs="Times New Roman"/>
                <w:color w:val="000000" w:themeColor="text1"/>
                <w:sz w:val="24"/>
                <w:szCs w:val="24"/>
                <w:lang w:val="en-US" w:eastAsia="zh-CN"/>
                <w14:textFill>
                  <w14:solidFill>
                    <w14:schemeClr w14:val="tx1"/>
                  </w14:solidFill>
                </w14:textFill>
              </w:rPr>
              <w:t>经现场调查，本项目杨滩村在评价范围内的部分仅为几户散户居民，且住宅均为平房，本项目选择最靠近本项目、受本项目噪声影响最大的住户为监测点进行监测。</w:t>
            </w:r>
          </w:p>
          <w:p w14:paraId="57214907">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）监测因子及频率</w:t>
            </w:r>
          </w:p>
          <w:p w14:paraId="72E2BBB7">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监测因子：等效连续A声级</w:t>
            </w:r>
          </w:p>
          <w:p w14:paraId="7AB0147A">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监测频率：昼间（6：00～22：00）和夜间（22：00～6：00）两个时段，昼、夜各1次，监测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天。</w:t>
            </w:r>
          </w:p>
          <w:p w14:paraId="35912C85">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）监测仪器</w:t>
            </w:r>
          </w:p>
          <w:p w14:paraId="515BA3FE">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仪器名称：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多功能声级计AWA5688</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8CF883E">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）评价标准</w:t>
            </w:r>
          </w:p>
          <w:p w14:paraId="581E741C">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根据《声环境质量标准》（GB3096-2008）中各类标准适用区域的说明，本项目所在地为乡村居住环境，属于区域环境噪声1类标准适用区，因此执行1类标准：昼间55dB（A）、夜间45dB（A）。</w:t>
            </w:r>
          </w:p>
          <w:p w14:paraId="01C275BF">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）监测结果分析与评价</w:t>
            </w:r>
          </w:p>
          <w:p w14:paraId="128048D6">
            <w:pPr>
              <w:pStyle w:val="7"/>
              <w:adjustRightInd w:val="0"/>
              <w:snapToGrid w:val="0"/>
              <w:spacing w:after="0"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检测结果见表3-3。</w:t>
            </w:r>
          </w:p>
          <w:p w14:paraId="24CDE1B9">
            <w:pPr>
              <w:spacing w:after="0" w:line="400" w:lineRule="exact"/>
              <w:jc w:val="center"/>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表3-</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环境噪声现状监测结果表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3686"/>
              <w:gridCol w:w="1903"/>
              <w:gridCol w:w="1510"/>
            </w:tblGrid>
            <w:tr w14:paraId="16115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3" w:type="dxa"/>
                  <w:vMerge w:val="restart"/>
                  <w:noWrap w:val="0"/>
                  <w:vAlign w:val="center"/>
                </w:tcPr>
                <w:p w14:paraId="31AD3441">
                  <w:pPr>
                    <w:spacing w:after="0" w:line="300" w:lineRule="exact"/>
                    <w:jc w:val="center"/>
                    <w:rPr>
                      <w:rStyle w:val="84"/>
                      <w:rFonts w:hint="default" w:ascii="Times New Roman" w:hAnsi="Times New Roman" w:cs="Times New Roman"/>
                      <w:b/>
                      <w:bCs/>
                      <w:color w:val="000000" w:themeColor="text1"/>
                      <w:sz w:val="21"/>
                      <w:szCs w:val="21"/>
                      <w14:textFill>
                        <w14:solidFill>
                          <w14:schemeClr w14:val="tx1"/>
                        </w14:solidFill>
                      </w14:textFill>
                    </w:rPr>
                  </w:pPr>
                  <w:r>
                    <w:rPr>
                      <w:rStyle w:val="84"/>
                      <w:rFonts w:hint="default" w:ascii="Times New Roman" w:hAnsi="Times New Roman" w:cs="Times New Roman"/>
                      <w:b/>
                      <w:bCs/>
                      <w:color w:val="000000" w:themeColor="text1"/>
                      <w:sz w:val="21"/>
                      <w:szCs w:val="21"/>
                      <w14:textFill>
                        <w14:solidFill>
                          <w14:schemeClr w14:val="tx1"/>
                        </w14:solidFill>
                      </w14:textFill>
                    </w:rPr>
                    <w:t>序号</w:t>
                  </w:r>
                </w:p>
              </w:tc>
              <w:tc>
                <w:tcPr>
                  <w:tcW w:w="3530" w:type="dxa"/>
                  <w:vMerge w:val="restart"/>
                  <w:noWrap w:val="0"/>
                  <w:vAlign w:val="center"/>
                </w:tcPr>
                <w:p w14:paraId="7D5830DA">
                  <w:pPr>
                    <w:spacing w:after="0" w:line="300" w:lineRule="exact"/>
                    <w:jc w:val="center"/>
                    <w:rPr>
                      <w:rStyle w:val="84"/>
                      <w:rFonts w:hint="default" w:ascii="Times New Roman" w:hAnsi="Times New Roman" w:cs="Times New Roman"/>
                      <w:b/>
                      <w:bCs/>
                      <w:color w:val="000000" w:themeColor="text1"/>
                      <w:sz w:val="21"/>
                      <w:szCs w:val="21"/>
                      <w14:textFill>
                        <w14:solidFill>
                          <w14:schemeClr w14:val="tx1"/>
                        </w14:solidFill>
                      </w14:textFill>
                    </w:rPr>
                  </w:pPr>
                  <w:r>
                    <w:rPr>
                      <w:rStyle w:val="84"/>
                      <w:rFonts w:hint="default" w:ascii="Times New Roman" w:hAnsi="Times New Roman" w:cs="Times New Roman"/>
                      <w:b/>
                      <w:bCs/>
                      <w:color w:val="000000" w:themeColor="text1"/>
                      <w:sz w:val="21"/>
                      <w:szCs w:val="21"/>
                      <w14:textFill>
                        <w14:solidFill>
                          <w14:schemeClr w14:val="tx1"/>
                        </w14:solidFill>
                      </w14:textFill>
                    </w:rPr>
                    <w:t>点位描述</w:t>
                  </w:r>
                </w:p>
              </w:tc>
              <w:tc>
                <w:tcPr>
                  <w:tcW w:w="3268" w:type="dxa"/>
                  <w:gridSpan w:val="2"/>
                  <w:noWrap w:val="0"/>
                  <w:vAlign w:val="center"/>
                </w:tcPr>
                <w:p w14:paraId="01A2932F">
                  <w:pPr>
                    <w:spacing w:after="0" w:line="300" w:lineRule="exact"/>
                    <w:jc w:val="center"/>
                    <w:rPr>
                      <w:rStyle w:val="84"/>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Style w:val="84"/>
                      <w:rFonts w:hint="default" w:ascii="Times New Roman" w:hAnsi="Times New Roman" w:cs="Times New Roman"/>
                      <w:b/>
                      <w:bCs/>
                      <w:color w:val="000000" w:themeColor="text1"/>
                      <w:sz w:val="21"/>
                      <w:szCs w:val="21"/>
                      <w:lang w:val="en-US" w:eastAsia="zh-CN"/>
                      <w14:textFill>
                        <w14:solidFill>
                          <w14:schemeClr w14:val="tx1"/>
                        </w14:solidFill>
                      </w14:textFill>
                    </w:rPr>
                    <w:t>2月11日</w:t>
                  </w:r>
                </w:p>
              </w:tc>
            </w:tr>
            <w:tr w14:paraId="038AA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3" w:type="dxa"/>
                  <w:vMerge w:val="continue"/>
                  <w:noWrap w:val="0"/>
                  <w:vAlign w:val="center"/>
                </w:tcPr>
                <w:p w14:paraId="4C571D96">
                  <w:pPr>
                    <w:spacing w:after="0" w:line="300" w:lineRule="exact"/>
                    <w:jc w:val="center"/>
                    <w:rPr>
                      <w:rFonts w:hint="default" w:ascii="Times New Roman" w:hAnsi="Times New Roman" w:cs="Times New Roman"/>
                      <w:color w:val="000000" w:themeColor="text1"/>
                      <w14:textFill>
                        <w14:solidFill>
                          <w14:schemeClr w14:val="tx1"/>
                        </w14:solidFill>
                      </w14:textFill>
                    </w:rPr>
                  </w:pPr>
                </w:p>
              </w:tc>
              <w:tc>
                <w:tcPr>
                  <w:tcW w:w="3530" w:type="dxa"/>
                  <w:vMerge w:val="continue"/>
                  <w:noWrap w:val="0"/>
                  <w:vAlign w:val="center"/>
                </w:tcPr>
                <w:p w14:paraId="589B7C64">
                  <w:pPr>
                    <w:spacing w:after="0" w:line="300" w:lineRule="exact"/>
                    <w:jc w:val="center"/>
                    <w:rPr>
                      <w:rFonts w:hint="default" w:ascii="Times New Roman" w:hAnsi="Times New Roman" w:cs="Times New Roman"/>
                      <w:color w:val="000000" w:themeColor="text1"/>
                      <w14:textFill>
                        <w14:solidFill>
                          <w14:schemeClr w14:val="tx1"/>
                        </w14:solidFill>
                      </w14:textFill>
                    </w:rPr>
                  </w:pPr>
                </w:p>
              </w:tc>
              <w:tc>
                <w:tcPr>
                  <w:tcW w:w="1822" w:type="dxa"/>
                  <w:noWrap w:val="0"/>
                  <w:vAlign w:val="center"/>
                </w:tcPr>
                <w:p w14:paraId="3A81E365">
                  <w:pPr>
                    <w:spacing w:after="0" w:line="300" w:lineRule="exact"/>
                    <w:jc w:val="center"/>
                    <w:rPr>
                      <w:rStyle w:val="84"/>
                      <w:rFonts w:hint="default" w:ascii="Times New Roman" w:hAnsi="Times New Roman" w:cs="Times New Roman"/>
                      <w:b/>
                      <w:bCs/>
                      <w:color w:val="000000" w:themeColor="text1"/>
                      <w:sz w:val="21"/>
                      <w:szCs w:val="21"/>
                      <w14:textFill>
                        <w14:solidFill>
                          <w14:schemeClr w14:val="tx1"/>
                        </w14:solidFill>
                      </w14:textFill>
                    </w:rPr>
                  </w:pPr>
                  <w:r>
                    <w:rPr>
                      <w:rStyle w:val="84"/>
                      <w:rFonts w:hint="default" w:ascii="Times New Roman" w:hAnsi="Times New Roman" w:cs="Times New Roman"/>
                      <w:b/>
                      <w:bCs/>
                      <w:color w:val="000000" w:themeColor="text1"/>
                      <w:sz w:val="21"/>
                      <w:szCs w:val="21"/>
                      <w14:textFill>
                        <w14:solidFill>
                          <w14:schemeClr w14:val="tx1"/>
                        </w14:solidFill>
                      </w14:textFill>
                    </w:rPr>
                    <w:t>昼间dB(A)</w:t>
                  </w:r>
                </w:p>
              </w:tc>
              <w:tc>
                <w:tcPr>
                  <w:tcW w:w="1446" w:type="dxa"/>
                  <w:noWrap w:val="0"/>
                  <w:vAlign w:val="center"/>
                </w:tcPr>
                <w:p w14:paraId="3DD8DABA">
                  <w:pPr>
                    <w:spacing w:after="0" w:line="300" w:lineRule="exact"/>
                    <w:jc w:val="center"/>
                    <w:rPr>
                      <w:rStyle w:val="84"/>
                      <w:rFonts w:hint="default" w:ascii="Times New Roman" w:hAnsi="Times New Roman" w:cs="Times New Roman"/>
                      <w:b/>
                      <w:bCs/>
                      <w:color w:val="000000" w:themeColor="text1"/>
                      <w:sz w:val="21"/>
                      <w:szCs w:val="21"/>
                      <w14:textFill>
                        <w14:solidFill>
                          <w14:schemeClr w14:val="tx1"/>
                        </w14:solidFill>
                      </w14:textFill>
                    </w:rPr>
                  </w:pPr>
                  <w:r>
                    <w:rPr>
                      <w:rStyle w:val="84"/>
                      <w:rFonts w:hint="default" w:ascii="Times New Roman" w:hAnsi="Times New Roman" w:cs="Times New Roman"/>
                      <w:b/>
                      <w:bCs/>
                      <w:color w:val="000000" w:themeColor="text1"/>
                      <w:sz w:val="21"/>
                      <w:szCs w:val="21"/>
                      <w14:textFill>
                        <w14:solidFill>
                          <w14:schemeClr w14:val="tx1"/>
                        </w14:solidFill>
                      </w14:textFill>
                    </w:rPr>
                    <w:t>夜间dB(A)</w:t>
                  </w:r>
                </w:p>
              </w:tc>
            </w:tr>
            <w:tr w14:paraId="5905A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3" w:type="dxa"/>
                  <w:noWrap w:val="0"/>
                  <w:vAlign w:val="center"/>
                </w:tcPr>
                <w:p w14:paraId="753F95C4">
                  <w:pPr>
                    <w:pStyle w:val="4"/>
                    <w:spacing w:after="0" w:line="300" w:lineRule="exact"/>
                    <w:jc w:val="center"/>
                    <w:outlineLvl w:val="2"/>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1</w:t>
                  </w:r>
                </w:p>
              </w:tc>
              <w:tc>
                <w:tcPr>
                  <w:tcW w:w="3530" w:type="dxa"/>
                  <w:noWrap w:val="0"/>
                  <w:vAlign w:val="center"/>
                </w:tcPr>
                <w:p w14:paraId="6B10037F">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杨滩村</w:t>
                  </w:r>
                </w:p>
              </w:tc>
              <w:tc>
                <w:tcPr>
                  <w:tcW w:w="1822" w:type="dxa"/>
                  <w:noWrap w:val="0"/>
                  <w:vAlign w:val="center"/>
                </w:tcPr>
                <w:p w14:paraId="1E77D73C">
                  <w:pPr>
                    <w:keepNext w:val="0"/>
                    <w:keepLines w:val="0"/>
                    <w:widowControl/>
                    <w:suppressLineNumbers w:val="0"/>
                    <w:spacing w:after="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52</w:t>
                  </w:r>
                </w:p>
              </w:tc>
              <w:tc>
                <w:tcPr>
                  <w:tcW w:w="1446" w:type="dxa"/>
                  <w:noWrap w:val="0"/>
                  <w:vAlign w:val="center"/>
                </w:tcPr>
                <w:p w14:paraId="3ED56CB7">
                  <w:pPr>
                    <w:keepNext w:val="0"/>
                    <w:keepLines w:val="0"/>
                    <w:widowControl/>
                    <w:suppressLineNumbers w:val="0"/>
                    <w:spacing w:after="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41</w:t>
                  </w:r>
                </w:p>
              </w:tc>
            </w:tr>
            <w:tr w14:paraId="726A5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3" w:type="dxa"/>
                  <w:noWrap w:val="0"/>
                  <w:vAlign w:val="center"/>
                </w:tcPr>
                <w:p w14:paraId="6656EEF5">
                  <w:pPr>
                    <w:pStyle w:val="4"/>
                    <w:spacing w:after="0" w:line="300" w:lineRule="exact"/>
                    <w:jc w:val="center"/>
                    <w:outlineLvl w:val="2"/>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2</w:t>
                  </w:r>
                </w:p>
              </w:tc>
              <w:tc>
                <w:tcPr>
                  <w:tcW w:w="3530" w:type="dxa"/>
                  <w:noWrap w:val="0"/>
                  <w:vAlign w:val="center"/>
                </w:tcPr>
                <w:p w14:paraId="27077BCE">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项目起点</w:t>
                  </w:r>
                </w:p>
              </w:tc>
              <w:tc>
                <w:tcPr>
                  <w:tcW w:w="1822" w:type="dxa"/>
                  <w:noWrap w:val="0"/>
                  <w:vAlign w:val="center"/>
                </w:tcPr>
                <w:p w14:paraId="379B1094">
                  <w:pPr>
                    <w:keepNext w:val="0"/>
                    <w:keepLines w:val="0"/>
                    <w:widowControl/>
                    <w:suppressLineNumbers w:val="0"/>
                    <w:spacing w:after="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1446" w:type="dxa"/>
                  <w:noWrap w:val="0"/>
                  <w:vAlign w:val="center"/>
                </w:tcPr>
                <w:p w14:paraId="054B1743">
                  <w:pPr>
                    <w:keepNext w:val="0"/>
                    <w:keepLines w:val="0"/>
                    <w:widowControl/>
                    <w:suppressLineNumbers w:val="0"/>
                    <w:spacing w:after="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40</w:t>
                  </w:r>
                </w:p>
              </w:tc>
            </w:tr>
            <w:tr w14:paraId="32589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3" w:type="dxa"/>
                  <w:noWrap w:val="0"/>
                  <w:vAlign w:val="center"/>
                </w:tcPr>
                <w:p w14:paraId="71F8FE83">
                  <w:pPr>
                    <w:pStyle w:val="4"/>
                    <w:spacing w:after="0" w:line="300" w:lineRule="exact"/>
                    <w:jc w:val="center"/>
                    <w:outlineLvl w:val="2"/>
                    <w:rPr>
                      <w:rFonts w:hint="default" w:ascii="Times New Roman" w:hAnsi="Times New Roman" w:cs="Times New Roman"/>
                      <w:b w:val="0"/>
                      <w:bCs w:val="0"/>
                      <w:color w:val="000000" w:themeColor="text1"/>
                      <w:sz w:val="21"/>
                      <w:szCs w:val="21"/>
                      <w:lang w:val="en-US"/>
                      <w14:textFill>
                        <w14:solidFill>
                          <w14:schemeClr w14:val="tx1"/>
                        </w14:solidFill>
                      </w14:textFill>
                    </w:rPr>
                  </w:pPr>
                  <w:r>
                    <w:rPr>
                      <w:rFonts w:hint="default" w:ascii="Times New Roman" w:hAnsi="Times New Roman" w:cs="Times New Roman"/>
                      <w:b w:val="0"/>
                      <w:bCs w:val="0"/>
                      <w:color w:val="000000" w:themeColor="text1"/>
                      <w:sz w:val="21"/>
                      <w:szCs w:val="21"/>
                      <w:lang w:val="en-US"/>
                      <w14:textFill>
                        <w14:solidFill>
                          <w14:schemeClr w14:val="tx1"/>
                        </w14:solidFill>
                      </w14:textFill>
                    </w:rPr>
                    <w:t>3</w:t>
                  </w:r>
                </w:p>
              </w:tc>
              <w:tc>
                <w:tcPr>
                  <w:tcW w:w="3530" w:type="dxa"/>
                  <w:noWrap w:val="0"/>
                  <w:vAlign w:val="center"/>
                </w:tcPr>
                <w:p w14:paraId="529E959B">
                  <w:pPr>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三个窑沟与滨河南路交界处南侧</w:t>
                  </w:r>
                </w:p>
              </w:tc>
              <w:tc>
                <w:tcPr>
                  <w:tcW w:w="1822" w:type="dxa"/>
                  <w:noWrap w:val="0"/>
                  <w:vAlign w:val="center"/>
                </w:tcPr>
                <w:p w14:paraId="1A7F69B2">
                  <w:pPr>
                    <w:keepNext w:val="0"/>
                    <w:keepLines w:val="0"/>
                    <w:widowControl/>
                    <w:suppressLineNumbers w:val="0"/>
                    <w:spacing w:after="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51</w:t>
                  </w:r>
                </w:p>
              </w:tc>
              <w:tc>
                <w:tcPr>
                  <w:tcW w:w="1446" w:type="dxa"/>
                  <w:noWrap w:val="0"/>
                  <w:vAlign w:val="center"/>
                </w:tcPr>
                <w:p w14:paraId="74D77561">
                  <w:pPr>
                    <w:keepNext w:val="0"/>
                    <w:keepLines w:val="0"/>
                    <w:widowControl/>
                    <w:suppressLineNumbers w:val="0"/>
                    <w:spacing w:after="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42</w:t>
                  </w:r>
                </w:p>
              </w:tc>
            </w:tr>
          </w:tbl>
          <w:p w14:paraId="2A2AA30A">
            <w:pPr>
              <w:adjustRightInd w:val="0"/>
              <w:snapToGrid w:val="0"/>
              <w:spacing w:before="120" w:beforeLines="50" w:after="0"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由上表可知，本项目昼间等效声级在</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eastAsia"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52</w:t>
            </w:r>
            <w:r>
              <w:rPr>
                <w:rFonts w:hint="default" w:ascii="Times New Roman" w:hAnsi="Times New Roman" w:cs="Times New Roman"/>
                <w:color w:val="000000" w:themeColor="text1"/>
                <w:sz w:val="24"/>
                <w14:textFill>
                  <w14:solidFill>
                    <w14:schemeClr w14:val="tx1"/>
                  </w14:solidFill>
                </w14:textFill>
              </w:rPr>
              <w:t>dB(A)之间，夜间等效声级在</w:t>
            </w:r>
            <w:r>
              <w:rPr>
                <w:rFonts w:hint="default" w:ascii="Times New Roman" w:hAnsi="Times New Roman" w:cs="Times New Roman"/>
                <w:color w:val="000000" w:themeColor="text1"/>
                <w:sz w:val="24"/>
                <w:lang w:val="en-US" w:eastAsia="zh-CN"/>
                <w14:textFill>
                  <w14:solidFill>
                    <w14:schemeClr w14:val="tx1"/>
                  </w14:solidFill>
                </w14:textFill>
              </w:rPr>
              <w:t>40</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42</w:t>
            </w:r>
            <w:r>
              <w:rPr>
                <w:rFonts w:hint="default" w:ascii="Times New Roman" w:hAnsi="Times New Roman" w:cs="Times New Roman"/>
                <w:color w:val="000000" w:themeColor="text1"/>
                <w:sz w:val="24"/>
                <w14:textFill>
                  <w14:solidFill>
                    <w14:schemeClr w14:val="tx1"/>
                  </w14:solidFill>
                </w14:textFill>
              </w:rPr>
              <w:t>dB(A)之间，均符合《声环境质量标准》（GB3096-2008）的</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类标准要求。</w:t>
            </w:r>
          </w:p>
          <w:p w14:paraId="493335AE">
            <w:pPr>
              <w:tabs>
                <w:tab w:val="left" w:pos="6384"/>
              </w:tabs>
              <w:adjustRightInd w:val="0"/>
              <w:snapToGrid w:val="0"/>
              <w:spacing w:line="360" w:lineRule="auto"/>
              <w:ind w:firstLine="480" w:firstLineChars="200"/>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7、地下水、土壤环境质量现状</w:t>
            </w:r>
          </w:p>
          <w:p w14:paraId="51B11664">
            <w:pPr>
              <w:tabs>
                <w:tab w:val="left" w:pos="6384"/>
              </w:tabs>
              <w:adjustRightInd w:val="0"/>
              <w:snapToGrid w:val="0"/>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本项目为</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沟道治理项目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，根据《环境影响评价技术导则 地下水环境》（HJ610-2016）附录A，确定本</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所属的地下水环境影响评价项目类别为Ⅳ类，不需要开展地下水评价工作。</w:t>
            </w:r>
          </w:p>
          <w:p w14:paraId="68D0A86A">
            <w:pPr>
              <w:tabs>
                <w:tab w:val="left" w:pos="6384"/>
              </w:tabs>
              <w:adjustRightInd w:val="0"/>
              <w:snapToGrid w:val="0"/>
              <w:spacing w:line="360" w:lineRule="auto"/>
              <w:ind w:firstLine="480" w:firstLineChars="200"/>
              <w:rPr>
                <w:rFonts w:hint="default" w:ascii="Times New Roman" w:hAnsi="Times New Roman" w:eastAsia="仿宋_GB2312"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根据《环境影响评价技术导则 土壤环境（试行）》（HJ964-2018）附录A，本项目</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属于其他</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行业。根据《环境影响评价技术导则 土壤环境（试行）》（HJ964-2018）中评价工作等级划分依据，本</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不需要开展土壤评价工作。</w:t>
            </w:r>
          </w:p>
        </w:tc>
      </w:tr>
      <w:tr w14:paraId="2D765BE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429" w:type="dxa"/>
            <w:tcBorders>
              <w:tl2br w:val="nil"/>
              <w:tr2bl w:val="nil"/>
            </w:tcBorders>
            <w:vAlign w:val="center"/>
          </w:tcPr>
          <w:p w14:paraId="4ADCBCFE">
            <w:pPr>
              <w:adjustRightInd w:val="0"/>
              <w:snapToGrid w:val="0"/>
              <w:jc w:val="center"/>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eastAsia="zh-CN"/>
                <w14:textFill>
                  <w14:solidFill>
                    <w14:schemeClr w14:val="tx1"/>
                  </w14:solidFill>
                </w14:textFill>
              </w:rPr>
              <w:t>与项目有关的原有环境污染和生态破坏问题</w:t>
            </w:r>
          </w:p>
        </w:tc>
        <w:tc>
          <w:tcPr>
            <w:tcW w:w="8561" w:type="dxa"/>
            <w:tcBorders>
              <w:tl2br w:val="nil"/>
              <w:tr2bl w:val="nil"/>
            </w:tcBorders>
            <w:vAlign w:val="center"/>
          </w:tcPr>
          <w:p w14:paraId="4AE30DDB">
            <w:pPr>
              <w:tabs>
                <w:tab w:val="left" w:pos="6384"/>
              </w:tabs>
              <w:adjustRightInd w:val="0"/>
              <w:snapToGrid w:val="0"/>
              <w:spacing w:line="360" w:lineRule="auto"/>
              <w:ind w:firstLine="480" w:firstLineChars="200"/>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1、项目现有情况及存在问题</w:t>
            </w:r>
          </w:p>
          <w:p w14:paraId="03BEF0CF">
            <w:pPr>
              <w:pStyle w:val="9"/>
              <w:adjustRightInd w:val="0"/>
              <w:spacing w:before="0" w:after="0" w:line="360" w:lineRule="auto"/>
              <w:ind w:right="0"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（1）部分河段沟道淤泥淤积挤占严重，沟道过流能力不足。</w:t>
            </w:r>
          </w:p>
          <w:p w14:paraId="68C5E204">
            <w:pPr>
              <w:pStyle w:val="9"/>
              <w:adjustRightInd w:val="0"/>
              <w:spacing w:before="0" w:after="0" w:line="360" w:lineRule="auto"/>
              <w:ind w:right="0"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三个窑沟进入灌区后，部分段落现状沟道宽度40--200m，沟道内淤积挤占严重，通过水力计算如遇10年一遇洪水，部分段落洪水将漫过沟拜，对两岸农田及村庄造成损失。</w:t>
            </w:r>
          </w:p>
          <w:p w14:paraId="7AE32233">
            <w:pPr>
              <w:pStyle w:val="9"/>
              <w:adjustRightInd w:val="0"/>
              <w:spacing w:before="0" w:after="0" w:line="360" w:lineRule="auto"/>
              <w:ind w:right="0"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（2）滨河南路过水路面高程较高，阻碍洪水下泄</w:t>
            </w:r>
          </w:p>
          <w:p w14:paraId="3B05377B">
            <w:pPr>
              <w:pStyle w:val="9"/>
              <w:adjustRightInd w:val="0"/>
              <w:spacing w:before="0" w:after="0" w:line="360" w:lineRule="auto"/>
              <w:ind w:right="0"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沟道下游入河口处因滨河南路过水路面阻水，导致沟道过高速公路处至入河口段落淤积严重。</w:t>
            </w:r>
          </w:p>
          <w:p w14:paraId="345AF5D9">
            <w:pPr>
              <w:pStyle w:val="9"/>
              <w:adjustRightInd w:val="0"/>
              <w:spacing w:before="0" w:after="0" w:line="360" w:lineRule="auto"/>
              <w:ind w:right="0"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2、整改措施</w:t>
            </w:r>
          </w:p>
          <w:p w14:paraId="4930125B">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（1）沟道清淤疏浚工程：对三个窑沟桩号K45+610--K47+010段沟道进行清淤疏浚治理，沟道清淤疏浚1.4km。</w:t>
            </w:r>
          </w:p>
          <w:p w14:paraId="643E3C12">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护岸</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工程：</w:t>
            </w:r>
          </w:p>
          <w:p w14:paraId="132884FF">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对桩号K40+983--K41+148段左岸护坡（134m），采用浆砌石墙式护坡砌护，砌护高度1.5m；</w:t>
            </w:r>
          </w:p>
          <w:p w14:paraId="22F7A8C6">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对桩号K41+185--K41+565段右岸护坡（381m），采用浆砌石墙式护坡砌护，砌护高度1.3m；</w:t>
            </w:r>
          </w:p>
          <w:p w14:paraId="6F7456DF">
            <w:pPr>
              <w:pStyle w:val="9"/>
              <w:adjustRightInd w:val="0"/>
              <w:spacing w:before="0" w:after="0" w:line="360" w:lineRule="auto"/>
              <w:ind w:right="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③</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对桩号K44+830--K44+920段左岸护坡（120m），采用浆砌石坡式护坡砌护，砌护高度1.2m</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p>
          <w:p w14:paraId="139C81AB">
            <w:pPr>
              <w:adjustRightInd w:val="0"/>
              <w:snapToGrid w:val="0"/>
              <w:spacing w:line="360" w:lineRule="auto"/>
              <w:ind w:firstLine="480" w:firstLineChars="200"/>
              <w:rPr>
                <w:rFonts w:hint="default" w:ascii="Times New Roman" w:hAnsi="Times New Roman" w:eastAsia="仿宋_GB2312"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自动化设备布设</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工程</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：桩号K46+660处建设视频</w:t>
            </w:r>
            <w:r>
              <w:rPr>
                <w:rFonts w:hint="eastAsia" w:cs="Times New Roman"/>
                <w:color w:val="000000" w:themeColor="text1"/>
                <w:kern w:val="0"/>
                <w:sz w:val="24"/>
                <w:szCs w:val="24"/>
                <w:highlight w:val="none"/>
                <w:lang w:val="en-US" w:eastAsia="zh-CN" w:bidi="ar-SA"/>
                <w14:textFill>
                  <w14:solidFill>
                    <w14:schemeClr w14:val="tx1"/>
                  </w14:solidFill>
                </w14:textFill>
              </w:rPr>
              <w:t>水位</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一体化监测站1座。</w:t>
            </w:r>
          </w:p>
        </w:tc>
      </w:tr>
      <w:tr w14:paraId="529962A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38" w:hRule="atLeast"/>
          <w:jc w:val="center"/>
        </w:trPr>
        <w:tc>
          <w:tcPr>
            <w:tcW w:w="429" w:type="dxa"/>
            <w:tcBorders>
              <w:tl2br w:val="nil"/>
              <w:tr2bl w:val="nil"/>
            </w:tcBorders>
            <w:vAlign w:val="center"/>
          </w:tcPr>
          <w:p w14:paraId="2D15EC06">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lang w:eastAsia="zh-CN"/>
                <w14:textFill>
                  <w14:solidFill>
                    <w14:schemeClr w14:val="tx1"/>
                  </w14:solidFill>
                </w14:textFill>
              </w:rPr>
              <w:t>生态</w:t>
            </w:r>
            <w:r>
              <w:rPr>
                <w:rFonts w:hint="default" w:ascii="Times New Roman" w:hAnsi="Times New Roman" w:cs="Times New Roman"/>
                <w:b/>
                <w:bCs/>
                <w:color w:val="000000" w:themeColor="text1"/>
                <w:kern w:val="0"/>
                <w:sz w:val="24"/>
                <w:highlight w:val="none"/>
                <w14:textFill>
                  <w14:solidFill>
                    <w14:schemeClr w14:val="tx1"/>
                  </w14:solidFill>
                </w14:textFill>
              </w:rPr>
              <w:t>环境</w:t>
            </w:r>
          </w:p>
          <w:p w14:paraId="1356A9D7">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保护</w:t>
            </w:r>
          </w:p>
          <w:p w14:paraId="2E821339">
            <w:pPr>
              <w:adjustRightInd w:val="0"/>
              <w:snapToGrid w:val="0"/>
              <w:jc w:val="center"/>
              <w:rPr>
                <w:rFonts w:hint="default" w:ascii="Times New Roman" w:hAnsi="Times New Roman" w:eastAsia="仿宋_GB2312"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目标</w:t>
            </w:r>
          </w:p>
        </w:tc>
        <w:tc>
          <w:tcPr>
            <w:tcW w:w="8561" w:type="dxa"/>
            <w:tcBorders>
              <w:tl2br w:val="nil"/>
              <w:tr2bl w:val="nil"/>
            </w:tcBorders>
            <w:vAlign w:val="center"/>
          </w:tcPr>
          <w:p w14:paraId="49746B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根据《建设项目环境影响报告表编制技术指南》（生态影响类）（试行），按照环境影响评价相关技术导则要求确定评价范围并识别环境保护目标。</w:t>
            </w:r>
          </w:p>
          <w:p w14:paraId="26591ED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color w:val="000000" w:themeColor="text1"/>
                <w:sz w:val="24"/>
                <w:szCs w:val="24"/>
                <w:lang w:val="en-US" w:eastAsia="zh-CN"/>
                <w14:textFill>
                  <w14:solidFill>
                    <w14:schemeClr w14:val="tx1"/>
                  </w14:solidFill>
                </w14:textFill>
              </w:rPr>
              <w:t>1、生态环境评价范围及环境保护目标</w:t>
            </w:r>
          </w:p>
          <w:p w14:paraId="7D4E7D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（1）评价等级</w:t>
            </w:r>
          </w:p>
          <w:p w14:paraId="735049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根据《环境影响评价技术导则生态影响》（HJ19-2022），生态敏感区包括法定生态保护区域、重要生境以及其他具有重要生态功能、对保护生物多样性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w:t>
            </w:r>
          </w:p>
          <w:p w14:paraId="73E766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占地内不涉及国家公园、自然保护区、自然公园等自然保护地、世界自然遗产、生态保护红线等生态保护区域和重要生境以及其他具有重要生态功能、对保护生物多样性具有重要意义的区域。本项目总用地面积</w:t>
            </w:r>
            <w:r>
              <w:rPr>
                <w:rFonts w:hint="eastAsia" w:cs="Times New Roman"/>
                <w:b w:val="0"/>
                <w:bCs w:val="0"/>
                <w:color w:val="000000" w:themeColor="text1"/>
                <w:kern w:val="2"/>
                <w:sz w:val="24"/>
                <w:szCs w:val="24"/>
                <w:lang w:val="en-US" w:eastAsia="zh-CN" w:bidi="ar-SA"/>
                <w14:textFill>
                  <w14:solidFill>
                    <w14:schemeClr w14:val="tx1"/>
                  </w14:solidFill>
                </w14:textFill>
              </w:rPr>
              <w:t>6105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cs="Times New Roman"/>
                <w:b w:val="0"/>
                <w:bCs w:val="0"/>
                <w:color w:val="000000" w:themeColor="text1"/>
                <w:kern w:val="2"/>
                <w:sz w:val="24"/>
                <w:szCs w:val="24"/>
                <w:lang w:val="en-US" w:eastAsia="zh-CN" w:bidi="ar-SA"/>
                <w14:textFill>
                  <w14:solidFill>
                    <w14:schemeClr w14:val="tx1"/>
                  </w14:solidFill>
                </w14:textFill>
              </w:rPr>
              <w:t>均为临时占地，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小于20km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。综上所述，本项目属于《环境影响评价技术导则 生态影响》（HJ19-2022）评价等级判定中6.1.2中a）、b）、c）、d）、f）以外的情况。因此，确定本项目生态环境评价等级为三级。生态环境评价范围为项目占地及临时占地扰动范围。</w:t>
            </w:r>
          </w:p>
          <w:p w14:paraId="62DB91B7">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（2）生态保护目标</w:t>
            </w:r>
          </w:p>
          <w:p w14:paraId="7D25F00E">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根据《环境影响评价技术导则 生态影响》（HJ19-20</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22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），生态环境保护目标指国家公园、自然保护区、世界文化和自然遗产地、风景名胜区、森林公园等生态敏感区。</w:t>
            </w:r>
          </w:p>
          <w:p w14:paraId="0B33F65F">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根据确定的评价范围，本项目不涉及生态环境保护目标。</w:t>
            </w:r>
          </w:p>
          <w:p w14:paraId="54B34B9C">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eastAsia" w:eastAsia="黑体" w:cs="Times New Roman"/>
                <w:color w:val="000000" w:themeColor="text1"/>
                <w:sz w:val="24"/>
                <w:szCs w:val="24"/>
                <w:lang w:val="en-US" w:eastAsia="zh-CN"/>
                <w14:textFill>
                  <w14:solidFill>
                    <w14:schemeClr w14:val="tx1"/>
                  </w14:solidFill>
                </w14:textFill>
              </w:rPr>
              <w:t>2、大气环境评价范围及环境保护目标</w:t>
            </w:r>
          </w:p>
          <w:p w14:paraId="0405B9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参考</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《建设项目环境影响报告表编制技术指南（污染影响类）（试行）》</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，确定本项目大气环境评价范围为项目两侧500m范围。</w:t>
            </w:r>
          </w:p>
          <w:p w14:paraId="66A682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根据现场调查，本项目500m范围内大气环境保护目标</w:t>
            </w:r>
            <w:r>
              <w:rPr>
                <w:rFonts w:hint="eastAsia" w:ascii="Times New Roman" w:hAnsi="Times New Roman" w:eastAsia="宋体" w:cs="Times New Roman"/>
                <w:color w:val="000000" w:themeColor="text1"/>
                <w:sz w:val="24"/>
                <w:szCs w:val="24"/>
                <w:u w:val="none"/>
                <w:lang w:val="en-US" w:eastAsia="zh-CN"/>
                <w14:textFill>
                  <w14:solidFill>
                    <w14:schemeClr w14:val="tx1"/>
                  </w14:solidFill>
                </w14:textFill>
              </w:rPr>
              <w:t>为项目西侧的杨滩村</w:t>
            </w:r>
            <w:r>
              <w:rPr>
                <w:rFonts w:hint="default" w:ascii="Times New Roman" w:hAnsi="Times New Roman" w:eastAsia="宋体" w:cs="Times New Roman"/>
                <w:color w:val="000000" w:themeColor="text1"/>
                <w:sz w:val="24"/>
                <w:szCs w:val="24"/>
                <w:u w:val="none"/>
                <w:lang w:val="en-US" w:eastAsia="zh-CN"/>
                <w14:textFill>
                  <w14:solidFill>
                    <w14:schemeClr w14:val="tx1"/>
                  </w14:solidFill>
                </w14:textFill>
              </w:rPr>
              <w:t>。</w:t>
            </w:r>
          </w:p>
          <w:p w14:paraId="1E9E60E1">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eastAsia" w:eastAsia="黑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、声环境评价范围及环境保护目标</w:t>
            </w:r>
          </w:p>
          <w:p w14:paraId="42362B8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根据现场调查，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本项目声环境评价范围为</w:t>
            </w:r>
            <w:r>
              <w:rPr>
                <w:rFonts w:hint="eastAsia"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范围</w:t>
            </w:r>
            <w:r>
              <w:rPr>
                <w:rFonts w:hint="eastAsia" w:cs="Times New Roman"/>
                <w:color w:val="000000" w:themeColor="text1"/>
                <w:sz w:val="24"/>
                <w:szCs w:val="24"/>
                <w:lang w:val="en-US" w:eastAsia="zh-CN"/>
                <w14:textFill>
                  <w14:solidFill>
                    <w14:schemeClr w14:val="tx1"/>
                  </w14:solidFill>
                </w14:textFill>
              </w:rPr>
              <w:t>内</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本项目声环境敏感目标为项目西侧的杨滩村，距离本项目39m</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w:t>
            </w:r>
          </w:p>
          <w:p w14:paraId="0915F35C">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eastAsia" w:eastAsia="黑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、地表水环境</w:t>
            </w:r>
          </w:p>
          <w:p w14:paraId="70A27A65">
            <w:pPr>
              <w:pStyle w:val="9"/>
              <w:adjustRightInd w:val="0"/>
              <w:spacing w:before="0" w:after="0" w:line="360" w:lineRule="auto"/>
              <w:ind w:right="0"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根据《环境影响评价技术导则 地表水环境》（HJ2.3-2018）中水域影响评价范围的</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划分</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，本项目评价范围为</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三个窑沟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工程扰动范围。本项目地表水环境保护目标为</w:t>
            </w:r>
            <w:r>
              <w:rPr>
                <w:rFonts w:hint="eastAsia" w:cs="Times New Roman"/>
                <w:color w:val="000000" w:themeColor="text1"/>
                <w:kern w:val="2"/>
                <w:sz w:val="24"/>
                <w:szCs w:val="24"/>
                <w:highlight w:val="none"/>
                <w:lang w:val="en-US" w:eastAsia="zh-CN" w:bidi="ar-SA"/>
                <w14:textFill>
                  <w14:solidFill>
                    <w14:schemeClr w14:val="tx1"/>
                  </w14:solidFill>
                </w14:textFill>
              </w:rPr>
              <w:t>三个窑沟本身及距本项目</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北侧</w:t>
            </w:r>
            <w:r>
              <w:rPr>
                <w:rFonts w:hint="eastAsia" w:cs="Times New Roman"/>
                <w:color w:val="000000" w:themeColor="text1"/>
                <w:kern w:val="2"/>
                <w:sz w:val="24"/>
                <w:szCs w:val="24"/>
                <w:highlight w:val="none"/>
                <w:lang w:val="en-US" w:eastAsia="zh-CN" w:bidi="ar-SA"/>
                <w14:textFill>
                  <w14:solidFill>
                    <w14:schemeClr w14:val="tx1"/>
                  </w14:solidFill>
                </w14:textFill>
              </w:rPr>
              <w:t>157m处</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的黄河。</w:t>
            </w:r>
          </w:p>
          <w:p w14:paraId="1F3DD9D8">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黑体" w:cs="Times New Roman"/>
                <w:color w:val="000000" w:themeColor="text1"/>
                <w:sz w:val="24"/>
                <w:szCs w:val="24"/>
                <w:lang w:val="en-US" w:eastAsia="zh-CN"/>
                <w14:textFill>
                  <w14:solidFill>
                    <w14:schemeClr w14:val="tx1"/>
                  </w14:solidFill>
                </w14:textFill>
              </w:rPr>
            </w:pPr>
            <w:r>
              <w:rPr>
                <w:rFonts w:hint="eastAsia" w:eastAsia="黑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黑体" w:cs="Times New Roman"/>
                <w:color w:val="000000" w:themeColor="text1"/>
                <w:sz w:val="24"/>
                <w:szCs w:val="24"/>
                <w:lang w:val="en-US" w:eastAsia="zh-CN"/>
                <w14:textFill>
                  <w14:solidFill>
                    <w14:schemeClr w14:val="tx1"/>
                  </w14:solidFill>
                </w14:textFill>
              </w:rPr>
              <w:t>、地下水环境</w:t>
            </w:r>
          </w:p>
          <w:p w14:paraId="2982724F">
            <w:pPr>
              <w:pStyle w:val="56"/>
              <w:spacing w:before="0" w:after="0" w:line="360" w:lineRule="auto"/>
              <w:ind w:firstLine="480" w:firstLineChars="200"/>
              <w:jc w:val="both"/>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根据现场勘查，本项目沿线外500m范围内无地下水集中式饮用水水源或热水、矿泉水、温泉等特殊地下水资源。因此，本项目无地下水环境保护目标</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w:t>
            </w:r>
          </w:p>
          <w:p w14:paraId="0EED6701">
            <w:pPr>
              <w:pStyle w:val="9"/>
              <w:numPr>
                <w:ilvl w:val="0"/>
                <w:numId w:val="0"/>
              </w:numPr>
              <w:adjustRightInd w:val="0"/>
              <w:spacing w:before="0" w:after="0" w:line="360" w:lineRule="auto"/>
              <w:ind w:right="0" w:rightChars="0" w:firstLine="480" w:firstLineChars="200"/>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eastAsia="黑体" w:cs="Times New Roman"/>
                <w:b w:val="0"/>
                <w:bCs w:val="0"/>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黑体" w:cs="Times New Roman"/>
                <w:b w:val="0"/>
                <w:bCs w:val="0"/>
                <w:color w:val="000000" w:themeColor="text1"/>
                <w:kern w:val="2"/>
                <w:sz w:val="24"/>
                <w:szCs w:val="24"/>
                <w:highlight w:val="none"/>
                <w:lang w:val="en-US" w:eastAsia="zh-CN" w:bidi="ar-SA"/>
                <w14:textFill>
                  <w14:solidFill>
                    <w14:schemeClr w14:val="tx1"/>
                  </w14:solidFill>
                </w14:textFill>
              </w:rPr>
              <w:t>、环境敏感目标</w:t>
            </w:r>
          </w:p>
          <w:p w14:paraId="61E80FBA">
            <w:pPr>
              <w:pStyle w:val="9"/>
              <w:numPr>
                <w:ilvl w:val="0"/>
                <w:numId w:val="0"/>
              </w:numPr>
              <w:adjustRightInd w:val="0"/>
              <w:spacing w:before="0" w:after="0" w:line="360" w:lineRule="auto"/>
              <w:ind w:right="0" w:rightChars="0"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本项目建设地点位于宁夏回族自治区</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中卫市沙坡头区永康镇</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。本项目环境保护目标见表</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w:t>
            </w:r>
            <w:r>
              <w:rPr>
                <w:rFonts w:hint="eastAsia" w:cs="Times New Roman"/>
                <w:color w:val="000000" w:themeColor="text1"/>
                <w:kern w:val="0"/>
                <w:sz w:val="24"/>
                <w:szCs w:val="24"/>
                <w:highlight w:val="none"/>
                <w:lang w:val="en-US" w:eastAsia="zh-CN" w:bidi="ar-SA"/>
                <w14:textFill>
                  <w14:solidFill>
                    <w14:schemeClr w14:val="tx1"/>
                  </w14:solidFill>
                </w14:textFill>
              </w:rPr>
              <w:t>5，本项目环境保护目标分布图见附图3-6</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24C41302">
            <w:pPr>
              <w:keepNext w:val="0"/>
              <w:keepLines w:val="0"/>
              <w:pageBreakBefore w:val="0"/>
              <w:widowControl w:val="0"/>
              <w:tabs>
                <w:tab w:val="left" w:pos="8280"/>
              </w:tabs>
              <w:kinsoku/>
              <w:wordWrap/>
              <w:overflowPunct/>
              <w:topLinePunct w:val="0"/>
              <w:bidi w:val="0"/>
              <w:spacing w:line="240" w:lineRule="auto"/>
              <w:jc w:val="center"/>
              <w:textAlignment w:val="auto"/>
              <w:outlineLvl w:val="9"/>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表</w:t>
            </w:r>
            <w:r>
              <w:rPr>
                <w:rFonts w:hint="default" w:ascii="Times New Roman" w:hAnsi="Times New Roman" w:eastAsia="黑体" w:cs="Times New Roman"/>
                <w:b w:val="0"/>
                <w:bCs w:val="0"/>
                <w:color w:val="000000" w:themeColor="text1"/>
                <w:sz w:val="24"/>
                <w:szCs w:val="24"/>
                <w:highlight w:val="none"/>
                <w:lang w:val="en-US" w:eastAsia="zh-CN"/>
                <w14:textFill>
                  <w14:solidFill>
                    <w14:schemeClr w14:val="tx1"/>
                  </w14:solidFill>
                </w14:textFill>
              </w:rPr>
              <w:t>3-</w:t>
            </w:r>
            <w:r>
              <w:rPr>
                <w:rFonts w:hint="eastAsia" w:eastAsia="黑体"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4"/>
                <w:szCs w:val="24"/>
                <w:highlight w:val="none"/>
                <w14:textFill>
                  <w14:solidFill>
                    <w14:schemeClr w14:val="tx1"/>
                  </w14:solidFill>
                </w14:textFill>
              </w:rPr>
              <w:t xml:space="preserve">  本项目所在区域环境保护目标一览表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264"/>
              <w:gridCol w:w="899"/>
              <w:gridCol w:w="899"/>
              <w:gridCol w:w="1097"/>
              <w:gridCol w:w="960"/>
              <w:gridCol w:w="701"/>
              <w:gridCol w:w="831"/>
              <w:gridCol w:w="696"/>
            </w:tblGrid>
            <w:tr w14:paraId="0F5C0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vMerge w:val="restart"/>
                  <w:tcBorders>
                    <w:tl2br w:val="nil"/>
                    <w:tr2bl w:val="nil"/>
                  </w:tcBorders>
                  <w:noWrap w:val="0"/>
                  <w:vAlign w:val="center"/>
                </w:tcPr>
                <w:p w14:paraId="5F55625D">
                  <w:pPr>
                    <w:adjustRightInd w:val="0"/>
                    <w:snapToGrid w:val="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环境要素</w:t>
                  </w:r>
                </w:p>
              </w:tc>
              <w:tc>
                <w:tcPr>
                  <w:tcW w:w="1245" w:type="dxa"/>
                  <w:vMerge w:val="restart"/>
                  <w:tcBorders>
                    <w:tl2br w:val="nil"/>
                    <w:tr2bl w:val="nil"/>
                  </w:tcBorders>
                  <w:noWrap w:val="0"/>
                  <w:vAlign w:val="center"/>
                </w:tcPr>
                <w:p w14:paraId="45BD1391">
                  <w:pPr>
                    <w:adjustRightInd w:val="0"/>
                    <w:snapToGrid w:val="0"/>
                    <w:jc w:val="cente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pPr>
                  <w:r>
                    <w:rPr>
                      <w:rFonts w:hint="eastAsia" w:cs="Times New Roman"/>
                      <w:b/>
                      <w:color w:val="000000" w:themeColor="text1"/>
                      <w:sz w:val="21"/>
                      <w:szCs w:val="21"/>
                      <w:highlight w:val="none"/>
                      <w:lang w:val="en-US" w:eastAsia="zh-CN"/>
                      <w14:textFill>
                        <w14:solidFill>
                          <w14:schemeClr w14:val="tx1"/>
                        </w14:solidFill>
                      </w14:textFill>
                    </w:rPr>
                    <w:t>名称</w:t>
                  </w:r>
                </w:p>
              </w:tc>
              <w:tc>
                <w:tcPr>
                  <w:tcW w:w="1770" w:type="dxa"/>
                  <w:gridSpan w:val="2"/>
                  <w:tcBorders>
                    <w:tl2br w:val="nil"/>
                    <w:tr2bl w:val="nil"/>
                  </w:tcBorders>
                  <w:noWrap w:val="0"/>
                  <w:vAlign w:val="center"/>
                </w:tcPr>
                <w:p w14:paraId="054B10D3">
                  <w:pPr>
                    <w:adjustRightInd w:val="0"/>
                    <w:snapToGrid w:val="0"/>
                    <w:jc w:val="center"/>
                    <w:rPr>
                      <w:rFonts w:hint="default" w:ascii="Times New Roman" w:hAnsi="Times New Roman"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坐标</w:t>
                  </w:r>
                </w:p>
              </w:tc>
              <w:tc>
                <w:tcPr>
                  <w:tcW w:w="1080" w:type="dxa"/>
                  <w:vMerge w:val="restart"/>
                  <w:tcBorders>
                    <w:tl2br w:val="nil"/>
                    <w:tr2bl w:val="nil"/>
                  </w:tcBorders>
                  <w:noWrap w:val="0"/>
                  <w:vAlign w:val="center"/>
                </w:tcPr>
                <w:p w14:paraId="2D91743D">
                  <w:pPr>
                    <w:adjustRightInd w:val="0"/>
                    <w:snapToGrid w:val="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保护对象</w:t>
                  </w:r>
                </w:p>
              </w:tc>
              <w:tc>
                <w:tcPr>
                  <w:tcW w:w="945" w:type="dxa"/>
                  <w:vMerge w:val="restart"/>
                  <w:tcBorders>
                    <w:tl2br w:val="nil"/>
                    <w:tr2bl w:val="nil"/>
                  </w:tcBorders>
                  <w:noWrap w:val="0"/>
                  <w:vAlign w:val="center"/>
                </w:tcPr>
                <w:p w14:paraId="606A554F">
                  <w:pPr>
                    <w:adjustRightInd w:val="0"/>
                    <w:snapToGrid w:val="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保护内容</w:t>
                  </w:r>
                </w:p>
              </w:tc>
              <w:tc>
                <w:tcPr>
                  <w:tcW w:w="690" w:type="dxa"/>
                  <w:vMerge w:val="restart"/>
                  <w:tcBorders>
                    <w:tl2br w:val="nil"/>
                    <w:tr2bl w:val="nil"/>
                  </w:tcBorders>
                  <w:noWrap w:val="0"/>
                  <w:vAlign w:val="center"/>
                </w:tcPr>
                <w:p w14:paraId="6FE954B0">
                  <w:pPr>
                    <w:adjustRightInd w:val="0"/>
                    <w:snapToGrid w:val="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环境功能区</w:t>
                  </w:r>
                </w:p>
              </w:tc>
              <w:tc>
                <w:tcPr>
                  <w:tcW w:w="818" w:type="dxa"/>
                  <w:vMerge w:val="restart"/>
                  <w:tcBorders>
                    <w:tl2br w:val="nil"/>
                    <w:tr2bl w:val="nil"/>
                  </w:tcBorders>
                  <w:noWrap w:val="0"/>
                  <w:vAlign w:val="center"/>
                </w:tcPr>
                <w:p w14:paraId="648385B2">
                  <w:pPr>
                    <w:adjustRightInd w:val="0"/>
                    <w:snapToGrid w:val="0"/>
                    <w:jc w:val="center"/>
                    <w:rPr>
                      <w:rFonts w:hint="default" w:ascii="Times New Roman" w:hAnsi="Times New Roman" w:eastAsia="仿宋"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相对项目方位</w:t>
                  </w:r>
                </w:p>
              </w:tc>
              <w:tc>
                <w:tcPr>
                  <w:tcW w:w="685" w:type="dxa"/>
                  <w:vMerge w:val="restart"/>
                  <w:tcBorders>
                    <w:tl2br w:val="nil"/>
                    <w:tr2bl w:val="nil"/>
                  </w:tcBorders>
                  <w:noWrap w:val="0"/>
                  <w:vAlign w:val="center"/>
                </w:tcPr>
                <w:p w14:paraId="4CB6C342">
                  <w:pPr>
                    <w:adjustRightInd w:val="0"/>
                    <w:snapToGrid w:val="0"/>
                    <w:jc w:val="center"/>
                    <w:rPr>
                      <w:rFonts w:hint="default" w:ascii="Times New Roman" w:hAnsi="Times New Roman"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lang w:eastAsia="zh-CN"/>
                      <w14:textFill>
                        <w14:solidFill>
                          <w14:schemeClr w14:val="tx1"/>
                        </w14:solidFill>
                      </w14:textFill>
                    </w:rPr>
                    <w:t>相对项目距离</w:t>
                  </w:r>
                </w:p>
              </w:tc>
            </w:tr>
            <w:tr w14:paraId="6E613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vMerge w:val="continue"/>
                  <w:tcBorders>
                    <w:tl2br w:val="nil"/>
                    <w:tr2bl w:val="nil"/>
                  </w:tcBorders>
                  <w:noWrap w:val="0"/>
                  <w:vAlign w:val="center"/>
                </w:tcPr>
                <w:p w14:paraId="1C980ED5">
                  <w:pPr>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245" w:type="dxa"/>
                  <w:vMerge w:val="continue"/>
                  <w:tcBorders>
                    <w:tl2br w:val="nil"/>
                    <w:tr2bl w:val="nil"/>
                  </w:tcBorders>
                  <w:noWrap w:val="0"/>
                  <w:vAlign w:val="center"/>
                </w:tcPr>
                <w:p w14:paraId="0E8E577C">
                  <w:pPr>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85" w:type="dxa"/>
                  <w:tcBorders>
                    <w:tl2br w:val="nil"/>
                    <w:tr2bl w:val="nil"/>
                  </w:tcBorders>
                  <w:noWrap w:val="0"/>
                  <w:vAlign w:val="center"/>
                </w:tcPr>
                <w:p w14:paraId="0E3FE881">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经度</w:t>
                  </w:r>
                </w:p>
              </w:tc>
              <w:tc>
                <w:tcPr>
                  <w:tcW w:w="885" w:type="dxa"/>
                  <w:tcBorders>
                    <w:tl2br w:val="nil"/>
                    <w:tr2bl w:val="nil"/>
                  </w:tcBorders>
                  <w:noWrap w:val="0"/>
                  <w:vAlign w:val="center"/>
                </w:tcPr>
                <w:p w14:paraId="7781032F">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纬度</w:t>
                  </w:r>
                </w:p>
              </w:tc>
              <w:tc>
                <w:tcPr>
                  <w:tcW w:w="1080" w:type="dxa"/>
                  <w:vMerge w:val="continue"/>
                  <w:tcBorders>
                    <w:tl2br w:val="nil"/>
                    <w:tr2bl w:val="nil"/>
                  </w:tcBorders>
                  <w:noWrap w:val="0"/>
                  <w:vAlign w:val="center"/>
                </w:tcPr>
                <w:p w14:paraId="7E92BF1A">
                  <w:pPr>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c>
                <w:tcPr>
                  <w:tcW w:w="945" w:type="dxa"/>
                  <w:vMerge w:val="continue"/>
                  <w:tcBorders>
                    <w:tl2br w:val="nil"/>
                    <w:tr2bl w:val="nil"/>
                  </w:tcBorders>
                  <w:noWrap w:val="0"/>
                  <w:vAlign w:val="center"/>
                </w:tcPr>
                <w:p w14:paraId="3E1A875A">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90" w:type="dxa"/>
                  <w:vMerge w:val="continue"/>
                  <w:tcBorders>
                    <w:tl2br w:val="nil"/>
                    <w:tr2bl w:val="nil"/>
                  </w:tcBorders>
                  <w:noWrap w:val="0"/>
                  <w:vAlign w:val="center"/>
                </w:tcPr>
                <w:p w14:paraId="7C53C030">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818" w:type="dxa"/>
                  <w:vMerge w:val="continue"/>
                  <w:tcBorders>
                    <w:tl2br w:val="nil"/>
                    <w:tr2bl w:val="nil"/>
                  </w:tcBorders>
                  <w:noWrap w:val="0"/>
                  <w:vAlign w:val="center"/>
                </w:tcPr>
                <w:p w14:paraId="7C18FC15">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685" w:type="dxa"/>
                  <w:vMerge w:val="continue"/>
                  <w:tcBorders>
                    <w:tl2br w:val="nil"/>
                    <w:tr2bl w:val="nil"/>
                  </w:tcBorders>
                  <w:noWrap w:val="0"/>
                  <w:vAlign w:val="center"/>
                </w:tcPr>
                <w:p w14:paraId="043EF1EA">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35420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 w:type="dxa"/>
                  <w:tcBorders>
                    <w:tl2br w:val="nil"/>
                    <w:tr2bl w:val="nil"/>
                  </w:tcBorders>
                  <w:noWrap w:val="0"/>
                  <w:vAlign w:val="center"/>
                </w:tcPr>
                <w:p w14:paraId="4FB611F3">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大气</w:t>
                  </w:r>
                </w:p>
              </w:tc>
              <w:tc>
                <w:tcPr>
                  <w:tcW w:w="1245" w:type="dxa"/>
                  <w:tcBorders>
                    <w:tl2br w:val="nil"/>
                    <w:tr2bl w:val="nil"/>
                  </w:tcBorders>
                  <w:noWrap w:val="0"/>
                  <w:vAlign w:val="center"/>
                </w:tcPr>
                <w:p w14:paraId="3F8605C0">
                  <w:pPr>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杨滩村</w:t>
                  </w:r>
                </w:p>
              </w:tc>
              <w:tc>
                <w:tcPr>
                  <w:tcW w:w="885" w:type="dxa"/>
                  <w:tcBorders>
                    <w:tl2br w:val="nil"/>
                    <w:tr2bl w:val="nil"/>
                  </w:tcBorders>
                  <w:noWrap w:val="0"/>
                  <w:vAlign w:val="center"/>
                </w:tcPr>
                <w:p w14:paraId="40DD71D3">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85" w:type="dxa"/>
                  <w:tcBorders>
                    <w:tl2br w:val="nil"/>
                    <w:tr2bl w:val="nil"/>
                  </w:tcBorders>
                  <w:noWrap w:val="0"/>
                  <w:vAlign w:val="center"/>
                </w:tcPr>
                <w:p w14:paraId="1684D827">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80" w:type="dxa"/>
                  <w:tcBorders>
                    <w:tl2br w:val="nil"/>
                    <w:tr2bl w:val="nil"/>
                  </w:tcBorders>
                  <w:noWrap w:val="0"/>
                  <w:vAlign w:val="center"/>
                </w:tcPr>
                <w:p w14:paraId="4C15909C">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村民</w:t>
                  </w:r>
                </w:p>
              </w:tc>
              <w:tc>
                <w:tcPr>
                  <w:tcW w:w="945" w:type="dxa"/>
                  <w:tcBorders>
                    <w:tl2br w:val="nil"/>
                    <w:tr2bl w:val="nil"/>
                  </w:tcBorders>
                  <w:noWrap w:val="0"/>
                  <w:vAlign w:val="center"/>
                </w:tcPr>
                <w:p w14:paraId="1FA2B1E7">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村民</w:t>
                  </w:r>
                </w:p>
              </w:tc>
              <w:tc>
                <w:tcPr>
                  <w:tcW w:w="690" w:type="dxa"/>
                  <w:tcBorders>
                    <w:tl2br w:val="nil"/>
                    <w:tr2bl w:val="nil"/>
                  </w:tcBorders>
                  <w:noWrap w:val="0"/>
                  <w:vAlign w:val="center"/>
                </w:tcPr>
                <w:p w14:paraId="0ABCCA05">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18" w:type="dxa"/>
                  <w:tcBorders>
                    <w:tl2br w:val="nil"/>
                    <w:tr2bl w:val="nil"/>
                  </w:tcBorders>
                  <w:noWrap w:val="0"/>
                  <w:vAlign w:val="center"/>
                </w:tcPr>
                <w:p w14:paraId="23C37004">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w:t>
                  </w:r>
                </w:p>
              </w:tc>
              <w:tc>
                <w:tcPr>
                  <w:tcW w:w="685" w:type="dxa"/>
                  <w:tcBorders>
                    <w:tl2br w:val="nil"/>
                    <w:tr2bl w:val="nil"/>
                  </w:tcBorders>
                  <w:noWrap w:val="0"/>
                  <w:vAlign w:val="center"/>
                </w:tcPr>
                <w:p w14:paraId="0C2CC1E9">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39m</w:t>
                  </w:r>
                </w:p>
              </w:tc>
            </w:tr>
            <w:tr w14:paraId="5BB86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 w:type="dxa"/>
                  <w:vMerge w:val="restart"/>
                  <w:tcBorders>
                    <w:tl2br w:val="nil"/>
                    <w:tr2bl w:val="nil"/>
                  </w:tcBorders>
                  <w:noWrap w:val="0"/>
                  <w:vAlign w:val="center"/>
                </w:tcPr>
                <w:p w14:paraId="0E446444">
                  <w:pPr>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地表水</w:t>
                  </w:r>
                </w:p>
              </w:tc>
              <w:tc>
                <w:tcPr>
                  <w:tcW w:w="1245" w:type="dxa"/>
                  <w:tcBorders>
                    <w:tl2br w:val="nil"/>
                    <w:tr2bl w:val="nil"/>
                  </w:tcBorders>
                  <w:noWrap w:val="0"/>
                  <w:vAlign w:val="center"/>
                </w:tcPr>
                <w:p w14:paraId="4A51E8E1">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黄河</w:t>
                  </w:r>
                </w:p>
              </w:tc>
              <w:tc>
                <w:tcPr>
                  <w:tcW w:w="885" w:type="dxa"/>
                  <w:tcBorders>
                    <w:tl2br w:val="nil"/>
                    <w:tr2bl w:val="nil"/>
                  </w:tcBorders>
                  <w:noWrap w:val="0"/>
                  <w:vAlign w:val="center"/>
                </w:tcPr>
                <w:p w14:paraId="7481CB90">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885" w:type="dxa"/>
                  <w:tcBorders>
                    <w:tl2br w:val="nil"/>
                    <w:tr2bl w:val="nil"/>
                  </w:tcBorders>
                  <w:noWrap w:val="0"/>
                  <w:vAlign w:val="center"/>
                </w:tcPr>
                <w:p w14:paraId="2A213990">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080" w:type="dxa"/>
                  <w:tcBorders>
                    <w:tl2br w:val="nil"/>
                    <w:tr2bl w:val="nil"/>
                  </w:tcBorders>
                  <w:noWrap w:val="0"/>
                  <w:vAlign w:val="center"/>
                </w:tcPr>
                <w:p w14:paraId="35968658">
                  <w:pPr>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黄河</w:t>
                  </w:r>
                </w:p>
              </w:tc>
              <w:tc>
                <w:tcPr>
                  <w:tcW w:w="945" w:type="dxa"/>
                  <w:tcBorders>
                    <w:tl2br w:val="nil"/>
                    <w:tr2bl w:val="nil"/>
                  </w:tcBorders>
                  <w:noWrap w:val="0"/>
                  <w:vAlign w:val="center"/>
                </w:tcPr>
                <w:p w14:paraId="6574913B">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地表水</w:t>
                  </w:r>
                </w:p>
              </w:tc>
              <w:tc>
                <w:tcPr>
                  <w:tcW w:w="690" w:type="dxa"/>
                  <w:tcBorders>
                    <w:tl2br w:val="nil"/>
                    <w:tr2bl w:val="nil"/>
                  </w:tcBorders>
                  <w:noWrap w:val="0"/>
                  <w:vAlign w:val="center"/>
                </w:tcPr>
                <w:p w14:paraId="7E9D6F5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Ⅱ类</w:t>
                  </w:r>
                </w:p>
              </w:tc>
              <w:tc>
                <w:tcPr>
                  <w:tcW w:w="818" w:type="dxa"/>
                  <w:tcBorders>
                    <w:tl2br w:val="nil"/>
                    <w:tr2bl w:val="nil"/>
                  </w:tcBorders>
                  <w:noWrap w:val="0"/>
                  <w:vAlign w:val="center"/>
                </w:tcPr>
                <w:p w14:paraId="2BA4C162">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w:t>
                  </w:r>
                </w:p>
              </w:tc>
              <w:tc>
                <w:tcPr>
                  <w:tcW w:w="685" w:type="dxa"/>
                  <w:tcBorders>
                    <w:tl2br w:val="nil"/>
                    <w:tr2bl w:val="nil"/>
                  </w:tcBorders>
                  <w:noWrap w:val="0"/>
                  <w:vAlign w:val="center"/>
                </w:tcPr>
                <w:p w14:paraId="7FB016EE">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57</w:t>
                  </w:r>
                  <w:r>
                    <w:rPr>
                      <w:rFonts w:hint="eastAsia"/>
                      <w:color w:val="000000" w:themeColor="text1"/>
                      <w:lang w:val="en-US" w:eastAsia="zh-CN"/>
                      <w14:textFill>
                        <w14:solidFill>
                          <w14:schemeClr w14:val="tx1"/>
                        </w14:solidFill>
                      </w14:textFill>
                    </w:rPr>
                    <w:t>m</w:t>
                  </w:r>
                </w:p>
              </w:tc>
            </w:tr>
            <w:tr w14:paraId="164CA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 w:type="dxa"/>
                  <w:vMerge w:val="continue"/>
                  <w:tcBorders>
                    <w:tl2br w:val="nil"/>
                    <w:tr2bl w:val="nil"/>
                  </w:tcBorders>
                  <w:noWrap w:val="0"/>
                  <w:vAlign w:val="center"/>
                </w:tcPr>
                <w:p w14:paraId="0B60F86C">
                  <w:pPr>
                    <w:snapToGrid w:val="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p>
              </w:tc>
              <w:tc>
                <w:tcPr>
                  <w:tcW w:w="1245" w:type="dxa"/>
                  <w:tcBorders>
                    <w:tl2br w:val="nil"/>
                    <w:tr2bl w:val="nil"/>
                  </w:tcBorders>
                  <w:noWrap w:val="0"/>
                  <w:vAlign w:val="center"/>
                </w:tcPr>
                <w:p w14:paraId="4468C061">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三个窑沟</w:t>
                  </w:r>
                </w:p>
              </w:tc>
              <w:tc>
                <w:tcPr>
                  <w:tcW w:w="885" w:type="dxa"/>
                  <w:tcBorders>
                    <w:tl2br w:val="nil"/>
                    <w:tr2bl w:val="nil"/>
                  </w:tcBorders>
                  <w:noWrap w:val="0"/>
                  <w:vAlign w:val="center"/>
                </w:tcPr>
                <w:p w14:paraId="492DF3E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85" w:type="dxa"/>
                  <w:tcBorders>
                    <w:tl2br w:val="nil"/>
                    <w:tr2bl w:val="nil"/>
                  </w:tcBorders>
                  <w:noWrap w:val="0"/>
                  <w:vAlign w:val="center"/>
                </w:tcPr>
                <w:p w14:paraId="54ADA59B">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080" w:type="dxa"/>
                  <w:tcBorders>
                    <w:tl2br w:val="nil"/>
                    <w:tr2bl w:val="nil"/>
                  </w:tcBorders>
                  <w:noWrap w:val="0"/>
                  <w:vAlign w:val="center"/>
                </w:tcPr>
                <w:p w14:paraId="072C0192">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三个窑沟</w:t>
                  </w:r>
                </w:p>
              </w:tc>
              <w:tc>
                <w:tcPr>
                  <w:tcW w:w="945" w:type="dxa"/>
                  <w:tcBorders>
                    <w:tl2br w:val="nil"/>
                    <w:tr2bl w:val="nil"/>
                  </w:tcBorders>
                  <w:noWrap w:val="0"/>
                  <w:vAlign w:val="center"/>
                </w:tcPr>
                <w:p w14:paraId="30C5CD5A">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地表水</w:t>
                  </w:r>
                </w:p>
              </w:tc>
              <w:tc>
                <w:tcPr>
                  <w:tcW w:w="690" w:type="dxa"/>
                  <w:tcBorders>
                    <w:tl2br w:val="nil"/>
                    <w:tr2bl w:val="nil"/>
                  </w:tcBorders>
                  <w:noWrap w:val="0"/>
                  <w:vAlign w:val="center"/>
                </w:tcPr>
                <w:p w14:paraId="4E203A59">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18" w:type="dxa"/>
                  <w:tcBorders>
                    <w:tl2br w:val="nil"/>
                    <w:tr2bl w:val="nil"/>
                  </w:tcBorders>
                  <w:noWrap w:val="0"/>
                  <w:vAlign w:val="center"/>
                </w:tcPr>
                <w:p w14:paraId="2BF73CDA">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85" w:type="dxa"/>
                  <w:tcBorders>
                    <w:tl2br w:val="nil"/>
                    <w:tr2bl w:val="nil"/>
                  </w:tcBorders>
                  <w:noWrap w:val="0"/>
                  <w:vAlign w:val="center"/>
                </w:tcPr>
                <w:p w14:paraId="0B40860B">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14:paraId="162A4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tcBorders>
                    <w:tl2br w:val="nil"/>
                    <w:tr2bl w:val="nil"/>
                  </w:tcBorders>
                  <w:noWrap w:val="0"/>
                  <w:vAlign w:val="center"/>
                </w:tcPr>
                <w:p w14:paraId="631EC1B7">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生态</w:t>
                  </w:r>
                </w:p>
              </w:tc>
              <w:tc>
                <w:tcPr>
                  <w:tcW w:w="1245" w:type="dxa"/>
                  <w:tcBorders>
                    <w:tl2br w:val="nil"/>
                    <w:tr2bl w:val="nil"/>
                  </w:tcBorders>
                  <w:noWrap w:val="0"/>
                  <w:vAlign w:val="center"/>
                </w:tcPr>
                <w:p w14:paraId="4E1308B3">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85" w:type="dxa"/>
                  <w:tcBorders>
                    <w:tl2br w:val="nil"/>
                    <w:tr2bl w:val="nil"/>
                  </w:tcBorders>
                  <w:noWrap w:val="0"/>
                  <w:vAlign w:val="center"/>
                </w:tcPr>
                <w:p w14:paraId="757FBFEF">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885" w:type="dxa"/>
                  <w:tcBorders>
                    <w:tl2br w:val="nil"/>
                    <w:tr2bl w:val="nil"/>
                  </w:tcBorders>
                  <w:noWrap w:val="0"/>
                  <w:vAlign w:val="center"/>
                </w:tcPr>
                <w:p w14:paraId="35519D1C">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080" w:type="dxa"/>
                  <w:tcBorders>
                    <w:tl2br w:val="nil"/>
                    <w:tr2bl w:val="nil"/>
                  </w:tcBorders>
                  <w:noWrap w:val="0"/>
                  <w:vAlign w:val="center"/>
                </w:tcPr>
                <w:p w14:paraId="2699B8F3">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用地范围内生态</w:t>
                  </w:r>
                </w:p>
              </w:tc>
              <w:tc>
                <w:tcPr>
                  <w:tcW w:w="945" w:type="dxa"/>
                  <w:tcBorders>
                    <w:tl2br w:val="nil"/>
                    <w:tr2bl w:val="nil"/>
                  </w:tcBorders>
                  <w:noWrap w:val="0"/>
                  <w:vAlign w:val="center"/>
                </w:tcPr>
                <w:p w14:paraId="6DE33146">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植被、动物</w:t>
                  </w:r>
                </w:p>
              </w:tc>
              <w:tc>
                <w:tcPr>
                  <w:tcW w:w="690" w:type="dxa"/>
                  <w:tcBorders>
                    <w:tl2br w:val="nil"/>
                    <w:tr2bl w:val="nil"/>
                  </w:tcBorders>
                  <w:noWrap w:val="0"/>
                  <w:vAlign w:val="center"/>
                </w:tcPr>
                <w:p w14:paraId="513C417E">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818" w:type="dxa"/>
                  <w:tcBorders>
                    <w:tl2br w:val="nil"/>
                    <w:tr2bl w:val="nil"/>
                  </w:tcBorders>
                  <w:noWrap w:val="0"/>
                  <w:vAlign w:val="center"/>
                </w:tcPr>
                <w:p w14:paraId="177530C4">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685" w:type="dxa"/>
                  <w:tcBorders>
                    <w:tl2br w:val="nil"/>
                    <w:tr2bl w:val="nil"/>
                  </w:tcBorders>
                  <w:noWrap w:val="0"/>
                  <w:vAlign w:val="center"/>
                </w:tcPr>
                <w:p w14:paraId="42B391B8">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4B474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5" w:type="dxa"/>
                  <w:tcBorders>
                    <w:tl2br w:val="nil"/>
                    <w:tr2bl w:val="nil"/>
                  </w:tcBorders>
                  <w:noWrap w:val="0"/>
                  <w:vAlign w:val="center"/>
                </w:tcPr>
                <w:p w14:paraId="7F79B948">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声环境</w:t>
                  </w:r>
                </w:p>
              </w:tc>
              <w:tc>
                <w:tcPr>
                  <w:tcW w:w="1245" w:type="dxa"/>
                  <w:tcBorders>
                    <w:tl2br w:val="nil"/>
                    <w:tr2bl w:val="nil"/>
                  </w:tcBorders>
                  <w:noWrap w:val="0"/>
                  <w:vAlign w:val="center"/>
                </w:tcPr>
                <w:p w14:paraId="0B31335B">
                  <w:pPr>
                    <w:snapToGri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杨滩村</w:t>
                  </w:r>
                </w:p>
              </w:tc>
              <w:tc>
                <w:tcPr>
                  <w:tcW w:w="885" w:type="dxa"/>
                  <w:tcBorders>
                    <w:tl2br w:val="nil"/>
                    <w:tr2bl w:val="nil"/>
                  </w:tcBorders>
                  <w:noWrap w:val="0"/>
                  <w:vAlign w:val="center"/>
                </w:tcPr>
                <w:p w14:paraId="7397D572">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105°13′22.259″</w:t>
                  </w:r>
                </w:p>
              </w:tc>
              <w:tc>
                <w:tcPr>
                  <w:tcW w:w="885" w:type="dxa"/>
                  <w:tcBorders>
                    <w:tl2br w:val="nil"/>
                    <w:tr2bl w:val="nil"/>
                  </w:tcBorders>
                  <w:noWrap w:val="0"/>
                  <w:vAlign w:val="center"/>
                </w:tcPr>
                <w:p w14:paraId="10BEE8C3">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37°27′57.124″</w:t>
                  </w:r>
                </w:p>
              </w:tc>
              <w:tc>
                <w:tcPr>
                  <w:tcW w:w="1080" w:type="dxa"/>
                  <w:tcBorders>
                    <w:tl2br w:val="nil"/>
                    <w:tr2bl w:val="nil"/>
                  </w:tcBorders>
                  <w:noWrap w:val="0"/>
                  <w:vAlign w:val="center"/>
                </w:tcPr>
                <w:p w14:paraId="6CDA915D">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村民</w:t>
                  </w:r>
                </w:p>
              </w:tc>
              <w:tc>
                <w:tcPr>
                  <w:tcW w:w="945" w:type="dxa"/>
                  <w:tcBorders>
                    <w:tl2br w:val="nil"/>
                    <w:tr2bl w:val="nil"/>
                  </w:tcBorders>
                  <w:noWrap w:val="0"/>
                  <w:vAlign w:val="center"/>
                </w:tcPr>
                <w:p w14:paraId="06F29664">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村民</w:t>
                  </w:r>
                </w:p>
              </w:tc>
              <w:tc>
                <w:tcPr>
                  <w:tcW w:w="690" w:type="dxa"/>
                  <w:tcBorders>
                    <w:tl2br w:val="nil"/>
                    <w:tr2bl w:val="nil"/>
                  </w:tcBorders>
                  <w:noWrap w:val="0"/>
                  <w:vAlign w:val="center"/>
                </w:tcPr>
                <w:p w14:paraId="4DBEC830">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I类</w:t>
                  </w:r>
                </w:p>
              </w:tc>
              <w:tc>
                <w:tcPr>
                  <w:tcW w:w="818" w:type="dxa"/>
                  <w:tcBorders>
                    <w:tl2br w:val="nil"/>
                    <w:tr2bl w:val="nil"/>
                  </w:tcBorders>
                  <w:noWrap w:val="0"/>
                  <w:vAlign w:val="center"/>
                </w:tcPr>
                <w:p w14:paraId="25A54787">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w:t>
                  </w:r>
                </w:p>
              </w:tc>
              <w:tc>
                <w:tcPr>
                  <w:tcW w:w="685" w:type="dxa"/>
                  <w:tcBorders>
                    <w:tl2br w:val="nil"/>
                    <w:tr2bl w:val="nil"/>
                  </w:tcBorders>
                  <w:noWrap w:val="0"/>
                  <w:vAlign w:val="center"/>
                </w:tcPr>
                <w:p w14:paraId="59A53567">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39</w:t>
                  </w:r>
                  <w:r>
                    <w:rPr>
                      <w:rFonts w:hint="eastAsia" w:cs="Times New Roman"/>
                      <w:color w:val="000000" w:themeColor="text1"/>
                      <w:sz w:val="21"/>
                      <w:szCs w:val="21"/>
                      <w:highlight w:val="none"/>
                      <w:lang w:val="en-US" w:eastAsia="zh-CN"/>
                      <w14:textFill>
                        <w14:solidFill>
                          <w14:schemeClr w14:val="tx1"/>
                        </w14:solidFill>
                      </w14:textFill>
                    </w:rPr>
                    <w:t>m</w:t>
                  </w:r>
                </w:p>
              </w:tc>
            </w:tr>
          </w:tbl>
          <w:p w14:paraId="688F95D6">
            <w:pPr>
              <w:adjustRightInd w:val="0"/>
              <w:spacing w:line="360" w:lineRule="auto"/>
              <w:rPr>
                <w:rFonts w:hint="default" w:ascii="Times New Roman" w:hAnsi="Times New Roman" w:eastAsia="仿宋_GB2312" w:cs="Times New Roman"/>
                <w:color w:val="000000" w:themeColor="text1"/>
                <w:kern w:val="0"/>
                <w:sz w:val="24"/>
                <w:highlight w:val="none"/>
                <w14:textFill>
                  <w14:solidFill>
                    <w14:schemeClr w14:val="tx1"/>
                  </w14:solidFill>
                </w14:textFill>
              </w:rPr>
            </w:pPr>
          </w:p>
        </w:tc>
      </w:tr>
      <w:tr w14:paraId="06BFFE4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5" w:hRule="atLeast"/>
          <w:jc w:val="center"/>
        </w:trPr>
        <w:tc>
          <w:tcPr>
            <w:tcW w:w="429" w:type="dxa"/>
            <w:tcBorders>
              <w:tl2br w:val="nil"/>
              <w:tr2bl w:val="nil"/>
            </w:tcBorders>
            <w:tcMar>
              <w:left w:w="28" w:type="dxa"/>
              <w:right w:w="28" w:type="dxa"/>
            </w:tcMar>
            <w:vAlign w:val="center"/>
          </w:tcPr>
          <w:p w14:paraId="13D95354">
            <w:pPr>
              <w:adjustRightInd w:val="0"/>
              <w:snapToGrid w:val="0"/>
              <w:jc w:val="center"/>
              <w:rPr>
                <w:rFonts w:hint="default" w:ascii="Times New Roman" w:hAnsi="Times New Roman" w:cs="Times New Roman"/>
                <w:b/>
                <w:bCs/>
                <w:color w:val="000000" w:themeColor="text1"/>
                <w:kern w:val="0"/>
                <w:sz w:val="24"/>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eastAsia="zh-CN"/>
                <w14:textFill>
                  <w14:solidFill>
                    <w14:schemeClr w14:val="tx1"/>
                  </w14:solidFill>
                </w14:textFill>
              </w:rPr>
              <w:t>评价</w:t>
            </w:r>
          </w:p>
          <w:p w14:paraId="4E98989C">
            <w:pPr>
              <w:adjustRightInd w:val="0"/>
              <w:snapToGrid w:val="0"/>
              <w:jc w:val="center"/>
              <w:rPr>
                <w:rFonts w:hint="default" w:ascii="Times New Roman" w:hAnsi="Times New Roman" w:eastAsia="仿宋_GB2312" w:cs="Times New Roman"/>
                <w:b/>
                <w:bCs/>
                <w:color w:val="000000" w:themeColor="text1"/>
                <w:kern w:val="0"/>
                <w:sz w:val="24"/>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eastAsia="zh-CN"/>
                <w14:textFill>
                  <w14:solidFill>
                    <w14:schemeClr w14:val="tx1"/>
                  </w14:solidFill>
                </w14:textFill>
              </w:rPr>
              <w:t>标准</w:t>
            </w:r>
          </w:p>
        </w:tc>
        <w:tc>
          <w:tcPr>
            <w:tcW w:w="8561" w:type="dxa"/>
            <w:tcBorders>
              <w:tl2br w:val="nil"/>
              <w:tr2bl w:val="nil"/>
            </w:tcBorders>
          </w:tcPr>
          <w:p w14:paraId="5B45ADF4">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1、环境质量标准</w:t>
            </w:r>
          </w:p>
          <w:p w14:paraId="3AAC22E2">
            <w:pPr>
              <w:adjustRightInd w:val="0"/>
              <w:snapToGrid w:val="0"/>
              <w:spacing w:line="360" w:lineRule="auto"/>
              <w:ind w:firstLine="480" w:firstLineChars="200"/>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大气环境质量标准</w:t>
            </w:r>
          </w:p>
          <w:p w14:paraId="79DB4B40">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本项目所在区域</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环境空气质量执行《环境空气质量标准》（GB3095-</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2026</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）中</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过渡段</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二级标准；</w:t>
            </w:r>
          </w:p>
          <w:p w14:paraId="3098846A">
            <w:pPr>
              <w:pStyle w:val="11"/>
              <w:adjustRightInd w:val="0"/>
              <w:snapToGrid w:val="0"/>
              <w:jc w:val="cente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表3-</w:t>
            </w:r>
            <w:r>
              <w:rPr>
                <w:rFonts w:hint="eastAsia"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6</w:t>
            </w: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 xml:space="preserve">  《环境空气质量标准》中过渡段二级标准</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396"/>
              <w:gridCol w:w="1991"/>
              <w:gridCol w:w="2445"/>
              <w:gridCol w:w="1720"/>
            </w:tblGrid>
            <w:tr w14:paraId="68158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7C617A57">
                  <w:pPr>
                    <w:topLinePunct/>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1375" w:type="dxa"/>
                  <w:tcBorders>
                    <w:tl2br w:val="nil"/>
                    <w:tr2bl w:val="nil"/>
                  </w:tcBorders>
                  <w:noWrap w:val="0"/>
                  <w:vAlign w:val="center"/>
                </w:tcPr>
                <w:p w14:paraId="1A7384EA">
                  <w:pPr>
                    <w:topLinePunct/>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污染物名称</w:t>
                  </w:r>
                </w:p>
              </w:tc>
              <w:tc>
                <w:tcPr>
                  <w:tcW w:w="1961" w:type="dxa"/>
                  <w:tcBorders>
                    <w:tl2br w:val="nil"/>
                    <w:tr2bl w:val="nil"/>
                  </w:tcBorders>
                  <w:noWrap w:val="0"/>
                  <w:vAlign w:val="center"/>
                </w:tcPr>
                <w:p w14:paraId="7C6F5820">
                  <w:pPr>
                    <w:topLinePunct/>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小时平均（μg/m</w:t>
                  </w:r>
                  <w:r>
                    <w:rPr>
                      <w:rFonts w:hint="default" w:ascii="Times New Roman" w:hAnsi="Times New Roman" w:cs="Times New Roman"/>
                      <w:b/>
                      <w:bCs/>
                      <w:color w:val="000000" w:themeColor="text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w:t>
                  </w:r>
                </w:p>
              </w:tc>
              <w:tc>
                <w:tcPr>
                  <w:tcW w:w="2408" w:type="dxa"/>
                  <w:tcBorders>
                    <w:tl2br w:val="nil"/>
                    <w:tr2bl w:val="nil"/>
                  </w:tcBorders>
                  <w:noWrap w:val="0"/>
                  <w:vAlign w:val="center"/>
                </w:tcPr>
                <w:p w14:paraId="70FFEDDA">
                  <w:pPr>
                    <w:topLinePunct/>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24小时平均（μg/m</w:t>
                  </w:r>
                  <w:r>
                    <w:rPr>
                      <w:rFonts w:hint="default" w:ascii="Times New Roman" w:hAnsi="Times New Roman" w:cs="Times New Roman"/>
                      <w:b/>
                      <w:bCs/>
                      <w:color w:val="000000" w:themeColor="text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w:t>
                  </w:r>
                </w:p>
              </w:tc>
              <w:tc>
                <w:tcPr>
                  <w:tcW w:w="1694" w:type="dxa"/>
                  <w:tcBorders>
                    <w:tl2br w:val="nil"/>
                    <w:tr2bl w:val="nil"/>
                  </w:tcBorders>
                  <w:noWrap w:val="0"/>
                  <w:vAlign w:val="center"/>
                </w:tcPr>
                <w:p w14:paraId="66F11193">
                  <w:pPr>
                    <w:topLinePunct/>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年均值（μg/m</w:t>
                  </w:r>
                  <w:r>
                    <w:rPr>
                      <w:rFonts w:hint="default" w:ascii="Times New Roman" w:hAnsi="Times New Roman" w:cs="Times New Roman"/>
                      <w:b/>
                      <w:bCs/>
                      <w:color w:val="000000" w:themeColor="text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w:t>
                  </w:r>
                </w:p>
              </w:tc>
            </w:tr>
            <w:tr w14:paraId="43FC0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48E80633">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1375" w:type="dxa"/>
                  <w:tcBorders>
                    <w:tl2br w:val="nil"/>
                    <w:tr2bl w:val="nil"/>
                  </w:tcBorders>
                  <w:noWrap w:val="0"/>
                  <w:vAlign w:val="center"/>
                </w:tcPr>
                <w:p w14:paraId="471D76C9">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PM</w:t>
                  </w:r>
                  <w:r>
                    <w:rPr>
                      <w:rFonts w:hint="default" w:ascii="Times New Roman" w:hAnsi="Times New Roman" w:cs="Times New Roman"/>
                      <w:color w:val="000000" w:themeColor="text1"/>
                      <w:szCs w:val="21"/>
                      <w:highlight w:val="none"/>
                      <w:vertAlign w:val="subscript"/>
                      <w14:textFill>
                        <w14:solidFill>
                          <w14:schemeClr w14:val="tx1"/>
                        </w14:solidFill>
                      </w14:textFill>
                    </w:rPr>
                    <w:t>10</w:t>
                  </w:r>
                </w:p>
              </w:tc>
              <w:tc>
                <w:tcPr>
                  <w:tcW w:w="1961" w:type="dxa"/>
                  <w:tcBorders>
                    <w:tl2br w:val="nil"/>
                    <w:tr2bl w:val="nil"/>
                  </w:tcBorders>
                  <w:noWrap w:val="0"/>
                  <w:vAlign w:val="center"/>
                </w:tcPr>
                <w:p w14:paraId="2D70A2D6">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2408" w:type="dxa"/>
                  <w:tcBorders>
                    <w:tl2br w:val="nil"/>
                    <w:tr2bl w:val="nil"/>
                  </w:tcBorders>
                  <w:noWrap w:val="0"/>
                  <w:vAlign w:val="center"/>
                </w:tcPr>
                <w:p w14:paraId="3A0ACE23">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r>
                    <w:rPr>
                      <w:rFonts w:hint="default"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0</w:t>
                  </w:r>
                </w:p>
              </w:tc>
              <w:tc>
                <w:tcPr>
                  <w:tcW w:w="1694" w:type="dxa"/>
                  <w:tcBorders>
                    <w:tl2br w:val="nil"/>
                    <w:tr2bl w:val="nil"/>
                  </w:tcBorders>
                  <w:noWrap w:val="0"/>
                  <w:vAlign w:val="center"/>
                </w:tcPr>
                <w:p w14:paraId="641293FE">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0</w:t>
                  </w:r>
                </w:p>
              </w:tc>
            </w:tr>
            <w:tr w14:paraId="28653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359D970F">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w:t>
                  </w:r>
                </w:p>
              </w:tc>
              <w:tc>
                <w:tcPr>
                  <w:tcW w:w="1375" w:type="dxa"/>
                  <w:tcBorders>
                    <w:tl2br w:val="nil"/>
                    <w:tr2bl w:val="nil"/>
                  </w:tcBorders>
                  <w:noWrap w:val="0"/>
                  <w:vAlign w:val="center"/>
                </w:tcPr>
                <w:p w14:paraId="52F0E19B">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SO</w:t>
                  </w:r>
                  <w:r>
                    <w:rPr>
                      <w:rFonts w:hint="default" w:ascii="Times New Roman" w:hAnsi="Times New Roman" w:cs="Times New Roman"/>
                      <w:color w:val="000000" w:themeColor="text1"/>
                      <w:szCs w:val="21"/>
                      <w:highlight w:val="none"/>
                      <w:vertAlign w:val="subscript"/>
                      <w14:textFill>
                        <w14:solidFill>
                          <w14:schemeClr w14:val="tx1"/>
                        </w14:solidFill>
                      </w14:textFill>
                    </w:rPr>
                    <w:t>2</w:t>
                  </w:r>
                </w:p>
              </w:tc>
              <w:tc>
                <w:tcPr>
                  <w:tcW w:w="1961" w:type="dxa"/>
                  <w:tcBorders>
                    <w:tl2br w:val="nil"/>
                    <w:tr2bl w:val="nil"/>
                  </w:tcBorders>
                  <w:noWrap w:val="0"/>
                  <w:vAlign w:val="center"/>
                </w:tcPr>
                <w:p w14:paraId="046D1E11">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500</w:t>
                  </w:r>
                </w:p>
              </w:tc>
              <w:tc>
                <w:tcPr>
                  <w:tcW w:w="2408" w:type="dxa"/>
                  <w:tcBorders>
                    <w:tl2br w:val="nil"/>
                    <w:tr2bl w:val="nil"/>
                  </w:tcBorders>
                  <w:noWrap w:val="0"/>
                  <w:vAlign w:val="center"/>
                </w:tcPr>
                <w:p w14:paraId="07DD5C2D">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150</w:t>
                  </w:r>
                </w:p>
              </w:tc>
              <w:tc>
                <w:tcPr>
                  <w:tcW w:w="1694" w:type="dxa"/>
                  <w:tcBorders>
                    <w:tl2br w:val="nil"/>
                    <w:tr2bl w:val="nil"/>
                  </w:tcBorders>
                  <w:noWrap w:val="0"/>
                  <w:vAlign w:val="center"/>
                </w:tcPr>
                <w:p w14:paraId="146F6DE2">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60</w:t>
                  </w:r>
                </w:p>
              </w:tc>
            </w:tr>
            <w:tr w14:paraId="21FB2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76F19291">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w:t>
                  </w:r>
                </w:p>
              </w:tc>
              <w:tc>
                <w:tcPr>
                  <w:tcW w:w="1375" w:type="dxa"/>
                  <w:tcBorders>
                    <w:tl2br w:val="nil"/>
                    <w:tr2bl w:val="nil"/>
                  </w:tcBorders>
                  <w:noWrap w:val="0"/>
                  <w:vAlign w:val="center"/>
                </w:tcPr>
                <w:p w14:paraId="3F655372">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NO</w:t>
                  </w:r>
                  <w:r>
                    <w:rPr>
                      <w:rFonts w:hint="default" w:ascii="Times New Roman" w:hAnsi="Times New Roman" w:cs="Times New Roman"/>
                      <w:color w:val="000000" w:themeColor="text1"/>
                      <w:szCs w:val="21"/>
                      <w:highlight w:val="none"/>
                      <w:vertAlign w:val="subscript"/>
                      <w14:textFill>
                        <w14:solidFill>
                          <w14:schemeClr w14:val="tx1"/>
                        </w14:solidFill>
                      </w14:textFill>
                    </w:rPr>
                    <w:t>2</w:t>
                  </w:r>
                </w:p>
              </w:tc>
              <w:tc>
                <w:tcPr>
                  <w:tcW w:w="1961" w:type="dxa"/>
                  <w:tcBorders>
                    <w:tl2br w:val="nil"/>
                    <w:tr2bl w:val="nil"/>
                  </w:tcBorders>
                  <w:noWrap w:val="0"/>
                  <w:vAlign w:val="center"/>
                </w:tcPr>
                <w:p w14:paraId="0DAC74A4">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200</w:t>
                  </w:r>
                </w:p>
              </w:tc>
              <w:tc>
                <w:tcPr>
                  <w:tcW w:w="2408" w:type="dxa"/>
                  <w:tcBorders>
                    <w:tl2br w:val="nil"/>
                    <w:tr2bl w:val="nil"/>
                  </w:tcBorders>
                  <w:noWrap w:val="0"/>
                  <w:vAlign w:val="center"/>
                </w:tcPr>
                <w:p w14:paraId="6757FBFA">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80</w:t>
                  </w:r>
                </w:p>
              </w:tc>
              <w:tc>
                <w:tcPr>
                  <w:tcW w:w="1694" w:type="dxa"/>
                  <w:tcBorders>
                    <w:tl2br w:val="nil"/>
                    <w:tr2bl w:val="nil"/>
                  </w:tcBorders>
                  <w:noWrap w:val="0"/>
                  <w:vAlign w:val="center"/>
                </w:tcPr>
                <w:p w14:paraId="693A2A55">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40</w:t>
                  </w:r>
                </w:p>
              </w:tc>
            </w:tr>
            <w:tr w14:paraId="2F3D5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3E2E21E6">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w:t>
                  </w:r>
                </w:p>
              </w:tc>
              <w:tc>
                <w:tcPr>
                  <w:tcW w:w="1375" w:type="dxa"/>
                  <w:tcBorders>
                    <w:tl2br w:val="nil"/>
                    <w:tr2bl w:val="nil"/>
                  </w:tcBorders>
                  <w:noWrap w:val="0"/>
                  <w:vAlign w:val="center"/>
                </w:tcPr>
                <w:p w14:paraId="2CC9617E">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PM</w:t>
                  </w:r>
                  <w:r>
                    <w:rPr>
                      <w:rFonts w:hint="default" w:ascii="Times New Roman" w:hAnsi="Times New Roman" w:cs="Times New Roman"/>
                      <w:color w:val="000000" w:themeColor="text1"/>
                      <w:szCs w:val="21"/>
                      <w:highlight w:val="none"/>
                      <w:vertAlign w:val="subscript"/>
                      <w14:textFill>
                        <w14:solidFill>
                          <w14:schemeClr w14:val="tx1"/>
                        </w14:solidFill>
                      </w14:textFill>
                    </w:rPr>
                    <w:t>2.5</w:t>
                  </w:r>
                </w:p>
              </w:tc>
              <w:tc>
                <w:tcPr>
                  <w:tcW w:w="1961" w:type="dxa"/>
                  <w:tcBorders>
                    <w:tl2br w:val="nil"/>
                    <w:tr2bl w:val="nil"/>
                  </w:tcBorders>
                  <w:noWrap w:val="0"/>
                  <w:vAlign w:val="center"/>
                </w:tcPr>
                <w:p w14:paraId="1F39C4B9">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2408" w:type="dxa"/>
                  <w:tcBorders>
                    <w:tl2br w:val="nil"/>
                    <w:tr2bl w:val="nil"/>
                  </w:tcBorders>
                  <w:noWrap w:val="0"/>
                  <w:vAlign w:val="center"/>
                </w:tcPr>
                <w:p w14:paraId="6728F333">
                  <w:pPr>
                    <w:topLinePunct/>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60</w:t>
                  </w:r>
                </w:p>
              </w:tc>
              <w:tc>
                <w:tcPr>
                  <w:tcW w:w="1694" w:type="dxa"/>
                  <w:tcBorders>
                    <w:tl2br w:val="nil"/>
                    <w:tr2bl w:val="nil"/>
                  </w:tcBorders>
                  <w:noWrap w:val="0"/>
                  <w:vAlign w:val="center"/>
                </w:tcPr>
                <w:p w14:paraId="3F78C8FC">
                  <w:pPr>
                    <w:topLinePunct/>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w:t>
                  </w:r>
                  <w:r>
                    <w:rPr>
                      <w:rFonts w:hint="default" w:ascii="Times New Roman" w:hAnsi="Times New Roman" w:cs="Times New Roman"/>
                      <w:color w:val="000000" w:themeColor="text1"/>
                      <w:szCs w:val="21"/>
                      <w:highlight w:val="none"/>
                      <w:lang w:val="en-US" w:eastAsia="zh-CN"/>
                      <w14:textFill>
                        <w14:solidFill>
                          <w14:schemeClr w14:val="tx1"/>
                        </w14:solidFill>
                      </w14:textFill>
                    </w:rPr>
                    <w:t>0</w:t>
                  </w:r>
                </w:p>
              </w:tc>
            </w:tr>
            <w:tr w14:paraId="7394D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05396C93">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w:t>
                  </w:r>
                </w:p>
              </w:tc>
              <w:tc>
                <w:tcPr>
                  <w:tcW w:w="1375" w:type="dxa"/>
                  <w:tcBorders>
                    <w:tl2br w:val="nil"/>
                    <w:tr2bl w:val="nil"/>
                  </w:tcBorders>
                  <w:noWrap w:val="0"/>
                  <w:vAlign w:val="center"/>
                </w:tcPr>
                <w:p w14:paraId="3F2DA12C">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CO</w:t>
                  </w:r>
                </w:p>
              </w:tc>
              <w:tc>
                <w:tcPr>
                  <w:tcW w:w="1961" w:type="dxa"/>
                  <w:tcBorders>
                    <w:tl2br w:val="nil"/>
                    <w:tr2bl w:val="nil"/>
                  </w:tcBorders>
                  <w:noWrap w:val="0"/>
                  <w:vAlign w:val="center"/>
                </w:tcPr>
                <w:p w14:paraId="78F5CA22">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10mg/m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p>
              </w:tc>
              <w:tc>
                <w:tcPr>
                  <w:tcW w:w="2408" w:type="dxa"/>
                  <w:tcBorders>
                    <w:tl2br w:val="nil"/>
                    <w:tr2bl w:val="nil"/>
                  </w:tcBorders>
                  <w:noWrap w:val="0"/>
                  <w:vAlign w:val="center"/>
                </w:tcPr>
                <w:p w14:paraId="4CAEE22A">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4mg/m</w:t>
                  </w:r>
                  <w:r>
                    <w:rPr>
                      <w:rFonts w:hint="default" w:ascii="Times New Roman" w:hAnsi="Times New Roman" w:cs="Times New Roman"/>
                      <w:color w:val="000000" w:themeColor="text1"/>
                      <w:szCs w:val="21"/>
                      <w:highlight w:val="none"/>
                      <w:vertAlign w:val="superscript"/>
                      <w14:textFill>
                        <w14:solidFill>
                          <w14:schemeClr w14:val="tx1"/>
                        </w14:solidFill>
                      </w14:textFill>
                    </w:rPr>
                    <w:t>3</w:t>
                  </w:r>
                </w:p>
              </w:tc>
              <w:tc>
                <w:tcPr>
                  <w:tcW w:w="1694" w:type="dxa"/>
                  <w:tcBorders>
                    <w:tl2br w:val="nil"/>
                    <w:tr2bl w:val="nil"/>
                  </w:tcBorders>
                  <w:noWrap w:val="0"/>
                  <w:vAlign w:val="center"/>
                </w:tcPr>
                <w:p w14:paraId="3CA969FE">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r>
            <w:tr w14:paraId="2A7CD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0" w:type="dxa"/>
                  <w:tcBorders>
                    <w:tl2br w:val="nil"/>
                    <w:tr2bl w:val="nil"/>
                  </w:tcBorders>
                  <w:noWrap w:val="0"/>
                  <w:vAlign w:val="center"/>
                </w:tcPr>
                <w:p w14:paraId="619F24E7">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6</w:t>
                  </w:r>
                </w:p>
              </w:tc>
              <w:tc>
                <w:tcPr>
                  <w:tcW w:w="1375" w:type="dxa"/>
                  <w:tcBorders>
                    <w:tl2br w:val="nil"/>
                    <w:tr2bl w:val="nil"/>
                  </w:tcBorders>
                  <w:noWrap w:val="0"/>
                  <w:vAlign w:val="center"/>
                </w:tcPr>
                <w:p w14:paraId="534B5301">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O</w:t>
                  </w:r>
                  <w:r>
                    <w:rPr>
                      <w:rFonts w:hint="default" w:ascii="Times New Roman" w:hAnsi="Times New Roman" w:cs="Times New Roman"/>
                      <w:color w:val="000000" w:themeColor="text1"/>
                      <w:szCs w:val="21"/>
                      <w:highlight w:val="none"/>
                      <w:vertAlign w:val="subscript"/>
                      <w14:textFill>
                        <w14:solidFill>
                          <w14:schemeClr w14:val="tx1"/>
                        </w14:solidFill>
                      </w14:textFill>
                    </w:rPr>
                    <w:t>3</w:t>
                  </w:r>
                </w:p>
              </w:tc>
              <w:tc>
                <w:tcPr>
                  <w:tcW w:w="1961" w:type="dxa"/>
                  <w:tcBorders>
                    <w:tl2br w:val="nil"/>
                    <w:tr2bl w:val="nil"/>
                  </w:tcBorders>
                  <w:noWrap w:val="0"/>
                  <w:vAlign w:val="center"/>
                </w:tcPr>
                <w:p w14:paraId="3D12E4EF">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200</w:t>
                  </w:r>
                </w:p>
              </w:tc>
              <w:tc>
                <w:tcPr>
                  <w:tcW w:w="2408" w:type="dxa"/>
                  <w:tcBorders>
                    <w:tl2br w:val="nil"/>
                    <w:tr2bl w:val="nil"/>
                  </w:tcBorders>
                  <w:noWrap w:val="0"/>
                  <w:vAlign w:val="center"/>
                </w:tcPr>
                <w:p w14:paraId="5E39AD52">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160（日最大8小时平均）</w:t>
                  </w:r>
                </w:p>
              </w:tc>
              <w:tc>
                <w:tcPr>
                  <w:tcW w:w="1694" w:type="dxa"/>
                  <w:tcBorders>
                    <w:tl2br w:val="nil"/>
                    <w:tr2bl w:val="nil"/>
                  </w:tcBorders>
                  <w:noWrap w:val="0"/>
                  <w:vAlign w:val="center"/>
                </w:tcPr>
                <w:p w14:paraId="6678B525">
                  <w:pPr>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r>
          </w:tbl>
          <w:p w14:paraId="3F6C2E6D">
            <w:pPr>
              <w:numPr>
                <w:ilvl w:val="0"/>
                <w:numId w:val="2"/>
              </w:num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声环境质量</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标准</w:t>
            </w:r>
          </w:p>
          <w:p w14:paraId="3641D24B">
            <w:pPr>
              <w:numPr>
                <w:ilvl w:val="0"/>
                <w:numId w:val="0"/>
              </w:num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本项目位于宁夏回族自治区中卫市</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沙坡头区永康镇</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，根据声环境执行《声环境质量标准》（GB3096-2008）中“１ 类声环境功能区：指以居民住宅、医疗卫生、文化教育、科研设计、行政办公为主要功能，需要保持安静的区域，因此本项目执行</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声环境质量标准</w:t>
            </w:r>
            <w:r>
              <w:rPr>
                <w:color w:val="000000" w:themeColor="text1"/>
                <w:kern w:val="0"/>
                <w:sz w:val="24"/>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GB3096-2008）中的1类标准，具体见下表。执行《声环境质量标准》（GB3096-2008）1类标准；</w:t>
            </w:r>
          </w:p>
          <w:p w14:paraId="1B323982">
            <w:pPr>
              <w:pStyle w:val="11"/>
              <w:adjustRightInd w:val="0"/>
              <w:snapToGrid w:val="0"/>
              <w:jc w:val="cente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表3-</w:t>
            </w:r>
            <w:r>
              <w:rPr>
                <w:rFonts w:hint="eastAsia"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7</w:t>
            </w: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 xml:space="preserve">  《声环境质量标准》（GB3096-2008）1类标准</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14"/>
              <w:gridCol w:w="2816"/>
              <w:gridCol w:w="2816"/>
            </w:tblGrid>
            <w:tr w14:paraId="26EE4F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589" w:type="dxa"/>
                  <w:tcBorders>
                    <w:tl2br w:val="nil"/>
                    <w:tr2bl w:val="nil"/>
                  </w:tcBorders>
                  <w:noWrap w:val="0"/>
                  <w:vAlign w:val="center"/>
                </w:tcPr>
                <w:p w14:paraId="398206BE">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类别</w:t>
                  </w:r>
                </w:p>
              </w:tc>
              <w:tc>
                <w:tcPr>
                  <w:tcW w:w="2686" w:type="dxa"/>
                  <w:tcBorders>
                    <w:tl2br w:val="nil"/>
                    <w:tr2bl w:val="nil"/>
                  </w:tcBorders>
                  <w:noWrap w:val="0"/>
                  <w:vAlign w:val="center"/>
                </w:tcPr>
                <w:p w14:paraId="7D560524">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昼间</w:t>
                  </w:r>
                </w:p>
              </w:tc>
              <w:tc>
                <w:tcPr>
                  <w:tcW w:w="2686" w:type="dxa"/>
                  <w:tcBorders>
                    <w:tl2br w:val="nil"/>
                    <w:tr2bl w:val="nil"/>
                  </w:tcBorders>
                  <w:noWrap w:val="0"/>
                  <w:vAlign w:val="center"/>
                </w:tcPr>
                <w:p w14:paraId="5C873738">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夜间</w:t>
                  </w:r>
                </w:p>
              </w:tc>
            </w:tr>
            <w:tr w14:paraId="0288F2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589" w:type="dxa"/>
                  <w:tcBorders>
                    <w:tl2br w:val="nil"/>
                    <w:tr2bl w:val="nil"/>
                  </w:tcBorders>
                  <w:noWrap w:val="0"/>
                  <w:vAlign w:val="center"/>
                </w:tcPr>
                <w:p w14:paraId="1C116D55">
                  <w:pPr>
                    <w:adjustRightInd w:val="0"/>
                    <w:snapToGrid w:val="0"/>
                    <w:jc w:val="center"/>
                    <w:rPr>
                      <w:rFonts w:hint="default" w:ascii="Times New Roman" w:hAnsi="Times New Roman" w:eastAsia="仿宋"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1</w:t>
                  </w:r>
                </w:p>
              </w:tc>
              <w:tc>
                <w:tcPr>
                  <w:tcW w:w="2686" w:type="dxa"/>
                  <w:tcBorders>
                    <w:tl2br w:val="nil"/>
                    <w:tr2bl w:val="nil"/>
                  </w:tcBorders>
                  <w:noWrap w:val="0"/>
                  <w:vAlign w:val="center"/>
                </w:tcPr>
                <w:p w14:paraId="316D4701">
                  <w:pPr>
                    <w:adjustRightInd w:val="0"/>
                    <w:snapToGrid w:val="0"/>
                    <w:jc w:val="cente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55</w:t>
                  </w:r>
                </w:p>
              </w:tc>
              <w:tc>
                <w:tcPr>
                  <w:tcW w:w="2686" w:type="dxa"/>
                  <w:tcBorders>
                    <w:tl2br w:val="nil"/>
                    <w:tr2bl w:val="nil"/>
                  </w:tcBorders>
                  <w:noWrap w:val="0"/>
                  <w:vAlign w:val="center"/>
                </w:tcPr>
                <w:p w14:paraId="1BD18DEA">
                  <w:pPr>
                    <w:adjustRightInd w:val="0"/>
                    <w:snapToGrid w:val="0"/>
                    <w:jc w:val="cente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45</w:t>
                  </w:r>
                </w:p>
              </w:tc>
            </w:tr>
          </w:tbl>
          <w:p w14:paraId="4FFD76CE">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土壤环境质量标准</w:t>
            </w:r>
          </w:p>
          <w:p w14:paraId="1D218614">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项目沟道底泥应满足《土壤环境质量 农用地土壤污染风险管控标准》（试行）（GB15618-2018）中筛选值及管制值要求。</w:t>
            </w:r>
          </w:p>
          <w:p w14:paraId="1EABE240">
            <w:pPr>
              <w:pStyle w:val="14"/>
              <w:numPr>
                <w:ilvl w:val="0"/>
                <w:numId w:val="0"/>
              </w:numPr>
              <w:jc w:val="cente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表3-</w:t>
            </w:r>
            <w:r>
              <w:rPr>
                <w:rFonts w:hint="eastAsia" w:eastAsia="黑体" w:cs="Times New Roman"/>
                <w:color w:val="000000" w:themeColor="text1"/>
                <w:kern w:val="0"/>
                <w:sz w:val="24"/>
                <w:szCs w:val="24"/>
                <w:highlight w:val="none"/>
                <w:lang w:val="en-US" w:eastAsia="zh-CN" w:bidi="ar-SA"/>
                <w14:textFill>
                  <w14:solidFill>
                    <w14:schemeClr w14:val="tx1"/>
                  </w14:solidFill>
                </w14:textFill>
              </w:rPr>
              <w:t>8</w:t>
            </w: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 xml:space="preserve">  农用地土壤污染风险筛选值（基本项目）  单位：mg/kg</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402"/>
              <w:gridCol w:w="1655"/>
              <w:gridCol w:w="1499"/>
              <w:gridCol w:w="1467"/>
              <w:gridCol w:w="1484"/>
            </w:tblGrid>
            <w:tr w14:paraId="18F81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vMerge w:val="restart"/>
                  <w:tcBorders>
                    <w:tl2br w:val="nil"/>
                    <w:tr2bl w:val="nil"/>
                  </w:tcBorders>
                  <w:noWrap w:val="0"/>
                  <w:vAlign w:val="center"/>
                </w:tcPr>
                <w:p w14:paraId="0CA39ACC">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1333" w:type="dxa"/>
                  <w:vMerge w:val="restart"/>
                  <w:tcBorders>
                    <w:tl2br w:val="nil"/>
                    <w:tr2bl w:val="nil"/>
                  </w:tcBorders>
                  <w:noWrap w:val="0"/>
                  <w:vAlign w:val="center"/>
                </w:tcPr>
                <w:p w14:paraId="4AC3F799">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污染物项目</w:t>
                  </w:r>
                </w:p>
              </w:tc>
              <w:tc>
                <w:tcPr>
                  <w:tcW w:w="5804" w:type="dxa"/>
                  <w:gridSpan w:val="4"/>
                  <w:tcBorders>
                    <w:tl2br w:val="nil"/>
                    <w:tr2bl w:val="nil"/>
                  </w:tcBorders>
                  <w:noWrap w:val="0"/>
                  <w:vAlign w:val="center"/>
                </w:tcPr>
                <w:p w14:paraId="14B2D119">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风险筛选值</w:t>
                  </w:r>
                </w:p>
              </w:tc>
            </w:tr>
            <w:tr w14:paraId="672E0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vMerge w:val="continue"/>
                  <w:tcBorders>
                    <w:tl2br w:val="nil"/>
                    <w:tr2bl w:val="nil"/>
                  </w:tcBorders>
                  <w:noWrap w:val="0"/>
                  <w:vAlign w:val="center"/>
                </w:tcPr>
                <w:p w14:paraId="41AD1659">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p>
              </w:tc>
              <w:tc>
                <w:tcPr>
                  <w:tcW w:w="1333" w:type="dxa"/>
                  <w:vMerge w:val="continue"/>
                  <w:tcBorders>
                    <w:tl2br w:val="nil"/>
                    <w:tr2bl w:val="nil"/>
                  </w:tcBorders>
                  <w:noWrap w:val="0"/>
                  <w:vAlign w:val="center"/>
                </w:tcPr>
                <w:p w14:paraId="0434A6B3">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p>
              </w:tc>
              <w:tc>
                <w:tcPr>
                  <w:tcW w:w="1574" w:type="dxa"/>
                  <w:tcBorders>
                    <w:tl2br w:val="nil"/>
                    <w:tr2bl w:val="nil"/>
                  </w:tcBorders>
                  <w:noWrap w:val="0"/>
                  <w:vAlign w:val="center"/>
                </w:tcPr>
                <w:p w14:paraId="575A4142">
                  <w:pPr>
                    <w:adjustRightInd w:val="0"/>
                    <w:snapToGrid w:val="0"/>
                    <w:jc w:val="center"/>
                    <w:rPr>
                      <w:rFonts w:hint="default" w:ascii="Times New Roman" w:hAnsi="Times New Roman" w:cs="Times New Roman"/>
                      <w:b/>
                      <w:bCs/>
                      <w:color w:val="000000" w:themeColor="text1"/>
                      <w:spacing w:val="-17"/>
                      <w:szCs w:val="21"/>
                      <w:highlight w:val="none"/>
                      <w14:textFill>
                        <w14:solidFill>
                          <w14:schemeClr w14:val="tx1"/>
                        </w14:solidFill>
                      </w14:textFill>
                    </w:rPr>
                  </w:pPr>
                  <w:r>
                    <w:rPr>
                      <w:rFonts w:hint="default" w:ascii="Times New Roman" w:hAnsi="Times New Roman" w:cs="Times New Roman"/>
                      <w:b/>
                      <w:bCs/>
                      <w:color w:val="000000" w:themeColor="text1"/>
                      <w:spacing w:val="-17"/>
                      <w:szCs w:val="21"/>
                      <w:highlight w:val="none"/>
                      <w14:textFill>
                        <w14:solidFill>
                          <w14:schemeClr w14:val="tx1"/>
                        </w14:solidFill>
                      </w14:textFill>
                    </w:rPr>
                    <w:t>pH≤5.5</w:t>
                  </w:r>
                </w:p>
              </w:tc>
              <w:tc>
                <w:tcPr>
                  <w:tcW w:w="1425" w:type="dxa"/>
                  <w:tcBorders>
                    <w:tl2br w:val="nil"/>
                    <w:tr2bl w:val="nil"/>
                  </w:tcBorders>
                  <w:noWrap w:val="0"/>
                  <w:vAlign w:val="center"/>
                </w:tcPr>
                <w:p w14:paraId="296887B1">
                  <w:pPr>
                    <w:adjustRightInd w:val="0"/>
                    <w:snapToGrid w:val="0"/>
                    <w:jc w:val="center"/>
                    <w:rPr>
                      <w:rFonts w:hint="default" w:ascii="Times New Roman" w:hAnsi="Times New Roman" w:cs="Times New Roman"/>
                      <w:b/>
                      <w:bCs/>
                      <w:color w:val="000000" w:themeColor="text1"/>
                      <w:spacing w:val="-17"/>
                      <w:szCs w:val="21"/>
                      <w:highlight w:val="none"/>
                      <w14:textFill>
                        <w14:solidFill>
                          <w14:schemeClr w14:val="tx1"/>
                        </w14:solidFill>
                      </w14:textFill>
                    </w:rPr>
                  </w:pPr>
                  <w:r>
                    <w:rPr>
                      <w:rFonts w:hint="default" w:ascii="Times New Roman" w:hAnsi="Times New Roman" w:cs="Times New Roman"/>
                      <w:b/>
                      <w:bCs/>
                      <w:color w:val="000000" w:themeColor="text1"/>
                      <w:spacing w:val="-17"/>
                      <w:szCs w:val="21"/>
                      <w:highlight w:val="none"/>
                      <w14:textFill>
                        <w14:solidFill>
                          <w14:schemeClr w14:val="tx1"/>
                        </w14:solidFill>
                      </w14:textFill>
                    </w:rPr>
                    <w:t>5.5＜pH≤6.5</w:t>
                  </w:r>
                </w:p>
              </w:tc>
              <w:tc>
                <w:tcPr>
                  <w:tcW w:w="1395" w:type="dxa"/>
                  <w:tcBorders>
                    <w:tl2br w:val="nil"/>
                    <w:tr2bl w:val="nil"/>
                  </w:tcBorders>
                  <w:noWrap w:val="0"/>
                  <w:vAlign w:val="center"/>
                </w:tcPr>
                <w:p w14:paraId="5AC68D47">
                  <w:pPr>
                    <w:adjustRightInd w:val="0"/>
                    <w:snapToGrid w:val="0"/>
                    <w:jc w:val="center"/>
                    <w:rPr>
                      <w:rFonts w:hint="default" w:ascii="Times New Roman" w:hAnsi="Times New Roman" w:cs="Times New Roman"/>
                      <w:b/>
                      <w:bCs/>
                      <w:color w:val="000000" w:themeColor="text1"/>
                      <w:spacing w:val="-17"/>
                      <w:szCs w:val="21"/>
                      <w:highlight w:val="none"/>
                      <w14:textFill>
                        <w14:solidFill>
                          <w14:schemeClr w14:val="tx1"/>
                        </w14:solidFill>
                      </w14:textFill>
                    </w:rPr>
                  </w:pPr>
                  <w:r>
                    <w:rPr>
                      <w:rFonts w:hint="default" w:ascii="Times New Roman" w:hAnsi="Times New Roman" w:cs="Times New Roman"/>
                      <w:b/>
                      <w:bCs/>
                      <w:color w:val="000000" w:themeColor="text1"/>
                      <w:spacing w:val="-17"/>
                      <w:szCs w:val="21"/>
                      <w:highlight w:val="none"/>
                      <w14:textFill>
                        <w14:solidFill>
                          <w14:schemeClr w14:val="tx1"/>
                        </w14:solidFill>
                      </w14:textFill>
                    </w:rPr>
                    <w:t>6.5＜pH≤7.5</w:t>
                  </w:r>
                </w:p>
              </w:tc>
              <w:tc>
                <w:tcPr>
                  <w:tcW w:w="1410" w:type="dxa"/>
                  <w:tcBorders>
                    <w:tl2br w:val="nil"/>
                    <w:tr2bl w:val="nil"/>
                  </w:tcBorders>
                  <w:noWrap w:val="0"/>
                  <w:vAlign w:val="center"/>
                </w:tcPr>
                <w:p w14:paraId="1F5A0FB2">
                  <w:pPr>
                    <w:adjustRightInd w:val="0"/>
                    <w:snapToGrid w:val="0"/>
                    <w:jc w:val="center"/>
                    <w:rPr>
                      <w:rFonts w:hint="default" w:ascii="Times New Roman" w:hAnsi="Times New Roman" w:cs="Times New Roman"/>
                      <w:b/>
                      <w:bCs/>
                      <w:color w:val="000000" w:themeColor="text1"/>
                      <w:spacing w:val="-17"/>
                      <w:szCs w:val="21"/>
                      <w:highlight w:val="none"/>
                      <w14:textFill>
                        <w14:solidFill>
                          <w14:schemeClr w14:val="tx1"/>
                        </w14:solidFill>
                      </w14:textFill>
                    </w:rPr>
                  </w:pPr>
                  <w:r>
                    <w:rPr>
                      <w:rFonts w:hint="default" w:ascii="Times New Roman" w:hAnsi="Times New Roman" w:cs="Times New Roman"/>
                      <w:b/>
                      <w:bCs/>
                      <w:color w:val="000000" w:themeColor="text1"/>
                      <w:spacing w:val="-17"/>
                      <w:szCs w:val="21"/>
                      <w:highlight w:val="none"/>
                      <w14:textFill>
                        <w14:solidFill>
                          <w14:schemeClr w14:val="tx1"/>
                        </w14:solidFill>
                      </w14:textFill>
                    </w:rPr>
                    <w:t>pH＞7.5</w:t>
                  </w:r>
                </w:p>
              </w:tc>
            </w:tr>
            <w:tr w14:paraId="7AA39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796D1977">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1</w:t>
                  </w:r>
                </w:p>
              </w:tc>
              <w:tc>
                <w:tcPr>
                  <w:tcW w:w="1333" w:type="dxa"/>
                  <w:tcBorders>
                    <w:tl2br w:val="nil"/>
                    <w:tr2bl w:val="nil"/>
                  </w:tcBorders>
                  <w:noWrap w:val="0"/>
                  <w:vAlign w:val="center"/>
                </w:tcPr>
                <w:p w14:paraId="0CAF9391">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镉</w:t>
                  </w:r>
                </w:p>
              </w:tc>
              <w:tc>
                <w:tcPr>
                  <w:tcW w:w="1574" w:type="dxa"/>
                  <w:tcBorders>
                    <w:tl2br w:val="nil"/>
                    <w:tr2bl w:val="nil"/>
                  </w:tcBorders>
                  <w:noWrap w:val="0"/>
                  <w:vAlign w:val="center"/>
                </w:tcPr>
                <w:p w14:paraId="0CECBCF1">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0.3</w:t>
                  </w:r>
                </w:p>
              </w:tc>
              <w:tc>
                <w:tcPr>
                  <w:tcW w:w="1425" w:type="dxa"/>
                  <w:tcBorders>
                    <w:tl2br w:val="nil"/>
                    <w:tr2bl w:val="nil"/>
                  </w:tcBorders>
                  <w:noWrap w:val="0"/>
                  <w:vAlign w:val="center"/>
                </w:tcPr>
                <w:p w14:paraId="7283973E">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0.3</w:t>
                  </w:r>
                </w:p>
              </w:tc>
              <w:tc>
                <w:tcPr>
                  <w:tcW w:w="1395" w:type="dxa"/>
                  <w:tcBorders>
                    <w:tl2br w:val="nil"/>
                    <w:tr2bl w:val="nil"/>
                  </w:tcBorders>
                  <w:noWrap w:val="0"/>
                  <w:vAlign w:val="center"/>
                </w:tcPr>
                <w:p w14:paraId="3D622E64">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0.3</w:t>
                  </w:r>
                </w:p>
              </w:tc>
              <w:tc>
                <w:tcPr>
                  <w:tcW w:w="1410" w:type="dxa"/>
                  <w:tcBorders>
                    <w:tl2br w:val="nil"/>
                    <w:tr2bl w:val="nil"/>
                  </w:tcBorders>
                  <w:noWrap w:val="0"/>
                  <w:vAlign w:val="center"/>
                </w:tcPr>
                <w:p w14:paraId="6328685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0.6</w:t>
                  </w:r>
                </w:p>
              </w:tc>
            </w:tr>
            <w:tr w14:paraId="01E9C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138AFCBA">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2</w:t>
                  </w:r>
                </w:p>
              </w:tc>
              <w:tc>
                <w:tcPr>
                  <w:tcW w:w="1333" w:type="dxa"/>
                  <w:tcBorders>
                    <w:tl2br w:val="nil"/>
                    <w:tr2bl w:val="nil"/>
                  </w:tcBorders>
                  <w:noWrap w:val="0"/>
                  <w:vAlign w:val="center"/>
                </w:tcPr>
                <w:p w14:paraId="1F8E524E">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汞</w:t>
                  </w:r>
                </w:p>
              </w:tc>
              <w:tc>
                <w:tcPr>
                  <w:tcW w:w="1574" w:type="dxa"/>
                  <w:tcBorders>
                    <w:tl2br w:val="nil"/>
                    <w:tr2bl w:val="nil"/>
                  </w:tcBorders>
                  <w:noWrap w:val="0"/>
                  <w:vAlign w:val="center"/>
                </w:tcPr>
                <w:p w14:paraId="7B76204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1.3</w:t>
                  </w:r>
                </w:p>
              </w:tc>
              <w:tc>
                <w:tcPr>
                  <w:tcW w:w="1425" w:type="dxa"/>
                  <w:tcBorders>
                    <w:tl2br w:val="nil"/>
                    <w:tr2bl w:val="nil"/>
                  </w:tcBorders>
                  <w:noWrap w:val="0"/>
                  <w:vAlign w:val="center"/>
                </w:tcPr>
                <w:p w14:paraId="79991A3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1.8</w:t>
                  </w:r>
                </w:p>
              </w:tc>
              <w:tc>
                <w:tcPr>
                  <w:tcW w:w="1395" w:type="dxa"/>
                  <w:tcBorders>
                    <w:tl2br w:val="nil"/>
                    <w:tr2bl w:val="nil"/>
                  </w:tcBorders>
                  <w:noWrap w:val="0"/>
                  <w:vAlign w:val="center"/>
                </w:tcPr>
                <w:p w14:paraId="72E2AD1F">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2.4</w:t>
                  </w:r>
                </w:p>
              </w:tc>
              <w:tc>
                <w:tcPr>
                  <w:tcW w:w="1410" w:type="dxa"/>
                  <w:tcBorders>
                    <w:tl2br w:val="nil"/>
                    <w:tr2bl w:val="nil"/>
                  </w:tcBorders>
                  <w:noWrap w:val="0"/>
                  <w:vAlign w:val="center"/>
                </w:tcPr>
                <w:p w14:paraId="7D72339D">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3.4</w:t>
                  </w:r>
                </w:p>
              </w:tc>
            </w:tr>
            <w:tr w14:paraId="2A414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4C45FCC2">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3</w:t>
                  </w:r>
                </w:p>
              </w:tc>
              <w:tc>
                <w:tcPr>
                  <w:tcW w:w="1333" w:type="dxa"/>
                  <w:tcBorders>
                    <w:tl2br w:val="nil"/>
                    <w:tr2bl w:val="nil"/>
                  </w:tcBorders>
                  <w:noWrap w:val="0"/>
                  <w:vAlign w:val="center"/>
                </w:tcPr>
                <w:p w14:paraId="49DD58A6">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砷</w:t>
                  </w:r>
                </w:p>
              </w:tc>
              <w:tc>
                <w:tcPr>
                  <w:tcW w:w="1574" w:type="dxa"/>
                  <w:tcBorders>
                    <w:tl2br w:val="nil"/>
                    <w:tr2bl w:val="nil"/>
                  </w:tcBorders>
                  <w:noWrap w:val="0"/>
                  <w:vAlign w:val="center"/>
                </w:tcPr>
                <w:p w14:paraId="6442268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40</w:t>
                  </w:r>
                </w:p>
              </w:tc>
              <w:tc>
                <w:tcPr>
                  <w:tcW w:w="1425" w:type="dxa"/>
                  <w:tcBorders>
                    <w:tl2br w:val="nil"/>
                    <w:tr2bl w:val="nil"/>
                  </w:tcBorders>
                  <w:noWrap w:val="0"/>
                  <w:vAlign w:val="center"/>
                </w:tcPr>
                <w:p w14:paraId="6BCF8BC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40</w:t>
                  </w:r>
                </w:p>
              </w:tc>
              <w:tc>
                <w:tcPr>
                  <w:tcW w:w="1395" w:type="dxa"/>
                  <w:tcBorders>
                    <w:tl2br w:val="nil"/>
                    <w:tr2bl w:val="nil"/>
                  </w:tcBorders>
                  <w:noWrap w:val="0"/>
                  <w:vAlign w:val="center"/>
                </w:tcPr>
                <w:p w14:paraId="45DA1780">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30</w:t>
                  </w:r>
                </w:p>
              </w:tc>
              <w:tc>
                <w:tcPr>
                  <w:tcW w:w="1410" w:type="dxa"/>
                  <w:tcBorders>
                    <w:tl2br w:val="nil"/>
                    <w:tr2bl w:val="nil"/>
                  </w:tcBorders>
                  <w:noWrap w:val="0"/>
                  <w:vAlign w:val="center"/>
                </w:tcPr>
                <w:p w14:paraId="2BC68214">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25</w:t>
                  </w:r>
                </w:p>
              </w:tc>
            </w:tr>
            <w:tr w14:paraId="56B0A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2BAEAAE4">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4</w:t>
                  </w:r>
                </w:p>
              </w:tc>
              <w:tc>
                <w:tcPr>
                  <w:tcW w:w="1333" w:type="dxa"/>
                  <w:tcBorders>
                    <w:tl2br w:val="nil"/>
                    <w:tr2bl w:val="nil"/>
                  </w:tcBorders>
                  <w:noWrap w:val="0"/>
                  <w:vAlign w:val="center"/>
                </w:tcPr>
                <w:p w14:paraId="63CE2D02">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铅</w:t>
                  </w:r>
                </w:p>
              </w:tc>
              <w:tc>
                <w:tcPr>
                  <w:tcW w:w="1574" w:type="dxa"/>
                  <w:tcBorders>
                    <w:tl2br w:val="nil"/>
                    <w:tr2bl w:val="nil"/>
                  </w:tcBorders>
                  <w:noWrap w:val="0"/>
                  <w:vAlign w:val="center"/>
                </w:tcPr>
                <w:p w14:paraId="7FCD3A2B">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70</w:t>
                  </w:r>
                </w:p>
              </w:tc>
              <w:tc>
                <w:tcPr>
                  <w:tcW w:w="1425" w:type="dxa"/>
                  <w:tcBorders>
                    <w:tl2br w:val="nil"/>
                    <w:tr2bl w:val="nil"/>
                  </w:tcBorders>
                  <w:noWrap w:val="0"/>
                  <w:vAlign w:val="center"/>
                </w:tcPr>
                <w:p w14:paraId="435BDD3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90</w:t>
                  </w:r>
                </w:p>
              </w:tc>
              <w:tc>
                <w:tcPr>
                  <w:tcW w:w="1395" w:type="dxa"/>
                  <w:tcBorders>
                    <w:tl2br w:val="nil"/>
                    <w:tr2bl w:val="nil"/>
                  </w:tcBorders>
                  <w:noWrap w:val="0"/>
                  <w:vAlign w:val="center"/>
                </w:tcPr>
                <w:p w14:paraId="72361FF9">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120</w:t>
                  </w:r>
                </w:p>
              </w:tc>
              <w:tc>
                <w:tcPr>
                  <w:tcW w:w="1410" w:type="dxa"/>
                  <w:tcBorders>
                    <w:tl2br w:val="nil"/>
                    <w:tr2bl w:val="nil"/>
                  </w:tcBorders>
                  <w:noWrap w:val="0"/>
                  <w:vAlign w:val="center"/>
                </w:tcPr>
                <w:p w14:paraId="022F9A40">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170</w:t>
                  </w:r>
                </w:p>
              </w:tc>
            </w:tr>
            <w:tr w14:paraId="33B9C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60BF92D7">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5</w:t>
                  </w:r>
                </w:p>
              </w:tc>
              <w:tc>
                <w:tcPr>
                  <w:tcW w:w="1333" w:type="dxa"/>
                  <w:tcBorders>
                    <w:tl2br w:val="nil"/>
                    <w:tr2bl w:val="nil"/>
                  </w:tcBorders>
                  <w:noWrap w:val="0"/>
                  <w:vAlign w:val="center"/>
                </w:tcPr>
                <w:p w14:paraId="3774B077">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铬</w:t>
                  </w:r>
                </w:p>
              </w:tc>
              <w:tc>
                <w:tcPr>
                  <w:tcW w:w="1574" w:type="dxa"/>
                  <w:tcBorders>
                    <w:tl2br w:val="nil"/>
                    <w:tr2bl w:val="nil"/>
                  </w:tcBorders>
                  <w:noWrap w:val="0"/>
                  <w:vAlign w:val="center"/>
                </w:tcPr>
                <w:p w14:paraId="3183CEC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150</w:t>
                  </w:r>
                </w:p>
              </w:tc>
              <w:tc>
                <w:tcPr>
                  <w:tcW w:w="1425" w:type="dxa"/>
                  <w:tcBorders>
                    <w:tl2br w:val="nil"/>
                    <w:tr2bl w:val="nil"/>
                  </w:tcBorders>
                  <w:noWrap w:val="0"/>
                  <w:vAlign w:val="center"/>
                </w:tcPr>
                <w:p w14:paraId="0166852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150</w:t>
                  </w:r>
                </w:p>
              </w:tc>
              <w:tc>
                <w:tcPr>
                  <w:tcW w:w="1395" w:type="dxa"/>
                  <w:tcBorders>
                    <w:tl2br w:val="nil"/>
                    <w:tr2bl w:val="nil"/>
                  </w:tcBorders>
                  <w:noWrap w:val="0"/>
                  <w:vAlign w:val="center"/>
                </w:tcPr>
                <w:p w14:paraId="00AD925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200</w:t>
                  </w:r>
                </w:p>
              </w:tc>
              <w:tc>
                <w:tcPr>
                  <w:tcW w:w="1410" w:type="dxa"/>
                  <w:tcBorders>
                    <w:tl2br w:val="nil"/>
                    <w:tr2bl w:val="nil"/>
                  </w:tcBorders>
                  <w:noWrap w:val="0"/>
                  <w:vAlign w:val="center"/>
                </w:tcPr>
                <w:p w14:paraId="133AB79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250</w:t>
                  </w:r>
                </w:p>
              </w:tc>
            </w:tr>
            <w:tr w14:paraId="7E594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1908605A">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6</w:t>
                  </w:r>
                </w:p>
              </w:tc>
              <w:tc>
                <w:tcPr>
                  <w:tcW w:w="1333" w:type="dxa"/>
                  <w:tcBorders>
                    <w:tl2br w:val="nil"/>
                    <w:tr2bl w:val="nil"/>
                  </w:tcBorders>
                  <w:noWrap w:val="0"/>
                  <w:vAlign w:val="center"/>
                </w:tcPr>
                <w:p w14:paraId="74F6EAF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铜</w:t>
                  </w:r>
                </w:p>
              </w:tc>
              <w:tc>
                <w:tcPr>
                  <w:tcW w:w="1574" w:type="dxa"/>
                  <w:tcBorders>
                    <w:tl2br w:val="nil"/>
                    <w:tr2bl w:val="nil"/>
                  </w:tcBorders>
                  <w:noWrap w:val="0"/>
                  <w:vAlign w:val="center"/>
                </w:tcPr>
                <w:p w14:paraId="465E171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50</w:t>
                  </w:r>
                </w:p>
              </w:tc>
              <w:tc>
                <w:tcPr>
                  <w:tcW w:w="1425" w:type="dxa"/>
                  <w:tcBorders>
                    <w:tl2br w:val="nil"/>
                    <w:tr2bl w:val="nil"/>
                  </w:tcBorders>
                  <w:noWrap w:val="0"/>
                  <w:vAlign w:val="center"/>
                </w:tcPr>
                <w:p w14:paraId="6AD1AF6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50</w:t>
                  </w:r>
                </w:p>
              </w:tc>
              <w:tc>
                <w:tcPr>
                  <w:tcW w:w="1395" w:type="dxa"/>
                  <w:tcBorders>
                    <w:tl2br w:val="nil"/>
                    <w:tr2bl w:val="nil"/>
                  </w:tcBorders>
                  <w:noWrap w:val="0"/>
                  <w:vAlign w:val="center"/>
                </w:tcPr>
                <w:p w14:paraId="57837F4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100</w:t>
                  </w:r>
                </w:p>
              </w:tc>
              <w:tc>
                <w:tcPr>
                  <w:tcW w:w="1410" w:type="dxa"/>
                  <w:tcBorders>
                    <w:tl2br w:val="nil"/>
                    <w:tr2bl w:val="nil"/>
                  </w:tcBorders>
                  <w:noWrap w:val="0"/>
                  <w:vAlign w:val="center"/>
                </w:tcPr>
                <w:p w14:paraId="780D594A">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100</w:t>
                  </w:r>
                </w:p>
              </w:tc>
            </w:tr>
            <w:tr w14:paraId="61F11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4E0CE0EB">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7</w:t>
                  </w:r>
                </w:p>
              </w:tc>
              <w:tc>
                <w:tcPr>
                  <w:tcW w:w="1333" w:type="dxa"/>
                  <w:tcBorders>
                    <w:tl2br w:val="nil"/>
                    <w:tr2bl w:val="nil"/>
                  </w:tcBorders>
                  <w:noWrap w:val="0"/>
                  <w:vAlign w:val="center"/>
                </w:tcPr>
                <w:p w14:paraId="6E114EC7">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镍</w:t>
                  </w:r>
                </w:p>
              </w:tc>
              <w:tc>
                <w:tcPr>
                  <w:tcW w:w="1574" w:type="dxa"/>
                  <w:tcBorders>
                    <w:tl2br w:val="nil"/>
                    <w:tr2bl w:val="nil"/>
                  </w:tcBorders>
                  <w:noWrap w:val="0"/>
                  <w:vAlign w:val="center"/>
                </w:tcPr>
                <w:p w14:paraId="2499D8B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60</w:t>
                  </w:r>
                </w:p>
              </w:tc>
              <w:tc>
                <w:tcPr>
                  <w:tcW w:w="1425" w:type="dxa"/>
                  <w:tcBorders>
                    <w:tl2br w:val="nil"/>
                    <w:tr2bl w:val="nil"/>
                  </w:tcBorders>
                  <w:noWrap w:val="0"/>
                  <w:vAlign w:val="center"/>
                </w:tcPr>
                <w:p w14:paraId="19D0D9AC">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70</w:t>
                  </w:r>
                </w:p>
              </w:tc>
              <w:tc>
                <w:tcPr>
                  <w:tcW w:w="1395" w:type="dxa"/>
                  <w:tcBorders>
                    <w:tl2br w:val="nil"/>
                    <w:tr2bl w:val="nil"/>
                  </w:tcBorders>
                  <w:noWrap w:val="0"/>
                  <w:vAlign w:val="center"/>
                </w:tcPr>
                <w:p w14:paraId="14549DF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100</w:t>
                  </w:r>
                </w:p>
              </w:tc>
              <w:tc>
                <w:tcPr>
                  <w:tcW w:w="1410" w:type="dxa"/>
                  <w:tcBorders>
                    <w:tl2br w:val="nil"/>
                    <w:tr2bl w:val="nil"/>
                  </w:tcBorders>
                  <w:noWrap w:val="0"/>
                  <w:vAlign w:val="center"/>
                </w:tcPr>
                <w:p w14:paraId="442441A0">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190</w:t>
                  </w:r>
                </w:p>
              </w:tc>
            </w:tr>
            <w:tr w14:paraId="70545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7" w:type="dxa"/>
                  <w:tcBorders>
                    <w:tl2br w:val="nil"/>
                    <w:tr2bl w:val="nil"/>
                  </w:tcBorders>
                  <w:noWrap w:val="0"/>
                  <w:vAlign w:val="center"/>
                </w:tcPr>
                <w:p w14:paraId="1AF1B435">
                  <w:pPr>
                    <w:adjustRightInd w:val="0"/>
                    <w:snapToGrid w:val="0"/>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8</w:t>
                  </w:r>
                </w:p>
              </w:tc>
              <w:tc>
                <w:tcPr>
                  <w:tcW w:w="1333" w:type="dxa"/>
                  <w:tcBorders>
                    <w:tl2br w:val="nil"/>
                    <w:tr2bl w:val="nil"/>
                  </w:tcBorders>
                  <w:noWrap w:val="0"/>
                  <w:vAlign w:val="center"/>
                </w:tcPr>
                <w:p w14:paraId="0197AE80">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锌</w:t>
                  </w:r>
                </w:p>
              </w:tc>
              <w:tc>
                <w:tcPr>
                  <w:tcW w:w="1574" w:type="dxa"/>
                  <w:tcBorders>
                    <w:tl2br w:val="nil"/>
                    <w:tr2bl w:val="nil"/>
                  </w:tcBorders>
                  <w:noWrap w:val="0"/>
                  <w:vAlign w:val="center"/>
                </w:tcPr>
                <w:p w14:paraId="7272315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200</w:t>
                  </w:r>
                </w:p>
              </w:tc>
              <w:tc>
                <w:tcPr>
                  <w:tcW w:w="1425" w:type="dxa"/>
                  <w:tcBorders>
                    <w:tl2br w:val="nil"/>
                    <w:tr2bl w:val="nil"/>
                  </w:tcBorders>
                  <w:noWrap w:val="0"/>
                  <w:vAlign w:val="center"/>
                </w:tcPr>
                <w:p w14:paraId="74A5DD23">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200</w:t>
                  </w:r>
                </w:p>
              </w:tc>
              <w:tc>
                <w:tcPr>
                  <w:tcW w:w="1395" w:type="dxa"/>
                  <w:tcBorders>
                    <w:tl2br w:val="nil"/>
                    <w:tr2bl w:val="nil"/>
                  </w:tcBorders>
                  <w:noWrap w:val="0"/>
                  <w:vAlign w:val="center"/>
                </w:tcPr>
                <w:p w14:paraId="095671E9">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250</w:t>
                  </w:r>
                </w:p>
              </w:tc>
              <w:tc>
                <w:tcPr>
                  <w:tcW w:w="1410" w:type="dxa"/>
                  <w:tcBorders>
                    <w:tl2br w:val="nil"/>
                    <w:tr2bl w:val="nil"/>
                  </w:tcBorders>
                  <w:noWrap w:val="0"/>
                  <w:vAlign w:val="center"/>
                </w:tcPr>
                <w:p w14:paraId="3AF77A2D">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300</w:t>
                  </w:r>
                </w:p>
              </w:tc>
            </w:tr>
          </w:tbl>
          <w:p w14:paraId="3924B432">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2、污染物排放标准</w:t>
            </w:r>
          </w:p>
          <w:p w14:paraId="4AC5C3AC">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废气</w:t>
            </w:r>
          </w:p>
          <w:p w14:paraId="6582100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本项目施工期产生废气执行《大气污染物综合排放标准》（GB16297-1996）无组织排放标准；</w:t>
            </w:r>
          </w:p>
          <w:p w14:paraId="3F2567F6">
            <w:pPr>
              <w:adjustRightInd w:val="0"/>
              <w:jc w:val="center"/>
              <w:rPr>
                <w:rFonts w:hint="default" w:ascii="Times New Roman" w:hAnsi="Times New Roman" w:eastAsia="仿宋_GB2312" w:cs="Times New Roman"/>
                <w:color w:val="000000" w:themeColor="text1"/>
                <w:kern w:val="0"/>
                <w:sz w:val="24"/>
                <w:highlight w:val="none"/>
                <w14:textFill>
                  <w14:solidFill>
                    <w14:schemeClr w14:val="tx1"/>
                  </w14:solidFill>
                </w14:textFill>
              </w:rPr>
            </w:pPr>
            <w:r>
              <w:rPr>
                <w:rFonts w:hint="default" w:ascii="Times New Roman" w:hAnsi="Times New Roman" w:eastAsia="黑体" w:cs="Times New Roman"/>
                <w:color w:val="000000" w:themeColor="text1"/>
                <w:kern w:val="0"/>
                <w:sz w:val="24"/>
                <w:highlight w:val="none"/>
                <w14:textFill>
                  <w14:solidFill>
                    <w14:schemeClr w14:val="tx1"/>
                  </w14:solidFill>
                </w14:textFill>
              </w:rPr>
              <w:t>表</w:t>
            </w:r>
            <w:r>
              <w:rPr>
                <w:rFonts w:hint="default" w:ascii="Times New Roman" w:hAnsi="Times New Roman" w:eastAsia="黑体" w:cs="Times New Roman"/>
                <w:color w:val="000000" w:themeColor="text1"/>
                <w:kern w:val="0"/>
                <w:sz w:val="24"/>
                <w:highlight w:val="none"/>
                <w:lang w:val="en-US" w:eastAsia="zh-CN"/>
                <w14:textFill>
                  <w14:solidFill>
                    <w14:schemeClr w14:val="tx1"/>
                  </w14:solidFill>
                </w14:textFill>
              </w:rPr>
              <w:t>3-</w:t>
            </w:r>
            <w:r>
              <w:rPr>
                <w:rFonts w:hint="eastAsia" w:eastAsia="黑体" w:cs="Times New Roman"/>
                <w:color w:val="000000" w:themeColor="text1"/>
                <w:kern w:val="0"/>
                <w:sz w:val="24"/>
                <w:highlight w:val="none"/>
                <w:lang w:val="en-US" w:eastAsia="zh-CN"/>
                <w14:textFill>
                  <w14:solidFill>
                    <w14:schemeClr w14:val="tx1"/>
                  </w14:solidFill>
                </w14:textFill>
              </w:rPr>
              <w:t>9</w:t>
            </w:r>
            <w:r>
              <w:rPr>
                <w:rFonts w:hint="default" w:ascii="Times New Roman" w:hAnsi="Times New Roman" w:eastAsia="黑体" w:cs="Times New Roman"/>
                <w:color w:val="000000" w:themeColor="text1"/>
                <w:kern w:val="0"/>
                <w:sz w:val="24"/>
                <w:highlight w:val="none"/>
                <w14:textFill>
                  <w14:solidFill>
                    <w14:schemeClr w14:val="tx1"/>
                  </w14:solidFill>
                </w14:textFill>
              </w:rPr>
              <w:t xml:space="preserve">  本项目施工期废气排放标准</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3438"/>
              <w:gridCol w:w="3442"/>
            </w:tblGrid>
            <w:tr w14:paraId="35E89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5" w:type="dxa"/>
                  <w:vMerge w:val="restart"/>
                  <w:tcBorders>
                    <w:tl2br w:val="nil"/>
                    <w:tr2bl w:val="nil"/>
                  </w:tcBorders>
                  <w:noWrap w:val="0"/>
                  <w:vAlign w:val="center"/>
                </w:tcPr>
                <w:p w14:paraId="61349B47">
                  <w:pPr>
                    <w:snapToGrid w:val="0"/>
                    <w:spacing w:after="0"/>
                    <w:jc w:val="center"/>
                    <w:rPr>
                      <w:rFonts w:hint="default" w:ascii="Times New Roman" w:hAnsi="Times New Roman" w:cs="Times New Roman"/>
                      <w:b/>
                      <w:bCs/>
                      <w:color w:val="000000" w:themeColor="text1"/>
                      <w:spacing w:val="2"/>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w:t>
                  </w:r>
                </w:p>
              </w:tc>
              <w:tc>
                <w:tcPr>
                  <w:tcW w:w="6184" w:type="dxa"/>
                  <w:gridSpan w:val="2"/>
                  <w:tcBorders>
                    <w:tl2br w:val="nil"/>
                    <w:tr2bl w:val="nil"/>
                  </w:tcBorders>
                  <w:noWrap w:val="0"/>
                  <w:vAlign w:val="center"/>
                </w:tcPr>
                <w:p w14:paraId="43D4B19D">
                  <w:pPr>
                    <w:snapToGrid w:val="0"/>
                    <w:spacing w:after="0"/>
                    <w:jc w:val="center"/>
                    <w:rPr>
                      <w:rFonts w:hint="default" w:ascii="Times New Roman" w:hAnsi="Times New Roman" w:cs="Times New Roman"/>
                      <w:b/>
                      <w:bCs/>
                      <w:color w:val="000000" w:themeColor="text1"/>
                      <w:spacing w:val="2"/>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无组织排放控制浓度限值</w:t>
                  </w:r>
                </w:p>
              </w:tc>
            </w:tr>
            <w:tr w14:paraId="24ED0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5" w:type="dxa"/>
                  <w:vMerge w:val="continue"/>
                  <w:tcBorders>
                    <w:tl2br w:val="nil"/>
                    <w:tr2bl w:val="nil"/>
                  </w:tcBorders>
                  <w:noWrap w:val="0"/>
                  <w:vAlign w:val="center"/>
                </w:tcPr>
                <w:p w14:paraId="11C005FA">
                  <w:pPr>
                    <w:snapToGrid w:val="0"/>
                    <w:spacing w:after="0"/>
                    <w:jc w:val="center"/>
                    <w:rPr>
                      <w:rFonts w:hint="default" w:ascii="Times New Roman" w:hAnsi="Times New Roman" w:cs="Times New Roman"/>
                      <w:color w:val="000000" w:themeColor="text1"/>
                      <w:spacing w:val="2"/>
                      <w14:textFill>
                        <w14:solidFill>
                          <w14:schemeClr w14:val="tx1"/>
                        </w14:solidFill>
                      </w14:textFill>
                    </w:rPr>
                  </w:pPr>
                </w:p>
              </w:tc>
              <w:tc>
                <w:tcPr>
                  <w:tcW w:w="3090" w:type="dxa"/>
                  <w:tcBorders>
                    <w:tl2br w:val="nil"/>
                    <w:tr2bl w:val="nil"/>
                  </w:tcBorders>
                  <w:noWrap w:val="0"/>
                  <w:vAlign w:val="center"/>
                </w:tcPr>
                <w:p w14:paraId="4FBA85B3">
                  <w:pPr>
                    <w:snapToGrid w:val="0"/>
                    <w:spacing w:after="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监测点</w:t>
                  </w:r>
                </w:p>
              </w:tc>
              <w:tc>
                <w:tcPr>
                  <w:tcW w:w="3094" w:type="dxa"/>
                  <w:tcBorders>
                    <w:tl2br w:val="nil"/>
                    <w:tr2bl w:val="nil"/>
                  </w:tcBorders>
                  <w:noWrap w:val="0"/>
                  <w:vAlign w:val="center"/>
                </w:tcPr>
                <w:p w14:paraId="6CC70320">
                  <w:pPr>
                    <w:snapToGrid w:val="0"/>
                    <w:spacing w:after="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浓度</w:t>
                  </w:r>
                </w:p>
              </w:tc>
            </w:tr>
            <w:tr w14:paraId="1497F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315" w:type="dxa"/>
                  <w:tcBorders>
                    <w:tl2br w:val="nil"/>
                    <w:tr2bl w:val="nil"/>
                  </w:tcBorders>
                  <w:noWrap w:val="0"/>
                  <w:vAlign w:val="center"/>
                </w:tcPr>
                <w:p w14:paraId="2EF5E22D">
                  <w:pPr>
                    <w:snapToGrid w:val="0"/>
                    <w:spacing w:after="0"/>
                    <w:jc w:val="center"/>
                    <w:rPr>
                      <w:rFonts w:hint="default" w:ascii="Times New Roman" w:hAnsi="Times New Roman" w:cs="Times New Roman"/>
                      <w:color w:val="000000" w:themeColor="text1"/>
                      <w:spacing w:val="2"/>
                      <w14:textFill>
                        <w14:solidFill>
                          <w14:schemeClr w14:val="tx1"/>
                        </w14:solidFill>
                      </w14:textFill>
                    </w:rPr>
                  </w:pPr>
                  <w:r>
                    <w:rPr>
                      <w:rFonts w:hint="default" w:ascii="Times New Roman" w:hAnsi="Times New Roman" w:cs="Times New Roman"/>
                      <w:color w:val="000000" w:themeColor="text1"/>
                      <w:spacing w:val="2"/>
                      <w14:textFill>
                        <w14:solidFill>
                          <w14:schemeClr w14:val="tx1"/>
                        </w14:solidFill>
                      </w14:textFill>
                    </w:rPr>
                    <w:t>颗粒物</w:t>
                  </w:r>
                </w:p>
              </w:tc>
              <w:tc>
                <w:tcPr>
                  <w:tcW w:w="3090" w:type="dxa"/>
                  <w:tcBorders>
                    <w:tl2br w:val="nil"/>
                    <w:tr2bl w:val="nil"/>
                  </w:tcBorders>
                  <w:noWrap w:val="0"/>
                  <w:vAlign w:val="center"/>
                </w:tcPr>
                <w:p w14:paraId="741E85C8">
                  <w:pPr>
                    <w:spacing w:after="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周界外浓度最高点</w:t>
                  </w:r>
                </w:p>
              </w:tc>
              <w:tc>
                <w:tcPr>
                  <w:tcW w:w="3094" w:type="dxa"/>
                  <w:tcBorders>
                    <w:tl2br w:val="nil"/>
                    <w:tr2bl w:val="nil"/>
                  </w:tcBorders>
                  <w:noWrap w:val="0"/>
                  <w:vAlign w:val="center"/>
                </w:tcPr>
                <w:p w14:paraId="6093A121">
                  <w:pPr>
                    <w:spacing w:after="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1.0mg/m³</w:t>
                  </w:r>
                </w:p>
              </w:tc>
            </w:tr>
          </w:tbl>
          <w:p w14:paraId="705AF7A5">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噪声</w:t>
            </w:r>
          </w:p>
          <w:p w14:paraId="02C00B49">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本项目施工期噪声执行</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《建筑施工噪声排放标准》（GB12523-20</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08EB5776">
            <w:pPr>
              <w:adjustRightInd w:val="0"/>
              <w:jc w:val="center"/>
              <w:rPr>
                <w:rFonts w:hint="default" w:ascii="Times New Roman" w:hAnsi="Times New Roman" w:eastAsia="黑体" w:cs="Times New Roman"/>
                <w:color w:val="000000" w:themeColor="text1"/>
                <w:kern w:val="0"/>
                <w:sz w:val="24"/>
                <w:highlight w:val="none"/>
                <w14:textFill>
                  <w14:solidFill>
                    <w14:schemeClr w14:val="tx1"/>
                  </w14:solidFill>
                </w14:textFill>
              </w:rPr>
            </w:pPr>
            <w:r>
              <w:rPr>
                <w:rFonts w:hint="default" w:ascii="Times New Roman" w:hAnsi="Times New Roman" w:eastAsia="黑体" w:cs="Times New Roman"/>
                <w:color w:val="000000" w:themeColor="text1"/>
                <w:kern w:val="0"/>
                <w:sz w:val="24"/>
                <w:highlight w:val="none"/>
                <w14:textFill>
                  <w14:solidFill>
                    <w14:schemeClr w14:val="tx1"/>
                  </w14:solidFill>
                </w14:textFill>
              </w:rPr>
              <w:t>表</w:t>
            </w:r>
            <w:r>
              <w:rPr>
                <w:rFonts w:hint="default" w:ascii="Times New Roman" w:hAnsi="Times New Roman" w:eastAsia="黑体" w:cs="Times New Roman"/>
                <w:color w:val="000000" w:themeColor="text1"/>
                <w:kern w:val="0"/>
                <w:sz w:val="24"/>
                <w:highlight w:val="none"/>
                <w:lang w:val="en-US" w:eastAsia="zh-CN"/>
                <w14:textFill>
                  <w14:solidFill>
                    <w14:schemeClr w14:val="tx1"/>
                  </w14:solidFill>
                </w14:textFill>
              </w:rPr>
              <w:t>3-1</w:t>
            </w:r>
            <w:r>
              <w:rPr>
                <w:rFonts w:hint="eastAsia" w:eastAsia="黑体" w:cs="Times New Roman"/>
                <w:color w:val="000000" w:themeColor="text1"/>
                <w:kern w:val="0"/>
                <w:sz w:val="24"/>
                <w:highlight w:val="none"/>
                <w:lang w:val="en-US" w:eastAsia="zh-CN"/>
                <w14:textFill>
                  <w14:solidFill>
                    <w14:schemeClr w14:val="tx1"/>
                  </w14:solidFill>
                </w14:textFill>
              </w:rPr>
              <w:t>0</w:t>
            </w:r>
            <w:r>
              <w:rPr>
                <w:rFonts w:hint="default" w:ascii="Times New Roman" w:hAnsi="Times New Roman" w:eastAsia="黑体" w:cs="Times New Roman"/>
                <w:color w:val="000000" w:themeColor="text1"/>
                <w:kern w:val="0"/>
                <w:sz w:val="24"/>
                <w:highlight w:val="none"/>
                <w14:textFill>
                  <w14:solidFill>
                    <w14:schemeClr w14:val="tx1"/>
                  </w14:solidFill>
                </w14:textFill>
              </w:rPr>
              <w:t xml:space="preserve">  本项目施工期噪声排放标准</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46"/>
              <w:gridCol w:w="4299"/>
            </w:tblGrid>
            <w:tr w14:paraId="7C6368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37" w:type="dxa"/>
                  <w:tcBorders>
                    <w:tl2br w:val="nil"/>
                    <w:tr2bl w:val="nil"/>
                  </w:tcBorders>
                  <w:vAlign w:val="center"/>
                </w:tcPr>
                <w:p w14:paraId="3F5D590E">
                  <w:pPr>
                    <w:adjustRightInd w:val="0"/>
                    <w:snapToGrid w:val="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昼间/dB(A)</w:t>
                  </w:r>
                </w:p>
              </w:tc>
              <w:tc>
                <w:tcPr>
                  <w:tcW w:w="4078" w:type="dxa"/>
                  <w:tcBorders>
                    <w:tl2br w:val="nil"/>
                    <w:tr2bl w:val="nil"/>
                  </w:tcBorders>
                  <w:vAlign w:val="center"/>
                </w:tcPr>
                <w:p w14:paraId="32C03938">
                  <w:pPr>
                    <w:adjustRightInd w:val="0"/>
                    <w:snapToGrid w:val="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夜间/dB(A)</w:t>
                  </w:r>
                </w:p>
              </w:tc>
            </w:tr>
            <w:tr w14:paraId="486547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837" w:type="dxa"/>
                  <w:tcBorders>
                    <w:tl2br w:val="nil"/>
                    <w:tr2bl w:val="nil"/>
                  </w:tcBorders>
                  <w:vAlign w:val="center"/>
                </w:tcPr>
                <w:p w14:paraId="1BCD995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70</w:t>
                  </w:r>
                </w:p>
              </w:tc>
              <w:tc>
                <w:tcPr>
                  <w:tcW w:w="4078" w:type="dxa"/>
                  <w:tcBorders>
                    <w:tl2br w:val="nil"/>
                    <w:tr2bl w:val="nil"/>
                  </w:tcBorders>
                  <w:vAlign w:val="center"/>
                </w:tcPr>
                <w:p w14:paraId="5C881A5D">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55</w:t>
                  </w:r>
                </w:p>
              </w:tc>
            </w:tr>
          </w:tbl>
          <w:p w14:paraId="3DC9459C">
            <w:pPr>
              <w:numPr>
                <w:ilvl w:val="0"/>
                <w:numId w:val="2"/>
              </w:numPr>
              <w:adjustRightInd w:val="0"/>
              <w:spacing w:line="360" w:lineRule="auto"/>
              <w:ind w:left="0" w:leftChars="0" w:firstLine="480" w:firstLineChars="200"/>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固体废物</w:t>
            </w:r>
          </w:p>
          <w:p w14:paraId="4F9DD96F">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Times New Roman" w:hAnsi="Times New Roman" w:eastAsia="仿宋_GB2312"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施工期</w:t>
            </w:r>
            <w:r>
              <w:rPr>
                <w:rFonts w:hint="eastAsia" w:cs="Times New Roman"/>
                <w:color w:val="000000" w:themeColor="text1"/>
                <w:kern w:val="0"/>
                <w:sz w:val="24"/>
                <w:szCs w:val="24"/>
                <w:highlight w:val="none"/>
                <w:lang w:val="en-US" w:eastAsia="zh-CN" w:bidi="ar-SA"/>
                <w14:textFill>
                  <w14:solidFill>
                    <w14:schemeClr w14:val="tx1"/>
                  </w14:solidFill>
                </w14:textFill>
              </w:rPr>
              <w:t>固体废物</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清运过程应满足《中华人民共和国固体废物污染环境防治法》（2020年修订）中关于生活垃圾相关的环境保护要求。</w:t>
            </w:r>
          </w:p>
        </w:tc>
      </w:tr>
      <w:tr w14:paraId="0CB7D91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27" w:hRule="atLeast"/>
          <w:jc w:val="center"/>
        </w:trPr>
        <w:tc>
          <w:tcPr>
            <w:tcW w:w="429" w:type="dxa"/>
            <w:tcBorders>
              <w:tl2br w:val="nil"/>
              <w:tr2bl w:val="nil"/>
            </w:tcBorders>
            <w:vAlign w:val="center"/>
          </w:tcPr>
          <w:p w14:paraId="13EC2B6F">
            <w:pPr>
              <w:adjustRightInd w:val="0"/>
              <w:snapToGrid w:val="0"/>
              <w:jc w:val="center"/>
              <w:rPr>
                <w:rFonts w:hint="default" w:ascii="Times New Roman" w:hAnsi="Times New Roman" w:eastAsia="仿宋_GB2312"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b/>
                <w:bCs/>
                <w:color w:val="000000" w:themeColor="text1"/>
                <w:kern w:val="0"/>
                <w:sz w:val="24"/>
                <w:highlight w:val="none"/>
                <w:lang w:eastAsia="zh-CN"/>
                <w14:textFill>
                  <w14:solidFill>
                    <w14:schemeClr w14:val="tx1"/>
                  </w14:solidFill>
                </w14:textFill>
              </w:rPr>
              <w:t>其他</w:t>
            </w:r>
          </w:p>
        </w:tc>
        <w:tc>
          <w:tcPr>
            <w:tcW w:w="8561" w:type="dxa"/>
            <w:tcBorders>
              <w:tl2br w:val="nil"/>
              <w:tr2bl w:val="nil"/>
            </w:tcBorders>
            <w:vAlign w:val="center"/>
          </w:tcPr>
          <w:p w14:paraId="3C4E2248">
            <w:pPr>
              <w:adjustRightInd w:val="0"/>
              <w:snapToGrid w:val="0"/>
              <w:spacing w:before="120" w:beforeLines="50" w:line="360" w:lineRule="auto"/>
              <w:jc w:val="center"/>
              <w:rPr>
                <w:rFonts w:hint="default" w:ascii="Times New Roman" w:hAnsi="Times New Roman" w:eastAsia="仿宋_GB2312"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highlight w:val="none"/>
                <w:lang w:val="en-US" w:eastAsia="zh-CN"/>
                <w14:textFill>
                  <w14:solidFill>
                    <w14:schemeClr w14:val="tx1"/>
                  </w14:solidFill>
                </w14:textFill>
              </w:rPr>
              <w:t>无</w:t>
            </w:r>
          </w:p>
        </w:tc>
      </w:tr>
    </w:tbl>
    <w:p w14:paraId="248E5ACF">
      <w:pPr>
        <w:pStyle w:val="21"/>
        <w:keepNext w:val="0"/>
        <w:keepLines w:val="0"/>
        <w:pageBreakBefore w:val="0"/>
        <w:widowControl/>
        <w:kinsoku/>
        <w:wordWrap/>
        <w:overflowPunct/>
        <w:topLinePunct w:val="0"/>
        <w:autoSpaceDE/>
        <w:autoSpaceDN/>
        <w:bidi w:val="0"/>
        <w:adjustRightInd/>
        <w:snapToGrid w:val="0"/>
        <w:spacing w:before="0" w:beforeAutospacing="0" w:after="0" w:afterAutospacing="0"/>
        <w:jc w:val="center"/>
        <w:textAlignment w:val="auto"/>
        <w:outlineLvl w:val="0"/>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pPr>
      <w: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四、</w:t>
      </w:r>
      <w:r>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t>生态环境影响分析</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344"/>
        <w:gridCol w:w="8564"/>
      </w:tblGrid>
      <w:tr w14:paraId="146D2B0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44" w:type="dxa"/>
            <w:tcBorders>
              <w:tl2br w:val="nil"/>
              <w:tr2bl w:val="nil"/>
            </w:tcBorders>
            <w:tcMar>
              <w:left w:w="28" w:type="dxa"/>
              <w:right w:w="28" w:type="dxa"/>
            </w:tcMar>
            <w:vAlign w:val="center"/>
          </w:tcPr>
          <w:p w14:paraId="220E7510">
            <w:pPr>
              <w:pStyle w:val="21"/>
              <w:adjustRightInd w:val="0"/>
              <w:snapToGrid w:val="0"/>
              <w:spacing w:before="0" w:beforeAutospacing="0" w:after="0" w:afterAutospacing="0"/>
              <w:jc w:val="center"/>
              <w:rPr>
                <w:rFonts w:hint="default" w:ascii="Times New Roman" w:hAnsi="Times New Roman" w:eastAsia="仿宋_GB2312" w:cs="Times New Roman"/>
                <w:b/>
                <w:bCs/>
                <w:color w:val="000000" w:themeColor="text1"/>
                <w:kern w:val="2"/>
                <w:szCs w:val="24"/>
                <w:highlight w:val="none"/>
                <w:lang w:eastAsia="zh-CN"/>
                <w14:textFill>
                  <w14:solidFill>
                    <w14:schemeClr w14:val="tx1"/>
                  </w14:solidFill>
                </w14:textFill>
              </w:rPr>
            </w:pPr>
            <w:r>
              <w:rPr>
                <w:rFonts w:hint="default" w:ascii="Times New Roman" w:hAnsi="Times New Roman" w:cs="Times New Roman"/>
                <w:b/>
                <w:bCs/>
                <w:color w:val="000000" w:themeColor="text1"/>
                <w:kern w:val="2"/>
                <w:szCs w:val="24"/>
                <w:highlight w:val="none"/>
                <w:lang w:eastAsia="zh-CN"/>
                <w14:textFill>
                  <w14:solidFill>
                    <w14:schemeClr w14:val="tx1"/>
                  </w14:solidFill>
                </w14:textFill>
              </w:rPr>
              <w:t>施工期</w:t>
            </w:r>
            <w:r>
              <w:rPr>
                <w:rFonts w:hint="default" w:ascii="Times New Roman" w:hAnsi="Times New Roman" w:eastAsia="宋体" w:cs="Times New Roman"/>
                <w:b/>
                <w:bCs/>
                <w:color w:val="000000" w:themeColor="text1"/>
                <w:kern w:val="2"/>
                <w:szCs w:val="24"/>
                <w:highlight w:val="none"/>
                <w:lang w:eastAsia="zh-CN"/>
                <w14:textFill>
                  <w14:solidFill>
                    <w14:schemeClr w14:val="tx1"/>
                  </w14:solidFill>
                </w14:textFill>
              </w:rPr>
              <w:t>生态环境影响分析</w:t>
            </w:r>
          </w:p>
        </w:tc>
        <w:tc>
          <w:tcPr>
            <w:tcW w:w="8564" w:type="dxa"/>
            <w:tcBorders>
              <w:tl2br w:val="nil"/>
              <w:tr2bl w:val="nil"/>
            </w:tcBorders>
            <w:vAlign w:val="center"/>
          </w:tcPr>
          <w:p w14:paraId="0C20DE8C">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1、生态环境影响分析</w:t>
            </w:r>
          </w:p>
          <w:p w14:paraId="256B5744">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（1）土地利用的影响分析</w:t>
            </w:r>
          </w:p>
          <w:p w14:paraId="101DEBD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本项目在原沟道范围内建设，无新增永久占地。</w:t>
            </w:r>
            <w:r>
              <w:rPr>
                <w:rFonts w:hint="eastAsia" w:cs="Times New Roman"/>
                <w:color w:val="000000" w:themeColor="text1"/>
                <w:kern w:val="0"/>
                <w:sz w:val="24"/>
                <w:szCs w:val="24"/>
                <w:highlight w:val="none"/>
                <w:lang w:val="en-US" w:eastAsia="zh-CN" w:bidi="ar-SA"/>
                <w14:textFill>
                  <w14:solidFill>
                    <w14:schemeClr w14:val="tx1"/>
                  </w14:solidFill>
                </w14:textFill>
              </w:rPr>
              <w:t>材料堆存点位于施工区域</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一侧</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总</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占地面积6105m</w:t>
            </w:r>
            <w:r>
              <w:rPr>
                <w:rFonts w:hint="default" w:ascii="Times New Roman" w:hAnsi="Times New Roman" w:cs="Times New Roman"/>
                <w:color w:val="000000" w:themeColor="text1"/>
                <w:kern w:val="0"/>
                <w:sz w:val="24"/>
                <w:szCs w:val="24"/>
                <w:highlight w:val="none"/>
                <w:vertAlign w:val="superscript"/>
                <w:lang w:val="en-US" w:eastAsia="zh-CN" w:bidi="ar-SA"/>
                <w14:textFill>
                  <w14:solidFill>
                    <w14:schemeClr w14:val="tx1"/>
                  </w14:solidFill>
                </w14:textFill>
              </w:rPr>
              <w:t>2</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，占地类型为</w:t>
            </w:r>
            <w:r>
              <w:rPr>
                <w:rFonts w:hint="eastAsia" w:cs="Times New Roman"/>
                <w:color w:val="000000" w:themeColor="text1"/>
                <w:kern w:val="0"/>
                <w:sz w:val="24"/>
                <w:szCs w:val="24"/>
                <w:highlight w:val="none"/>
                <w:vertAlign w:val="baseline"/>
                <w:lang w:val="en-US" w:eastAsia="zh-CN" w:bidi="ar-SA"/>
                <w14:textFill>
                  <w14:solidFill>
                    <w14:schemeClr w14:val="tx1"/>
                  </w14:solidFill>
                </w14:textFill>
              </w:rPr>
              <w:t>未利用地</w:t>
            </w:r>
            <w:r>
              <w:rPr>
                <w:rFonts w:hint="default" w:ascii="Times New Roman" w:hAnsi="Times New Roman" w:cs="Times New Roman"/>
                <w:color w:val="000000" w:themeColor="text1"/>
                <w:kern w:val="0"/>
                <w:sz w:val="24"/>
                <w:szCs w:val="24"/>
                <w:highlight w:val="none"/>
                <w:vertAlign w:val="baseline"/>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项目结束后</w:t>
            </w:r>
            <w:r>
              <w:rPr>
                <w:rFonts w:hint="eastAsia" w:cs="Times New Roman"/>
                <w:color w:val="000000" w:themeColor="text1"/>
                <w:kern w:val="0"/>
                <w:sz w:val="24"/>
                <w:szCs w:val="24"/>
                <w:highlight w:val="none"/>
                <w:lang w:val="en-US" w:eastAsia="zh-CN" w:bidi="ar-SA"/>
                <w14:textFill>
                  <w14:solidFill>
                    <w14:schemeClr w14:val="tx1"/>
                  </w14:solidFill>
                </w14:textFill>
              </w:rPr>
              <w:t>将材料堆存点</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恢复</w:t>
            </w:r>
            <w:r>
              <w:rPr>
                <w:rFonts w:hint="eastAsia" w:cs="Times New Roman"/>
                <w:color w:val="000000" w:themeColor="text1"/>
                <w:kern w:val="0"/>
                <w:sz w:val="24"/>
                <w:szCs w:val="24"/>
                <w:highlight w:val="none"/>
                <w:lang w:val="en-US" w:eastAsia="zh-CN" w:bidi="ar-SA"/>
                <w14:textFill>
                  <w14:solidFill>
                    <w14:schemeClr w14:val="tx1"/>
                  </w14:solidFill>
                </w14:textFill>
              </w:rPr>
              <w:t>至</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原有状态。</w:t>
            </w:r>
          </w:p>
          <w:p w14:paraId="1BAE144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因此本项目对土地利用的影响较小</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26700BEE">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bookmarkStart w:id="3" w:name="_Toc15991"/>
            <w:bookmarkStart w:id="4" w:name="_Toc15363633"/>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（2）对植被的影响</w:t>
            </w:r>
            <w:bookmarkEnd w:id="3"/>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分析</w:t>
            </w:r>
          </w:p>
          <w:bookmarkEnd w:id="4"/>
          <w:p w14:paraId="5CAD4076">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结合工程特点分析，工程对植被的影响主要来源于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沟道清淤</w:t>
            </w:r>
            <w:r>
              <w:rPr>
                <w:rFonts w:hint="eastAsia" w:cs="Times New Roman"/>
                <w:color w:val="000000" w:themeColor="text1"/>
                <w:sz w:val="24"/>
                <w:szCs w:val="24"/>
                <w:highlight w:val="none"/>
                <w:lang w:val="en-US" w:eastAsia="zh-CN"/>
                <w14:textFill>
                  <w14:solidFill>
                    <w14:schemeClr w14:val="tx1"/>
                  </w14:solidFill>
                </w14:textFill>
              </w:rPr>
              <w:t>及边坡砌护，项目对植被的影响主要为</w:t>
            </w:r>
            <w:r>
              <w:rPr>
                <w:rFonts w:hint="default" w:ascii="Times New Roman" w:hAnsi="Times New Roman" w:eastAsia="宋体" w:cs="Times New Roman"/>
                <w:color w:val="000000" w:themeColor="text1"/>
                <w:sz w:val="24"/>
                <w:szCs w:val="24"/>
                <w:highlight w:val="none"/>
                <w14:textFill>
                  <w14:solidFill>
                    <w14:schemeClr w14:val="tx1"/>
                  </w14:solidFill>
                </w14:textFill>
              </w:rPr>
              <w:t>土方开挖、土方回填、</w:t>
            </w:r>
            <w:r>
              <w:rPr>
                <w:rFonts w:hint="eastAsia" w:cs="Times New Roman"/>
                <w:color w:val="000000" w:themeColor="text1"/>
                <w:sz w:val="24"/>
                <w:szCs w:val="24"/>
                <w:highlight w:val="none"/>
                <w:lang w:val="en-US" w:eastAsia="zh-CN"/>
                <w14:textFill>
                  <w14:solidFill>
                    <w14:schemeClr w14:val="tx1"/>
                  </w14:solidFill>
                </w14:textFill>
              </w:rPr>
              <w:t>边坡砌护</w:t>
            </w:r>
            <w:r>
              <w:rPr>
                <w:rFonts w:hint="default" w:ascii="Times New Roman" w:hAnsi="Times New Roman" w:eastAsia="宋体" w:cs="Times New Roman"/>
                <w:color w:val="000000" w:themeColor="text1"/>
                <w:sz w:val="24"/>
                <w:szCs w:val="24"/>
                <w:highlight w:val="none"/>
                <w14:textFill>
                  <w14:solidFill>
                    <w14:schemeClr w14:val="tx1"/>
                  </w14:solidFill>
                </w14:textFill>
              </w:rPr>
              <w:t>等，</w:t>
            </w:r>
            <w:r>
              <w:rPr>
                <w:rFonts w:hint="eastAsia" w:cs="Times New Roman"/>
                <w:color w:val="000000" w:themeColor="text1"/>
                <w:sz w:val="24"/>
                <w:szCs w:val="24"/>
                <w:highlight w:val="none"/>
                <w:lang w:val="en-US" w:eastAsia="zh-CN"/>
                <w14:textFill>
                  <w14:solidFill>
                    <w14:schemeClr w14:val="tx1"/>
                  </w14:solidFill>
                </w14:textFill>
              </w:rPr>
              <w:t>本项目材料堆存点选在各个施工段的一侧，选择在植被稀疏、远离黄河的区域，施工车辆及施工材料压覆部分植被，</w:t>
            </w:r>
            <w:r>
              <w:rPr>
                <w:rFonts w:hint="default" w:ascii="Times New Roman" w:hAnsi="Times New Roman" w:eastAsia="宋体" w:cs="Times New Roman"/>
                <w:color w:val="000000" w:themeColor="text1"/>
                <w:sz w:val="24"/>
                <w:szCs w:val="24"/>
                <w:highlight w:val="none"/>
                <w14:textFill>
                  <w14:solidFill>
                    <w14:schemeClr w14:val="tx1"/>
                  </w14:solidFill>
                </w14:textFill>
              </w:rPr>
              <w:t>暂时降低局部区域植被生物量。</w:t>
            </w:r>
          </w:p>
          <w:p w14:paraId="14670B74">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项目建成后，随着人工生态系统的建成，将使原有生态系统的完整性被改变。伴随着各项生态恢复措施的启动，破碎的生态系统结构也会逐渐得到改善，生态系统的完整性将得到修复。</w:t>
            </w:r>
          </w:p>
          <w:p w14:paraId="0C5D2CA0">
            <w:pPr>
              <w:adjustRightInd w:val="0"/>
              <w:spacing w:line="360" w:lineRule="auto"/>
              <w:ind w:firstLine="480" w:firstLineChars="200"/>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bookmarkStart w:id="5" w:name="_Toc23333"/>
            <w:bookmarkStart w:id="6" w:name="_Toc13377_WPSOffice_Level1"/>
            <w:bookmarkStart w:id="7" w:name="_Toc18993"/>
            <w:bookmarkStart w:id="8" w:name="_Toc15363634"/>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因此，本项目对植被的影响较小。</w:t>
            </w:r>
          </w:p>
          <w:bookmarkEnd w:id="5"/>
          <w:p w14:paraId="39A13897">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（3）对动物的影响分析</w:t>
            </w:r>
          </w:p>
          <w:bookmarkEnd w:id="6"/>
          <w:bookmarkEnd w:id="7"/>
          <w:bookmarkEnd w:id="8"/>
          <w:p w14:paraId="416FD20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bookmarkStart w:id="9" w:name="_Toc405288419"/>
            <w:r>
              <w:rPr>
                <w:rFonts w:hint="eastAsia" w:cs="Times New Roman"/>
                <w:color w:val="000000" w:themeColor="text1"/>
                <w:kern w:val="0"/>
                <w:sz w:val="24"/>
                <w:szCs w:val="24"/>
                <w:highlight w:val="none"/>
                <w:lang w:val="en-US" w:eastAsia="zh-CN" w:bidi="ar-SA"/>
                <w14:textFill>
                  <w14:solidFill>
                    <w14:schemeClr w14:val="tx1"/>
                  </w14:solidFill>
                </w14:textFill>
              </w:rPr>
              <w:t>①陆生动物</w:t>
            </w:r>
          </w:p>
          <w:p w14:paraId="4DD42B23">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区动物种类及数量较少。施工期建设以及施工人员的活动和机械噪声等将会对施工区及周围一定范围内野生动物的活动产生一定影响，但这种影响只是引起野生动物暂时的、局部的迁移，待项目结束生态修复完成后，对区域的扰动结束后，这种影响亦将消失。</w:t>
            </w:r>
          </w:p>
          <w:p w14:paraId="6FD74FCE">
            <w:pPr>
              <w:adjustRightInd w:val="0"/>
              <w:spacing w:line="360" w:lineRule="auto"/>
              <w:ind w:firstLine="480" w:firstLineChars="200"/>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由于施工时间短、施工点分散、施工人员较少等原因，项目施工对动物的影响范围小，影响时间短，同时由于动物栖息环境和活动区域范围较大，食性广泛，且有一定迁移能力，因此本工程施工建设过程虽对动物生命活动产生了一定程度的不利影响，但不会改变其种群结构，其种群数量也不会因本工程建设而受到大的影响。主要在施工过程中加强管理，杜绝人为捕猎行为，施工不会对野生动物造成明显的影响</w:t>
            </w:r>
            <w:r>
              <w:rPr>
                <w:rFonts w:hint="eastAsia" w:cs="Times New Roman"/>
                <w:color w:val="000000" w:themeColor="text1"/>
                <w:kern w:val="0"/>
                <w:sz w:val="24"/>
                <w:szCs w:val="24"/>
                <w:highlight w:val="none"/>
                <w:lang w:val="en-US" w:eastAsia="zh-CN" w:bidi="ar-SA"/>
                <w14:textFill>
                  <w14:solidFill>
                    <w14:schemeClr w14:val="tx1"/>
                  </w14:solidFill>
                </w14:textFill>
              </w:rPr>
              <w:t>。</w:t>
            </w:r>
          </w:p>
          <w:p w14:paraId="2EB092EC">
            <w:pPr>
              <w:adjustRightInd w:val="0"/>
              <w:spacing w:line="360" w:lineRule="auto"/>
              <w:ind w:firstLine="480" w:firstLineChars="200"/>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②水生动物</w:t>
            </w:r>
          </w:p>
          <w:p w14:paraId="075244EF">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经调查，三个窑沟枯水期处于干旱状态，无水生动物；丰水期水生生物主要为少量浮游生物及青蛙，无国家珍稀保护动物，本项目在枯水期施工，不会对水生生物产生影响</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bookmarkEnd w:id="9"/>
          <w:p w14:paraId="78ACAC2F">
            <w:pPr>
              <w:adjustRightInd w:val="0"/>
              <w:spacing w:line="360" w:lineRule="auto"/>
              <w:ind w:firstLine="480" w:firstLineChars="200"/>
              <w:rPr>
                <w:rFonts w:eastAsia="黑体"/>
                <w:color w:val="000000" w:themeColor="text1"/>
                <w:kern w:val="0"/>
                <w:sz w:val="24"/>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（4）土壤侵蚀影响</w:t>
            </w:r>
            <w:r>
              <w:rPr>
                <w:rFonts w:eastAsia="黑体"/>
                <w:color w:val="000000" w:themeColor="text1"/>
                <w:kern w:val="0"/>
                <w:sz w:val="24"/>
                <w14:textFill>
                  <w14:solidFill>
                    <w14:schemeClr w14:val="tx1"/>
                  </w14:solidFill>
                </w14:textFill>
              </w:rPr>
              <w:t>分析</w:t>
            </w:r>
          </w:p>
          <w:p w14:paraId="3CE434D3">
            <w:pPr>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土壤是被侵蚀的对象，本项目的建设对土体的扰动作用使扰动区土体结构松散，抗侵蚀力明显减弱，加剧了土壤侵蚀程度和强度。</w:t>
            </w:r>
          </w:p>
          <w:p w14:paraId="7FE18D91">
            <w:pPr>
              <w:adjustRightInd w:val="0"/>
              <w:spacing w:line="360" w:lineRule="auto"/>
              <w:ind w:firstLine="480" w:firstLineChars="200"/>
              <w:rPr>
                <w:rStyle w:val="31"/>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土壤侵蚀是土壤或其他地面组成物质在外营力作用下，被剥蚀、破坏、分离、搬运和沉积的过程。本项目所在区域原本以中度水力侵蚀为主。本项目的建设会进一步人为的加强土壤侵蚀的强度和速度，使其在原来的侵蚀态基础上加速发展。</w:t>
            </w:r>
            <w:r>
              <w:rPr>
                <w:rFonts w:hint="eastAsia" w:cs="Times New Roman"/>
                <w:color w:val="000000" w:themeColor="text1"/>
                <w:kern w:val="0"/>
                <w:sz w:val="24"/>
                <w:szCs w:val="24"/>
                <w:highlight w:val="none"/>
                <w:lang w:val="en-US" w:eastAsia="zh-CN" w:bidi="ar-SA"/>
                <w14:textFill>
                  <w14:solidFill>
                    <w14:schemeClr w14:val="tx1"/>
                  </w14:solidFill>
                </w14:textFill>
              </w:rPr>
              <w:t>项目仅在沟道内进行清淤，对部分边坡进行砌护，项目开挖工程量少</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对土壤侵蚀影响较小</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p>
          <w:p w14:paraId="19E1B273">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（5）水土流失</w:t>
            </w:r>
          </w:p>
          <w:p w14:paraId="169E04BB">
            <w:pPr>
              <w:adjustRightInd w:val="0"/>
              <w:spacing w:line="360" w:lineRule="auto"/>
              <w:ind w:firstLine="480" w:firstLineChars="200"/>
              <w:rPr>
                <w:rStyle w:val="31"/>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在项目建设过程中，由于原地表遭到人为扰动和破坏，形成再塑地貌，再塑地貌的岩土物质与原地面物质相比，结构松散，边坡大多不稳定，且施工期没有植被防护，抗侵蚀能力明显降低，易发生水土流失。</w:t>
            </w:r>
          </w:p>
          <w:p w14:paraId="681E10FC">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（6）对敏感区的影响</w:t>
            </w:r>
          </w:p>
          <w:p w14:paraId="61FA53F9">
            <w:pPr>
              <w:adjustRightInd w:val="0"/>
              <w:spacing w:line="360" w:lineRule="auto"/>
              <w:ind w:firstLine="480" w:firstLineChars="200"/>
              <w:rPr>
                <w:rStyle w:val="31"/>
                <w:rFonts w:hint="eastAsia"/>
                <w:color w:val="000000" w:themeColor="text1"/>
                <w:kern w:val="0"/>
                <w:sz w:val="24"/>
                <w:lang w:eastAsia="zh-CN"/>
                <w14:textFill>
                  <w14:solidFill>
                    <w14:schemeClr w14:val="tx1"/>
                  </w14:solidFill>
                </w14:textFill>
              </w:rPr>
            </w:pPr>
            <w:r>
              <w:rPr>
                <w:rStyle w:val="31"/>
                <w:rFonts w:hint="eastAsia"/>
                <w:color w:val="000000" w:themeColor="text1"/>
                <w:kern w:val="0"/>
                <w:sz w:val="24"/>
                <w:lang w:eastAsia="zh-CN"/>
                <w14:textFill>
                  <w14:solidFill>
                    <w14:schemeClr w14:val="tx1"/>
                  </w14:solidFill>
                </w14:textFill>
              </w:rPr>
              <w:t>本项目沟</w:t>
            </w:r>
            <w:r>
              <w:rPr>
                <w:rStyle w:val="31"/>
                <w:rFonts w:hint="eastAsia"/>
                <w:color w:val="000000" w:themeColor="text1"/>
                <w:kern w:val="0"/>
                <w:sz w:val="24"/>
                <w:lang w:val="en-US" w:eastAsia="zh-CN"/>
                <w14:textFill>
                  <w14:solidFill>
                    <w14:schemeClr w14:val="tx1"/>
                  </w14:solidFill>
                </w14:textFill>
              </w:rPr>
              <w:t>道</w:t>
            </w:r>
            <w:r>
              <w:rPr>
                <w:rStyle w:val="31"/>
                <w:rFonts w:hint="eastAsia"/>
                <w:color w:val="000000" w:themeColor="text1"/>
                <w:kern w:val="0"/>
                <w:sz w:val="24"/>
                <w:lang w:eastAsia="zh-CN"/>
                <w14:textFill>
                  <w14:solidFill>
                    <w14:schemeClr w14:val="tx1"/>
                  </w14:solidFill>
                </w14:textFill>
              </w:rPr>
              <w:t>清淤施工段西侧约39 米位置紧邻杨滩村居民区，距离村落较近。项目施工期间，机械作业、土方开挖、淤泥转运及车辆通行等工序会持续产生施工噪声，同时土方扰动、物料堆放、运输扬尘及作业废气等施工废气易向外扩散，受近距离区位条件影响，施工噪声与各类施工废气将会对杨滩村沿线居民的日常生活、居住环境及身心健康造成一定程度的不利影响。</w:t>
            </w:r>
          </w:p>
          <w:p w14:paraId="1D97D2E3">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2、大气环境影响分析</w:t>
            </w:r>
          </w:p>
          <w:p w14:paraId="21FE058B">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（1）施工扬尘</w:t>
            </w:r>
          </w:p>
          <w:p w14:paraId="45A1389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施工期环境空气污染主要是施工扬尘。施工扬尘主要来自土方挖掘、粉状物料的堆放、运输、装卸和使用、施工现场内车辆行驶扬尘等。由于扬尘源多且分散，属于无组织排放。同时，受施工方式、设备、气候等因素制约，产生的随机性和波动性较大。</w:t>
            </w:r>
          </w:p>
          <w:p w14:paraId="7FE83C3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由于各施工点的施工量小，使得施工扬尘呈现时间短、扬尘量及扬尘范围小的特点，并且能够很快恢复。只要在施工过程中贯彻文明施工的原则，施工扬尘对周围环境的影响较小。</w:t>
            </w:r>
          </w:p>
          <w:p w14:paraId="779B39D9">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（2）原料装卸、运输及堆存扬尘</w:t>
            </w:r>
          </w:p>
          <w:p w14:paraId="55AB595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土方及原材料装卸过程会产生一定的起尘颗粒，土方运输过程中如不采取遮盖措施，也产生起尘颗粒，会对周边产生一定的扬尘污染。</w:t>
            </w:r>
          </w:p>
          <w:p w14:paraId="7F81C881">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项目露天堆放剥离表土，因含水率低，其表层</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含有</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大量的易起尘颗粒物，在干燥及起风的情况</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下</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，易在堆放点也会对周边产生一定的扬尘污染。</w:t>
            </w:r>
          </w:p>
          <w:p w14:paraId="2E72D8E9">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（3）施工机械和车辆尾气</w:t>
            </w:r>
          </w:p>
          <w:p w14:paraId="5552EF3C">
            <w:pPr>
              <w:adjustRightInd w:val="0"/>
              <w:spacing w:line="360" w:lineRule="auto"/>
              <w:ind w:firstLine="480" w:firstLineChars="200"/>
              <w:rPr>
                <w:rStyle w:val="31"/>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本项目施工过程用到的施工机械主要包括挖掘机、装载机、运输车等，会产生一定量废气，包括CO、NOx、SO</w:t>
            </w:r>
            <w:r>
              <w:rPr>
                <w:rFonts w:hint="default" w:ascii="Times New Roman" w:hAnsi="Times New Roman" w:eastAsia="宋体" w:cs="Times New Roman"/>
                <w:color w:val="000000" w:themeColor="text1"/>
                <w:kern w:val="0"/>
                <w:sz w:val="24"/>
                <w:szCs w:val="24"/>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等，但产生量不大，影响范围有限。项目在施工过程中使用的运输车辆多为大吨位车辆，工程车辆行驶将加重城镇车辆尾气污染负荷。因此施工现场应合理布置运输车辆行驶路线，配合有关部门搞好施工期间周围道路的交通组织，保证行驶速度，减少怠速时间，以减少机动车尾气的排放；对燃柴油的大型运输车辆和推土机需安装尾气净化器，尾气应达标排放；加强对施工机械，运输车辆的维修保养，禁止施工机械超负荷工作和运输车辆超载；施工现场不设置维修点；不得使用劣质</w:t>
            </w:r>
            <w:r>
              <w:rPr>
                <w:color w:val="000000" w:themeColor="text1"/>
                <w:kern w:val="0"/>
                <w:sz w:val="24"/>
                <w14:textFill>
                  <w14:solidFill>
                    <w14:schemeClr w14:val="tx1"/>
                  </w14:solidFill>
                </w14:textFill>
              </w:rPr>
              <w:t>燃料</w:t>
            </w:r>
          </w:p>
          <w:p w14:paraId="20DB4DB8">
            <w:pPr>
              <w:numPr>
                <w:ilvl w:val="0"/>
                <w:numId w:val="2"/>
              </w:numPr>
              <w:adjustRightInd w:val="0"/>
              <w:spacing w:line="360" w:lineRule="auto"/>
              <w:ind w:left="0" w:leftChars="0" w:firstLine="480" w:firstLineChars="200"/>
              <w:rPr>
                <w:rFonts w:hint="eastAsia"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淤泥恶臭</w:t>
            </w:r>
          </w:p>
          <w:p w14:paraId="09269B23">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三个窑沟属于泄洪沟，</w:t>
            </w:r>
            <w:r>
              <w:rPr>
                <w:rFonts w:ascii="宋体" w:hAnsi="宋体" w:eastAsia="宋体" w:cs="宋体"/>
                <w:color w:val="000000" w:themeColor="text1"/>
                <w:sz w:val="24"/>
                <w:szCs w:val="24"/>
                <w14:textFill>
                  <w14:solidFill>
                    <w14:schemeClr w14:val="tx1"/>
                  </w14:solidFill>
                </w14:textFill>
              </w:rPr>
              <w:t>进入枯水期后，沟内水流大幅减少，积水停滞、淤泥裸露固化，水体流动性变差，微生物厌氧分解活动减弱，淤泥中腐殖质与污染物发酵速度放缓，异味挥发量显著降低</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本项目</w:t>
            </w:r>
            <w:r>
              <w:rPr>
                <w:rFonts w:ascii="宋体" w:hAnsi="宋体" w:eastAsia="宋体" w:cs="宋体"/>
                <w:color w:val="000000" w:themeColor="text1"/>
                <w:sz w:val="24"/>
                <w:szCs w:val="24"/>
                <w14:textFill>
                  <w14:solidFill>
                    <w14:schemeClr w14:val="tx1"/>
                  </w14:solidFill>
                </w14:textFill>
              </w:rPr>
              <w:t>采用生石灰对淤泥进行喷洒消杀除臭处理，有效抑制恶臭物质挥发、消减异味；除臭产生的少量粉尘与微量异味气体以无组织方式自然扩散排放。</w:t>
            </w:r>
          </w:p>
          <w:p w14:paraId="6B0E1CD9">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3、水环境影响分析</w:t>
            </w:r>
          </w:p>
          <w:p w14:paraId="66F110A7">
            <w:pPr>
              <w:adjustRightInd w:val="0"/>
              <w:spacing w:line="360" w:lineRule="auto"/>
              <w:ind w:firstLine="480" w:firstLineChars="200"/>
              <w:rPr>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本项目施工期间废水主要为施工人员生活污水，施工营地租用周边居民闲置院落，生活污水经现有生活污水处理设施收集处理；</w:t>
            </w:r>
            <w:r>
              <w:rPr>
                <w:rFonts w:hint="eastAsia"/>
                <w:color w:val="000000" w:themeColor="text1"/>
                <w:lang w:val="en-US" w:eastAsia="zh-CN"/>
                <w14:textFill>
                  <w14:solidFill>
                    <w14:schemeClr w14:val="tx1"/>
                  </w14:solidFill>
                </w14:textFill>
              </w:rPr>
              <w:t>项目车辆冲洗废水经沉淀池沉淀后用于洒水抑尘，无废水外排</w:t>
            </w:r>
            <w:r>
              <w:rPr>
                <w:color w:val="000000" w:themeColor="text1"/>
                <w:kern w:val="0"/>
                <w:sz w:val="24"/>
                <w14:textFill>
                  <w14:solidFill>
                    <w14:schemeClr w14:val="tx1"/>
                  </w14:solidFill>
                </w14:textFill>
              </w:rPr>
              <w:t>。</w:t>
            </w:r>
          </w:p>
          <w:p w14:paraId="3F1D154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综上所述，通过采取以上措施后，项目施工废水对周围水环境影响较小。</w:t>
            </w:r>
          </w:p>
          <w:p w14:paraId="1B23ED46">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4、声环境影响分析</w:t>
            </w:r>
          </w:p>
          <w:p w14:paraId="706DA1E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施工期噪声源主要可分为机械噪声、施工作业噪声和施工车辆噪声。机械噪声主要由施工机械所造成的，如挖土机、推土机等，多为点源噪声源；施工作业噪声主要是指一些零星的敲打声、装卸车辆的撞击声、吆喝声、拆装模板的撞击声等，多为瞬间噪声；施工车辆的噪声属于交通噪声。这些施工噪声中对声环境影响最大的是机械噪声。施工期噪声主要属中低频噪声，故施工期噪声对周边环境的影响只考虑扩散衰减，采用点源噪声衰减模式进行预测，预测模式为：</w:t>
            </w:r>
          </w:p>
          <w:p w14:paraId="593DDDCE">
            <w:pPr>
              <w:adjustRightInd w:val="0"/>
              <w:spacing w:line="360" w:lineRule="auto"/>
              <w:ind w:firstLine="420" w:firstLineChars="200"/>
              <w:jc w:val="cente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476500" cy="63817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2476500" cy="638175"/>
                          </a:xfrm>
                          <a:prstGeom prst="rect">
                            <a:avLst/>
                          </a:prstGeom>
                          <a:noFill/>
                          <a:ln>
                            <a:noFill/>
                          </a:ln>
                        </pic:spPr>
                      </pic:pic>
                    </a:graphicData>
                  </a:graphic>
                </wp:inline>
              </w:drawing>
            </w:r>
          </w:p>
          <w:p w14:paraId="621DF1DE">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式中：Lp（r）—预测点处声压级，dB；</w:t>
            </w:r>
          </w:p>
          <w:p w14:paraId="4084A32E">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Lp（r0）—参考位置r0处的声压级，dB；</w:t>
            </w:r>
          </w:p>
          <w:p w14:paraId="687B2CCA">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r—预测点距声源的距离，m；</w:t>
            </w:r>
          </w:p>
          <w:p w14:paraId="4ABB651B">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r0—参考位置距声源的距离，m。</w:t>
            </w:r>
          </w:p>
          <w:p w14:paraId="3539F24D">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各主要施工设备在不同距离处的噪声值（未与现状值叠加）预测结果见表4-1。</w:t>
            </w:r>
          </w:p>
          <w:p w14:paraId="7F63600C">
            <w:pPr>
              <w:adjustRightInd w:val="0"/>
              <w:snapToGrid w:val="0"/>
              <w:spacing w:after="0"/>
              <w:jc w:val="center"/>
              <w:rPr>
                <w:rFonts w:hint="default" w:ascii="Times New Roman" w:hAnsi="Times New Roman" w:eastAsia="黑体" w:cs="Times New Roman"/>
                <w:b w:val="0"/>
                <w:bCs w:val="0"/>
                <w:color w:val="000000" w:themeColor="text1"/>
                <w:kern w:val="0"/>
                <w:szCs w:val="21"/>
                <w14:textFill>
                  <w14:solidFill>
                    <w14:schemeClr w14:val="tx1"/>
                  </w14:solidFill>
                </w14:textFill>
              </w:rPr>
            </w:pPr>
            <w:r>
              <w:rPr>
                <w:rFonts w:hint="default" w:ascii="Times New Roman" w:hAnsi="Times New Roman" w:eastAsia="黑体" w:cs="Times New Roman"/>
                <w:b w:val="0"/>
                <w:bCs w:val="0"/>
                <w:color w:val="000000" w:themeColor="text1"/>
                <w:kern w:val="0"/>
                <w:sz w:val="24"/>
                <w14:textFill>
                  <w14:solidFill>
                    <w14:schemeClr w14:val="tx1"/>
                  </w14:solidFill>
                </w14:textFill>
              </w:rPr>
              <w:t>表4-1  主要施工机械噪声源强表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515"/>
              <w:gridCol w:w="668"/>
              <w:gridCol w:w="625"/>
              <w:gridCol w:w="625"/>
              <w:gridCol w:w="652"/>
              <w:gridCol w:w="640"/>
              <w:gridCol w:w="777"/>
              <w:gridCol w:w="792"/>
              <w:gridCol w:w="765"/>
              <w:gridCol w:w="775"/>
            </w:tblGrid>
            <w:tr w14:paraId="3CDF0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1436" w:type="dxa"/>
                  <w:tcBorders>
                    <w:tl2br w:val="nil"/>
                    <w:tr2bl w:val="nil"/>
                  </w:tcBorders>
                  <w:noWrap/>
                  <w:vAlign w:val="center"/>
                </w:tcPr>
                <w:p w14:paraId="2010B6A0">
                  <w:pPr>
                    <w:pStyle w:val="64"/>
                    <w:keepNext/>
                    <w:keepLines/>
                    <w:widowControl/>
                    <w:spacing w:before="24" w:after="24" w:line="240" w:lineRule="atLeast"/>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噪声源</w:t>
                  </w:r>
                </w:p>
              </w:tc>
              <w:tc>
                <w:tcPr>
                  <w:tcW w:w="6506" w:type="dxa"/>
                  <w:gridSpan w:val="10"/>
                  <w:tcBorders>
                    <w:tl2br w:val="nil"/>
                    <w:tr2bl w:val="nil"/>
                  </w:tcBorders>
                  <w:noWrap/>
                  <w:vAlign w:val="center"/>
                </w:tcPr>
                <w:p w14:paraId="286CB3C5">
                  <w:pPr>
                    <w:pStyle w:val="64"/>
                    <w:keepNext/>
                    <w:keepLines/>
                    <w:widowControl/>
                    <w:spacing w:before="24" w:after="24" w:line="240" w:lineRule="atLeast"/>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距噪声源不同距离噪声级dB(A)</w:t>
                  </w:r>
                </w:p>
              </w:tc>
            </w:tr>
            <w:tr w14:paraId="2665A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1436" w:type="dxa"/>
                  <w:tcBorders>
                    <w:tl2br w:val="nil"/>
                    <w:tr2bl w:val="nil"/>
                  </w:tcBorders>
                  <w:noWrap w:val="0"/>
                  <w:vAlign w:val="center"/>
                </w:tcPr>
                <w:p w14:paraId="5C6E0962">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噪声设备</w:t>
                  </w:r>
                </w:p>
              </w:tc>
              <w:tc>
                <w:tcPr>
                  <w:tcW w:w="490" w:type="dxa"/>
                  <w:tcBorders>
                    <w:tl2br w:val="nil"/>
                    <w:tr2bl w:val="nil"/>
                  </w:tcBorders>
                  <w:noWrap w:val="0"/>
                  <w:vAlign w:val="center"/>
                </w:tcPr>
                <w:p w14:paraId="27B0BC17">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5m</w:t>
                  </w:r>
                </w:p>
              </w:tc>
              <w:tc>
                <w:tcPr>
                  <w:tcW w:w="636" w:type="dxa"/>
                  <w:tcBorders>
                    <w:tl2br w:val="nil"/>
                    <w:tr2bl w:val="nil"/>
                  </w:tcBorders>
                  <w:noWrap/>
                  <w:vAlign w:val="center"/>
                </w:tcPr>
                <w:p w14:paraId="07957DC8">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595" w:type="dxa"/>
                  <w:tcBorders>
                    <w:tl2br w:val="nil"/>
                    <w:tr2bl w:val="nil"/>
                  </w:tcBorders>
                  <w:noWrap w:val="0"/>
                  <w:vAlign w:val="center"/>
                </w:tcPr>
                <w:p w14:paraId="067D342B">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0m</w:t>
                  </w:r>
                </w:p>
              </w:tc>
              <w:tc>
                <w:tcPr>
                  <w:tcW w:w="595" w:type="dxa"/>
                  <w:tcBorders>
                    <w:tl2br w:val="nil"/>
                    <w:tr2bl w:val="nil"/>
                  </w:tcBorders>
                  <w:noWrap/>
                  <w:vAlign w:val="center"/>
                </w:tcPr>
                <w:p w14:paraId="7052E8C3">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0m</w:t>
                  </w:r>
                </w:p>
              </w:tc>
              <w:tc>
                <w:tcPr>
                  <w:tcW w:w="621" w:type="dxa"/>
                  <w:tcBorders>
                    <w:tl2br w:val="nil"/>
                    <w:tr2bl w:val="nil"/>
                  </w:tcBorders>
                  <w:noWrap w:val="0"/>
                  <w:vAlign w:val="center"/>
                </w:tcPr>
                <w:p w14:paraId="2ED445FC">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0m</w:t>
                  </w:r>
                </w:p>
              </w:tc>
              <w:tc>
                <w:tcPr>
                  <w:tcW w:w="609" w:type="dxa"/>
                  <w:tcBorders>
                    <w:tl2br w:val="nil"/>
                    <w:tr2bl w:val="nil"/>
                  </w:tcBorders>
                  <w:noWrap/>
                  <w:vAlign w:val="center"/>
                </w:tcPr>
                <w:p w14:paraId="76EB77C5">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0m</w:t>
                  </w:r>
                </w:p>
              </w:tc>
              <w:tc>
                <w:tcPr>
                  <w:tcW w:w="740" w:type="dxa"/>
                  <w:tcBorders>
                    <w:tl2br w:val="nil"/>
                    <w:tr2bl w:val="nil"/>
                  </w:tcBorders>
                  <w:noWrap w:val="0"/>
                  <w:vAlign w:val="center"/>
                </w:tcPr>
                <w:p w14:paraId="7EBC62BB">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0m</w:t>
                  </w:r>
                </w:p>
              </w:tc>
              <w:tc>
                <w:tcPr>
                  <w:tcW w:w="754" w:type="dxa"/>
                  <w:tcBorders>
                    <w:tl2br w:val="nil"/>
                    <w:tr2bl w:val="nil"/>
                  </w:tcBorders>
                  <w:noWrap/>
                  <w:vAlign w:val="center"/>
                </w:tcPr>
                <w:p w14:paraId="5393D105">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0m</w:t>
                  </w:r>
                </w:p>
              </w:tc>
              <w:tc>
                <w:tcPr>
                  <w:tcW w:w="728" w:type="dxa"/>
                  <w:tcBorders>
                    <w:tl2br w:val="nil"/>
                    <w:tr2bl w:val="nil"/>
                  </w:tcBorders>
                  <w:noWrap/>
                  <w:vAlign w:val="center"/>
                </w:tcPr>
                <w:p w14:paraId="111AB20F">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0m</w:t>
                  </w:r>
                </w:p>
              </w:tc>
              <w:tc>
                <w:tcPr>
                  <w:tcW w:w="738" w:type="dxa"/>
                  <w:tcBorders>
                    <w:tl2br w:val="nil"/>
                    <w:tr2bl w:val="nil"/>
                  </w:tcBorders>
                  <w:noWrap/>
                  <w:vAlign w:val="center"/>
                </w:tcPr>
                <w:p w14:paraId="4E23B927">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14:textFill>
                        <w14:solidFill>
                          <w14:schemeClr w14:val="tx1"/>
                        </w14:solidFill>
                      </w14:textFill>
                    </w:rPr>
                    <w:t>0m</w:t>
                  </w:r>
                </w:p>
              </w:tc>
            </w:tr>
            <w:tr w14:paraId="74745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6" w:type="dxa"/>
                  <w:tcBorders>
                    <w:tl2br w:val="nil"/>
                    <w:tr2bl w:val="nil"/>
                  </w:tcBorders>
                  <w:noWrap/>
                  <w:vAlign w:val="center"/>
                </w:tcPr>
                <w:p w14:paraId="3C8F2F09">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w:t>
                  </w:r>
                </w:p>
              </w:tc>
              <w:tc>
                <w:tcPr>
                  <w:tcW w:w="490" w:type="dxa"/>
                  <w:tcBorders>
                    <w:tl2br w:val="nil"/>
                    <w:tr2bl w:val="nil"/>
                  </w:tcBorders>
                  <w:noWrap w:val="0"/>
                  <w:vAlign w:val="center"/>
                </w:tcPr>
                <w:p w14:paraId="78813F74">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86</w:t>
                  </w:r>
                </w:p>
              </w:tc>
              <w:tc>
                <w:tcPr>
                  <w:tcW w:w="636" w:type="dxa"/>
                  <w:tcBorders>
                    <w:tl2br w:val="nil"/>
                    <w:tr2bl w:val="nil"/>
                  </w:tcBorders>
                  <w:noWrap/>
                  <w:vAlign w:val="center"/>
                </w:tcPr>
                <w:p w14:paraId="738A3AE1">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78</w:t>
                  </w:r>
                </w:p>
              </w:tc>
              <w:tc>
                <w:tcPr>
                  <w:tcW w:w="595" w:type="dxa"/>
                  <w:tcBorders>
                    <w:tl2br w:val="nil"/>
                    <w:tr2bl w:val="nil"/>
                  </w:tcBorders>
                  <w:noWrap w:val="0"/>
                  <w:vAlign w:val="center"/>
                </w:tcPr>
                <w:p w14:paraId="448DE6DA">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74</w:t>
                  </w:r>
                </w:p>
              </w:tc>
              <w:tc>
                <w:tcPr>
                  <w:tcW w:w="595" w:type="dxa"/>
                  <w:tcBorders>
                    <w:tl2br w:val="nil"/>
                    <w:tr2bl w:val="nil"/>
                  </w:tcBorders>
                  <w:noWrap/>
                  <w:vAlign w:val="center"/>
                </w:tcPr>
                <w:p w14:paraId="44A40DCB">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68</w:t>
                  </w:r>
                </w:p>
              </w:tc>
              <w:tc>
                <w:tcPr>
                  <w:tcW w:w="621" w:type="dxa"/>
                  <w:tcBorders>
                    <w:tl2br w:val="nil"/>
                    <w:tr2bl w:val="nil"/>
                  </w:tcBorders>
                  <w:noWrap w:val="0"/>
                  <w:vAlign w:val="center"/>
                </w:tcPr>
                <w:p w14:paraId="14BA8934">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66</w:t>
                  </w:r>
                </w:p>
              </w:tc>
              <w:tc>
                <w:tcPr>
                  <w:tcW w:w="609" w:type="dxa"/>
                  <w:tcBorders>
                    <w:tl2br w:val="nil"/>
                    <w:tr2bl w:val="nil"/>
                  </w:tcBorders>
                  <w:noWrap/>
                  <w:vAlign w:val="center"/>
                </w:tcPr>
                <w:p w14:paraId="041A07D7">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740" w:type="dxa"/>
                  <w:tcBorders>
                    <w:tl2br w:val="nil"/>
                    <w:tr2bl w:val="nil"/>
                  </w:tcBorders>
                  <w:noWrap w:val="0"/>
                  <w:vAlign w:val="center"/>
                </w:tcPr>
                <w:p w14:paraId="027D452D">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58</w:t>
                  </w:r>
                </w:p>
              </w:tc>
              <w:tc>
                <w:tcPr>
                  <w:tcW w:w="754" w:type="dxa"/>
                  <w:tcBorders>
                    <w:tl2br w:val="nil"/>
                    <w:tr2bl w:val="nil"/>
                  </w:tcBorders>
                  <w:noWrap/>
                  <w:vAlign w:val="center"/>
                </w:tcPr>
                <w:p w14:paraId="79B597D9">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728" w:type="dxa"/>
                  <w:tcBorders>
                    <w:tl2br w:val="nil"/>
                    <w:tr2bl w:val="nil"/>
                  </w:tcBorders>
                  <w:noWrap/>
                  <w:vAlign w:val="center"/>
                </w:tcPr>
                <w:p w14:paraId="4F075A52">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738" w:type="dxa"/>
                  <w:tcBorders>
                    <w:tl2br w:val="nil"/>
                    <w:tr2bl w:val="nil"/>
                  </w:tcBorders>
                  <w:noWrap/>
                  <w:vAlign w:val="center"/>
                </w:tcPr>
                <w:p w14:paraId="05518860">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w:t>
                  </w:r>
                </w:p>
              </w:tc>
            </w:tr>
            <w:tr w14:paraId="53D51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6" w:type="dxa"/>
                  <w:tcBorders>
                    <w:tl2br w:val="nil"/>
                    <w:tr2bl w:val="nil"/>
                  </w:tcBorders>
                  <w:noWrap/>
                  <w:vAlign w:val="center"/>
                </w:tcPr>
                <w:p w14:paraId="716E2414">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装载机</w:t>
                  </w:r>
                </w:p>
              </w:tc>
              <w:tc>
                <w:tcPr>
                  <w:tcW w:w="490" w:type="dxa"/>
                  <w:tcBorders>
                    <w:tl2br w:val="nil"/>
                    <w:tr2bl w:val="nil"/>
                  </w:tcBorders>
                  <w:noWrap w:val="0"/>
                  <w:vAlign w:val="center"/>
                </w:tcPr>
                <w:p w14:paraId="1DE69E0A">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93</w:t>
                  </w:r>
                </w:p>
              </w:tc>
              <w:tc>
                <w:tcPr>
                  <w:tcW w:w="636" w:type="dxa"/>
                  <w:tcBorders>
                    <w:tl2br w:val="nil"/>
                    <w:tr2bl w:val="nil"/>
                  </w:tcBorders>
                  <w:noWrap/>
                  <w:vAlign w:val="center"/>
                </w:tcPr>
                <w:p w14:paraId="1355368A">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595" w:type="dxa"/>
                  <w:tcBorders>
                    <w:tl2br w:val="nil"/>
                    <w:tr2bl w:val="nil"/>
                  </w:tcBorders>
                  <w:noWrap w:val="0"/>
                  <w:vAlign w:val="center"/>
                </w:tcPr>
                <w:p w14:paraId="1FE6C8D8">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81</w:t>
                  </w:r>
                </w:p>
              </w:tc>
              <w:tc>
                <w:tcPr>
                  <w:tcW w:w="595" w:type="dxa"/>
                  <w:tcBorders>
                    <w:tl2br w:val="nil"/>
                    <w:tr2bl w:val="nil"/>
                  </w:tcBorders>
                  <w:noWrap/>
                  <w:vAlign w:val="center"/>
                </w:tcPr>
                <w:p w14:paraId="4F41D59F">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621" w:type="dxa"/>
                  <w:tcBorders>
                    <w:tl2br w:val="nil"/>
                    <w:tr2bl w:val="nil"/>
                  </w:tcBorders>
                  <w:noWrap w:val="0"/>
                  <w:vAlign w:val="center"/>
                </w:tcPr>
                <w:p w14:paraId="74E9E253">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73</w:t>
                  </w:r>
                </w:p>
              </w:tc>
              <w:tc>
                <w:tcPr>
                  <w:tcW w:w="609" w:type="dxa"/>
                  <w:tcBorders>
                    <w:tl2br w:val="nil"/>
                    <w:tr2bl w:val="nil"/>
                  </w:tcBorders>
                  <w:noWrap/>
                  <w:vAlign w:val="center"/>
                </w:tcPr>
                <w:p w14:paraId="44AFDEFC">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69</w:t>
                  </w:r>
                </w:p>
              </w:tc>
              <w:tc>
                <w:tcPr>
                  <w:tcW w:w="740" w:type="dxa"/>
                  <w:tcBorders>
                    <w:tl2br w:val="nil"/>
                    <w:tr2bl w:val="nil"/>
                  </w:tcBorders>
                  <w:noWrap w:val="0"/>
                  <w:vAlign w:val="center"/>
                </w:tcPr>
                <w:p w14:paraId="5B3A6D70">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65</w:t>
                  </w:r>
                </w:p>
              </w:tc>
              <w:tc>
                <w:tcPr>
                  <w:tcW w:w="754" w:type="dxa"/>
                  <w:tcBorders>
                    <w:tl2br w:val="nil"/>
                    <w:tr2bl w:val="nil"/>
                  </w:tcBorders>
                  <w:noWrap/>
                  <w:vAlign w:val="center"/>
                </w:tcPr>
                <w:p w14:paraId="448188DB">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63</w:t>
                  </w:r>
                </w:p>
              </w:tc>
              <w:tc>
                <w:tcPr>
                  <w:tcW w:w="728" w:type="dxa"/>
                  <w:tcBorders>
                    <w:tl2br w:val="nil"/>
                    <w:tr2bl w:val="nil"/>
                  </w:tcBorders>
                  <w:noWrap/>
                  <w:vAlign w:val="center"/>
                </w:tcPr>
                <w:p w14:paraId="06C293B2">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738" w:type="dxa"/>
                  <w:tcBorders>
                    <w:tl2br w:val="nil"/>
                    <w:tr2bl w:val="nil"/>
                  </w:tcBorders>
                  <w:noWrap/>
                  <w:vAlign w:val="center"/>
                </w:tcPr>
                <w:p w14:paraId="390F43DF">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w:t>
                  </w:r>
                </w:p>
              </w:tc>
            </w:tr>
            <w:tr w14:paraId="4D714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6" w:type="dxa"/>
                  <w:tcBorders>
                    <w:tl2br w:val="nil"/>
                    <w:tr2bl w:val="nil"/>
                  </w:tcBorders>
                  <w:noWrap/>
                  <w:vAlign w:val="center"/>
                </w:tcPr>
                <w:p w14:paraId="15ADF658">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挖掘机</w:t>
                  </w:r>
                </w:p>
              </w:tc>
              <w:tc>
                <w:tcPr>
                  <w:tcW w:w="490" w:type="dxa"/>
                  <w:tcBorders>
                    <w:tl2br w:val="nil"/>
                    <w:tr2bl w:val="nil"/>
                  </w:tcBorders>
                  <w:noWrap w:val="0"/>
                  <w:vAlign w:val="center"/>
                </w:tcPr>
                <w:p w14:paraId="1BBE0A4B">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84</w:t>
                  </w:r>
                </w:p>
              </w:tc>
              <w:tc>
                <w:tcPr>
                  <w:tcW w:w="636" w:type="dxa"/>
                  <w:tcBorders>
                    <w:tl2br w:val="nil"/>
                    <w:tr2bl w:val="nil"/>
                  </w:tcBorders>
                  <w:noWrap/>
                  <w:vAlign w:val="center"/>
                </w:tcPr>
                <w:p w14:paraId="0308B279">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76</w:t>
                  </w:r>
                </w:p>
              </w:tc>
              <w:tc>
                <w:tcPr>
                  <w:tcW w:w="595" w:type="dxa"/>
                  <w:tcBorders>
                    <w:tl2br w:val="nil"/>
                    <w:tr2bl w:val="nil"/>
                  </w:tcBorders>
                  <w:noWrap w:val="0"/>
                  <w:vAlign w:val="center"/>
                </w:tcPr>
                <w:p w14:paraId="38983345">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72</w:t>
                  </w:r>
                </w:p>
              </w:tc>
              <w:tc>
                <w:tcPr>
                  <w:tcW w:w="595" w:type="dxa"/>
                  <w:tcBorders>
                    <w:tl2br w:val="nil"/>
                    <w:tr2bl w:val="nil"/>
                  </w:tcBorders>
                  <w:noWrap/>
                  <w:vAlign w:val="center"/>
                </w:tcPr>
                <w:p w14:paraId="3175EFD9">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66</w:t>
                  </w:r>
                </w:p>
              </w:tc>
              <w:tc>
                <w:tcPr>
                  <w:tcW w:w="621" w:type="dxa"/>
                  <w:tcBorders>
                    <w:tl2br w:val="nil"/>
                    <w:tr2bl w:val="nil"/>
                  </w:tcBorders>
                  <w:noWrap w:val="0"/>
                  <w:vAlign w:val="center"/>
                </w:tcPr>
                <w:p w14:paraId="43D46110">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64</w:t>
                  </w:r>
                </w:p>
              </w:tc>
              <w:tc>
                <w:tcPr>
                  <w:tcW w:w="609" w:type="dxa"/>
                  <w:tcBorders>
                    <w:tl2br w:val="nil"/>
                    <w:tr2bl w:val="nil"/>
                  </w:tcBorders>
                  <w:noWrap/>
                  <w:vAlign w:val="center"/>
                </w:tcPr>
                <w:p w14:paraId="3E790130">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740" w:type="dxa"/>
                  <w:tcBorders>
                    <w:tl2br w:val="nil"/>
                    <w:tr2bl w:val="nil"/>
                  </w:tcBorders>
                  <w:noWrap w:val="0"/>
                  <w:vAlign w:val="center"/>
                </w:tcPr>
                <w:p w14:paraId="153242F1">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754" w:type="dxa"/>
                  <w:tcBorders>
                    <w:tl2br w:val="nil"/>
                    <w:tr2bl w:val="nil"/>
                  </w:tcBorders>
                  <w:noWrap/>
                  <w:vAlign w:val="center"/>
                </w:tcPr>
                <w:p w14:paraId="30873FAD">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w:t>
                  </w:r>
                </w:p>
              </w:tc>
              <w:tc>
                <w:tcPr>
                  <w:tcW w:w="728" w:type="dxa"/>
                  <w:tcBorders>
                    <w:tl2br w:val="nil"/>
                    <w:tr2bl w:val="nil"/>
                  </w:tcBorders>
                  <w:noWrap/>
                  <w:vAlign w:val="center"/>
                </w:tcPr>
                <w:p w14:paraId="7D6EA566">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738" w:type="dxa"/>
                  <w:tcBorders>
                    <w:tl2br w:val="nil"/>
                    <w:tr2bl w:val="nil"/>
                  </w:tcBorders>
                  <w:noWrap/>
                  <w:vAlign w:val="center"/>
                </w:tcPr>
                <w:p w14:paraId="737BF0E3">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r>
            <w:tr w14:paraId="48CF2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436" w:type="dxa"/>
                  <w:tcBorders>
                    <w:tl2br w:val="nil"/>
                    <w:tr2bl w:val="nil"/>
                  </w:tcBorders>
                  <w:noWrap/>
                  <w:vAlign w:val="center"/>
                </w:tcPr>
                <w:p w14:paraId="5F15ECFF">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运输汽车</w:t>
                  </w:r>
                </w:p>
              </w:tc>
              <w:tc>
                <w:tcPr>
                  <w:tcW w:w="490" w:type="dxa"/>
                  <w:tcBorders>
                    <w:tl2br w:val="nil"/>
                    <w:tr2bl w:val="nil"/>
                  </w:tcBorders>
                  <w:noWrap w:val="0"/>
                  <w:vAlign w:val="center"/>
                </w:tcPr>
                <w:p w14:paraId="204AD688">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88</w:t>
                  </w:r>
                </w:p>
              </w:tc>
              <w:tc>
                <w:tcPr>
                  <w:tcW w:w="636" w:type="dxa"/>
                  <w:tcBorders>
                    <w:tl2br w:val="nil"/>
                    <w:tr2bl w:val="nil"/>
                  </w:tcBorders>
                  <w:noWrap/>
                  <w:vAlign w:val="center"/>
                </w:tcPr>
                <w:p w14:paraId="581A10AE">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595" w:type="dxa"/>
                  <w:tcBorders>
                    <w:tl2br w:val="nil"/>
                    <w:tr2bl w:val="nil"/>
                  </w:tcBorders>
                  <w:noWrap w:val="0"/>
                  <w:vAlign w:val="center"/>
                </w:tcPr>
                <w:p w14:paraId="2B3E7FAE">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76</w:t>
                  </w:r>
                </w:p>
              </w:tc>
              <w:tc>
                <w:tcPr>
                  <w:tcW w:w="595" w:type="dxa"/>
                  <w:tcBorders>
                    <w:tl2br w:val="nil"/>
                    <w:tr2bl w:val="nil"/>
                  </w:tcBorders>
                  <w:noWrap/>
                  <w:vAlign w:val="center"/>
                </w:tcPr>
                <w:p w14:paraId="30FBD783">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621" w:type="dxa"/>
                  <w:tcBorders>
                    <w:tl2br w:val="nil"/>
                    <w:tr2bl w:val="nil"/>
                  </w:tcBorders>
                  <w:noWrap w:val="0"/>
                  <w:vAlign w:val="center"/>
                </w:tcPr>
                <w:p w14:paraId="028FD44E">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68</w:t>
                  </w:r>
                </w:p>
              </w:tc>
              <w:tc>
                <w:tcPr>
                  <w:tcW w:w="609" w:type="dxa"/>
                  <w:tcBorders>
                    <w:tl2br w:val="nil"/>
                    <w:tr2bl w:val="nil"/>
                  </w:tcBorders>
                  <w:noWrap/>
                  <w:vAlign w:val="center"/>
                </w:tcPr>
                <w:p w14:paraId="696D44CD">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64</w:t>
                  </w:r>
                </w:p>
              </w:tc>
              <w:tc>
                <w:tcPr>
                  <w:tcW w:w="740" w:type="dxa"/>
                  <w:tcBorders>
                    <w:tl2br w:val="nil"/>
                    <w:tr2bl w:val="nil"/>
                  </w:tcBorders>
                  <w:noWrap w:val="0"/>
                  <w:vAlign w:val="center"/>
                </w:tcPr>
                <w:p w14:paraId="07C0782B">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754" w:type="dxa"/>
                  <w:tcBorders>
                    <w:tl2br w:val="nil"/>
                    <w:tr2bl w:val="nil"/>
                  </w:tcBorders>
                  <w:noWrap/>
                  <w:vAlign w:val="center"/>
                </w:tcPr>
                <w:p w14:paraId="474E47DE">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58</w:t>
                  </w:r>
                </w:p>
              </w:tc>
              <w:tc>
                <w:tcPr>
                  <w:tcW w:w="728" w:type="dxa"/>
                  <w:tcBorders>
                    <w:tl2br w:val="nil"/>
                    <w:tr2bl w:val="nil"/>
                  </w:tcBorders>
                  <w:noWrap/>
                  <w:vAlign w:val="center"/>
                </w:tcPr>
                <w:p w14:paraId="70F91150">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56</w:t>
                  </w:r>
                </w:p>
              </w:tc>
              <w:tc>
                <w:tcPr>
                  <w:tcW w:w="738" w:type="dxa"/>
                  <w:tcBorders>
                    <w:tl2br w:val="nil"/>
                    <w:tr2bl w:val="nil"/>
                  </w:tcBorders>
                  <w:noWrap/>
                  <w:vAlign w:val="center"/>
                </w:tcPr>
                <w:p w14:paraId="400ECB6A">
                  <w:pPr>
                    <w:pStyle w:val="64"/>
                    <w:keepNext/>
                    <w:keepLines/>
                    <w:widowControl/>
                    <w:spacing w:before="24" w:after="24" w:line="240" w:lineRule="atLeas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w:t>
                  </w:r>
                </w:p>
              </w:tc>
            </w:tr>
            <w:tr w14:paraId="15AE1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42" w:type="dxa"/>
                  <w:gridSpan w:val="11"/>
                  <w:tcBorders>
                    <w:tl2br w:val="nil"/>
                    <w:tr2bl w:val="nil"/>
                  </w:tcBorders>
                  <w:noWrap/>
                  <w:vAlign w:val="center"/>
                </w:tcPr>
                <w:p w14:paraId="5DF8913C">
                  <w:pPr>
                    <w:pStyle w:val="64"/>
                    <w:keepNext/>
                    <w:keepLines/>
                    <w:widowControl/>
                    <w:spacing w:before="24" w:after="24" w:line="240" w:lineRule="atLeas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标准dB（A）：昼间70、夜间55</w:t>
                  </w:r>
                </w:p>
              </w:tc>
            </w:tr>
          </w:tbl>
          <w:p w14:paraId="770E94EC">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由上表可知，距主要设备</w:t>
            </w:r>
            <w:r>
              <w:rPr>
                <w:rFonts w:hint="default" w:ascii="Times New Roman" w:hAnsi="Times New Roman" w:cs="Times New Roman"/>
                <w:color w:val="000000" w:themeColor="text1"/>
                <w:kern w:val="0"/>
                <w:sz w:val="24"/>
                <w:lang w:val="en-US" w:eastAsia="zh-CN"/>
                <w14:textFill>
                  <w14:solidFill>
                    <w14:schemeClr w14:val="tx1"/>
                  </w14:solidFill>
                </w14:textFill>
              </w:rPr>
              <w:t>8</w:t>
            </w:r>
            <w:r>
              <w:rPr>
                <w:rFonts w:hint="default" w:ascii="Times New Roman" w:hAnsi="Times New Roman" w:cs="Times New Roman"/>
                <w:color w:val="000000" w:themeColor="text1"/>
                <w:kern w:val="0"/>
                <w:sz w:val="24"/>
                <w14:textFill>
                  <w14:solidFill>
                    <w14:schemeClr w14:val="tx1"/>
                  </w14:solidFill>
                </w14:textFill>
              </w:rPr>
              <w:t>0m处的昼间</w:t>
            </w:r>
            <w:r>
              <w:rPr>
                <w:rFonts w:hint="default" w:ascii="Times New Roman" w:hAnsi="Times New Roman" w:cs="Times New Roman"/>
                <w:color w:val="000000" w:themeColor="text1"/>
                <w:kern w:val="0"/>
                <w:sz w:val="24"/>
                <w:lang w:eastAsia="zh-CN"/>
                <w14:textFill>
                  <w14:solidFill>
                    <w14:schemeClr w14:val="tx1"/>
                  </w14:solidFill>
                </w14:textFill>
              </w:rPr>
              <w:t>噪声</w:t>
            </w:r>
            <w:r>
              <w:rPr>
                <w:rFonts w:hint="default" w:ascii="Times New Roman" w:hAnsi="Times New Roman" w:cs="Times New Roman"/>
                <w:color w:val="000000" w:themeColor="text1"/>
                <w:kern w:val="0"/>
                <w:sz w:val="24"/>
                <w14:textFill>
                  <w14:solidFill>
                    <w14:schemeClr w14:val="tx1"/>
                  </w14:solidFill>
                </w14:textFill>
              </w:rPr>
              <w:t>可以满足70dB(A)的要求，</w:t>
            </w:r>
            <w:r>
              <w:rPr>
                <w:rFonts w:hint="default" w:ascii="Times New Roman" w:hAnsi="Times New Roman" w:cs="Times New Roman"/>
                <w:color w:val="000000" w:themeColor="text1"/>
                <w:kern w:val="0"/>
                <w:sz w:val="24"/>
                <w:lang w:val="en-US" w:eastAsia="zh-CN"/>
                <w14:textFill>
                  <w14:solidFill>
                    <w14:schemeClr w14:val="tx1"/>
                  </w14:solidFill>
                </w14:textFill>
              </w:rPr>
              <w:t>距主要设备</w:t>
            </w:r>
            <w:r>
              <w:rPr>
                <w:rFonts w:hint="default" w:ascii="Times New Roman" w:hAnsi="Times New Roman" w:cs="Times New Roman"/>
                <w:color w:val="000000" w:themeColor="text1"/>
                <w:kern w:val="0"/>
                <w:sz w:val="24"/>
                <w14:textFill>
                  <w14:solidFill>
                    <w14:schemeClr w14:val="tx1"/>
                  </w14:solidFill>
                </w14:textFill>
              </w:rPr>
              <w:t>300m处的噪声不能满足《建筑施工噪声排放标准》(GB12523-20</w:t>
            </w:r>
            <w:r>
              <w:rPr>
                <w:rFonts w:hint="default" w:ascii="Times New Roman" w:hAnsi="Times New Roman" w:cs="Times New Roman"/>
                <w:color w:val="000000" w:themeColor="text1"/>
                <w:kern w:val="0"/>
                <w:sz w:val="24"/>
                <w:lang w:val="en-US" w:eastAsia="zh-CN"/>
                <w14:textFill>
                  <w14:solidFill>
                    <w14:schemeClr w14:val="tx1"/>
                  </w14:solidFill>
                </w14:textFill>
              </w:rPr>
              <w:t>25</w:t>
            </w:r>
            <w:r>
              <w:rPr>
                <w:rFonts w:hint="default" w:ascii="Times New Roman" w:hAnsi="Times New Roman" w:cs="Times New Roman"/>
                <w:color w:val="000000" w:themeColor="text1"/>
                <w:kern w:val="0"/>
                <w:sz w:val="24"/>
                <w14:textFill>
                  <w14:solidFill>
                    <w14:schemeClr w14:val="tx1"/>
                  </w14:solidFill>
                </w14:textFill>
              </w:rPr>
              <w:t>)标准限值要求，因此，</w:t>
            </w:r>
            <w:r>
              <w:rPr>
                <w:rFonts w:hint="eastAsia" w:cs="Times New Roman"/>
                <w:color w:val="000000" w:themeColor="text1"/>
                <w:kern w:val="0"/>
                <w:sz w:val="24"/>
                <w:lang w:val="en-US" w:eastAsia="zh-CN"/>
                <w14:textFill>
                  <w14:solidFill>
                    <w14:schemeClr w14:val="tx1"/>
                  </w14:solidFill>
                </w14:textFill>
              </w:rPr>
              <w:t>本项目不宜在夜间施工，</w:t>
            </w:r>
            <w:r>
              <w:rPr>
                <w:rFonts w:hint="default" w:ascii="Times New Roman" w:hAnsi="Times New Roman" w:cs="Times New Roman"/>
                <w:color w:val="000000" w:themeColor="text1"/>
                <w:kern w:val="0"/>
                <w:sz w:val="24"/>
                <w14:textFill>
                  <w14:solidFill>
                    <w14:schemeClr w14:val="tx1"/>
                  </w14:solidFill>
                </w14:textFill>
              </w:rPr>
              <w:t>本次环评要求建设单位禁止</w:t>
            </w:r>
            <w:r>
              <w:rPr>
                <w:rFonts w:hint="eastAsia" w:cs="Times New Roman"/>
                <w:color w:val="000000" w:themeColor="text1"/>
                <w:kern w:val="0"/>
                <w:sz w:val="24"/>
                <w:lang w:val="en-US" w:eastAsia="zh-CN"/>
                <w14:textFill>
                  <w14:solidFill>
                    <w14:schemeClr w14:val="tx1"/>
                  </w14:solidFill>
                </w14:textFill>
              </w:rPr>
              <w:t>在</w:t>
            </w:r>
            <w:r>
              <w:rPr>
                <w:rFonts w:hint="default" w:ascii="Times New Roman" w:hAnsi="Times New Roman" w:cs="Times New Roman"/>
                <w:color w:val="000000" w:themeColor="text1"/>
                <w:kern w:val="0"/>
                <w:sz w:val="24"/>
                <w14:textFill>
                  <w14:solidFill>
                    <w14:schemeClr w14:val="tx1"/>
                  </w14:solidFill>
                </w14:textFill>
              </w:rPr>
              <w:t>夜间施工。</w:t>
            </w:r>
          </w:p>
          <w:p w14:paraId="4F4BE305">
            <w:pPr>
              <w:adjustRightInd w:val="0"/>
              <w:snapToGrid w:val="0"/>
              <w:spacing w:after="0"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lang w:val="en-US" w:eastAsia="zh-CN"/>
                <w14:textFill>
                  <w14:solidFill>
                    <w14:schemeClr w14:val="tx1"/>
                  </w14:solidFill>
                </w14:textFill>
              </w:rPr>
              <w:t>本项目西侧由声环境敏感目标杨滩村，</w:t>
            </w:r>
            <w:r>
              <w:rPr>
                <w:rFonts w:hint="eastAsia" w:cs="Times New Roman"/>
                <w:color w:val="000000" w:themeColor="text1"/>
                <w:kern w:val="0"/>
                <w:sz w:val="24"/>
                <w:lang w:val="en-US" w:eastAsia="zh-CN"/>
                <w14:textFill>
                  <w14:solidFill>
                    <w14:schemeClr w14:val="tx1"/>
                  </w14:solidFill>
                </w14:textFill>
              </w:rPr>
              <w:t>根据声环境质量现状小节监测结果可知，敏感点噪声现状监测结果为昼间52dB(A)、夜间41dB(A)，</w:t>
            </w:r>
            <w:r>
              <w:rPr>
                <w:rFonts w:hint="default" w:ascii="Times New Roman" w:hAnsi="Times New Roman" w:cs="Times New Roman"/>
                <w:color w:val="000000" w:themeColor="text1"/>
                <w:kern w:val="0"/>
                <w:sz w:val="24"/>
                <w:lang w:val="en-US" w:eastAsia="zh-CN"/>
                <w14:textFill>
                  <w14:solidFill>
                    <w14:schemeClr w14:val="tx1"/>
                  </w14:solidFill>
                </w14:textFill>
              </w:rPr>
              <w:t>根据《环境影响评价技术导则 声环境》(HJ2.4-2021)中工业噪声的技术要求，本次评价采取导则上的推荐模式</w:t>
            </w:r>
            <w:r>
              <w:rPr>
                <w:rFonts w:hint="eastAsia" w:cs="Times New Roman"/>
                <w:color w:val="000000" w:themeColor="text1"/>
                <w:kern w:val="0"/>
                <w:sz w:val="24"/>
                <w:lang w:val="en-US" w:eastAsia="zh-CN"/>
                <w14:textFill>
                  <w14:solidFill>
                    <w14:schemeClr w14:val="tx1"/>
                  </w14:solidFill>
                </w14:textFill>
              </w:rPr>
              <w:t>对敏感点施工噪声</w:t>
            </w:r>
            <w:r>
              <w:rPr>
                <w:rFonts w:hint="default" w:ascii="Times New Roman" w:hAnsi="Times New Roman" w:cs="Times New Roman"/>
                <w:color w:val="000000" w:themeColor="text1"/>
                <w:kern w:val="0"/>
                <w:sz w:val="24"/>
                <w:lang w:val="en-US" w:eastAsia="zh-CN"/>
                <w14:textFill>
                  <w14:solidFill>
                    <w14:schemeClr w14:val="tx1"/>
                  </w14:solidFill>
                </w14:textFill>
              </w:rPr>
              <w:t>进行预测分析。</w:t>
            </w:r>
            <w:r>
              <w:rPr>
                <w:rFonts w:hint="eastAsia" w:cs="Times New Roman"/>
                <w:color w:val="000000" w:themeColor="text1"/>
                <w:kern w:val="0"/>
                <w:sz w:val="24"/>
                <w:lang w:val="en-US" w:eastAsia="zh-CN"/>
                <w14:textFill>
                  <w14:solidFill>
                    <w14:schemeClr w14:val="tx1"/>
                  </w14:solidFill>
                </w14:textFill>
              </w:rPr>
              <w:t>本项目仅在昼间施工，因此仅预测</w:t>
            </w:r>
            <w:r>
              <w:rPr>
                <w:rFonts w:hint="default" w:ascii="Times New Roman" w:hAnsi="Times New Roman" w:cs="Times New Roman"/>
                <w:color w:val="000000" w:themeColor="text1"/>
                <w:sz w:val="24"/>
                <w:szCs w:val="24"/>
                <w14:textFill>
                  <w14:solidFill>
                    <w14:schemeClr w14:val="tx1"/>
                  </w14:solidFill>
                </w14:textFill>
              </w:rPr>
              <w:t>噪声源对</w:t>
            </w:r>
            <w:r>
              <w:rPr>
                <w:rFonts w:hint="eastAsia" w:cs="Times New Roman"/>
                <w:color w:val="000000" w:themeColor="text1"/>
                <w:sz w:val="24"/>
                <w:szCs w:val="24"/>
                <w:lang w:val="en-US" w:eastAsia="zh-CN"/>
                <w14:textFill>
                  <w14:solidFill>
                    <w14:schemeClr w14:val="tx1"/>
                  </w14:solidFill>
                </w14:textFill>
              </w:rPr>
              <w:t>敏感点</w:t>
            </w:r>
            <w:r>
              <w:rPr>
                <w:rFonts w:hint="default" w:ascii="Times New Roman" w:hAnsi="Times New Roman" w:cs="Times New Roman"/>
                <w:color w:val="000000" w:themeColor="text1"/>
                <w:sz w:val="24"/>
                <w:szCs w:val="24"/>
                <w14:textFill>
                  <w14:solidFill>
                    <w14:schemeClr w14:val="tx1"/>
                  </w14:solidFill>
                </w14:textFill>
              </w:rPr>
              <w:t>的影响</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预测</w:t>
            </w:r>
            <w:r>
              <w:rPr>
                <w:rFonts w:hint="eastAsia" w:cs="Times New Roman"/>
                <w:color w:val="000000" w:themeColor="text1"/>
                <w:sz w:val="24"/>
                <w:szCs w:val="24"/>
                <w:lang w:val="en-US" w:eastAsia="zh-CN"/>
                <w14:textFill>
                  <w14:solidFill>
                    <w14:schemeClr w14:val="tx1"/>
                  </w14:solidFill>
                </w14:textFill>
              </w:rPr>
              <w:t>结果</w:t>
            </w:r>
            <w:r>
              <w:rPr>
                <w:rFonts w:hint="default" w:ascii="Times New Roman" w:hAnsi="Times New Roman" w:cs="Times New Roman"/>
                <w:color w:val="000000" w:themeColor="text1"/>
                <w:sz w:val="24"/>
                <w:szCs w:val="24"/>
                <w14:textFill>
                  <w14:solidFill>
                    <w14:schemeClr w14:val="tx1"/>
                  </w14:solidFill>
                </w14:textFill>
              </w:rPr>
              <w:t>见表4-</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p>
          <w:p w14:paraId="6E022B06">
            <w:pPr>
              <w:pStyle w:val="6"/>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黑体" w:cs="Times New Roman"/>
                <w:color w:val="000000" w:themeColor="text1"/>
                <w:sz w:val="24"/>
                <w:szCs w:val="24"/>
                <w14:textFill>
                  <w14:solidFill>
                    <w14:schemeClr w14:val="tx1"/>
                  </w14:solidFill>
                </w14:textFill>
              </w:rPr>
            </w:pPr>
            <w:r>
              <w:rPr>
                <w:rFonts w:hint="default" w:ascii="Times New Roman" w:hAnsi="Times New Roman" w:eastAsia="黑体" w:cs="Times New Roman"/>
                <w:color w:val="000000" w:themeColor="text1"/>
                <w:sz w:val="24"/>
                <w:szCs w:val="24"/>
                <w14:textFill>
                  <w14:solidFill>
                    <w14:schemeClr w14:val="tx1"/>
                  </w14:solidFill>
                </w14:textFill>
              </w:rPr>
              <w:t>表4-</w:t>
            </w:r>
            <w:r>
              <w:rPr>
                <w:rFonts w:hint="eastAsia" w:ascii="Times New Roman" w:hAnsi="Times New Roman" w:eastAsia="黑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黑体" w:cs="Times New Roman"/>
                <w:color w:val="000000" w:themeColor="text1"/>
                <w:sz w:val="24"/>
                <w:szCs w:val="24"/>
                <w14:textFill>
                  <w14:solidFill>
                    <w14:schemeClr w14:val="tx1"/>
                  </w14:solidFill>
                </w14:textFill>
              </w:rPr>
              <w:t xml:space="preserve">  </w:t>
            </w:r>
            <w:r>
              <w:rPr>
                <w:rFonts w:hint="eastAsia" w:ascii="Times New Roman" w:hAnsi="Times New Roman" w:eastAsia="黑体" w:cs="Times New Roman"/>
                <w:color w:val="000000" w:themeColor="text1"/>
                <w:sz w:val="24"/>
                <w:szCs w:val="24"/>
                <w:lang w:val="en-US" w:eastAsia="zh-CN"/>
                <w14:textFill>
                  <w14:solidFill>
                    <w14:schemeClr w14:val="tx1"/>
                  </w14:solidFill>
                </w14:textFill>
              </w:rPr>
              <w:t>敏感点</w:t>
            </w:r>
            <w:r>
              <w:rPr>
                <w:rFonts w:hint="default" w:ascii="Times New Roman" w:hAnsi="Times New Roman" w:eastAsia="黑体" w:cs="Times New Roman"/>
                <w:color w:val="000000" w:themeColor="text1"/>
                <w:sz w:val="24"/>
                <w:szCs w:val="24"/>
                <w14:textFill>
                  <w14:solidFill>
                    <w14:schemeClr w14:val="tx1"/>
                  </w14:solidFill>
                </w14:textFill>
              </w:rPr>
              <w:t>噪声</w:t>
            </w:r>
            <w:r>
              <w:rPr>
                <w:rFonts w:hint="default" w:ascii="Times New Roman" w:hAnsi="Times New Roman" w:eastAsia="黑体" w:cs="Times New Roman"/>
                <w:color w:val="000000" w:themeColor="text1"/>
                <w:sz w:val="24"/>
                <w:szCs w:val="24"/>
                <w:lang w:eastAsia="zh-CN"/>
                <w14:textFill>
                  <w14:solidFill>
                    <w14:schemeClr w14:val="tx1"/>
                  </w14:solidFill>
                </w14:textFill>
              </w:rPr>
              <w:t>预测贡献值</w:t>
            </w:r>
            <w:r>
              <w:rPr>
                <w:rFonts w:hint="default" w:ascii="Times New Roman" w:hAnsi="Times New Roman" w:eastAsia="黑体" w:cs="Times New Roman"/>
                <w:color w:val="000000" w:themeColor="text1"/>
                <w:sz w:val="24"/>
                <w:szCs w:val="24"/>
                <w14:textFill>
                  <w14:solidFill>
                    <w14:schemeClr w14:val="tx1"/>
                  </w14:solidFill>
                </w14:textFill>
              </w:rPr>
              <w:t>结果表  单位：dB(A)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679"/>
              <w:gridCol w:w="1679"/>
              <w:gridCol w:w="1679"/>
              <w:gridCol w:w="1681"/>
            </w:tblGrid>
            <w:tr w14:paraId="0AD6A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976" w:type="pct"/>
                  <w:tcBorders>
                    <w:tl2br w:val="nil"/>
                    <w:tr2bl w:val="nil"/>
                  </w:tcBorders>
                  <w:noWrap w:val="0"/>
                  <w:vAlign w:val="center"/>
                </w:tcPr>
                <w:p w14:paraId="40A9181C">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位置</w:t>
                  </w:r>
                </w:p>
              </w:tc>
              <w:tc>
                <w:tcPr>
                  <w:tcW w:w="1005" w:type="pct"/>
                  <w:tcBorders>
                    <w:tl2br w:val="nil"/>
                    <w:tr2bl w:val="nil"/>
                  </w:tcBorders>
                  <w:noWrap w:val="0"/>
                  <w:vAlign w:val="center"/>
                </w:tcPr>
                <w:p w14:paraId="78DF8F0B">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eastAsia" w:ascii="Times New Roman" w:hAnsi="Times New Roman" w:eastAsia="宋体" w:cs="Times New Roman"/>
                      <w:b/>
                      <w:bCs/>
                      <w:color w:val="000000" w:themeColor="text1"/>
                      <w:kern w:val="0"/>
                      <w:szCs w:val="21"/>
                      <w:lang w:eastAsia="zh-CN"/>
                      <w14:textFill>
                        <w14:solidFill>
                          <w14:schemeClr w14:val="tx1"/>
                        </w14:solidFill>
                      </w14:textFill>
                    </w:rPr>
                  </w:pPr>
                  <w:r>
                    <w:rPr>
                      <w:rFonts w:hint="eastAsia" w:hAnsi="Times New Roman" w:cs="Times New Roman"/>
                      <w:b/>
                      <w:bCs/>
                      <w:color w:val="000000" w:themeColor="text1"/>
                      <w:kern w:val="0"/>
                      <w:szCs w:val="21"/>
                      <w:lang w:val="en-US" w:eastAsia="zh-CN"/>
                      <w14:textFill>
                        <w14:solidFill>
                          <w14:schemeClr w14:val="tx1"/>
                        </w14:solidFill>
                      </w14:textFill>
                    </w:rPr>
                    <w:t>预测值</w:t>
                  </w:r>
                </w:p>
              </w:tc>
              <w:tc>
                <w:tcPr>
                  <w:tcW w:w="1005" w:type="pct"/>
                  <w:tcBorders>
                    <w:tl2br w:val="nil"/>
                    <w:tr2bl w:val="nil"/>
                  </w:tcBorders>
                  <w:noWrap w:val="0"/>
                  <w:vAlign w:val="center"/>
                </w:tcPr>
                <w:p w14:paraId="68C76296">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default" w:hAnsi="Times New Roman" w:cs="Times New Roman"/>
                      <w:b/>
                      <w:bCs/>
                      <w:color w:val="000000" w:themeColor="text1"/>
                      <w:kern w:val="0"/>
                      <w:szCs w:val="21"/>
                      <w:lang w:val="en-US" w:eastAsia="zh-CN"/>
                      <w14:textFill>
                        <w14:solidFill>
                          <w14:schemeClr w14:val="tx1"/>
                        </w14:solidFill>
                      </w14:textFill>
                    </w:rPr>
                  </w:pPr>
                  <w:r>
                    <w:rPr>
                      <w:rFonts w:hint="eastAsia" w:hAnsi="Times New Roman" w:cs="Times New Roman"/>
                      <w:b/>
                      <w:bCs/>
                      <w:color w:val="000000" w:themeColor="text1"/>
                      <w:kern w:val="0"/>
                      <w:szCs w:val="21"/>
                      <w:lang w:val="en-US" w:eastAsia="zh-CN"/>
                      <w14:textFill>
                        <w14:solidFill>
                          <w14:schemeClr w14:val="tx1"/>
                        </w14:solidFill>
                      </w14:textFill>
                    </w:rPr>
                    <w:t>背景值</w:t>
                  </w:r>
                </w:p>
              </w:tc>
              <w:tc>
                <w:tcPr>
                  <w:tcW w:w="1005" w:type="pct"/>
                  <w:tcBorders>
                    <w:tl2br w:val="nil"/>
                    <w:tr2bl w:val="nil"/>
                  </w:tcBorders>
                  <w:noWrap w:val="0"/>
                  <w:vAlign w:val="center"/>
                </w:tcPr>
                <w:p w14:paraId="50064031">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default" w:hAnsi="Times New Roman" w:cs="Times New Roman"/>
                      <w:b/>
                      <w:bCs/>
                      <w:color w:val="000000" w:themeColor="text1"/>
                      <w:kern w:val="0"/>
                      <w:szCs w:val="21"/>
                      <w:lang w:val="en-US" w:eastAsia="zh-CN"/>
                      <w14:textFill>
                        <w14:solidFill>
                          <w14:schemeClr w14:val="tx1"/>
                        </w14:solidFill>
                      </w14:textFill>
                    </w:rPr>
                  </w:pPr>
                  <w:r>
                    <w:rPr>
                      <w:rFonts w:hint="eastAsia" w:hAnsi="Times New Roman" w:cs="Times New Roman"/>
                      <w:b/>
                      <w:bCs/>
                      <w:color w:val="000000" w:themeColor="text1"/>
                      <w:kern w:val="0"/>
                      <w:szCs w:val="21"/>
                      <w:lang w:val="en-US" w:eastAsia="zh-CN"/>
                      <w14:textFill>
                        <w14:solidFill>
                          <w14:schemeClr w14:val="tx1"/>
                        </w14:solidFill>
                      </w14:textFill>
                    </w:rPr>
                    <w:t>叠加值</w:t>
                  </w:r>
                </w:p>
              </w:tc>
              <w:tc>
                <w:tcPr>
                  <w:tcW w:w="1006" w:type="pct"/>
                  <w:tcBorders>
                    <w:tl2br w:val="nil"/>
                    <w:tr2bl w:val="nil"/>
                  </w:tcBorders>
                  <w:noWrap w:val="0"/>
                  <w:vAlign w:val="center"/>
                </w:tcPr>
                <w:p w14:paraId="15021299">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达标情况</w:t>
                  </w:r>
                </w:p>
              </w:tc>
            </w:tr>
            <w:tr w14:paraId="64853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tcBorders>
                    <w:tl2br w:val="nil"/>
                    <w:tr2bl w:val="nil"/>
                  </w:tcBorders>
                  <w:noWrap w:val="0"/>
                  <w:vAlign w:val="center"/>
                </w:tcPr>
                <w:p w14:paraId="3BE14AF6">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cs="Times New Roman"/>
                      <w:color w:val="000000" w:themeColor="text1"/>
                      <w:kern w:val="0"/>
                      <w:szCs w:val="21"/>
                      <w:lang w:eastAsia="zh-CN"/>
                      <w14:textFill>
                        <w14:solidFill>
                          <w14:schemeClr w14:val="tx1"/>
                        </w14:solidFill>
                      </w14:textFill>
                    </w:rPr>
                    <w:t>敏感目标</w:t>
                  </w:r>
                </w:p>
              </w:tc>
              <w:tc>
                <w:tcPr>
                  <w:tcW w:w="1005" w:type="pct"/>
                  <w:tcBorders>
                    <w:tl2br w:val="nil"/>
                    <w:tr2bl w:val="nil"/>
                  </w:tcBorders>
                  <w:noWrap w:val="0"/>
                  <w:vAlign w:val="center"/>
                </w:tcPr>
                <w:p w14:paraId="4A12EF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28.18</w:t>
                  </w:r>
                </w:p>
              </w:tc>
              <w:tc>
                <w:tcPr>
                  <w:tcW w:w="1005" w:type="pct"/>
                  <w:tcBorders>
                    <w:tl2br w:val="nil"/>
                    <w:tr2bl w:val="nil"/>
                  </w:tcBorders>
                  <w:noWrap w:val="0"/>
                  <w:vAlign w:val="center"/>
                </w:tcPr>
                <w:p w14:paraId="51A031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52</w:t>
                  </w:r>
                </w:p>
              </w:tc>
              <w:tc>
                <w:tcPr>
                  <w:tcW w:w="1005" w:type="pct"/>
                  <w:tcBorders>
                    <w:tl2br w:val="nil"/>
                    <w:tr2bl w:val="nil"/>
                  </w:tcBorders>
                  <w:noWrap w:val="0"/>
                  <w:vAlign w:val="center"/>
                </w:tcPr>
                <w:p w14:paraId="4F349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eastAsia" w:cs="Times New Roman"/>
                      <w:bCs/>
                      <w:color w:val="000000" w:themeColor="text1"/>
                      <w:kern w:val="0"/>
                      <w:sz w:val="21"/>
                      <w:szCs w:val="21"/>
                      <w:lang w:val="en-US" w:eastAsia="zh-CN"/>
                      <w14:textFill>
                        <w14:solidFill>
                          <w14:schemeClr w14:val="tx1"/>
                        </w14:solidFill>
                      </w14:textFill>
                    </w:rPr>
                    <w:t>52.02</w:t>
                  </w:r>
                </w:p>
              </w:tc>
              <w:tc>
                <w:tcPr>
                  <w:tcW w:w="1006" w:type="pct"/>
                  <w:tcBorders>
                    <w:tl2br w:val="nil"/>
                    <w:tr2bl w:val="nil"/>
                  </w:tcBorders>
                  <w:noWrap w:val="0"/>
                  <w:vAlign w:val="center"/>
                </w:tcPr>
                <w:p w14:paraId="3C5F78D8">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cs="Times New Roman"/>
                      <w:color w:val="000000" w:themeColor="text1"/>
                      <w:kern w:val="0"/>
                      <w:szCs w:val="21"/>
                      <w:lang w:eastAsia="zh-CN"/>
                      <w14:textFill>
                        <w14:solidFill>
                          <w14:schemeClr w14:val="tx1"/>
                        </w14:solidFill>
                      </w14:textFill>
                    </w:rPr>
                    <w:t>达标</w:t>
                  </w:r>
                </w:p>
              </w:tc>
            </w:tr>
            <w:tr w14:paraId="397B1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tcBorders>
                    <w:tl2br w:val="nil"/>
                    <w:tr2bl w:val="nil"/>
                  </w:tcBorders>
                  <w:noWrap w:val="0"/>
                  <w:vAlign w:val="center"/>
                </w:tcPr>
                <w:p w14:paraId="37B49260">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标准限值</w:t>
                  </w:r>
                </w:p>
              </w:tc>
              <w:tc>
                <w:tcPr>
                  <w:tcW w:w="4023" w:type="pct"/>
                  <w:gridSpan w:val="4"/>
                  <w:tcBorders>
                    <w:tl2br w:val="nil"/>
                    <w:tr2bl w:val="nil"/>
                  </w:tcBorders>
                  <w:noWrap w:val="0"/>
                  <w:vAlign w:val="center"/>
                </w:tcPr>
                <w:p w14:paraId="5326BBD9">
                  <w:pPr>
                    <w:pStyle w:val="73"/>
                    <w:keepNext w:val="0"/>
                    <w:keepLines w:val="0"/>
                    <w:pageBreakBefore w:val="0"/>
                    <w:widowControl w:val="0"/>
                    <w:kinsoku/>
                    <w:wordWrap/>
                    <w:overflowPunct/>
                    <w:topLinePunct w:val="0"/>
                    <w:autoSpaceDE/>
                    <w:autoSpaceDN/>
                    <w:bidi w:val="0"/>
                    <w:adjustRightInd w:val="0"/>
                    <w:snapToGrid w:val="0"/>
                    <w:spacing w:beforeLines="0" w:line="240" w:lineRule="auto"/>
                    <w:jc w:val="center"/>
                    <w:textAlignment w:val="auto"/>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昼间：</w:t>
                  </w:r>
                  <w:r>
                    <w:rPr>
                      <w:rFonts w:hint="eastAsia" w:ascii="Times New Roman" w:hAnsi="Times New Roman" w:cs="Times New Roman"/>
                      <w:color w:val="000000" w:themeColor="text1"/>
                      <w:kern w:val="0"/>
                      <w:szCs w:val="21"/>
                      <w:lang w:val="en-US" w:eastAsia="zh-CN"/>
                      <w14:textFill>
                        <w14:solidFill>
                          <w14:schemeClr w14:val="tx1"/>
                        </w14:solidFill>
                      </w14:textFill>
                    </w:rPr>
                    <w:t>70</w:t>
                  </w:r>
                </w:p>
              </w:tc>
            </w:tr>
          </w:tbl>
          <w:p w14:paraId="6FC8EFF9">
            <w:pPr>
              <w:adjustRightInd w:val="0"/>
              <w:snapToGrid w:val="0"/>
              <w:spacing w:after="0"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由上表可知，项目</w:t>
            </w:r>
            <w:r>
              <w:rPr>
                <w:rFonts w:hint="eastAsia" w:ascii="Times New Roman" w:hAnsi="Times New Roman" w:cs="Times New Roman"/>
                <w:color w:val="000000" w:themeColor="text1"/>
                <w:sz w:val="24"/>
                <w:szCs w:val="24"/>
                <w:lang w:val="en-US" w:eastAsia="zh-CN"/>
                <w14:textFill>
                  <w14:solidFill>
                    <w14:schemeClr w14:val="tx1"/>
                  </w14:solidFill>
                </w14:textFill>
              </w:rPr>
              <w:t>施工期敏感点</w:t>
            </w:r>
            <w:r>
              <w:rPr>
                <w:rFonts w:hint="default" w:ascii="Times New Roman" w:hAnsi="Times New Roman" w:cs="Times New Roman"/>
                <w:color w:val="000000" w:themeColor="text1"/>
                <w:sz w:val="24"/>
                <w:szCs w:val="24"/>
                <w14:textFill>
                  <w14:solidFill>
                    <w14:schemeClr w14:val="tx1"/>
                  </w14:solidFill>
                </w14:textFill>
              </w:rPr>
              <w:t>昼间噪声</w:t>
            </w:r>
            <w:r>
              <w:rPr>
                <w:rFonts w:hint="eastAsia" w:cs="Times New Roman"/>
                <w:color w:val="000000" w:themeColor="text1"/>
                <w:sz w:val="24"/>
                <w:szCs w:val="24"/>
                <w:lang w:val="en-US" w:eastAsia="zh-CN"/>
                <w14:textFill>
                  <w14:solidFill>
                    <w14:schemeClr w14:val="tx1"/>
                  </w14:solidFill>
                </w14:textFill>
              </w:rPr>
              <w:t>预测叠加</w:t>
            </w:r>
            <w:r>
              <w:rPr>
                <w:rFonts w:hint="default" w:ascii="Times New Roman" w:hAnsi="Times New Roman" w:cs="Times New Roman"/>
                <w:color w:val="000000" w:themeColor="text1"/>
                <w:sz w:val="24"/>
                <w:szCs w:val="24"/>
                <w14:textFill>
                  <w14:solidFill>
                    <w14:schemeClr w14:val="tx1"/>
                  </w14:solidFill>
                </w14:textFill>
              </w:rPr>
              <w:t>值</w:t>
            </w:r>
            <w:r>
              <w:rPr>
                <w:rFonts w:hint="eastAsia" w:ascii="Times New Roman" w:hAnsi="Times New Roman" w:cs="Times New Roman"/>
                <w:color w:val="000000" w:themeColor="text1"/>
                <w:sz w:val="24"/>
                <w:szCs w:val="24"/>
                <w:lang w:val="en-US" w:eastAsia="zh-CN"/>
                <w14:textFill>
                  <w14:solidFill>
                    <w14:schemeClr w14:val="tx1"/>
                  </w14:solidFill>
                </w14:textFill>
              </w:rPr>
              <w:t>为</w:t>
            </w:r>
            <w:r>
              <w:rPr>
                <w:rFonts w:hint="eastAsia" w:cs="Times New Roman"/>
                <w:color w:val="000000" w:themeColor="text1"/>
                <w:sz w:val="24"/>
                <w:szCs w:val="24"/>
                <w:lang w:val="en-US" w:eastAsia="zh-CN"/>
                <w14:textFill>
                  <w14:solidFill>
                    <w14:schemeClr w14:val="tx1"/>
                  </w14:solidFill>
                </w14:textFill>
              </w:rPr>
              <w:t>52.02</w:t>
            </w:r>
            <w:r>
              <w:rPr>
                <w:rFonts w:hint="eastAsia" w:ascii="Times New Roman" w:hAnsi="Times New Roman" w:cs="Times New Roman"/>
                <w:color w:val="000000" w:themeColor="text1"/>
                <w:sz w:val="24"/>
                <w:szCs w:val="24"/>
                <w:lang w:val="en-US" w:eastAsia="zh-CN"/>
                <w14:textFill>
                  <w14:solidFill>
                    <w14:schemeClr w14:val="tx1"/>
                  </w14:solidFill>
                </w14:textFill>
              </w:rPr>
              <w:t>dB(A)</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满足</w:t>
            </w:r>
            <w:r>
              <w:rPr>
                <w:rFonts w:hint="default" w:ascii="Times New Roman" w:hAnsi="Times New Roman" w:cs="Times New Roman"/>
                <w:color w:val="000000" w:themeColor="text1"/>
                <w:kern w:val="0"/>
                <w:sz w:val="24"/>
                <w:szCs w:val="24"/>
                <w14:textFill>
                  <w14:solidFill>
                    <w14:schemeClr w14:val="tx1"/>
                  </w14:solidFill>
                </w14:textFill>
              </w:rPr>
              <w:t>《建筑施工噪声排放标准》(GB12523-20</w:t>
            </w:r>
            <w:r>
              <w:rPr>
                <w:rFonts w:hint="default" w:ascii="Times New Roman" w:hAnsi="Times New Roman" w:cs="Times New Roman"/>
                <w:color w:val="000000" w:themeColor="text1"/>
                <w:kern w:val="0"/>
                <w:sz w:val="24"/>
                <w:szCs w:val="24"/>
                <w:lang w:val="en-US" w:eastAsia="zh-CN"/>
                <w14:textFill>
                  <w14:solidFill>
                    <w14:schemeClr w14:val="tx1"/>
                  </w14:solidFill>
                </w14:textFill>
              </w:rPr>
              <w:t>25</w:t>
            </w:r>
            <w:r>
              <w:rPr>
                <w:rFonts w:hint="default" w:ascii="Times New Roman" w:hAnsi="Times New Roman" w:cs="Times New Roman"/>
                <w:color w:val="000000" w:themeColor="text1"/>
                <w:kern w:val="0"/>
                <w:sz w:val="24"/>
                <w:szCs w:val="24"/>
                <w14:textFill>
                  <w14:solidFill>
                    <w14:schemeClr w14:val="tx1"/>
                  </w14:solidFill>
                </w14:textFill>
              </w:rPr>
              <w:t>)标准限值要求</w:t>
            </w:r>
            <w:r>
              <w:rPr>
                <w:rFonts w:hint="default" w:ascii="Times New Roman" w:hAnsi="Times New Roman" w:cs="Times New Roman"/>
                <w:color w:val="000000" w:themeColor="text1"/>
                <w:sz w:val="24"/>
                <w:szCs w:val="24"/>
                <w14:textFill>
                  <w14:solidFill>
                    <w14:schemeClr w14:val="tx1"/>
                  </w14:solidFill>
                </w14:textFill>
              </w:rPr>
              <w:t>。</w:t>
            </w:r>
          </w:p>
          <w:p w14:paraId="32E28A29">
            <w:pPr>
              <w:adjustRightInd w:val="0"/>
              <w:spacing w:line="360" w:lineRule="auto"/>
              <w:ind w:firstLine="480" w:firstLineChars="200"/>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5、固体废物污染防治措施</w:t>
            </w:r>
          </w:p>
          <w:p w14:paraId="245510E0">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施工期的固体废物主要为</w:t>
            </w:r>
            <w:r>
              <w:rPr>
                <w:rFonts w:hint="eastAsia" w:cs="Times New Roman"/>
                <w:color w:val="000000" w:themeColor="text1"/>
                <w:kern w:val="0"/>
                <w:sz w:val="24"/>
                <w:lang w:val="en-US" w:eastAsia="zh-CN"/>
                <w14:textFill>
                  <w14:solidFill>
                    <w14:schemeClr w14:val="tx1"/>
                  </w14:solidFill>
                </w14:textFill>
              </w:rPr>
              <w:t>淤泥、</w:t>
            </w:r>
            <w:r>
              <w:rPr>
                <w:rFonts w:hint="default" w:ascii="Times New Roman" w:hAnsi="Times New Roman" w:cs="Times New Roman"/>
                <w:color w:val="000000" w:themeColor="text1"/>
                <w:kern w:val="0"/>
                <w:sz w:val="24"/>
                <w14:textFill>
                  <w14:solidFill>
                    <w14:schemeClr w14:val="tx1"/>
                  </w14:solidFill>
                </w14:textFill>
              </w:rPr>
              <w:t>建筑垃圾和生活垃</w:t>
            </w:r>
            <w:r>
              <w:rPr>
                <w:color w:val="000000" w:themeColor="text1"/>
                <w:kern w:val="0"/>
                <w:sz w:val="24"/>
                <w14:textFill>
                  <w14:solidFill>
                    <w14:schemeClr w14:val="tx1"/>
                  </w14:solidFill>
                </w14:textFill>
              </w:rPr>
              <w:t>圾。</w:t>
            </w:r>
          </w:p>
          <w:p w14:paraId="79E6CB96">
            <w:pPr>
              <w:adjustRightInd w:val="0"/>
              <w:snapToGrid w:val="0"/>
              <w:spacing w:after="0" w:line="360" w:lineRule="auto"/>
              <w:ind w:firstLine="480" w:firstLineChars="200"/>
              <w:rPr>
                <w:rFonts w:hint="default"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①淤泥</w:t>
            </w:r>
          </w:p>
          <w:p w14:paraId="434B06C9">
            <w:pPr>
              <w:adjustRightInd w:val="0"/>
              <w:snapToGrid w:val="0"/>
              <w:spacing w:after="0" w:line="360" w:lineRule="auto"/>
              <w:ind w:firstLine="480" w:firstLineChars="200"/>
              <w:rPr>
                <w:rFonts w:hint="default"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本项目淤泥晾干后集中收集，拉运至其他生态修复治理项目，作为回填材料综合利用。</w:t>
            </w:r>
          </w:p>
          <w:p w14:paraId="63C75F18">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②</w:t>
            </w:r>
            <w:r>
              <w:rPr>
                <w:rFonts w:hint="default" w:ascii="Times New Roman" w:hAnsi="Times New Roman" w:cs="Times New Roman"/>
                <w:color w:val="000000" w:themeColor="text1"/>
                <w:kern w:val="0"/>
                <w:sz w:val="24"/>
                <w14:textFill>
                  <w14:solidFill>
                    <w14:schemeClr w14:val="tx1"/>
                  </w14:solidFill>
                </w14:textFill>
              </w:rPr>
              <w:t>建筑垃圾</w:t>
            </w:r>
          </w:p>
          <w:p w14:paraId="185C54A9">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项目施工期产生的建筑垃圾</w:t>
            </w:r>
            <w:r>
              <w:rPr>
                <w:rFonts w:hint="default" w:ascii="Times New Roman" w:hAnsi="Times New Roman" w:cs="Times New Roman"/>
                <w:color w:val="000000" w:themeColor="text1"/>
                <w:kern w:val="0"/>
                <w:sz w:val="24"/>
                <w:lang w:val="en-US" w:eastAsia="zh-CN"/>
                <w14:textFill>
                  <w14:solidFill>
                    <w14:schemeClr w14:val="tx1"/>
                  </w14:solidFill>
                </w14:textFill>
              </w:rPr>
              <w:t>运至当地政府指定地点堆放，</w:t>
            </w:r>
            <w:r>
              <w:rPr>
                <w:rFonts w:hint="default" w:ascii="Times New Roman" w:hAnsi="Times New Roman" w:cs="Times New Roman"/>
                <w:color w:val="000000" w:themeColor="text1"/>
                <w:kern w:val="0"/>
                <w:sz w:val="24"/>
                <w14:textFill>
                  <w14:solidFill>
                    <w14:schemeClr w14:val="tx1"/>
                  </w14:solidFill>
                </w14:textFill>
              </w:rPr>
              <w:t>贮存及处置参照《中华人民共和国固体废物污染环境防治法》（2020年9月1日），临时贮存严格按照“防风、防雨、防漏、防渗”等相关要求执行，编制处置方案，并报县级以上主管部门备案。</w:t>
            </w:r>
          </w:p>
          <w:p w14:paraId="2FA932D0">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④人员生活垃圾</w:t>
            </w:r>
          </w:p>
          <w:p w14:paraId="105A1365">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施工期间施工人员还将产生一定量的生活垃圾。施工人员按</w:t>
            </w:r>
            <w:r>
              <w:rPr>
                <w:rFonts w:hint="default" w:ascii="Times New Roman" w:hAnsi="Times New Roman" w:cs="Times New Roman"/>
                <w:color w:val="000000" w:themeColor="text1"/>
                <w:kern w:val="0"/>
                <w:sz w:val="24"/>
                <w:lang w:val="en-US" w:eastAsia="zh-CN"/>
                <w14:textFill>
                  <w14:solidFill>
                    <w14:schemeClr w14:val="tx1"/>
                  </w14:solidFill>
                </w14:textFill>
              </w:rPr>
              <w:t>6</w:t>
            </w:r>
            <w:r>
              <w:rPr>
                <w:rFonts w:hint="default" w:ascii="Times New Roman" w:hAnsi="Times New Roman" w:cs="Times New Roman"/>
                <w:color w:val="000000" w:themeColor="text1"/>
                <w:kern w:val="0"/>
                <w:sz w:val="24"/>
                <w14:textFill>
                  <w14:solidFill>
                    <w14:schemeClr w14:val="tx1"/>
                  </w14:solidFill>
                </w14:textFill>
              </w:rPr>
              <w:t>0人计，施工人员垃圾产生量按0.5kg/人•d计算，则生活垃圾产生量约为</w:t>
            </w:r>
            <w:r>
              <w:rPr>
                <w:rFonts w:hint="default" w:ascii="Times New Roman" w:hAnsi="Times New Roman" w:cs="Times New Roman"/>
                <w:color w:val="000000" w:themeColor="text1"/>
                <w:kern w:val="0"/>
                <w:sz w:val="24"/>
                <w:lang w:val="en-US" w:eastAsia="zh-CN"/>
                <w14:textFill>
                  <w14:solidFill>
                    <w14:schemeClr w14:val="tx1"/>
                  </w14:solidFill>
                </w14:textFill>
              </w:rPr>
              <w:t>0.03t</w:t>
            </w:r>
            <w:r>
              <w:rPr>
                <w:rFonts w:hint="default" w:ascii="Times New Roman" w:hAnsi="Times New Roman" w:cs="Times New Roman"/>
                <w:color w:val="000000" w:themeColor="text1"/>
                <w:kern w:val="0"/>
                <w:sz w:val="24"/>
                <w14:textFill>
                  <w14:solidFill>
                    <w14:schemeClr w14:val="tx1"/>
                  </w14:solidFill>
                </w14:textFill>
              </w:rPr>
              <w:t>/d，经收集后定期送环卫部门统一处置。</w:t>
            </w:r>
          </w:p>
          <w:p w14:paraId="06553F47">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综上可知，项目施工期产生的固体废物均得到合理处理，对周围环境影响较小。</w:t>
            </w:r>
          </w:p>
          <w:p w14:paraId="1D2AE25E">
            <w:pPr>
              <w:numPr>
                <w:ilvl w:val="0"/>
                <w:numId w:val="0"/>
              </w:numPr>
              <w:adjustRightInd w:val="0"/>
              <w:snapToGrid w:val="0"/>
              <w:spacing w:after="0" w:line="360" w:lineRule="auto"/>
              <w:ind w:firstLine="480" w:firstLineChars="200"/>
              <w:rPr>
                <w:rFonts w:hint="default" w:ascii="Times New Roman" w:hAnsi="Times New Roman" w:eastAsia="黑体" w:cs="Times New Roman"/>
                <w:b w:val="0"/>
                <w:bCs w:val="0"/>
                <w:color w:val="000000" w:themeColor="text1"/>
                <w:kern w:val="0"/>
                <w:sz w:val="24"/>
                <w:lang w:val="zh-CN"/>
                <w14:textFill>
                  <w14:solidFill>
                    <w14:schemeClr w14:val="tx1"/>
                  </w14:solidFill>
                </w14:textFill>
              </w:rPr>
            </w:pPr>
            <w:r>
              <w:rPr>
                <w:rFonts w:hint="default" w:ascii="Times New Roman" w:hAnsi="Times New Roman" w:eastAsia="黑体" w:cs="Times New Roman"/>
                <w:b w:val="0"/>
                <w:bCs w:val="0"/>
                <w:color w:val="000000" w:themeColor="text1"/>
                <w:kern w:val="0"/>
                <w:sz w:val="24"/>
                <w:lang w:val="en-US" w:eastAsia="zh-CN"/>
                <w14:textFill>
                  <w14:solidFill>
                    <w14:schemeClr w14:val="tx1"/>
                  </w14:solidFill>
                </w14:textFill>
              </w:rPr>
              <w:t>6、</w:t>
            </w:r>
            <w:r>
              <w:rPr>
                <w:rFonts w:hint="default" w:ascii="Times New Roman" w:hAnsi="Times New Roman" w:eastAsia="黑体" w:cs="Times New Roman"/>
                <w:b w:val="0"/>
                <w:bCs w:val="0"/>
                <w:color w:val="000000" w:themeColor="text1"/>
                <w:kern w:val="0"/>
                <w:sz w:val="24"/>
                <w:lang w:val="zh-CN"/>
                <w14:textFill>
                  <w14:solidFill>
                    <w14:schemeClr w14:val="tx1"/>
                  </w14:solidFill>
                </w14:textFill>
              </w:rPr>
              <w:t>小结</w:t>
            </w:r>
          </w:p>
          <w:p w14:paraId="023649B5">
            <w:pPr>
              <w:adjustRightIn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本项目施工期对该区域的大气环境、声环境及生态环境都将产生一定的影响，但这些影响是暂时性的，随着施工期的结束影响将逐渐消失，不会对项目所在区域生态功能造成不良影响。</w:t>
            </w:r>
          </w:p>
          <w:p w14:paraId="23509EB7">
            <w:pPr>
              <w:adjustRightIn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p>
          <w:p w14:paraId="1A5E26F8">
            <w:pPr>
              <w:adjustRightIn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p>
        </w:tc>
      </w:tr>
      <w:tr w14:paraId="7F7C43D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91" w:hRule="atLeast"/>
          <w:jc w:val="center"/>
        </w:trPr>
        <w:tc>
          <w:tcPr>
            <w:tcW w:w="344" w:type="dxa"/>
            <w:tcBorders>
              <w:tl2br w:val="nil"/>
              <w:tr2bl w:val="nil"/>
            </w:tcBorders>
            <w:tcMar>
              <w:left w:w="28" w:type="dxa"/>
              <w:right w:w="28" w:type="dxa"/>
            </w:tcMar>
            <w:vAlign w:val="center"/>
          </w:tcPr>
          <w:p w14:paraId="217F8D93">
            <w:pPr>
              <w:adjustRightInd w:val="0"/>
              <w:spacing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w:t>
            </w:r>
          </w:p>
          <w:p w14:paraId="52D6CD5A">
            <w:pPr>
              <w:adjustRightInd w:val="0"/>
              <w:spacing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期生</w:t>
            </w:r>
          </w:p>
          <w:p w14:paraId="6AD7B731">
            <w:pPr>
              <w:adjustRightInd w:val="0"/>
              <w:spacing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态环</w:t>
            </w:r>
          </w:p>
          <w:p w14:paraId="45F8EDD8">
            <w:pPr>
              <w:adjustRightInd w:val="0"/>
              <w:spacing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境影</w:t>
            </w:r>
          </w:p>
          <w:p w14:paraId="03158DE5">
            <w:pPr>
              <w:adjustRightInd w:val="0"/>
              <w:spacing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响分</w:t>
            </w:r>
          </w:p>
          <w:p w14:paraId="5AAB660D">
            <w:pPr>
              <w:adjustRightInd w:val="0"/>
              <w:spacing w:line="240"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析</w:t>
            </w:r>
          </w:p>
        </w:tc>
        <w:tc>
          <w:tcPr>
            <w:tcW w:w="8564" w:type="dxa"/>
            <w:tcBorders>
              <w:tl2br w:val="nil"/>
              <w:tr2bl w:val="nil"/>
            </w:tcBorders>
            <w:vAlign w:val="center"/>
          </w:tcPr>
          <w:p w14:paraId="50BC60B8">
            <w:pPr>
              <w:adjustRightInd w:val="0"/>
              <w:spacing w:line="360" w:lineRule="auto"/>
              <w:ind w:firstLine="480" w:firstLineChars="200"/>
              <w:rPr>
                <w:rFonts w:hint="default" w:ascii="Times New Roman" w:hAnsi="Times New Roman" w:eastAsia="仿宋_GB2312" w:cs="Times New Roman"/>
                <w:bCs/>
                <w:color w:val="000000" w:themeColor="text1"/>
                <w:spacing w:val="-10"/>
                <w:sz w:val="24"/>
                <w:highlight w:val="none"/>
                <w:lang w:eastAsia="zh-CN"/>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本项目运营期不产生废气、废水、噪声以及固体废物，且不存在土壤及地下水污染因子及污染途径。因此，本项目不对运营期大气环境、地下水环境、声环境、土壤环境、固体废物进行环境影响分析。</w:t>
            </w:r>
          </w:p>
        </w:tc>
      </w:tr>
      <w:tr w14:paraId="575C8BE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633" w:hRule="atLeast"/>
          <w:jc w:val="center"/>
        </w:trPr>
        <w:tc>
          <w:tcPr>
            <w:tcW w:w="344" w:type="dxa"/>
            <w:tcBorders>
              <w:tl2br w:val="nil"/>
              <w:tr2bl w:val="nil"/>
            </w:tcBorders>
            <w:tcMar>
              <w:left w:w="28" w:type="dxa"/>
              <w:right w:w="28" w:type="dxa"/>
            </w:tcMar>
            <w:vAlign w:val="center"/>
          </w:tcPr>
          <w:p w14:paraId="617E1C55">
            <w:pPr>
              <w:adjustRightInd w:val="0"/>
              <w:snapToGrid w:val="0"/>
              <w:jc w:val="center"/>
              <w:rPr>
                <w:rFonts w:hint="default" w:ascii="Times New Roman" w:hAnsi="Times New Roman" w:eastAsia="仿宋_GB2312"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选址选线环境</w:t>
            </w:r>
            <w:r>
              <w:rPr>
                <w:rFonts w:hint="default" w:ascii="Times New Roman" w:hAnsi="Times New Roman" w:cs="Times New Roman"/>
                <w:b/>
                <w:bCs/>
                <w:color w:val="000000" w:themeColor="text1"/>
                <w:sz w:val="24"/>
                <w:highlight w:val="none"/>
                <w:lang w:eastAsia="zh-CN"/>
                <w14:textFill>
                  <w14:solidFill>
                    <w14:schemeClr w14:val="tx1"/>
                  </w14:solidFill>
                </w14:textFill>
              </w:rPr>
              <w:t>合理性</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分析</w:t>
            </w:r>
          </w:p>
        </w:tc>
        <w:tc>
          <w:tcPr>
            <w:tcW w:w="8564" w:type="dxa"/>
            <w:tcBorders>
              <w:tl2br w:val="nil"/>
              <w:tr2bl w:val="nil"/>
            </w:tcBorders>
            <w:vAlign w:val="center"/>
          </w:tcPr>
          <w:p w14:paraId="35035DFE">
            <w:pPr>
              <w:pStyle w:val="9"/>
              <w:numPr>
                <w:ilvl w:val="0"/>
                <w:numId w:val="0"/>
              </w:numPr>
              <w:adjustRightInd w:val="0"/>
              <w:spacing w:before="0" w:after="0" w:line="360" w:lineRule="auto"/>
              <w:ind w:right="0" w:rightChars="0"/>
              <w:jc w:val="center"/>
              <w:rPr>
                <w:rFonts w:hint="default" w:ascii="Times New Roman" w:hAnsi="Times New Roman" w:eastAsia="仿宋_GB2312" w:cs="Times New Roman"/>
                <w:bCs/>
                <w:color w:val="000000" w:themeColor="text1"/>
                <w:spacing w:val="-10"/>
                <w:sz w:val="24"/>
                <w:highlight w:val="none"/>
                <w:lang w:eastAsia="zh-CN"/>
                <w14:textFill>
                  <w14:solidFill>
                    <w14:schemeClr w14:val="tx1"/>
                  </w14:solidFill>
                </w14:textFill>
              </w:rPr>
            </w:pPr>
            <w:r>
              <w:rPr>
                <w:rFonts w:hint="default" w:ascii="Times New Roman" w:hAnsi="Times New Roman" w:cs="Times New Roman"/>
                <w:bCs/>
                <w:color w:val="000000" w:themeColor="text1"/>
                <w:kern w:val="0"/>
                <w:sz w:val="24"/>
                <w:szCs w:val="20"/>
                <w:highlight w:val="none"/>
                <w:lang w:val="en-US" w:eastAsia="zh-CN" w:bidi="ar-SA"/>
                <w14:textFill>
                  <w14:solidFill>
                    <w14:schemeClr w14:val="tx1"/>
                  </w14:solidFill>
                </w14:textFill>
              </w:rPr>
              <w:t>无</w:t>
            </w:r>
          </w:p>
        </w:tc>
      </w:tr>
    </w:tbl>
    <w:p w14:paraId="55806A76">
      <w:pPr>
        <w:adjustRightInd w:val="0"/>
        <w:snapToGrid w:val="0"/>
        <w:spacing w:line="360" w:lineRule="auto"/>
        <w:rPr>
          <w:rFonts w:hint="default" w:ascii="Times New Roman" w:hAnsi="Times New Roman" w:cs="Times New Roman"/>
          <w:b/>
          <w:color w:val="000000" w:themeColor="text1"/>
          <w:kern w:val="0"/>
          <w:sz w:val="28"/>
          <w:szCs w:val="28"/>
          <w:highlight w:val="none"/>
          <w14:textFill>
            <w14:solidFill>
              <w14:schemeClr w14:val="tx1"/>
            </w14:solidFill>
          </w14:textFill>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676490F3">
      <w:pPr>
        <w:pStyle w:val="21"/>
        <w:jc w:val="center"/>
        <w:outlineLvl w:val="0"/>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t>五</w:t>
      </w: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w:t>
      </w:r>
      <w:r>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t>主要生态环境保护措施</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397"/>
        <w:gridCol w:w="8511"/>
      </w:tblGrid>
      <w:tr w14:paraId="0B15F68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61" w:hRule="atLeast"/>
          <w:jc w:val="center"/>
        </w:trPr>
        <w:tc>
          <w:tcPr>
            <w:tcW w:w="397" w:type="dxa"/>
            <w:tcBorders>
              <w:tl2br w:val="nil"/>
              <w:tr2bl w:val="nil"/>
            </w:tcBorders>
            <w:tcMar>
              <w:left w:w="28" w:type="dxa"/>
              <w:right w:w="28" w:type="dxa"/>
            </w:tcMar>
            <w:vAlign w:val="center"/>
          </w:tcPr>
          <w:p w14:paraId="36E4F49F">
            <w:pPr>
              <w:pStyle w:val="21"/>
              <w:adjustRightInd w:val="0"/>
              <w:snapToGrid w:val="0"/>
              <w:spacing w:before="0" w:beforeAutospacing="0" w:after="0" w:afterAutospacing="0"/>
              <w:jc w:val="center"/>
              <w:rPr>
                <w:rFonts w:hint="default" w:ascii="Times New Roman" w:hAnsi="Times New Roman" w:eastAsia="仿宋_GB2312" w:cs="Times New Roman"/>
                <w:b/>
                <w:bCs/>
                <w:color w:val="000000" w:themeColor="text1"/>
                <w:kern w:val="2"/>
                <w:szCs w:val="24"/>
                <w:highlight w:val="none"/>
                <w:lang w:eastAsia="zh-CN"/>
                <w14:textFill>
                  <w14:solidFill>
                    <w14:schemeClr w14:val="tx1"/>
                  </w14:solidFill>
                </w14:textFill>
              </w:rPr>
            </w:pPr>
            <w:r>
              <w:rPr>
                <w:rFonts w:hint="default" w:ascii="Times New Roman" w:hAnsi="Times New Roman" w:cs="Times New Roman"/>
                <w:b/>
                <w:bCs/>
                <w:color w:val="000000" w:themeColor="text1"/>
                <w:kern w:val="2"/>
                <w:szCs w:val="24"/>
                <w:highlight w:val="none"/>
                <w:lang w:eastAsia="zh-CN"/>
                <w14:textFill>
                  <w14:solidFill>
                    <w14:schemeClr w14:val="tx1"/>
                  </w14:solidFill>
                </w14:textFill>
              </w:rPr>
              <w:t>施工期</w:t>
            </w:r>
            <w:r>
              <w:rPr>
                <w:rFonts w:hint="default" w:ascii="Times New Roman" w:hAnsi="Times New Roman" w:eastAsia="宋体" w:cs="Times New Roman"/>
                <w:b/>
                <w:bCs/>
                <w:color w:val="000000" w:themeColor="text1"/>
                <w:kern w:val="2"/>
                <w:szCs w:val="24"/>
                <w:highlight w:val="none"/>
                <w:lang w:eastAsia="zh-CN"/>
                <w14:textFill>
                  <w14:solidFill>
                    <w14:schemeClr w14:val="tx1"/>
                  </w14:solidFill>
                </w14:textFill>
              </w:rPr>
              <w:t>生态环境</w:t>
            </w:r>
            <w:r>
              <w:rPr>
                <w:rFonts w:hint="default" w:ascii="Times New Roman" w:hAnsi="Times New Roman" w:cs="Times New Roman"/>
                <w:b/>
                <w:bCs/>
                <w:color w:val="000000" w:themeColor="text1"/>
                <w:kern w:val="2"/>
                <w:szCs w:val="24"/>
                <w:highlight w:val="none"/>
                <w:lang w:eastAsia="zh-CN"/>
                <w14:textFill>
                  <w14:solidFill>
                    <w14:schemeClr w14:val="tx1"/>
                  </w14:solidFill>
                </w14:textFill>
              </w:rPr>
              <w:t>保护措施</w:t>
            </w:r>
          </w:p>
        </w:tc>
        <w:tc>
          <w:tcPr>
            <w:tcW w:w="8511" w:type="dxa"/>
            <w:tcBorders>
              <w:tl2br w:val="nil"/>
              <w:tr2bl w:val="nil"/>
            </w:tcBorders>
            <w:vAlign w:val="center"/>
          </w:tcPr>
          <w:p w14:paraId="756AE90A">
            <w:pPr>
              <w:adjustRightInd w:val="0"/>
              <w:snapToGrid w:val="0"/>
              <w:spacing w:line="360" w:lineRule="auto"/>
              <w:ind w:firstLine="480" w:firstLineChars="200"/>
              <w:rPr>
                <w:rFonts w:eastAsia="黑体"/>
                <w:color w:val="000000" w:themeColor="text1"/>
                <w:kern w:val="0"/>
                <w:sz w:val="24"/>
                <w14:textFill>
                  <w14:solidFill>
                    <w14:schemeClr w14:val="tx1"/>
                  </w14:solidFill>
                </w14:textFill>
              </w:rPr>
            </w:pPr>
            <w:r>
              <w:rPr>
                <w:rFonts w:hint="default" w:ascii="Times New Roman" w:hAnsi="Times New Roman" w:eastAsia="黑体" w:cs="Times New Roman"/>
                <w:color w:val="000000" w:themeColor="text1"/>
                <w:kern w:val="0"/>
                <w:sz w:val="24"/>
                <w:szCs w:val="24"/>
                <w:highlight w:val="none"/>
                <w:lang w:val="en-US" w:eastAsia="zh-CN" w:bidi="ar-SA"/>
                <w14:textFill>
                  <w14:solidFill>
                    <w14:schemeClr w14:val="tx1"/>
                  </w14:solidFill>
                </w14:textFill>
              </w:rPr>
              <w:t>1、施工期生态减缓</w:t>
            </w:r>
            <w:r>
              <w:rPr>
                <w:rFonts w:eastAsia="黑体"/>
                <w:color w:val="000000" w:themeColor="text1"/>
                <w:kern w:val="0"/>
                <w:sz w:val="24"/>
                <w14:textFill>
                  <w14:solidFill>
                    <w14:schemeClr w14:val="tx1"/>
                  </w14:solidFill>
                </w14:textFill>
              </w:rPr>
              <w:t>措施</w:t>
            </w:r>
          </w:p>
          <w:p w14:paraId="671D60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本项目的实施必将对项目建设区域的生态环境产生一定的影响，按照《环境影响评价技术导则 生态影响》中生态恢复的原则，对于可能出现的生态问题，其优先次序应遵循“避让→减缓→修复和补偿”的顺序，能避让的尽量避让，对不能避让的情况则采取措施减缓，减缓不能生效的，就应有必要的补偿和重建方案。尽可能在最大程度上避让潜在的不利生态影响。本项目充分考虑了周边环境敏感区的分布，避让了自然保护区、风景名胜区、生态保护红线等环境敏感区；在保护减缓方面，施工过程中采取了限定施工范围、铺设下垫等措施，尽量减轻对</w:t>
            </w:r>
            <w:r>
              <w:rPr>
                <w:rFonts w:hint="eastAsia" w:cs="Times New Roman"/>
                <w:color w:val="000000" w:themeColor="text1"/>
                <w:sz w:val="24"/>
                <w:szCs w:val="24"/>
                <w:highlight w:val="none"/>
                <w:lang w:val="en-US" w:eastAsia="zh-CN"/>
                <w14:textFill>
                  <w14:solidFill>
                    <w14:schemeClr w14:val="tx1"/>
                  </w14:solidFill>
                </w14:textFill>
              </w:rPr>
              <w:t>周边耕地的影响</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9096A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（1）总体措施</w:t>
            </w:r>
          </w:p>
          <w:p w14:paraId="4BFAF9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①生态保护意识教育</w:t>
            </w:r>
          </w:p>
          <w:p w14:paraId="5552F4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中华人民共和国野生动物保护法》、《中华人民共和国野生植物保护条例》等法律法规，加强对施工人员的环境保护意识教育，要求文明施工，不得滥采滥挖滥伐，不得捡拾鸟卵、捕捉野生动物及其幼体等。</w:t>
            </w:r>
          </w:p>
          <w:p w14:paraId="1A2B3A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②划定施工范围</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防尘删改</w:t>
            </w:r>
          </w:p>
          <w:p w14:paraId="65D82F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根据项目施工点位，划定施工范围，禁止随意扩展施工范围</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对边坡砌护开挖土方进行苫盖，减少水土流失，本项目防尘网苫盖典型设计图见图4-1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57084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③施工组织方式优化</w:t>
            </w:r>
          </w:p>
          <w:p w14:paraId="364FC6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合理安排工期，避免大风及暴雨天气施工，提高施工效率，缩短施工时间，减少生态影响；可根据天气情况及时调整施工工序，工序布设紧凑合理，避免因工序安排不当而造成大面积地表裸露，将水土流失控制在最小程度。</w:t>
            </w:r>
          </w:p>
          <w:p w14:paraId="693E77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④加强施工人员管理</w:t>
            </w:r>
          </w:p>
          <w:p w14:paraId="4E71D9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加强施工人员管理，禁止施工人员打猎、捡拾鸟卵。</w:t>
            </w:r>
          </w:p>
          <w:p w14:paraId="7F3B3B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⑤定期清理污染物</w:t>
            </w:r>
          </w:p>
          <w:p w14:paraId="15DF3F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时，污染物排放不得超过国家和地方规定的污染物排放标准，定期安排人员收集垃圾和废污水，禁止向水域排放废污水、扔垃圾等。施工现场使用带油料的机械器具，应采取措施防止油料跑、冒、滴、漏，防止对土壤和水体造成污染。</w:t>
            </w:r>
          </w:p>
          <w:p w14:paraId="2A93F6C1">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（2）植被保护措施</w:t>
            </w:r>
          </w:p>
          <w:p w14:paraId="53690007">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①避让措施</w:t>
            </w:r>
          </w:p>
          <w:p w14:paraId="02DDC552">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1）合理选线和选择建设地点</w:t>
            </w:r>
          </w:p>
          <w:p w14:paraId="72BB045D">
            <w:pPr>
              <w:pStyle w:val="56"/>
              <w:spacing w:before="0" w:line="360" w:lineRule="auto"/>
              <w:ind w:firstLine="480" w:firstLineChars="200"/>
              <w:jc w:val="both"/>
              <w:rPr>
                <w:rFonts w:hint="default" w:ascii="Times New Roman" w:hAnsi="Times New Roman" w:eastAsia="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a </w:t>
            </w:r>
            <w:r>
              <w:rPr>
                <w:rFonts w:hint="default" w:ascii="Times New Roman" w:hAnsi="Times New Roman" w:eastAsia="Times New Roman" w:cs="Times New Roman"/>
                <w:color w:val="000000" w:themeColor="text1"/>
                <w:sz w:val="24"/>
                <w:lang w:val="en-US" w:eastAsia="zh-CN"/>
                <w14:textFill>
                  <w14:solidFill>
                    <w14:schemeClr w14:val="tx1"/>
                  </w14:solidFill>
                </w14:textFill>
              </w:rPr>
              <w:t>本项目施工期施工人员生活污水依托租住民房的污水处理措施进行处理；</w:t>
            </w:r>
            <w:r>
              <w:rPr>
                <w:rFonts w:hint="eastAsia" w:ascii="Times New Roman" w:hAnsi="Times New Roman" w:eastAsia="Times New Roman" w:cs="Times New Roman"/>
                <w:color w:val="000000" w:themeColor="text1"/>
                <w:sz w:val="24"/>
                <w:lang w:val="en-US" w:eastAsia="zh-CN"/>
                <w14:textFill>
                  <w14:solidFill>
                    <w14:schemeClr w14:val="tx1"/>
                  </w14:solidFill>
                </w14:textFill>
              </w:rPr>
              <w:t>车辆冲洗废水经沉淀池处理后用于洒水抑尘，材料堆存区选在远离黄河的位置，施工期严禁将废水排入黄河。</w:t>
            </w:r>
          </w:p>
          <w:p w14:paraId="0574C859">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b 临时占地的选址尽量选择裸地和植被覆盖度低的区域，采取“永临结合”的方式，尽量减小对植被占用的影响。</w:t>
            </w:r>
          </w:p>
          <w:p w14:paraId="3D043B0B">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 为方便运输，施工道路应尽量利用原有道路，施工运输车辆按照指定运输道路路线行驶；注意做好路面洒水等防尘工作，减少扬尘影响。临时用地应尽量缩短使用时间，施工结束后及时恢复土地原有功能。</w:t>
            </w:r>
          </w:p>
          <w:p w14:paraId="1F6348A8">
            <w:pPr>
              <w:pStyle w:val="56"/>
              <w:spacing w:before="0"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d 减少对水生植物及陆生植物影响</w:t>
            </w:r>
          </w:p>
          <w:p w14:paraId="793A3FE2">
            <w:pPr>
              <w:pStyle w:val="56"/>
              <w:spacing w:before="0"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本项目施工时间为2026年8月初至11月初，在植物休眠期开展清淤作业，此时水生植物生长停滞、根系活性低，损伤后自愈压力小；本项目选择植被覆盖率低的地方作为材料堆存点，施工过程尽量在施工范围内活动，不得对施工范围外的植被造成影响。</w:t>
            </w:r>
          </w:p>
          <w:p w14:paraId="41CBFCB2">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2）临时用地恢复措施</w:t>
            </w:r>
          </w:p>
          <w:p w14:paraId="3708B3E9">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a 临时用地应尽量在工程征租地范围内使用。合理划定施工范围和人员、车辆的行走路线，禁止施工人员越线施工，避免对施工范围之外的区域的植被造成碾压和破坏。</w:t>
            </w:r>
          </w:p>
          <w:p w14:paraId="32DED3C8">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b 应严格控制各类临时工程用地的数量，其面积不应大于设计给定的面积，禁止随意的超标占地。</w:t>
            </w:r>
          </w:p>
          <w:p w14:paraId="74E8469E">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c 施工进度安排应紧凑合理，尽量缩短施工工期和地表的裸露时间；</w:t>
            </w:r>
            <w:r>
              <w:rPr>
                <w:rFonts w:hint="default" w:ascii="Times New Roman" w:hAnsi="Times New Roman" w:eastAsia="宋体" w:cs="Times New Roman"/>
                <w:color w:val="000000" w:themeColor="text1"/>
                <w:sz w:val="24"/>
                <w:lang w:val="en-US" w:eastAsia="zh-CN"/>
                <w14:textFill>
                  <w14:solidFill>
                    <w14:schemeClr w14:val="tx1"/>
                  </w14:solidFill>
                </w14:textFill>
              </w:rPr>
              <w:t>施工结束后对</w:t>
            </w:r>
            <w:r>
              <w:rPr>
                <w:rFonts w:hint="default" w:ascii="Times New Roman" w:hAnsi="Times New Roman" w:cs="Times New Roman"/>
                <w:color w:val="000000" w:themeColor="text1"/>
                <w:sz w:val="24"/>
                <w14:textFill>
                  <w14:solidFill>
                    <w14:schemeClr w14:val="tx1"/>
                  </w14:solidFill>
                </w14:textFill>
              </w:rPr>
              <w:t>周围进行土地整治，恢复植被。</w:t>
            </w:r>
          </w:p>
          <w:p w14:paraId="1B9FCD0F">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②减缓与恢复措施</w:t>
            </w:r>
          </w:p>
          <w:p w14:paraId="7BF80CB7">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1）珍稀濒危野生植物迁移保护</w:t>
            </w:r>
          </w:p>
          <w:p w14:paraId="25F630CC">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本次调查未发现珍稀濒危野生植物。</w:t>
            </w:r>
          </w:p>
          <w:p w14:paraId="0B445738">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2）及时清理建筑废料和生活垃圾</w:t>
            </w:r>
          </w:p>
          <w:p w14:paraId="4CBAD05F">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对于临时占地，由于施工人员、施工车辆及施工材料压占临时设施区改变其土壤紧实度，会影响植被的自然生长，同时材料运输过程中部分沙石、水泥洒落，施工迹地有部分建筑垃圾，因此在工程完工后应清除各种残留的建筑垃圾。</w:t>
            </w:r>
          </w:p>
          <w:p w14:paraId="686F26D5">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③</w:t>
            </w:r>
            <w:r>
              <w:rPr>
                <w:rFonts w:hint="default" w:ascii="Times New Roman" w:hAnsi="Times New Roman" w:cs="Times New Roman"/>
                <w:color w:val="000000" w:themeColor="text1"/>
                <w:sz w:val="24"/>
                <w14:textFill>
                  <w14:solidFill>
                    <w14:schemeClr w14:val="tx1"/>
                  </w14:solidFill>
                </w14:textFill>
              </w:rPr>
              <w:t>管理措施</w:t>
            </w:r>
          </w:p>
          <w:p w14:paraId="7719E04C">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1）积极进行环保宣传，严格管理监督施工前应印发环境保护手册，组织专业人员对施工人员进行环保宣传教育，施工期严格施工红线，严格行为规范，进行必要的管理监督，禁止破坏植被的情况发生。</w:t>
            </w:r>
          </w:p>
          <w:p w14:paraId="70708C46">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2）加强珍稀濒危动植物宣传教育</w:t>
            </w:r>
          </w:p>
          <w:p w14:paraId="63471C17">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施工前应对施工人员进行珍稀濒危动植物宣传教育，确保施工人员能够第一时间认出保护植物，严禁施工作业人员破坏、采挖，一经发现立即上报。</w:t>
            </w:r>
          </w:p>
          <w:p w14:paraId="78CDD8BF">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3）积极采取有效措施预防火灾</w:t>
            </w:r>
          </w:p>
          <w:p w14:paraId="2B2E314D">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工程施工期更应加强防护，如在施工区竖立防火警示牌，开展巡回检查、搞好消防队伍及设施的建设等，以预防和杜绝火灾发生。</w:t>
            </w:r>
          </w:p>
          <w:p w14:paraId="71258CCB">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4）预防外来入侵物种的扩散</w:t>
            </w:r>
          </w:p>
          <w:p w14:paraId="0C9F2101">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熟悉了解外来入侵的扩散和传播机制，通过切断其传播途径和控制传播源头来预防外来入侵物种的扩散。</w:t>
            </w:r>
          </w:p>
          <w:p w14:paraId="3C6F9ED5">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（3）动物保护措施</w:t>
            </w:r>
          </w:p>
          <w:p w14:paraId="6D56CD64">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①避让措施</w:t>
            </w:r>
          </w:p>
          <w:p w14:paraId="452B5DD5">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1）尽量缩短施工时间，降低施工活动对区域动物多样性的影响。</w:t>
            </w:r>
          </w:p>
          <w:p w14:paraId="32AD14B7">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2）综合规划，减少对土地利用的限制影响。</w:t>
            </w:r>
          </w:p>
          <w:p w14:paraId="41183867">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3）施工材料的堆放要远离水源，尤其是粉状材料与有害材料，运输材料时也要注意不能被雨水或风吹至水体中，以免对动物的生境造成污染。</w:t>
            </w:r>
          </w:p>
          <w:p w14:paraId="40FD11A3">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施工过程中减少施工噪声，避免对野生动物活动的影响。野生鸟类和兽类大多是晨昏外出觅食，正午休息。为了减少工程施工噪声对野生动物的惊扰，应做好施工方式和时间的计划，并力求避免在晨昏和正午进行噪声较大的施工活动。</w:t>
            </w:r>
          </w:p>
          <w:p w14:paraId="495BAAE6">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施工机械要采用低噪声设备，加强设备的日常维修保养，使施工机械保持良好状态，避免超过正常噪声运转。对高噪声设备，应在其附近加设可移动的简单围障，以降低其噪声影响。提高施工人员的保护意识，严禁捕猎野生动物。尤其在靠近水域路段施工时，严禁捕捉两栖类与爬行类野生动物。</w:t>
            </w:r>
          </w:p>
          <w:p w14:paraId="0E951909">
            <w:pPr>
              <w:pStyle w:val="56"/>
              <w:spacing w:before="0" w:line="360" w:lineRule="auto"/>
              <w:ind w:firstLine="480" w:firstLineChars="200"/>
              <w:jc w:val="both"/>
              <w:rPr>
                <w:rFonts w:hint="eastAsia"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6）水生动物避让措施：优先选择春秋水生生物休眠期施工，避开春季产卵、幼体繁育、夏季生长活跃期；施工废水、机械含油污水、施工垃圾严禁直排沟内，避免水体污染、溶解氧下降，防止水生动物缺氧死亡。</w:t>
            </w:r>
          </w:p>
          <w:p w14:paraId="4051982A">
            <w:pPr>
              <w:pStyle w:val="56"/>
              <w:spacing w:before="0" w:line="360" w:lineRule="auto"/>
              <w:ind w:firstLine="480" w:firstLineChars="200"/>
              <w:jc w:val="both"/>
              <w:rPr>
                <w:rFonts w:hint="default"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陆生动物避让措施：对排查发现的鸟巢集中区、动物洞穴、越冬藏匿点设置明显警示标识，不得扰动施工范围外的区域。</w:t>
            </w:r>
          </w:p>
          <w:p w14:paraId="4BA68A65">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②减缓与恢复措施</w:t>
            </w:r>
          </w:p>
          <w:p w14:paraId="036AF044">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1）禁止猎杀兽类、鸟类和捕蛇捉蛙。施工过程中遇到鸟类、蛇等动物的卵应妥善移置到附近类似的环境中。</w:t>
            </w:r>
          </w:p>
          <w:p w14:paraId="1530AAA5">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2）标明施工活动区，禁止在非施工区点火、狩猎等。</w:t>
            </w:r>
          </w:p>
          <w:p w14:paraId="3932B85B">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3）禁止夜间施工，减少施工区车辆灯光和施工人员照明灯光的持续，严格控制光源使用量或者进行遮蔽，减少对外界的漏光量。</w:t>
            </w:r>
          </w:p>
          <w:p w14:paraId="7E786CB9">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4）对</w:t>
            </w:r>
            <w:r>
              <w:rPr>
                <w:rFonts w:hint="default" w:ascii="Times New Roman" w:hAnsi="Times New Roman" w:eastAsia="宋体" w:cs="Times New Roman"/>
                <w:color w:val="000000" w:themeColor="text1"/>
                <w:sz w:val="24"/>
                <w:lang w:val="en-US" w:eastAsia="zh-CN"/>
                <w14:textFill>
                  <w14:solidFill>
                    <w14:schemeClr w14:val="tx1"/>
                  </w14:solidFill>
                </w14:textFill>
              </w:rPr>
              <w:t>临时占地</w:t>
            </w:r>
            <w:r>
              <w:rPr>
                <w:rFonts w:hint="default" w:ascii="Times New Roman" w:hAnsi="Times New Roman" w:cs="Times New Roman"/>
                <w:color w:val="000000" w:themeColor="text1"/>
                <w:sz w:val="24"/>
                <w14:textFill>
                  <w14:solidFill>
                    <w14:schemeClr w14:val="tx1"/>
                  </w14:solidFill>
                </w14:textFill>
              </w:rPr>
              <w:t>应尽快地做好植被恢复工作，以尽量减少生境破坏对动物造成的不利影响，有利于动物适应新的生境。</w:t>
            </w:r>
          </w:p>
          <w:p w14:paraId="56808CEC">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③管理措施</w:t>
            </w:r>
          </w:p>
          <w:p w14:paraId="1F4226D0">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通过宣传和培训加强施工人员对野生动物和生态环境的保护意识；建设前做好施工规划前期工作；在项目区内特别是在</w:t>
            </w:r>
            <w:r>
              <w:rPr>
                <w:rFonts w:hint="eastAsia" w:eastAsia="宋体" w:cs="Times New Roman"/>
                <w:color w:val="000000" w:themeColor="text1"/>
                <w:sz w:val="24"/>
                <w:lang w:val="en-US" w:eastAsia="zh-CN"/>
                <w14:textFill>
                  <w14:solidFill>
                    <w14:schemeClr w14:val="tx1"/>
                  </w14:solidFill>
                </w14:textFill>
              </w:rPr>
              <w:t>周边耕地</w:t>
            </w:r>
            <w:r>
              <w:rPr>
                <w:rFonts w:hint="default" w:ascii="Times New Roman" w:hAnsi="Times New Roman" w:cs="Times New Roman"/>
                <w:color w:val="000000" w:themeColor="text1"/>
                <w:sz w:val="24"/>
                <w14:textFill>
                  <w14:solidFill>
                    <w14:schemeClr w14:val="tx1"/>
                  </w14:solidFill>
                </w14:textFill>
              </w:rPr>
              <w:t>区域内设置告示牌和警告牌；施工期间加强临时施工场所的防护，加强施工人员生活污水</w:t>
            </w:r>
            <w:r>
              <w:rPr>
                <w:rFonts w:hint="eastAsia" w:eastAsia="宋体" w:cs="Times New Roman"/>
                <w:color w:val="000000" w:themeColor="text1"/>
                <w:sz w:val="24"/>
                <w:lang w:val="en-US" w:eastAsia="zh-CN"/>
                <w14:textFill>
                  <w14:solidFill>
                    <w14:schemeClr w14:val="tx1"/>
                  </w14:solidFill>
                </w14:textFill>
              </w:rPr>
              <w:t>及车辆冲洗废水</w:t>
            </w:r>
            <w:r>
              <w:rPr>
                <w:rFonts w:hint="default" w:ascii="Times New Roman" w:hAnsi="Times New Roman" w:cs="Times New Roman"/>
                <w:color w:val="000000" w:themeColor="text1"/>
                <w:sz w:val="24"/>
                <w14:textFill>
                  <w14:solidFill>
                    <w14:schemeClr w14:val="tx1"/>
                  </w14:solidFill>
                </w14:textFill>
              </w:rPr>
              <w:t>排放管理，</w:t>
            </w:r>
            <w:r>
              <w:rPr>
                <w:rFonts w:hint="eastAsia" w:eastAsia="宋体" w:cs="Times New Roman"/>
                <w:color w:val="000000" w:themeColor="text1"/>
                <w:sz w:val="24"/>
                <w:lang w:val="en-US" w:eastAsia="zh-CN"/>
                <w14:textFill>
                  <w14:solidFill>
                    <w14:schemeClr w14:val="tx1"/>
                  </w14:solidFill>
                </w14:textFill>
              </w:rPr>
              <w:t>严禁污水排入黄河</w:t>
            </w:r>
            <w:r>
              <w:rPr>
                <w:rFonts w:hint="default" w:ascii="Times New Roman" w:hAnsi="Times New Roman" w:cs="Times New Roman"/>
                <w:color w:val="000000" w:themeColor="text1"/>
                <w:sz w:val="24"/>
                <w14:textFill>
                  <w14:solidFill>
                    <w14:schemeClr w14:val="tx1"/>
                  </w14:solidFill>
                </w14:textFill>
              </w:rPr>
              <w:t>，降低野生动物生境的受污染程度；做好工程完工后恢复工作。</w:t>
            </w:r>
          </w:p>
          <w:p w14:paraId="1BA18496">
            <w:pPr>
              <w:pStyle w:val="56"/>
              <w:spacing w:before="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生态管理措施</w:t>
            </w:r>
          </w:p>
          <w:p w14:paraId="1034074C">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①建立高效、务实的环境保护管理体系，制定详细的施工方案，细化植被保护方案和应急措施。</w:t>
            </w:r>
          </w:p>
          <w:p w14:paraId="49C8F9B7">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②加强工程招、投标工作中的环境保护管理，聘用专业施工队伍</w:t>
            </w:r>
            <w:r>
              <w:rPr>
                <w:rFonts w:hint="default" w:ascii="Times New Roman" w:hAnsi="Times New Roman" w:cs="Times New Roman"/>
                <w:color w:val="000000" w:themeColor="text1"/>
                <w:sz w:val="24"/>
                <w:lang w:eastAsia="zh-CN"/>
                <w14:textFill>
                  <w14:solidFill>
                    <w14:schemeClr w14:val="tx1"/>
                  </w14:solidFill>
                </w14:textFill>
              </w:rPr>
              <w:t>，在</w:t>
            </w:r>
            <w:r>
              <w:rPr>
                <w:rFonts w:hint="default" w:ascii="Times New Roman" w:hAnsi="Times New Roman" w:cs="Times New Roman"/>
                <w:color w:val="000000" w:themeColor="text1"/>
                <w:sz w:val="24"/>
                <w14:textFill>
                  <w14:solidFill>
                    <w14:schemeClr w14:val="tx1"/>
                  </w14:solidFill>
                </w14:textFill>
              </w:rPr>
              <w:t>施工前给施工人员进行现场指导和培训，加强施工管理，文明施工，做好环境管理与教育培训。施工期严格施工作业范围，规范施工行为，加强管理监督。</w:t>
            </w:r>
          </w:p>
          <w:p w14:paraId="596B3F0B">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③加强环境保护监理监测工作，全过程监控污染防治措施的落实和动植物保护。</w:t>
            </w:r>
          </w:p>
          <w:p w14:paraId="6DAB5728">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④为及时消除因设计缺陷导致的环保问题，建设单位应加强后续服务的管理工作。</w:t>
            </w:r>
          </w:p>
          <w:p w14:paraId="32F44A64">
            <w:pPr>
              <w:pStyle w:val="11"/>
              <w:spacing w:after="0"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⑤本项目占地面积小，土方产生量及土壤扰动面积相对较小，生态破坏程度有限。</w:t>
            </w:r>
          </w:p>
          <w:p w14:paraId="2AB857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⑥秋冬季施工时，必须注意生产和生活用火的安全，避免火灾的发生和蔓延，</w:t>
            </w:r>
            <w:r>
              <w:rPr>
                <w:rFonts w:hint="eastAsia" w:cs="Times New Roman"/>
                <w:color w:val="000000" w:themeColor="text1"/>
                <w:sz w:val="24"/>
                <w:lang w:val="en-US" w:eastAsia="zh-CN"/>
                <w14:textFill>
                  <w14:solidFill>
                    <w14:schemeClr w14:val="tx1"/>
                  </w14:solidFill>
                </w14:textFill>
              </w:rPr>
              <w:t>避免</w:t>
            </w:r>
            <w:r>
              <w:rPr>
                <w:rFonts w:hint="default" w:ascii="Times New Roman" w:hAnsi="Times New Roman" w:cs="Times New Roman"/>
                <w:color w:val="000000" w:themeColor="text1"/>
                <w:sz w:val="24"/>
                <w14:textFill>
                  <w14:solidFill>
                    <w14:schemeClr w14:val="tx1"/>
                  </w14:solidFill>
                </w14:textFill>
              </w:rPr>
              <w:t>对</w:t>
            </w:r>
            <w:r>
              <w:rPr>
                <w:rFonts w:hint="eastAsia" w:cs="Times New Roman"/>
                <w:color w:val="000000" w:themeColor="text1"/>
                <w:sz w:val="24"/>
                <w:lang w:val="en-US" w:eastAsia="zh-CN"/>
                <w14:textFill>
                  <w14:solidFill>
                    <w14:schemeClr w14:val="tx1"/>
                  </w14:solidFill>
                </w14:textFill>
              </w:rPr>
              <w:t>周边居民房屋等</w:t>
            </w:r>
            <w:r>
              <w:rPr>
                <w:rFonts w:hint="default" w:ascii="Times New Roman" w:hAnsi="Times New Roman" w:cs="Times New Roman"/>
                <w:color w:val="000000" w:themeColor="text1"/>
                <w:sz w:val="24"/>
                <w14:textFill>
                  <w14:solidFill>
                    <w14:schemeClr w14:val="tx1"/>
                  </w14:solidFill>
                </w14:textFill>
              </w:rPr>
              <w:t>造成破坏。</w:t>
            </w:r>
          </w:p>
          <w:p w14:paraId="1F56C1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2、施工期大气污染防治措施</w:t>
            </w:r>
          </w:p>
          <w:p w14:paraId="2C4FEF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（1）扬尘</w:t>
            </w:r>
          </w:p>
          <w:p w14:paraId="7F2EEE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施工期扬尘主要来源于各项工程的土方开挖和回填，建筑材料运输、装卸等过程，废旧建筑物拆除与装卸过程，建筑垃圾和生活垃圾清理等过程给周边大气环境带来一定影响。本项目施工扬尘主要采取以下措施：</w:t>
            </w:r>
          </w:p>
          <w:p w14:paraId="05B315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本项目施工期间，必须采取可行的扬尘控制措施，尽量减轻其污染程度，缩小其影响范围。具体扬尘防治措施如下：</w:t>
            </w:r>
          </w:p>
          <w:p w14:paraId="1300FE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①在</w:t>
            </w:r>
            <w:r>
              <w:rPr>
                <w:rFonts w:hint="eastAsia" w:cs="Times New Roman"/>
                <w:color w:val="000000" w:themeColor="text1"/>
                <w:kern w:val="0"/>
                <w:sz w:val="24"/>
                <w:szCs w:val="24"/>
                <w:highlight w:val="none"/>
                <w:lang w:val="en-US" w:eastAsia="zh-CN" w:bidi="ar-SA"/>
                <w14:textFill>
                  <w14:solidFill>
                    <w14:schemeClr w14:val="tx1"/>
                  </w14:solidFill>
                </w14:textFill>
              </w:rPr>
              <w:t>临近大气敏感点施工段两侧</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设置2.5~3m高围栏</w:t>
            </w:r>
            <w:r>
              <w:rPr>
                <w:rFonts w:hint="eastAsia" w:cs="Times New Roman"/>
                <w:color w:val="000000" w:themeColor="text1"/>
                <w:kern w:val="0"/>
                <w:sz w:val="24"/>
                <w:szCs w:val="24"/>
                <w:highlight w:val="none"/>
                <w:lang w:val="en-US" w:eastAsia="zh-CN" w:bidi="ar-SA"/>
                <w14:textFill>
                  <w14:solidFill>
                    <w14:schemeClr w14:val="tx1"/>
                  </w14:solidFill>
                </w14:textFill>
              </w:rPr>
              <w:t>，施工结束后拆除</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w:t>
            </w:r>
          </w:p>
          <w:p w14:paraId="1F2FE7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②设置车辆冲洗设施。对土石方转运、物料运输及建筑垃圾清理等车辆在上路前须对车身和车轮进行严格清洗，禁止车辆带泥上路，避免对交通道路造成扬尘污染。</w:t>
            </w:r>
          </w:p>
          <w:p w14:paraId="7CBEA8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③必须湿法作业，对施工范围内的各个施工场地、道路、物料及土石方堆场、建筑垃圾临时堆场等易起尘部位要及时洒水抑尘，不准高空抛撒建筑垃圾。干燥、大风天气适当增加洒水频率。</w:t>
            </w:r>
          </w:p>
          <w:p w14:paraId="28C8B5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④施工期充分利用沟道两侧耕道或乡村公路进行运输。</w:t>
            </w:r>
          </w:p>
          <w:p w14:paraId="25CCF2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⑤物料须按需暂存、不得在施工现场大量堆放，建筑垃圾及时拉运至市政规定的建筑垃圾堆放场所，土方及时回填，尽量缩短物料、建筑垃圾、土方的堆放时间。建筑垃圾等无法在48小时内清运完毕的，应当在施工工地内设置临时堆放场，临时堆放场应当利用苫布</w:t>
            </w:r>
            <w:r>
              <w:rPr>
                <w:rFonts w:hint="eastAsia" w:cs="Times New Roman"/>
                <w:color w:val="000000" w:themeColor="text1"/>
                <w:kern w:val="0"/>
                <w:sz w:val="24"/>
                <w:szCs w:val="24"/>
                <w:highlight w:val="none"/>
                <w:lang w:val="en-US" w:eastAsia="zh-CN" w:bidi="ar-SA"/>
                <w14:textFill>
                  <w14:solidFill>
                    <w14:schemeClr w14:val="tx1"/>
                  </w14:solidFill>
                </w14:textFill>
              </w:rPr>
              <w:t>进行</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遮盖等防尘措施；</w:t>
            </w:r>
          </w:p>
          <w:p w14:paraId="20798D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⑥运输物料的车辆应限速，不得超载、冒载，运渣车辆、车厢遮盖严密后方可运出场外，并对运输道路采取定期清扫、洒水，文明施工等措施。</w:t>
            </w:r>
          </w:p>
          <w:p w14:paraId="5140BB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⑦不准露天搅拌混凝土、砂浆。项目采用商品混凝土、预拌砂浆，不自行搅拌；</w:t>
            </w:r>
          </w:p>
          <w:p w14:paraId="257429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⑧不准场地积水。若出现场地积水现象，及时抽水排水，并平整路面；</w:t>
            </w:r>
          </w:p>
          <w:p w14:paraId="5A860D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项目施工期通过严格采取以上扬尘防治措施，可有效控制施工扬尘对周围环境及保护目标的影响，施工厂界扬尘排放浓度符合《大气污染物综合排放标准》(GB16297-1996)表2中的标准限值，对周围环境影响较小。且随着施工期的结束，该影响也会随之消失。</w:t>
            </w:r>
          </w:p>
          <w:p w14:paraId="091705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（2）施工机械废气</w:t>
            </w:r>
          </w:p>
          <w:p w14:paraId="31E30C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1）使用符合国家标准的工程车辆及施工机械，淘汰老、旧车辆及施工机械，使用符合燃油标号的油料；</w:t>
            </w:r>
          </w:p>
          <w:p w14:paraId="30AE28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2）推广环保新技术，更新控制排放物装置，使用新型节油净化器和燃油增效剂，达到净化空气作用的同时又节省了燃油：</w:t>
            </w:r>
          </w:p>
          <w:p w14:paraId="4D23B7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3）为了保证尾气达标排放，所有燃油机械及运输车辆需安装尾气净化器；</w:t>
            </w:r>
          </w:p>
          <w:p w14:paraId="642FD9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4）施工用非道路移动机械要进行登记备案后方可进入施工现场；</w:t>
            </w:r>
          </w:p>
          <w:p w14:paraId="77791F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5）定期对施工机械进行维修、保养，始终保持发动机处于良好的状况，降低尾气中有害成分的浓度。</w:t>
            </w:r>
          </w:p>
          <w:p w14:paraId="36C4E3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③柴油发电机废气防治措施</w:t>
            </w:r>
          </w:p>
          <w:p w14:paraId="1E57B4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1）使用符合国家标准的柴油发电机；</w:t>
            </w:r>
          </w:p>
          <w:p w14:paraId="447EAE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2）安装尾气净化器；</w:t>
            </w:r>
          </w:p>
          <w:p w14:paraId="37FD0F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3）定期进行维修、保养。</w:t>
            </w:r>
          </w:p>
          <w:p w14:paraId="7E641C8C">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综上所述，本项目施工期通过采取以上措施后，可有效减轻施工机械废气对周围大气环境及保护目标的</w:t>
            </w:r>
            <w:r>
              <w:rPr>
                <w:color w:val="000000" w:themeColor="text1"/>
                <w:kern w:val="0"/>
                <w:sz w:val="24"/>
                <w14:textFill>
                  <w14:solidFill>
                    <w14:schemeClr w14:val="tx1"/>
                  </w14:solidFill>
                </w14:textFill>
              </w:rPr>
              <w:t>影响。</w:t>
            </w:r>
          </w:p>
          <w:p w14:paraId="218635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淤泥恶臭</w:t>
            </w:r>
          </w:p>
          <w:p w14:paraId="3D6930F2">
            <w:pPr>
              <w:adjustRightInd w:val="0"/>
              <w:spacing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本项目</w:t>
            </w:r>
            <w:r>
              <w:rPr>
                <w:rFonts w:ascii="宋体" w:hAnsi="宋体" w:eastAsia="宋体" w:cs="宋体"/>
                <w:color w:val="000000" w:themeColor="text1"/>
                <w:sz w:val="24"/>
                <w:szCs w:val="24"/>
                <w14:textFill>
                  <w14:solidFill>
                    <w14:schemeClr w14:val="tx1"/>
                  </w14:solidFill>
                </w14:textFill>
              </w:rPr>
              <w:t>采用生石灰对淤泥进行喷洒消杀除臭处理，有效抑制恶臭物质挥发、消减异味；除臭产生的少量粉尘与微量异味气体以无组织方式自然扩散排放。</w:t>
            </w:r>
          </w:p>
          <w:p w14:paraId="57BF0BB6">
            <w:pPr>
              <w:adjustRightInd w:val="0"/>
              <w:snapToGrid w:val="0"/>
              <w:spacing w:line="360" w:lineRule="auto"/>
              <w:ind w:firstLine="480" w:firstLineChars="200"/>
              <w:rPr>
                <w:rFonts w:eastAsia="黑体"/>
                <w:color w:val="000000" w:themeColor="text1"/>
                <w:kern w:val="0"/>
                <w:sz w:val="24"/>
                <w14:textFill>
                  <w14:solidFill>
                    <w14:schemeClr w14:val="tx1"/>
                  </w14:solidFill>
                </w14:textFill>
              </w:rPr>
            </w:pPr>
            <w:r>
              <w:rPr>
                <w:rFonts w:eastAsia="黑体"/>
                <w:color w:val="000000" w:themeColor="text1"/>
                <w:kern w:val="0"/>
                <w:sz w:val="24"/>
                <w14:textFill>
                  <w14:solidFill>
                    <w14:schemeClr w14:val="tx1"/>
                  </w14:solidFill>
                </w14:textFill>
              </w:rPr>
              <w:t>3、施工期水污染防治措施</w:t>
            </w:r>
          </w:p>
          <w:p w14:paraId="27CE6C4D">
            <w:pPr>
              <w:pStyle w:val="56"/>
              <w:spacing w:before="0" w:after="0" w:line="360" w:lineRule="auto"/>
              <w:ind w:firstLine="480" w:firstLineChars="200"/>
              <w:jc w:val="both"/>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本项目施工期废水主要为生活污水和施工废水。</w:t>
            </w:r>
          </w:p>
          <w:p w14:paraId="15C766AB">
            <w:pPr>
              <w:pStyle w:val="56"/>
              <w:spacing w:before="0" w:after="0" w:line="360" w:lineRule="auto"/>
              <w:ind w:firstLine="480" w:firstLineChars="200"/>
              <w:jc w:val="both"/>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①施工生活污水</w:t>
            </w:r>
          </w:p>
          <w:p w14:paraId="2D30BD8D">
            <w:pPr>
              <w:pStyle w:val="56"/>
              <w:spacing w:before="0" w:after="0" w:line="360" w:lineRule="auto"/>
              <w:ind w:firstLine="480" w:firstLineChars="200"/>
              <w:jc w:val="both"/>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本项目施工期施工人员约</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6</w:t>
            </w:r>
            <w:r>
              <w:rPr>
                <w:rFonts w:hint="default" w:ascii="Times New Roman" w:hAnsi="Times New Roman" w:cs="Times New Roman"/>
                <w:color w:val="000000" w:themeColor="text1"/>
                <w:kern w:val="0"/>
                <w:sz w:val="24"/>
                <w14:textFill>
                  <w14:solidFill>
                    <w14:schemeClr w14:val="tx1"/>
                  </w14:solidFill>
                </w14:textFill>
              </w:rPr>
              <w:t>0人，均来自附近村庄，场内不设食堂、宿舍等，施工人员生活污水依托租住民房现有的污水处理系统</w:t>
            </w:r>
            <w:r>
              <w:rPr>
                <w:rFonts w:hint="default" w:ascii="Times New Roman" w:hAnsi="Times New Roman" w:cs="Times New Roman"/>
                <w:color w:val="000000" w:themeColor="text1"/>
                <w:kern w:val="0"/>
                <w:sz w:val="24"/>
                <w:lang w:val="en-US" w:eastAsia="zh-CN"/>
                <w14:textFill>
                  <w14:solidFill>
                    <w14:schemeClr w14:val="tx1"/>
                  </w14:solidFill>
                </w14:textFill>
              </w:rPr>
              <w:t>收集处理</w:t>
            </w:r>
            <w:r>
              <w:rPr>
                <w:rFonts w:hint="default" w:ascii="Times New Roman" w:hAnsi="Times New Roman" w:cs="Times New Roman"/>
                <w:color w:val="000000" w:themeColor="text1"/>
                <w:kern w:val="0"/>
                <w:sz w:val="24"/>
                <w14:textFill>
                  <w14:solidFill>
                    <w14:schemeClr w14:val="tx1"/>
                  </w14:solidFill>
                </w14:textFill>
              </w:rPr>
              <w:t>。</w:t>
            </w:r>
          </w:p>
          <w:p w14:paraId="1B615070">
            <w:pPr>
              <w:pStyle w:val="56"/>
              <w:spacing w:before="0" w:after="0" w:line="360" w:lineRule="auto"/>
              <w:ind w:firstLine="480" w:firstLineChars="200"/>
              <w:jc w:val="both"/>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②施工生产废水</w:t>
            </w:r>
          </w:p>
          <w:p w14:paraId="39FB520E">
            <w:pPr>
              <w:pStyle w:val="56"/>
              <w:spacing w:before="0" w:after="0" w:line="360" w:lineRule="auto"/>
              <w:ind w:firstLine="480" w:firstLineChars="200"/>
              <w:jc w:val="both"/>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生产废水主要为施工车辆冲洗废水，主要污染物为COD、SS等，废水</w:t>
            </w:r>
            <w:r>
              <w:rPr>
                <w:rFonts w:hint="eastAsia" w:eastAsia="宋体" w:cs="Times New Roman"/>
                <w:color w:val="000000" w:themeColor="text1"/>
                <w:kern w:val="0"/>
                <w:sz w:val="24"/>
                <w:lang w:val="en-US" w:eastAsia="zh-CN"/>
                <w14:textFill>
                  <w14:solidFill>
                    <w14:schemeClr w14:val="tx1"/>
                  </w14:solidFill>
                </w14:textFill>
              </w:rPr>
              <w:t>经材料堆存点的</w:t>
            </w:r>
            <w:r>
              <w:rPr>
                <w:rFonts w:hint="default" w:ascii="Times New Roman" w:hAnsi="Times New Roman" w:cs="Times New Roman"/>
                <w:color w:val="000000" w:themeColor="text1"/>
                <w:kern w:val="0"/>
                <w:sz w:val="24"/>
                <w14:textFill>
                  <w14:solidFill>
                    <w14:schemeClr w14:val="tx1"/>
                  </w14:solidFill>
                </w14:textFill>
              </w:rPr>
              <w:t>沉淀池处理后回用于施工机械车辆冲洗及洒水抑尘，不外排。</w:t>
            </w:r>
          </w:p>
          <w:p w14:paraId="1ECB15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4、施工期噪声污染防治措施</w:t>
            </w:r>
          </w:p>
          <w:p w14:paraId="7F21D1C2">
            <w:pPr>
              <w:pStyle w:val="56"/>
              <w:spacing w:line="360" w:lineRule="auto"/>
              <w:ind w:firstLine="480" w:firstLineChars="200"/>
              <w:jc w:val="both"/>
              <w:rPr>
                <w:rFonts w:hint="default" w:ascii="Times New Roman" w:hAnsi="Times New Roman" w:eastAsia="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在施工阶段，由于各种施工机械设备的运转和各类车辆的运行，不可避免地将产生噪</w:t>
            </w:r>
            <w:r>
              <w:rPr>
                <w:rFonts w:hint="default" w:ascii="Times New Roman" w:hAnsi="Times New Roman" w:eastAsia="Times New Roman" w:cs="Times New Roman"/>
                <w:color w:val="000000" w:themeColor="text1"/>
                <w:sz w:val="24"/>
                <w14:textFill>
                  <w14:solidFill>
                    <w14:schemeClr w14:val="tx1"/>
                  </w14:solidFill>
                </w14:textFill>
              </w:rPr>
              <w:t>声污染。建筑施工期间向周围排放噪声必须按照《中华人民共和国噪声污染防治法》规定，严格按《建筑施工噪声排放标准》（GB12523-20</w:t>
            </w:r>
            <w:r>
              <w:rPr>
                <w:rFonts w:hint="default" w:ascii="Times New Roman" w:hAnsi="Times New Roman" w:eastAsia="Times New Roman" w:cs="Times New Roman"/>
                <w:color w:val="000000" w:themeColor="text1"/>
                <w:sz w:val="24"/>
                <w:lang w:val="en-US"/>
                <w14:textFill>
                  <w14:solidFill>
                    <w14:schemeClr w14:val="tx1"/>
                  </w14:solidFill>
                </w14:textFill>
              </w:rPr>
              <w:t>25</w:t>
            </w:r>
            <w:r>
              <w:rPr>
                <w:rFonts w:hint="default" w:ascii="Times New Roman" w:hAnsi="Times New Roman" w:eastAsia="Times New Roman" w:cs="Times New Roman"/>
                <w:color w:val="000000" w:themeColor="text1"/>
                <w:sz w:val="24"/>
                <w14:textFill>
                  <w14:solidFill>
                    <w14:schemeClr w14:val="tx1"/>
                  </w14:solidFill>
                </w14:textFill>
              </w:rPr>
              <w:t>）进行控制，从而减少施工期噪声对周围环境影响。施工噪声的防治主要是通过合理安排施工时间、采取低噪声机械设备等措施来实施的。</w:t>
            </w:r>
          </w:p>
          <w:p w14:paraId="10F85077">
            <w:pPr>
              <w:pStyle w:val="56"/>
              <w:spacing w:before="0" w:after="0" w:line="360" w:lineRule="auto"/>
              <w:ind w:firstLine="480" w:firstLineChars="200"/>
              <w:jc w:val="both"/>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①从声源上控制：建设单位在与施工单位签订合同时，应要求其使用的主要机械设备为低噪声机械设备，例如</w:t>
            </w:r>
            <w:r>
              <w:rPr>
                <w:rFonts w:hint="default" w:ascii="Times New Roman" w:hAnsi="Times New Roman" w:cs="Times New Roman"/>
                <w:color w:val="000000" w:themeColor="text1"/>
                <w:sz w:val="24"/>
                <w:lang w:eastAsia="zh-CN"/>
                <w14:textFill>
                  <w14:solidFill>
                    <w14:schemeClr w14:val="tx1"/>
                  </w14:solidFill>
                </w14:textFill>
              </w:rPr>
              <w:t>选择</w:t>
            </w:r>
            <w:r>
              <w:rPr>
                <w:rFonts w:hint="default" w:ascii="Times New Roman" w:hAnsi="Times New Roman" w:cs="Times New Roman"/>
                <w:color w:val="000000" w:themeColor="text1"/>
                <w:sz w:val="24"/>
                <w14:textFill>
                  <w14:solidFill>
                    <w14:schemeClr w14:val="tx1"/>
                  </w14:solidFill>
                </w14:textFill>
              </w:rPr>
              <w:t>液压机械取代燃油机械。同时在施工过程中施工单位应设专人对设备进行定期保养和维护，振动大的设备采用</w:t>
            </w:r>
            <w:r>
              <w:rPr>
                <w:rFonts w:hint="default" w:ascii="Times New Roman" w:hAnsi="Times New Roman" w:cs="Times New Roman"/>
                <w:color w:val="000000" w:themeColor="text1"/>
                <w:sz w:val="24"/>
                <w:lang w:eastAsia="zh-CN"/>
                <w14:textFill>
                  <w14:solidFill>
                    <w14:schemeClr w14:val="tx1"/>
                  </w14:solidFill>
                </w14:textFill>
              </w:rPr>
              <w:t>减振措施</w:t>
            </w:r>
            <w:r>
              <w:rPr>
                <w:rFonts w:hint="default" w:ascii="Times New Roman" w:hAnsi="Times New Roman" w:cs="Times New Roman"/>
                <w:color w:val="000000" w:themeColor="text1"/>
                <w:sz w:val="24"/>
                <w14:textFill>
                  <w14:solidFill>
                    <w14:schemeClr w14:val="tx1"/>
                  </w14:solidFill>
                </w14:textFill>
              </w:rPr>
              <w:t>，并负责对现场工作人员进行培训，严格按操作规范使用各类机械，应尽量避免大量高噪声设备同时施工等</w:t>
            </w:r>
            <w:r>
              <w:rPr>
                <w:rFonts w:hint="eastAsia"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在临近大气敏感点施工段两侧设置2.5~3m高围栏，施工结束后拆除。</w:t>
            </w:r>
          </w:p>
          <w:p w14:paraId="158B232B">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②合理安排施工时间：施工单位应合理安排好施工时间，将噪声大的作业安排在白天，尽量避免在动物觅食期间施工，禁止在22：00~06：00期间施工</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降低对敏感目标处村民的影响</w:t>
            </w:r>
            <w:r>
              <w:rPr>
                <w:rFonts w:hint="default" w:ascii="Times New Roman" w:hAnsi="Times New Roman" w:cs="Times New Roman"/>
                <w:color w:val="000000" w:themeColor="text1"/>
                <w:sz w:val="24"/>
                <w14:textFill>
                  <w14:solidFill>
                    <w14:schemeClr w14:val="tx1"/>
                  </w14:solidFill>
                </w14:textFill>
              </w:rPr>
              <w:t>。</w:t>
            </w:r>
          </w:p>
          <w:p w14:paraId="3DBFCFAD">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③合理选择施工机械的放置位置，尽量避免在居民点附近放置高噪声施工设备。</w:t>
            </w:r>
          </w:p>
          <w:p w14:paraId="2ED2075D">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④对靠近居民点的高噪声施工设备采取隔声、隔振或消声措施，如在声源周围设置掩蔽物、加隔振垫、安装消声器等。控制施工场界噪声满足《建筑施工噪声</w:t>
            </w:r>
            <w:r>
              <w:rPr>
                <w:rFonts w:hint="default" w:ascii="Times New Roman" w:hAnsi="Times New Roman" w:cs="Times New Roman"/>
                <w:color w:val="000000" w:themeColor="text1"/>
                <w:sz w:val="24"/>
                <w:lang w:val="en-US" w:eastAsia="zh-CN"/>
                <w14:textFill>
                  <w14:solidFill>
                    <w14:schemeClr w14:val="tx1"/>
                  </w14:solidFill>
                </w14:textFill>
              </w:rPr>
              <w:t>排放标准</w:t>
            </w:r>
            <w:r>
              <w:rPr>
                <w:rFonts w:hint="default" w:ascii="Times New Roman" w:hAnsi="Times New Roman" w:cs="Times New Roman"/>
                <w:color w:val="000000" w:themeColor="text1"/>
                <w:sz w:val="24"/>
                <w14:textFill>
                  <w14:solidFill>
                    <w14:schemeClr w14:val="tx1"/>
                  </w14:solidFill>
                </w14:textFill>
              </w:rPr>
              <w:t>》（GB12523-20</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）中的要求，并由施工企业自行对施工现场噪声值进行监测和记录。</w:t>
            </w:r>
          </w:p>
          <w:p w14:paraId="6E9E2E80">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⑤施工场地的施工车辆出入地点应尽量远离周围敏感点布置，运输车辆限速行驶（在居民区附近一般不超过15km/h），并尽量压缩施工区汽车数量和行车密度，控制汽车鸣笛。</w:t>
            </w:r>
          </w:p>
          <w:p w14:paraId="32B7DD70">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⑥建设管理部门应加强对施工场地的噪声管理，施工企业也应对施工噪声进行自律，文明施工，避免因施工噪声产生纠纷。</w:t>
            </w:r>
          </w:p>
          <w:p w14:paraId="158ED0D7">
            <w:pPr>
              <w:pStyle w:val="56"/>
              <w:spacing w:before="0" w:after="0"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⑦若因特殊需要必须连续施工作业的，应当取得地方人民政府住房和城乡建设、生态环境主管部门或者地方人民政府指定的部门的证明，并在施工现场显著位置公示或者以其他方式公告附近居民。</w:t>
            </w:r>
          </w:p>
          <w:p w14:paraId="017567E7">
            <w:pPr>
              <w:pStyle w:val="56"/>
              <w:spacing w:before="0" w:after="0" w:line="360" w:lineRule="auto"/>
              <w:ind w:firstLine="480" w:firstLineChars="200"/>
              <w:jc w:val="both"/>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⑧在利用现有道路运输施工物资时，应合理选择运输路线，禁止夜间运输。此外，在途经距离施工道路较近的村庄时，应减速慢行。建设单位应对施工承包商的运输路线提出要求，要求承包商必须提供建材运输路线，并请环保监理或环保专业人员确认施工路线在减缓噪声影响方面的合理性。建设单位根据确定后的运输路线进行监督，并可联合地方环保部门加强监督力度</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74B08CE3">
            <w:pPr>
              <w:pStyle w:val="56"/>
              <w:spacing w:before="0" w:after="0" w:line="360" w:lineRule="auto"/>
              <w:ind w:firstLine="480" w:firstLineChars="200"/>
              <w:jc w:val="both"/>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5、施工期固废污染防治措施</w:t>
            </w:r>
          </w:p>
          <w:p w14:paraId="3051A963">
            <w:pPr>
              <w:adjustRightInd w:val="0"/>
              <w:snapToGrid w:val="0"/>
              <w:spacing w:after="0"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施工期</w:t>
            </w:r>
            <w:r>
              <w:rPr>
                <w:rFonts w:hint="default" w:ascii="Times New Roman" w:hAnsi="Times New Roman" w:cs="Times New Roman"/>
                <w:color w:val="000000" w:themeColor="text1"/>
                <w:kern w:val="0"/>
                <w:sz w:val="24"/>
                <w:lang w:val="en-US" w:eastAsia="zh-CN"/>
                <w14:textFill>
                  <w14:solidFill>
                    <w14:schemeClr w14:val="tx1"/>
                  </w14:solidFill>
                </w14:textFill>
              </w:rPr>
              <w:t>固体废物主要为</w:t>
            </w:r>
            <w:r>
              <w:rPr>
                <w:rFonts w:hint="eastAsia" w:cs="Times New Roman"/>
                <w:color w:val="000000" w:themeColor="text1"/>
                <w:kern w:val="0"/>
                <w:sz w:val="24"/>
                <w:lang w:val="en-US" w:eastAsia="zh-CN"/>
                <w14:textFill>
                  <w14:solidFill>
                    <w14:schemeClr w14:val="tx1"/>
                  </w14:solidFill>
                </w14:textFill>
              </w:rPr>
              <w:t>淤泥</w:t>
            </w:r>
            <w:r>
              <w:rPr>
                <w:rFonts w:hint="default" w:ascii="Times New Roman" w:hAnsi="Times New Roman" w:cs="Times New Roman"/>
                <w:color w:val="000000" w:themeColor="text1"/>
                <w:kern w:val="0"/>
                <w:sz w:val="24"/>
                <w:lang w:val="en-US" w:eastAsia="zh-CN"/>
                <w14:textFill>
                  <w14:solidFill>
                    <w14:schemeClr w14:val="tx1"/>
                  </w14:solidFill>
                </w14:textFill>
              </w:rPr>
              <w:t>、建筑垃圾及生活垃圾</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沟道淤泥晾干后集中收集，拉运至其他生态修复治理项目，作为回填材料综合利用</w:t>
            </w:r>
            <w:r>
              <w:rPr>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建筑垃圾运至当地政府指定地点堆放，施工人员生活垃圾收集后交由环卫部门清运处置。</w:t>
            </w:r>
          </w:p>
          <w:p w14:paraId="04129C7F">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本项目整个施工期固体废物产生量较小，</w:t>
            </w:r>
            <w:r>
              <w:rPr>
                <w:rFonts w:hint="eastAsia" w:cs="Times New Roman"/>
                <w:color w:val="000000" w:themeColor="text1"/>
                <w:kern w:val="0"/>
                <w:sz w:val="24"/>
                <w:lang w:val="en-US" w:eastAsia="zh-CN"/>
                <w14:textFill>
                  <w14:solidFill>
                    <w14:schemeClr w14:val="tx1"/>
                  </w14:solidFill>
                </w14:textFill>
              </w:rPr>
              <w:t>淤泥晾干后集中收集，拉运至其他生态修复治理项目，作为回填材料综合利用，</w:t>
            </w:r>
            <w:r>
              <w:rPr>
                <w:rFonts w:hint="default" w:ascii="Times New Roman" w:hAnsi="Times New Roman" w:cs="Times New Roman"/>
                <w:color w:val="000000" w:themeColor="text1"/>
                <w:kern w:val="0"/>
                <w:sz w:val="24"/>
                <w14:textFill>
                  <w14:solidFill>
                    <w14:schemeClr w14:val="tx1"/>
                  </w14:solidFill>
                </w14:textFill>
              </w:rPr>
              <w:t>施工前施工单位应编制建筑垃圾处理方案，采取污染防治措施，并报县级以上地方人民政府环境卫生主管部门备案。建筑垃圾产生后及时清理出施工现场，不能及时清理时应选择无植被区域分类集中堆放，并采取苫盖措施，能回收利用的尽量回收利用，不能利用的按照环境卫生主管部门的规定，由遮盖篷布的密闭车辆及时清运至环境卫生主管部门指定的地点处置，不得擅自倾倒、抛撒或者堆放工程施工过程中产生的建筑垃圾。</w:t>
            </w:r>
          </w:p>
          <w:p w14:paraId="0383C1E7">
            <w:pPr>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在施工期固体废物的处置过程中，还应采取以下管理措施：</w:t>
            </w:r>
          </w:p>
          <w:p w14:paraId="45B200AA">
            <w:pPr>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(1)施工期间产生的固体废物需设置集中暂存点，采取遮盖抑尘网或篷布，分类存放，加强管理，禁止就地焚烧垃圾，注意防火。</w:t>
            </w:r>
          </w:p>
          <w:p w14:paraId="5A10D2B2">
            <w:pPr>
              <w:adjustRightInd w:val="0"/>
              <w:snapToGrid w:val="0"/>
              <w:spacing w:after="0"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(2)施工期间产生的固体废物应堆放在无植被区或植被覆盖度较低的区域，及时清运、避免占压现有植被，废品应尽量做到综合利用，不得随意乱</w:t>
            </w:r>
            <w:r>
              <w:rPr>
                <w:rFonts w:hint="default" w:ascii="Times New Roman" w:hAnsi="Times New Roman" w:cs="Times New Roman"/>
                <w:color w:val="000000" w:themeColor="text1"/>
                <w:kern w:val="0"/>
                <w:sz w:val="24"/>
                <w:lang w:val="en-US" w:eastAsia="zh-CN"/>
                <w14:textFill>
                  <w14:solidFill>
                    <w14:schemeClr w14:val="tx1"/>
                  </w14:solidFill>
                </w14:textFill>
              </w:rPr>
              <w:t>扔</w:t>
            </w:r>
            <w:r>
              <w:rPr>
                <w:rFonts w:hint="default" w:ascii="Times New Roman" w:hAnsi="Times New Roman" w:cs="Times New Roman"/>
                <w:color w:val="000000" w:themeColor="text1"/>
                <w:kern w:val="0"/>
                <w:sz w:val="24"/>
                <w14:textFill>
                  <w14:solidFill>
                    <w14:schemeClr w14:val="tx1"/>
                  </w14:solidFill>
                </w14:textFill>
              </w:rPr>
              <w:t>、遗弃在施工现场。</w:t>
            </w:r>
          </w:p>
          <w:p w14:paraId="3208211F">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(3)禁止在施工营地以外的其它区域乱</w:t>
            </w:r>
            <w:r>
              <w:rPr>
                <w:rFonts w:hint="default" w:ascii="Times New Roman" w:hAnsi="Times New Roman" w:cs="Times New Roman"/>
                <w:color w:val="000000" w:themeColor="text1"/>
                <w:kern w:val="0"/>
                <w:sz w:val="24"/>
                <w:lang w:eastAsia="zh-CN"/>
                <w14:textFill>
                  <w14:solidFill>
                    <w14:schemeClr w14:val="tx1"/>
                  </w14:solidFill>
                </w14:textFill>
              </w:rPr>
              <w:t>扔</w:t>
            </w:r>
            <w:r>
              <w:rPr>
                <w:rFonts w:hint="default" w:ascii="Times New Roman" w:hAnsi="Times New Roman" w:cs="Times New Roman"/>
                <w:color w:val="000000" w:themeColor="text1"/>
                <w:kern w:val="0"/>
                <w:sz w:val="24"/>
                <w14:textFill>
                  <w14:solidFill>
                    <w14:schemeClr w14:val="tx1"/>
                  </w14:solidFill>
                </w14:textFill>
              </w:rPr>
              <w:t>水瓶、烟头、纸屑等生活垃圾，不得胡乱丢弃。</w:t>
            </w:r>
          </w:p>
          <w:p w14:paraId="592B7874">
            <w:pPr>
              <w:adjustRightInd w:val="0"/>
              <w:snapToGrid w:val="0"/>
              <w:spacing w:after="0"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(4)施工现场应设置环境保护宣传栏，施工前向施工人员进行培训，并宣传施工期环境保护相关知识，提高施工期环境质量和效率。</w:t>
            </w:r>
          </w:p>
          <w:p w14:paraId="0592C4B4">
            <w:pPr>
              <w:adjustRightInd w:val="0"/>
              <w:spacing w:line="360" w:lineRule="auto"/>
              <w:ind w:firstLine="480" w:firstLineChars="200"/>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lang w:val="zh-CN"/>
                <w14:textFill>
                  <w14:solidFill>
                    <w14:schemeClr w14:val="tx1"/>
                  </w14:solidFill>
                </w14:textFill>
              </w:rPr>
              <w:t>综上所述，本项目施工期产生的固体废物全部得到合理处置后，对周围环境影响轻微。</w:t>
            </w:r>
          </w:p>
        </w:tc>
      </w:tr>
      <w:tr w14:paraId="4CD0199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72" w:hRule="atLeast"/>
          <w:jc w:val="center"/>
        </w:trPr>
        <w:tc>
          <w:tcPr>
            <w:tcW w:w="397" w:type="dxa"/>
            <w:tcBorders>
              <w:tl2br w:val="nil"/>
              <w:tr2bl w:val="nil"/>
            </w:tcBorders>
            <w:tcMar>
              <w:left w:w="28" w:type="dxa"/>
              <w:right w:w="28" w:type="dxa"/>
            </w:tcMar>
            <w:vAlign w:val="center"/>
          </w:tcPr>
          <w:p w14:paraId="1379A102">
            <w:pPr>
              <w:adjustRightInd w:val="0"/>
              <w:spacing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运营</w:t>
            </w:r>
          </w:p>
          <w:p w14:paraId="77433E51">
            <w:pPr>
              <w:adjustRightInd w:val="0"/>
              <w:spacing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期生</w:t>
            </w:r>
          </w:p>
          <w:p w14:paraId="79225453">
            <w:pPr>
              <w:adjustRightInd w:val="0"/>
              <w:spacing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态环</w:t>
            </w:r>
          </w:p>
          <w:p w14:paraId="305E0ED4">
            <w:pPr>
              <w:adjustRightInd w:val="0"/>
              <w:spacing w:line="240" w:lineRule="auto"/>
              <w:jc w:val="cente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境</w:t>
            </w: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保</w:t>
            </w:r>
          </w:p>
          <w:p w14:paraId="4C029AEC">
            <w:pPr>
              <w:adjustRightInd w:val="0"/>
              <w:spacing w:line="240" w:lineRule="auto"/>
              <w:jc w:val="cente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护措</w:t>
            </w:r>
          </w:p>
          <w:p w14:paraId="4D580399">
            <w:pPr>
              <w:adjustRightInd w:val="0"/>
              <w:spacing w:line="240"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施</w:t>
            </w:r>
          </w:p>
        </w:tc>
        <w:tc>
          <w:tcPr>
            <w:tcW w:w="8511" w:type="dxa"/>
            <w:tcBorders>
              <w:tl2br w:val="nil"/>
              <w:tr2bl w:val="nil"/>
            </w:tcBorders>
            <w:vAlign w:val="center"/>
          </w:tcPr>
          <w:p w14:paraId="1A1AAB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本项目区域与黄河干流最近直线距离约</w:t>
            </w:r>
            <w:r>
              <w:rPr>
                <w:rFonts w:hint="eastAsia" w:cs="Times New Roman"/>
                <w:color w:val="000000" w:themeColor="text1"/>
                <w:kern w:val="0"/>
                <w:sz w:val="24"/>
                <w:szCs w:val="24"/>
                <w:highlight w:val="none"/>
                <w:lang w:val="en-US" w:eastAsia="zh-CN" w:bidi="ar-SA"/>
                <w14:textFill>
                  <w14:solidFill>
                    <w14:schemeClr w14:val="tx1"/>
                  </w14:solidFill>
                </w14:textFill>
              </w:rPr>
              <w:t>157</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米。本项目为泄洪沟整治工程，运营阶段无常态化生产作业及人员值守运行环节，因此运营期不会产生工艺废气、生产废水、设备噪声及各类生产固体废物。项目建成投用后，主要承担区域雨水汇流、汛期行洪及上游来水疏导功能，上游常态来水与雨季地表径流将通过本泄洪设施顺畅汇入黄河水体。项目本身无新增污染物排放，排水以天然雨水及原有地表汇水为主，水质未发生恶化改变，不会对黄河流域水环境、水生态造成不利影响。</w:t>
            </w:r>
          </w:p>
        </w:tc>
      </w:tr>
      <w:tr w14:paraId="1327EAF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7" w:type="dxa"/>
            <w:tcBorders>
              <w:tl2br w:val="nil"/>
              <w:tr2bl w:val="nil"/>
            </w:tcBorders>
            <w:tcMar>
              <w:left w:w="28" w:type="dxa"/>
              <w:right w:w="28" w:type="dxa"/>
            </w:tcMar>
            <w:vAlign w:val="center"/>
          </w:tcPr>
          <w:p w14:paraId="020EFADC">
            <w:pPr>
              <w:adjustRightInd w:val="0"/>
              <w:snapToGrid w:val="0"/>
              <w:jc w:val="center"/>
              <w:rPr>
                <w:rFonts w:hint="default" w:ascii="Times New Roman" w:hAnsi="Times New Roman" w:eastAsia="仿宋_GB2312"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其他</w:t>
            </w:r>
          </w:p>
        </w:tc>
        <w:tc>
          <w:tcPr>
            <w:tcW w:w="8511" w:type="dxa"/>
            <w:tcBorders>
              <w:tl2br w:val="nil"/>
              <w:tr2bl w:val="nil"/>
            </w:tcBorders>
          </w:tcPr>
          <w:p w14:paraId="2E4C5D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1、环境管理与监测计划</w:t>
            </w:r>
          </w:p>
          <w:p w14:paraId="765D6E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1.1环境管理</w:t>
            </w:r>
          </w:p>
          <w:p w14:paraId="179AFC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建设项目环境保护管理是指项目在施工期和营运期必须遵守国家、自治区、中卫市的有关环境保护法律法规、政策与标准，接受地方生态环境主管部门的监督，调整和制定环境规划保护目标，协调同有关部门的关系以及一切与改善环境有关的管理活动。施工期环境管理见表5-1。</w:t>
            </w:r>
          </w:p>
          <w:p w14:paraId="7F7EF1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val="0"/>
                <w:color w:val="000000" w:themeColor="text1"/>
                <w:kern w:val="0"/>
                <w:sz w:val="24"/>
                <w:szCs w:val="24"/>
                <w:highlight w:val="none"/>
                <w:lang w:val="en-US" w:eastAsia="zh-CN" w:bidi="ar-SA"/>
                <w14:textFill>
                  <w14:solidFill>
                    <w14:schemeClr w14:val="tx1"/>
                  </w14:solidFill>
                </w14:textFill>
              </w:rPr>
              <w:t>1.2环境监测</w:t>
            </w:r>
          </w:p>
          <w:p w14:paraId="3F50A5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环境监测单位将根据国家环境部颁布的各项导则和标准规定的方法进行采样、保存和分析样品，与项目的环境监测的要求相同。本工程环境监测计划主要为施工期，监测内容主要有地表水、噪声、环境空气和生态四部分，鉴于三个窑沟无常年流经地表水，可不进行地表水环境监测。监测计划见表5-</w:t>
            </w:r>
            <w:r>
              <w:rPr>
                <w:color w:val="000000" w:themeColor="text1"/>
                <w:kern w:val="0"/>
                <w:sz w:val="24"/>
                <w14:textFill>
                  <w14:solidFill>
                    <w14:schemeClr w14:val="tx1"/>
                  </w14:solidFill>
                </w14:textFill>
              </w:rPr>
              <w:t>1</w:t>
            </w:r>
            <w:r>
              <w:rPr>
                <w:rStyle w:val="31"/>
                <w:rFonts w:hint="eastAsia"/>
                <w:color w:val="000000" w:themeColor="text1"/>
                <w:kern w:val="0"/>
                <w:sz w:val="24"/>
                <w:lang w:eastAsia="zh-CN"/>
                <w14:textFill>
                  <w14:solidFill>
                    <w14:schemeClr w14:val="tx1"/>
                  </w14:solidFill>
                </w14:textFill>
              </w:rPr>
              <w:t>，</w:t>
            </w:r>
            <w:r>
              <w:rPr>
                <w:rStyle w:val="31"/>
                <w:rFonts w:hint="eastAsia"/>
                <w:color w:val="000000" w:themeColor="text1"/>
                <w:kern w:val="0"/>
                <w:sz w:val="24"/>
                <w:lang w:val="en-US" w:eastAsia="zh-CN"/>
                <w14:textFill>
                  <w14:solidFill>
                    <w14:schemeClr w14:val="tx1"/>
                  </w14:solidFill>
                </w14:textFill>
              </w:rPr>
              <w:t>项目监测布点图见图4-3</w:t>
            </w:r>
            <w:r>
              <w:rPr>
                <w:color w:val="000000" w:themeColor="text1"/>
                <w:kern w:val="0"/>
                <w:sz w:val="24"/>
                <w14:textFill>
                  <w14:solidFill>
                    <w14:schemeClr w14:val="tx1"/>
                  </w14:solidFill>
                </w14:textFill>
              </w:rPr>
              <w:t>。</w:t>
            </w:r>
          </w:p>
          <w:p w14:paraId="421BC505">
            <w:pPr>
              <w:pStyle w:val="63"/>
              <w:bidi w:val="0"/>
              <w:jc w:val="center"/>
              <w:rPr>
                <w:rFonts w:hint="default" w:ascii="Times New Roman" w:hAnsi="Times New Roman" w:eastAsia="黑体" w:cs="Times New Roman"/>
                <w:b w:val="0"/>
                <w:bCs/>
                <w:color w:val="000000" w:themeColor="text1"/>
                <w:kern w:val="44"/>
                <w:sz w:val="24"/>
                <w:szCs w:val="24"/>
                <w:highlight w:val="none"/>
                <w:lang w:val="en-US" w:eastAsia="zh-CN" w:bidi="ar-SA"/>
                <w14:textFill>
                  <w14:solidFill>
                    <w14:schemeClr w14:val="tx1"/>
                  </w14:solidFill>
                </w14:textFill>
              </w:rPr>
            </w:pPr>
          </w:p>
          <w:p w14:paraId="43F40852">
            <w:pPr>
              <w:pStyle w:val="63"/>
              <w:bidi w:val="0"/>
              <w:jc w:val="center"/>
              <w:rPr>
                <w:rFonts w:hint="default" w:ascii="Times New Roman" w:hAnsi="Times New Roman" w:eastAsia="黑体" w:cs="Times New Roman"/>
                <w:b w:val="0"/>
                <w:bCs/>
                <w:color w:val="000000" w:themeColor="text1"/>
                <w:kern w:val="44"/>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color w:val="000000" w:themeColor="text1"/>
                <w:kern w:val="44"/>
                <w:sz w:val="24"/>
                <w:szCs w:val="24"/>
                <w:highlight w:val="none"/>
                <w:lang w:val="en-US" w:eastAsia="zh-CN" w:bidi="ar-SA"/>
                <w14:textFill>
                  <w14:solidFill>
                    <w14:schemeClr w14:val="tx1"/>
                  </w14:solidFill>
                </w14:textFill>
              </w:rPr>
              <w:t>表5-1  施工期环境管理</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380"/>
              <w:gridCol w:w="3668"/>
              <w:gridCol w:w="2387"/>
            </w:tblGrid>
            <w:tr w14:paraId="160BF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tcBorders>
                    <w:tl2br w:val="nil"/>
                    <w:tr2bl w:val="nil"/>
                  </w:tcBorders>
                  <w:noWrap w:val="0"/>
                  <w:vAlign w:val="center"/>
                </w:tcPr>
                <w:p w14:paraId="026890A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类别</w:t>
                  </w:r>
                </w:p>
              </w:tc>
              <w:tc>
                <w:tcPr>
                  <w:tcW w:w="1380" w:type="dxa"/>
                  <w:tcBorders>
                    <w:tl2br w:val="nil"/>
                    <w:tr2bl w:val="nil"/>
                  </w:tcBorders>
                  <w:noWrap w:val="0"/>
                  <w:vAlign w:val="center"/>
                </w:tcPr>
                <w:p w14:paraId="5688EAF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污染源</w:t>
                  </w:r>
                </w:p>
              </w:tc>
              <w:tc>
                <w:tcPr>
                  <w:tcW w:w="3668" w:type="dxa"/>
                  <w:tcBorders>
                    <w:tl2br w:val="nil"/>
                    <w:tr2bl w:val="nil"/>
                  </w:tcBorders>
                  <w:noWrap w:val="0"/>
                  <w:vAlign w:val="center"/>
                </w:tcPr>
                <w:p w14:paraId="68401D3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污染防治措施及设施</w:t>
                  </w:r>
                </w:p>
              </w:tc>
              <w:tc>
                <w:tcPr>
                  <w:tcW w:w="2387" w:type="dxa"/>
                  <w:tcBorders>
                    <w:tl2br w:val="nil"/>
                    <w:tr2bl w:val="nil"/>
                  </w:tcBorders>
                  <w:noWrap w:val="0"/>
                  <w:vAlign w:val="center"/>
                </w:tcPr>
                <w:p w14:paraId="48664A2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预期效果</w:t>
                  </w:r>
                </w:p>
              </w:tc>
            </w:tr>
            <w:tr w14:paraId="2D291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vMerge w:val="restart"/>
                  <w:tcBorders>
                    <w:tl2br w:val="nil"/>
                    <w:tr2bl w:val="nil"/>
                  </w:tcBorders>
                  <w:noWrap w:val="0"/>
                  <w:vAlign w:val="center"/>
                </w:tcPr>
                <w:p w14:paraId="5B96438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废气</w:t>
                  </w:r>
                </w:p>
              </w:tc>
              <w:tc>
                <w:tcPr>
                  <w:tcW w:w="1380" w:type="dxa"/>
                  <w:tcBorders>
                    <w:tl2br w:val="nil"/>
                    <w:tr2bl w:val="nil"/>
                  </w:tcBorders>
                  <w:noWrap w:val="0"/>
                  <w:vAlign w:val="center"/>
                </w:tcPr>
                <w:p w14:paraId="6349832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施工扬尘</w:t>
                  </w:r>
                </w:p>
              </w:tc>
              <w:tc>
                <w:tcPr>
                  <w:tcW w:w="3668" w:type="dxa"/>
                  <w:tcBorders>
                    <w:tl2br w:val="nil"/>
                    <w:tr2bl w:val="nil"/>
                  </w:tcBorders>
                  <w:noWrap w:val="0"/>
                  <w:vAlign w:val="center"/>
                </w:tcPr>
                <w:p w14:paraId="0A38E92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对施工道路、施工作业面、材料</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堆存</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点定期洒水抑尘，在大气敏感点两侧设置围挡等措施用以抑制施工扬尘；</w:t>
                  </w:r>
                </w:p>
              </w:tc>
              <w:tc>
                <w:tcPr>
                  <w:tcW w:w="2387" w:type="dxa"/>
                  <w:vMerge w:val="restart"/>
                  <w:tcBorders>
                    <w:tl2br w:val="nil"/>
                    <w:tr2bl w:val="nil"/>
                  </w:tcBorders>
                  <w:noWrap w:val="0"/>
                  <w:vAlign w:val="center"/>
                </w:tcPr>
                <w:p w14:paraId="0FFBEE1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有效减轻其污染影响程度和范围</w:t>
                  </w:r>
                </w:p>
              </w:tc>
            </w:tr>
            <w:tr w14:paraId="08433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vMerge w:val="continue"/>
                  <w:tcBorders>
                    <w:tl2br w:val="nil"/>
                    <w:tr2bl w:val="nil"/>
                  </w:tcBorders>
                  <w:noWrap w:val="0"/>
                  <w:vAlign w:val="center"/>
                </w:tcPr>
                <w:p w14:paraId="1BEC41C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p>
              </w:tc>
              <w:tc>
                <w:tcPr>
                  <w:tcW w:w="1380" w:type="dxa"/>
                  <w:tcBorders>
                    <w:tl2br w:val="nil"/>
                    <w:tr2bl w:val="nil"/>
                  </w:tcBorders>
                  <w:noWrap w:val="0"/>
                  <w:vAlign w:val="center"/>
                </w:tcPr>
                <w:p w14:paraId="63A3ECB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施工机械尾气</w:t>
                  </w:r>
                </w:p>
              </w:tc>
              <w:tc>
                <w:tcPr>
                  <w:tcW w:w="3668" w:type="dxa"/>
                  <w:tcBorders>
                    <w:tl2br w:val="nil"/>
                    <w:tr2bl w:val="nil"/>
                  </w:tcBorders>
                  <w:noWrap w:val="0"/>
                  <w:vAlign w:val="center"/>
                </w:tcPr>
                <w:p w14:paraId="44B39F8F">
                  <w:pPr>
                    <w:pStyle w:val="38"/>
                    <w:keepNext w:val="0"/>
                    <w:keepLines w:val="0"/>
                    <w:pageBreakBefore w:val="0"/>
                    <w:widowControl w:val="0"/>
                    <w:kinsoku/>
                    <w:wordWrap/>
                    <w:overflowPunct/>
                    <w:topLinePunct w:val="0"/>
                    <w:autoSpaceDE/>
                    <w:autoSpaceDN/>
                    <w:bidi w:val="0"/>
                    <w:spacing w:line="240" w:lineRule="exact"/>
                    <w:ind w:left="0" w:leftChars="0" w:firstLine="420" w:firstLineChars="20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运输车辆限速，</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采用合规燃料。</w:t>
                  </w:r>
                </w:p>
              </w:tc>
              <w:tc>
                <w:tcPr>
                  <w:tcW w:w="2387" w:type="dxa"/>
                  <w:vMerge w:val="continue"/>
                  <w:tcBorders>
                    <w:tl2br w:val="nil"/>
                    <w:tr2bl w:val="nil"/>
                  </w:tcBorders>
                  <w:noWrap w:val="0"/>
                  <w:vAlign w:val="center"/>
                </w:tcPr>
                <w:p w14:paraId="22BBA9C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p>
              </w:tc>
            </w:tr>
            <w:tr w14:paraId="1C4E2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vMerge w:val="continue"/>
                  <w:tcBorders>
                    <w:tl2br w:val="nil"/>
                    <w:tr2bl w:val="nil"/>
                  </w:tcBorders>
                  <w:noWrap w:val="0"/>
                  <w:vAlign w:val="center"/>
                </w:tcPr>
                <w:p w14:paraId="1AF6822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p>
              </w:tc>
              <w:tc>
                <w:tcPr>
                  <w:tcW w:w="1380" w:type="dxa"/>
                  <w:tcBorders>
                    <w:tl2br w:val="nil"/>
                    <w:tr2bl w:val="nil"/>
                  </w:tcBorders>
                  <w:noWrap w:val="0"/>
                  <w:vAlign w:val="center"/>
                </w:tcPr>
                <w:p w14:paraId="69D4A74B">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恶臭</w:t>
                  </w:r>
                </w:p>
              </w:tc>
              <w:tc>
                <w:tcPr>
                  <w:tcW w:w="3668" w:type="dxa"/>
                  <w:tcBorders>
                    <w:tl2br w:val="nil"/>
                    <w:tr2bl w:val="nil"/>
                  </w:tcBorders>
                  <w:noWrap w:val="0"/>
                  <w:vAlign w:val="center"/>
                </w:tcPr>
                <w:p w14:paraId="6A705F6A">
                  <w:pPr>
                    <w:pStyle w:val="38"/>
                    <w:keepNext w:val="0"/>
                    <w:keepLines w:val="0"/>
                    <w:pageBreakBefore w:val="0"/>
                    <w:widowControl w:val="0"/>
                    <w:kinsoku/>
                    <w:wordWrap/>
                    <w:overflowPunct/>
                    <w:topLinePunct w:val="0"/>
                    <w:autoSpaceDE/>
                    <w:autoSpaceDN/>
                    <w:bidi w:val="0"/>
                    <w:spacing w:line="240" w:lineRule="exact"/>
                    <w:ind w:left="0" w:leftChars="0" w:firstLine="420" w:firstLineChars="200"/>
                    <w:jc w:val="both"/>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淤泥产生的恶臭通过除臭剂除臭后无组织排放。</w:t>
                  </w:r>
                </w:p>
              </w:tc>
              <w:tc>
                <w:tcPr>
                  <w:tcW w:w="2387" w:type="dxa"/>
                  <w:vMerge w:val="continue"/>
                  <w:tcBorders>
                    <w:tl2br w:val="nil"/>
                    <w:tr2bl w:val="nil"/>
                  </w:tcBorders>
                  <w:noWrap w:val="0"/>
                  <w:vAlign w:val="center"/>
                </w:tcPr>
                <w:p w14:paraId="1C059B5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p>
              </w:tc>
            </w:tr>
            <w:tr w14:paraId="6C934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vMerge w:val="restart"/>
                  <w:tcBorders>
                    <w:tl2br w:val="nil"/>
                    <w:tr2bl w:val="nil"/>
                  </w:tcBorders>
                  <w:noWrap w:val="0"/>
                  <w:vAlign w:val="center"/>
                </w:tcPr>
                <w:p w14:paraId="4D7B872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废水</w:t>
                  </w:r>
                </w:p>
              </w:tc>
              <w:tc>
                <w:tcPr>
                  <w:tcW w:w="1380" w:type="dxa"/>
                  <w:tcBorders>
                    <w:tl2br w:val="nil"/>
                    <w:tr2bl w:val="nil"/>
                  </w:tcBorders>
                  <w:noWrap w:val="0"/>
                  <w:vAlign w:val="center"/>
                </w:tcPr>
                <w:p w14:paraId="588E5F3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生活污水</w:t>
                  </w:r>
                </w:p>
              </w:tc>
              <w:tc>
                <w:tcPr>
                  <w:tcW w:w="3668" w:type="dxa"/>
                  <w:tcBorders>
                    <w:tl2br w:val="nil"/>
                    <w:tr2bl w:val="nil"/>
                  </w:tcBorders>
                  <w:noWrap w:val="0"/>
                  <w:vAlign w:val="center"/>
                </w:tcPr>
                <w:p w14:paraId="6BCBF9D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本项目施工期施工人员生活污水依托租住民房的污水处理措施进行处理。</w:t>
                  </w:r>
                </w:p>
              </w:tc>
              <w:tc>
                <w:tcPr>
                  <w:tcW w:w="2387" w:type="dxa"/>
                  <w:vMerge w:val="restart"/>
                  <w:tcBorders>
                    <w:tl2br w:val="nil"/>
                    <w:tr2bl w:val="nil"/>
                  </w:tcBorders>
                  <w:noWrap w:val="0"/>
                  <w:vAlign w:val="center"/>
                </w:tcPr>
                <w:p w14:paraId="4EBBD54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减少对区域水体环境的影响</w:t>
                  </w:r>
                </w:p>
              </w:tc>
            </w:tr>
            <w:tr w14:paraId="07592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vMerge w:val="continue"/>
                  <w:tcBorders>
                    <w:tl2br w:val="nil"/>
                    <w:tr2bl w:val="nil"/>
                  </w:tcBorders>
                  <w:noWrap w:val="0"/>
                  <w:vAlign w:val="center"/>
                </w:tcPr>
                <w:p w14:paraId="5B4281B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p>
              </w:tc>
              <w:tc>
                <w:tcPr>
                  <w:tcW w:w="1380" w:type="dxa"/>
                  <w:tcBorders>
                    <w:tl2br w:val="nil"/>
                    <w:tr2bl w:val="nil"/>
                  </w:tcBorders>
                  <w:noWrap w:val="0"/>
                  <w:vAlign w:val="center"/>
                </w:tcPr>
                <w:p w14:paraId="2B3A6AA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车辆冲洗废水</w:t>
                  </w:r>
                </w:p>
              </w:tc>
              <w:tc>
                <w:tcPr>
                  <w:tcW w:w="3668" w:type="dxa"/>
                  <w:tcBorders>
                    <w:tl2br w:val="nil"/>
                    <w:tr2bl w:val="nil"/>
                  </w:tcBorders>
                  <w:noWrap w:val="0"/>
                  <w:vAlign w:val="center"/>
                </w:tcPr>
                <w:p w14:paraId="1F2739D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经沉淀池处理后用于洒水抑尘，严禁进入黄河。</w:t>
                  </w:r>
                </w:p>
              </w:tc>
              <w:tc>
                <w:tcPr>
                  <w:tcW w:w="2387" w:type="dxa"/>
                  <w:vMerge w:val="continue"/>
                  <w:tcBorders>
                    <w:tl2br w:val="nil"/>
                    <w:tr2bl w:val="nil"/>
                  </w:tcBorders>
                  <w:noWrap w:val="0"/>
                  <w:vAlign w:val="center"/>
                </w:tcPr>
                <w:p w14:paraId="0C6F38A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p>
              </w:tc>
            </w:tr>
            <w:tr w14:paraId="1EE3E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tcBorders>
                    <w:tl2br w:val="nil"/>
                    <w:tr2bl w:val="nil"/>
                  </w:tcBorders>
                  <w:noWrap w:val="0"/>
                  <w:vAlign w:val="center"/>
                </w:tcPr>
                <w:p w14:paraId="1770D13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噪声</w:t>
                  </w:r>
                </w:p>
              </w:tc>
              <w:tc>
                <w:tcPr>
                  <w:tcW w:w="1380" w:type="dxa"/>
                  <w:tcBorders>
                    <w:tl2br w:val="nil"/>
                    <w:tr2bl w:val="nil"/>
                  </w:tcBorders>
                  <w:noWrap w:val="0"/>
                  <w:vAlign w:val="center"/>
                </w:tcPr>
                <w:p w14:paraId="079F6795">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施工设备及车辆噪声</w:t>
                  </w:r>
                </w:p>
              </w:tc>
              <w:tc>
                <w:tcPr>
                  <w:tcW w:w="3668" w:type="dxa"/>
                  <w:tcBorders>
                    <w:tl2br w:val="nil"/>
                    <w:tr2bl w:val="nil"/>
                  </w:tcBorders>
                  <w:noWrap w:val="0"/>
                  <w:vAlign w:val="center"/>
                </w:tcPr>
                <w:p w14:paraId="593175A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①选用低噪施工机械设备。</w:t>
                  </w:r>
                </w:p>
                <w:p w14:paraId="4E88A52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②合理安排高噪设备施工时间。</w:t>
                  </w:r>
                </w:p>
                <w:p w14:paraId="286F5DC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③</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大气敏感点附近施工段设置围挡，降低对村民的影响</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2387" w:type="dxa"/>
                  <w:tcBorders>
                    <w:tl2br w:val="nil"/>
                    <w:tr2bl w:val="nil"/>
                  </w:tcBorders>
                  <w:noWrap w:val="0"/>
                  <w:vAlign w:val="center"/>
                </w:tcPr>
                <w:p w14:paraId="2AFC125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达到</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《建筑施工噪声排放标准》（GB12523-2025）</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要求</w:t>
                  </w:r>
                </w:p>
              </w:tc>
            </w:tr>
            <w:tr w14:paraId="59BE0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tcBorders>
                    <w:tl2br w:val="nil"/>
                    <w:tr2bl w:val="nil"/>
                  </w:tcBorders>
                  <w:noWrap w:val="0"/>
                  <w:vAlign w:val="center"/>
                </w:tcPr>
                <w:p w14:paraId="64E7CE4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固废</w:t>
                  </w:r>
                </w:p>
              </w:tc>
              <w:tc>
                <w:tcPr>
                  <w:tcW w:w="1380" w:type="dxa"/>
                  <w:tcBorders>
                    <w:tl2br w:val="nil"/>
                    <w:tr2bl w:val="nil"/>
                  </w:tcBorders>
                  <w:noWrap w:val="0"/>
                  <w:vAlign w:val="center"/>
                </w:tcPr>
                <w:p w14:paraId="3874556E">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淤泥</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建筑垃圾</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及生活垃圾</w:t>
                  </w:r>
                </w:p>
              </w:tc>
              <w:tc>
                <w:tcPr>
                  <w:tcW w:w="3668" w:type="dxa"/>
                  <w:tcBorders>
                    <w:tl2br w:val="nil"/>
                    <w:tr2bl w:val="nil"/>
                  </w:tcBorders>
                  <w:noWrap w:val="0"/>
                  <w:vAlign w:val="center"/>
                </w:tcPr>
                <w:p w14:paraId="2F8EF9A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淤泥晾干后集中收集，拉运至其他生态修复治理项目，作为回填材料综合利用；建筑垃圾运至当地政府指定地点堆放；生活垃圾交由环卫部门处置</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2387" w:type="dxa"/>
                  <w:tcBorders>
                    <w:tl2br w:val="nil"/>
                    <w:tr2bl w:val="nil"/>
                  </w:tcBorders>
                  <w:noWrap w:val="0"/>
                  <w:vAlign w:val="center"/>
                </w:tcPr>
                <w:p w14:paraId="04DEA46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有效减少</w:t>
                  </w: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固体废物</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对评价范围的影响，减少项目水土流失</w:t>
                  </w:r>
                </w:p>
              </w:tc>
            </w:tr>
            <w:tr w14:paraId="3D70B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9" w:type="dxa"/>
                  <w:tcBorders>
                    <w:tl2br w:val="nil"/>
                    <w:tr2bl w:val="nil"/>
                  </w:tcBorders>
                  <w:noWrap w:val="0"/>
                  <w:vAlign w:val="center"/>
                </w:tcPr>
                <w:p w14:paraId="22EB100B">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生态</w:t>
                  </w:r>
                </w:p>
              </w:tc>
              <w:tc>
                <w:tcPr>
                  <w:tcW w:w="1380" w:type="dxa"/>
                  <w:tcBorders>
                    <w:tl2br w:val="nil"/>
                    <w:tr2bl w:val="nil"/>
                  </w:tcBorders>
                  <w:noWrap w:val="0"/>
                  <w:vAlign w:val="center"/>
                </w:tcPr>
                <w:p w14:paraId="5B26BDD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工程生态恢复</w:t>
                  </w:r>
                </w:p>
              </w:tc>
              <w:tc>
                <w:tcPr>
                  <w:tcW w:w="3668" w:type="dxa"/>
                  <w:tcBorders>
                    <w:tl2br w:val="nil"/>
                    <w:tr2bl w:val="nil"/>
                  </w:tcBorders>
                  <w:noWrap w:val="0"/>
                  <w:vAlign w:val="center"/>
                </w:tcPr>
                <w:p w14:paraId="38994D2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cs="Times New Roman"/>
                      <w:color w:val="000000" w:themeColor="text1"/>
                      <w:szCs w:val="21"/>
                      <w:highlight w:val="none"/>
                      <w:vertAlign w:val="baseline"/>
                      <w:lang w:val="en-US" w:eastAsia="zh-CN"/>
                      <w14:textFill>
                        <w14:solidFill>
                          <w14:schemeClr w14:val="tx1"/>
                        </w14:solidFill>
                      </w14:textFill>
                    </w:rPr>
                    <w:t>目施工期通过采取防尘网苫盖降低水土流失，施工期严格控制施工范围，不得对周边耕地造成影响</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p>
              </w:tc>
              <w:tc>
                <w:tcPr>
                  <w:tcW w:w="2387" w:type="dxa"/>
                  <w:tcBorders>
                    <w:tl2br w:val="nil"/>
                    <w:tr2bl w:val="nil"/>
                  </w:tcBorders>
                  <w:noWrap w:val="0"/>
                  <w:vAlign w:val="center"/>
                </w:tcPr>
                <w:p w14:paraId="4AC5BF9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w:t>
                  </w:r>
                </w:p>
              </w:tc>
            </w:tr>
          </w:tbl>
          <w:p w14:paraId="5600442D">
            <w:pPr>
              <w:pStyle w:val="63"/>
              <w:bidi w:val="0"/>
              <w:jc w:val="center"/>
              <w:rPr>
                <w:rFonts w:hint="default" w:ascii="Times New Roman" w:hAnsi="Times New Roman" w:eastAsia="黑体" w:cs="Times New Roman"/>
                <w:b w:val="0"/>
                <w:bCs/>
                <w:color w:val="000000" w:themeColor="text1"/>
                <w:kern w:val="44"/>
                <w:sz w:val="24"/>
                <w:szCs w:val="24"/>
                <w:highlight w:val="none"/>
                <w:lang w:val="en-US" w:eastAsia="zh-CN" w:bidi="ar-SA"/>
                <w14:textFill>
                  <w14:solidFill>
                    <w14:schemeClr w14:val="tx1"/>
                  </w14:solidFill>
                </w14:textFill>
              </w:rPr>
            </w:pPr>
            <w:r>
              <w:rPr>
                <w:rFonts w:hint="default" w:ascii="Times New Roman" w:hAnsi="Times New Roman" w:eastAsia="黑体" w:cs="Times New Roman"/>
                <w:b w:val="0"/>
                <w:bCs/>
                <w:color w:val="000000" w:themeColor="text1"/>
                <w:kern w:val="44"/>
                <w:sz w:val="24"/>
                <w:szCs w:val="24"/>
                <w:highlight w:val="none"/>
                <w:lang w:val="en-US" w:eastAsia="zh-CN" w:bidi="ar-SA"/>
                <w14:textFill>
                  <w14:solidFill>
                    <w14:schemeClr w14:val="tx1"/>
                  </w14:solidFill>
                </w14:textFill>
              </w:rPr>
              <w:t>表5-2  环境监测计划</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
              <w:gridCol w:w="795"/>
              <w:gridCol w:w="904"/>
              <w:gridCol w:w="1391"/>
              <w:gridCol w:w="1947"/>
              <w:gridCol w:w="2844"/>
            </w:tblGrid>
            <w:tr w14:paraId="59ABB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 w:type="pct"/>
                  <w:tcBorders>
                    <w:tl2br w:val="nil"/>
                    <w:tr2bl w:val="nil"/>
                  </w:tcBorders>
                  <w:noWrap w:val="0"/>
                  <w:vAlign w:val="center"/>
                </w:tcPr>
                <w:p w14:paraId="21DFB3D1">
                  <w:pPr>
                    <w:adjustRightInd w:val="0"/>
                    <w:snapToGrid w:val="0"/>
                    <w:jc w:val="cente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lang w:eastAsia="zh-CN"/>
                      <w14:textFill>
                        <w14:solidFill>
                          <w14:schemeClr w14:val="tx1"/>
                        </w14:solidFill>
                      </w14:textFill>
                    </w:rPr>
                    <w:t>监测时期</w:t>
                  </w:r>
                </w:p>
              </w:tc>
              <w:tc>
                <w:tcPr>
                  <w:tcW w:w="479" w:type="pct"/>
                  <w:tcBorders>
                    <w:tl2br w:val="nil"/>
                    <w:tr2bl w:val="nil"/>
                  </w:tcBorders>
                  <w:noWrap w:val="0"/>
                  <w:vAlign w:val="center"/>
                </w:tcPr>
                <w:p w14:paraId="5BC93845">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监测内容</w:t>
                  </w:r>
                </w:p>
              </w:tc>
              <w:tc>
                <w:tcPr>
                  <w:tcW w:w="545" w:type="pct"/>
                  <w:tcBorders>
                    <w:tl2br w:val="nil"/>
                    <w:tr2bl w:val="nil"/>
                  </w:tcBorders>
                  <w:noWrap w:val="0"/>
                  <w:vAlign w:val="center"/>
                </w:tcPr>
                <w:p w14:paraId="58570487">
                  <w:pPr>
                    <w:adjustRightInd w:val="0"/>
                    <w:snapToGrid w:val="0"/>
                    <w:jc w:val="cente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lang w:eastAsia="zh-CN"/>
                      <w14:textFill>
                        <w14:solidFill>
                          <w14:schemeClr w14:val="tx1"/>
                        </w14:solidFill>
                      </w14:textFill>
                    </w:rPr>
                    <w:t>指标</w:t>
                  </w:r>
                </w:p>
              </w:tc>
              <w:tc>
                <w:tcPr>
                  <w:tcW w:w="838" w:type="pct"/>
                  <w:tcBorders>
                    <w:tl2br w:val="nil"/>
                    <w:tr2bl w:val="nil"/>
                  </w:tcBorders>
                  <w:noWrap w:val="0"/>
                  <w:vAlign w:val="center"/>
                </w:tcPr>
                <w:p w14:paraId="425431E6">
                  <w:pPr>
                    <w:adjustRightInd w:val="0"/>
                    <w:snapToGrid w:val="0"/>
                    <w:jc w:val="cente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w:t>
                  </w:r>
                  <w:r>
                    <w:rPr>
                      <w:rFonts w:hint="default" w:ascii="Times New Roman" w:hAnsi="Times New Roman" w:cs="Times New Roman"/>
                      <w:b/>
                      <w:bCs/>
                      <w:color w:val="000000" w:themeColor="text1"/>
                      <w:szCs w:val="21"/>
                      <w:highlight w:val="none"/>
                      <w:lang w:eastAsia="zh-CN"/>
                      <w14:textFill>
                        <w14:solidFill>
                          <w14:schemeClr w14:val="tx1"/>
                        </w14:solidFill>
                      </w14:textFill>
                    </w:rPr>
                    <w:t>点位</w:t>
                  </w:r>
                </w:p>
              </w:tc>
              <w:tc>
                <w:tcPr>
                  <w:tcW w:w="1174" w:type="pct"/>
                  <w:tcBorders>
                    <w:tl2br w:val="nil"/>
                    <w:tr2bl w:val="nil"/>
                  </w:tcBorders>
                  <w:noWrap w:val="0"/>
                  <w:vAlign w:val="center"/>
                </w:tcPr>
                <w:p w14:paraId="2A69321A">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监测频次</w:t>
                  </w:r>
                </w:p>
              </w:tc>
              <w:tc>
                <w:tcPr>
                  <w:tcW w:w="1714" w:type="pct"/>
                  <w:tcBorders>
                    <w:tl2br w:val="nil"/>
                    <w:tr2bl w:val="nil"/>
                  </w:tcBorders>
                  <w:noWrap w:val="0"/>
                  <w:vAlign w:val="center"/>
                </w:tcPr>
                <w:p w14:paraId="16213AA2">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执行标准</w:t>
                  </w:r>
                </w:p>
              </w:tc>
            </w:tr>
            <w:tr w14:paraId="79695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47" w:type="pct"/>
                  <w:vMerge w:val="restart"/>
                  <w:tcBorders>
                    <w:tl2br w:val="nil"/>
                    <w:tr2bl w:val="nil"/>
                  </w:tcBorders>
                  <w:noWrap w:val="0"/>
                  <w:vAlign w:val="center"/>
                </w:tcPr>
                <w:p w14:paraId="32817166">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施工期</w:t>
                  </w:r>
                </w:p>
              </w:tc>
              <w:tc>
                <w:tcPr>
                  <w:tcW w:w="479" w:type="pct"/>
                  <w:tcBorders>
                    <w:tl2br w:val="nil"/>
                    <w:tr2bl w:val="nil"/>
                  </w:tcBorders>
                  <w:noWrap w:val="0"/>
                  <w:vAlign w:val="center"/>
                </w:tcPr>
                <w:p w14:paraId="0B0EFC37">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大气</w:t>
                  </w:r>
                </w:p>
              </w:tc>
              <w:tc>
                <w:tcPr>
                  <w:tcW w:w="545" w:type="pct"/>
                  <w:tcBorders>
                    <w:tl2br w:val="nil"/>
                    <w:tr2bl w:val="nil"/>
                  </w:tcBorders>
                  <w:noWrap w:val="0"/>
                  <w:vAlign w:val="center"/>
                </w:tcPr>
                <w:p w14:paraId="32DAB145">
                  <w:pPr>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TSP</w:t>
                  </w:r>
                </w:p>
              </w:tc>
              <w:tc>
                <w:tcPr>
                  <w:tcW w:w="838" w:type="pct"/>
                  <w:vMerge w:val="restart"/>
                  <w:tcBorders>
                    <w:tl2br w:val="nil"/>
                    <w:tr2bl w:val="nil"/>
                  </w:tcBorders>
                  <w:noWrap w:val="0"/>
                  <w:vAlign w:val="center"/>
                </w:tcPr>
                <w:p w14:paraId="644088AC">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施工现场</w:t>
                  </w:r>
                </w:p>
              </w:tc>
              <w:tc>
                <w:tcPr>
                  <w:tcW w:w="1174" w:type="pct"/>
                  <w:tcBorders>
                    <w:tl2br w:val="nil"/>
                    <w:tr2bl w:val="nil"/>
                  </w:tcBorders>
                  <w:noWrap w:val="0"/>
                  <w:vAlign w:val="center"/>
                </w:tcPr>
                <w:p w14:paraId="079B7693">
                  <w:pPr>
                    <w:pStyle w:val="8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高峰期监测1次，每</w:t>
                  </w:r>
                  <w:r>
                    <w:rPr>
                      <w:rFonts w:hint="default" w:ascii="Times New Roman" w:hAnsi="Times New Roman" w:eastAsia="宋体" w:cs="Times New Roman"/>
                      <w:color w:val="000000" w:themeColor="text1"/>
                      <w:sz w:val="21"/>
                      <w:szCs w:val="21"/>
                      <w14:textFill>
                        <w14:solidFill>
                          <w14:schemeClr w14:val="tx1"/>
                        </w14:solidFill>
                      </w14:textFill>
                    </w:rPr>
                    <w:t>次连续监测3天，每</w:t>
                  </w:r>
                  <w:r>
                    <w:rPr>
                      <w:rFonts w:hint="default" w:ascii="Times New Roman" w:hAnsi="Times New Roman" w:eastAsia="宋体" w:cs="Times New Roman"/>
                      <w:color w:val="000000" w:themeColor="text1"/>
                      <w:spacing w:val="15"/>
                      <w:sz w:val="21"/>
                      <w:szCs w:val="21"/>
                      <w14:textFill>
                        <w14:solidFill>
                          <w14:schemeClr w14:val="tx1"/>
                        </w14:solidFill>
                      </w14:textFill>
                    </w:rPr>
                    <w:t>天分4个时段监测</w:t>
                  </w:r>
                </w:p>
              </w:tc>
              <w:tc>
                <w:tcPr>
                  <w:tcW w:w="1714" w:type="pct"/>
                  <w:tcBorders>
                    <w:tl2br w:val="nil"/>
                    <w:tr2bl w:val="nil"/>
                  </w:tcBorders>
                  <w:noWrap w:val="0"/>
                  <w:vAlign w:val="center"/>
                </w:tcPr>
                <w:p w14:paraId="3AE5840D">
                  <w:pPr>
                    <w:wordWrap w:val="0"/>
                    <w:topLinePunct/>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《大气污染物综合排放标准》（GB16297-1996）中“表2无组织排放监控浓度限值标准</w:t>
                  </w:r>
                </w:p>
              </w:tc>
            </w:tr>
            <w:tr w14:paraId="10C2D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47" w:type="pct"/>
                  <w:vMerge w:val="continue"/>
                  <w:tcBorders>
                    <w:tl2br w:val="nil"/>
                    <w:tr2bl w:val="nil"/>
                  </w:tcBorders>
                  <w:noWrap w:val="0"/>
                  <w:vAlign w:val="center"/>
                </w:tcPr>
                <w:p w14:paraId="224CBCC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79" w:type="pct"/>
                  <w:tcBorders>
                    <w:tl2br w:val="nil"/>
                    <w:tr2bl w:val="nil"/>
                  </w:tcBorders>
                  <w:noWrap w:val="0"/>
                  <w:vAlign w:val="center"/>
                </w:tcPr>
                <w:p w14:paraId="07E477A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噪声</w:t>
                  </w:r>
                </w:p>
              </w:tc>
              <w:tc>
                <w:tcPr>
                  <w:tcW w:w="545" w:type="pct"/>
                  <w:tcBorders>
                    <w:tl2br w:val="nil"/>
                    <w:tr2bl w:val="nil"/>
                  </w:tcBorders>
                  <w:noWrap w:val="0"/>
                  <w:vAlign w:val="center"/>
                </w:tcPr>
                <w:p w14:paraId="756F50C1">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14:textFill>
                        <w14:solidFill>
                          <w14:schemeClr w14:val="tx1"/>
                        </w14:solidFill>
                      </w14:textFill>
                    </w:rPr>
                    <w:t>等效连续A声级</w:t>
                  </w:r>
                </w:p>
              </w:tc>
              <w:tc>
                <w:tcPr>
                  <w:tcW w:w="838" w:type="pct"/>
                  <w:vMerge w:val="continue"/>
                  <w:tcBorders>
                    <w:tl2br w:val="nil"/>
                    <w:tr2bl w:val="nil"/>
                  </w:tcBorders>
                  <w:noWrap w:val="0"/>
                  <w:vAlign w:val="center"/>
                </w:tcPr>
                <w:p w14:paraId="096B8E3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174" w:type="pct"/>
                  <w:tcBorders>
                    <w:tl2br w:val="nil"/>
                    <w:tr2bl w:val="nil"/>
                  </w:tcBorders>
                  <w:noWrap w:val="0"/>
                  <w:vAlign w:val="center"/>
                </w:tcPr>
                <w:p w14:paraId="5A7BD9F5">
                  <w:pPr>
                    <w:pStyle w:val="8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pacing w:val="4"/>
                      <w:sz w:val="21"/>
                      <w:szCs w:val="21"/>
                      <w14:textFill>
                        <w14:solidFill>
                          <w14:schemeClr w14:val="tx1"/>
                        </w14:solidFill>
                      </w14:textFill>
                    </w:rPr>
                    <w:t>施工期内至少一次，</w:t>
                  </w:r>
                  <w:r>
                    <w:rPr>
                      <w:rFonts w:hint="default" w:ascii="Times New Roman" w:hAnsi="Times New Roman" w:eastAsia="宋体" w:cs="Times New Roman"/>
                      <w:color w:val="000000" w:themeColor="text1"/>
                      <w:spacing w:val="1"/>
                      <w:sz w:val="21"/>
                      <w:szCs w:val="21"/>
                      <w14:textFill>
                        <w14:solidFill>
                          <w14:schemeClr w14:val="tx1"/>
                        </w14:solidFill>
                      </w14:textFill>
                    </w:rPr>
                    <w:t>监测</w:t>
                  </w:r>
                  <w:r>
                    <w:rPr>
                      <w:rFonts w:hint="default" w:ascii="Times New Roman" w:hAnsi="Times New Roman" w:eastAsia="宋体" w:cs="Times New Roman"/>
                      <w:color w:val="000000" w:themeColor="text1"/>
                      <w:spacing w:val="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1"/>
                      <w:sz w:val="21"/>
                      <w:szCs w:val="21"/>
                      <w14:textFill>
                        <w14:solidFill>
                          <w14:schemeClr w14:val="tx1"/>
                        </w14:solidFill>
                      </w14:textFill>
                    </w:rPr>
                    <w:t>天，</w:t>
                  </w:r>
                  <w:r>
                    <w:rPr>
                      <w:rFonts w:hint="default" w:ascii="Times New Roman" w:hAnsi="Times New Roman" w:eastAsia="宋体" w:cs="Times New Roman"/>
                      <w:color w:val="000000" w:themeColor="text1"/>
                      <w:spacing w:val="14"/>
                      <w:sz w:val="21"/>
                      <w:szCs w:val="21"/>
                      <w14:textFill>
                        <w14:solidFill>
                          <w14:schemeClr w14:val="tx1"/>
                        </w14:solidFill>
                      </w14:textFill>
                    </w:rPr>
                    <w:t>昼、夜间监测1次</w:t>
                  </w:r>
                </w:p>
              </w:tc>
              <w:tc>
                <w:tcPr>
                  <w:tcW w:w="1714" w:type="pct"/>
                  <w:tcBorders>
                    <w:tl2br w:val="nil"/>
                    <w:tr2bl w:val="nil"/>
                  </w:tcBorders>
                  <w:noWrap w:val="0"/>
                  <w:vAlign w:val="center"/>
                </w:tcPr>
                <w:p w14:paraId="7289202C">
                  <w:pPr>
                    <w:wordWrap w:val="0"/>
                    <w:topLinePunct/>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厂界满足《建筑施工噪声排放标准》（GB12523-2025）</w:t>
                  </w:r>
                </w:p>
              </w:tc>
            </w:tr>
            <w:tr w14:paraId="04004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247" w:type="pct"/>
                  <w:vMerge w:val="continue"/>
                  <w:tcBorders>
                    <w:tl2br w:val="nil"/>
                    <w:tr2bl w:val="nil"/>
                  </w:tcBorders>
                  <w:noWrap w:val="0"/>
                  <w:vAlign w:val="center"/>
                </w:tcPr>
                <w:p w14:paraId="6ED17E4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79" w:type="pct"/>
                  <w:tcBorders>
                    <w:tl2br w:val="nil"/>
                    <w:tr2bl w:val="nil"/>
                  </w:tcBorders>
                  <w:noWrap w:val="0"/>
                  <w:vAlign w:val="center"/>
                </w:tcPr>
                <w:p w14:paraId="0170B7F4">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固体废物</w:t>
                  </w:r>
                </w:p>
              </w:tc>
              <w:tc>
                <w:tcPr>
                  <w:tcW w:w="545" w:type="pct"/>
                  <w:tcBorders>
                    <w:tl2br w:val="nil"/>
                    <w:tr2bl w:val="nil"/>
                  </w:tcBorders>
                  <w:noWrap w:val="0"/>
                  <w:vAlign w:val="center"/>
                </w:tcPr>
                <w:p w14:paraId="520A0B8C">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838" w:type="pct"/>
                  <w:tcBorders>
                    <w:tl2br w:val="nil"/>
                    <w:tr2bl w:val="nil"/>
                  </w:tcBorders>
                  <w:noWrap w:val="0"/>
                  <w:vAlign w:val="center"/>
                </w:tcPr>
                <w:p w14:paraId="6C0FADA2">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lang w:eastAsia="zh-CN" w:bidi="ar"/>
                      <w14:textFill>
                        <w14:solidFill>
                          <w14:schemeClr w14:val="tx1"/>
                        </w14:solidFill>
                      </w14:textFill>
                    </w:rPr>
                    <w:t>记录</w:t>
                  </w:r>
                  <w:r>
                    <w:rPr>
                      <w:rFonts w:hint="default" w:ascii="Times New Roman" w:hAnsi="Times New Roman" w:cs="Times New Roman"/>
                      <w:color w:val="000000" w:themeColor="text1"/>
                      <w:kern w:val="0"/>
                      <w:szCs w:val="21"/>
                      <w:highlight w:val="none"/>
                      <w:lang w:bidi="ar"/>
                      <w14:textFill>
                        <w14:solidFill>
                          <w14:schemeClr w14:val="tx1"/>
                        </w14:solidFill>
                      </w14:textFill>
                    </w:rPr>
                    <w:t>生活垃圾、</w:t>
                  </w:r>
                  <w:r>
                    <w:rPr>
                      <w:rFonts w:hint="default" w:ascii="Times New Roman" w:hAnsi="Times New Roman" w:cs="Times New Roman"/>
                      <w:color w:val="000000" w:themeColor="text1"/>
                      <w:kern w:val="0"/>
                      <w:szCs w:val="21"/>
                      <w:highlight w:val="none"/>
                      <w:lang w:eastAsia="zh-CN" w:bidi="ar"/>
                      <w14:textFill>
                        <w14:solidFill>
                          <w14:schemeClr w14:val="tx1"/>
                        </w14:solidFill>
                      </w14:textFill>
                    </w:rPr>
                    <w:t>土石方产生量、建筑垃圾产生量</w:t>
                  </w:r>
                </w:p>
              </w:tc>
              <w:tc>
                <w:tcPr>
                  <w:tcW w:w="1174" w:type="pct"/>
                  <w:tcBorders>
                    <w:tl2br w:val="nil"/>
                    <w:tr2bl w:val="nil"/>
                  </w:tcBorders>
                  <w:noWrap w:val="0"/>
                  <w:vAlign w:val="center"/>
                </w:tcPr>
                <w:p w14:paraId="01A1A728">
                  <w:pPr>
                    <w:wordWrap w:val="0"/>
                    <w:topLinePunct/>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每</w:t>
                  </w:r>
                  <w:r>
                    <w:rPr>
                      <w:rFonts w:hint="default" w:ascii="Times New Roman" w:hAnsi="Times New Roman" w:cs="Times New Roman"/>
                      <w:color w:val="000000" w:themeColor="text1"/>
                      <w:szCs w:val="21"/>
                      <w:highlight w:val="none"/>
                      <w:lang w:eastAsia="zh-CN"/>
                      <w14:textFill>
                        <w14:solidFill>
                          <w14:schemeClr w14:val="tx1"/>
                        </w14:solidFill>
                      </w14:textFill>
                    </w:rPr>
                    <w:t>天进行统计</w:t>
                  </w:r>
                </w:p>
              </w:tc>
              <w:tc>
                <w:tcPr>
                  <w:tcW w:w="1714" w:type="pct"/>
                  <w:tcBorders>
                    <w:tl2br w:val="nil"/>
                    <w:tr2bl w:val="nil"/>
                  </w:tcBorders>
                  <w:noWrap w:val="0"/>
                  <w:vAlign w:val="center"/>
                </w:tcPr>
                <w:p w14:paraId="34863BF1">
                  <w:pPr>
                    <w:wordWrap w:val="0"/>
                    <w:topLinePunct/>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一般工业固体废物贮存应满足防渗漏、防雨淋、防扬尘三防措施要求</w:t>
                  </w:r>
                </w:p>
              </w:tc>
            </w:tr>
            <w:tr w14:paraId="6A098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247" w:type="pct"/>
                  <w:vMerge w:val="continue"/>
                  <w:tcBorders>
                    <w:tl2br w:val="nil"/>
                    <w:tr2bl w:val="nil"/>
                  </w:tcBorders>
                  <w:noWrap w:val="0"/>
                  <w:vAlign w:val="center"/>
                </w:tcPr>
                <w:p w14:paraId="01C4A20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79" w:type="pct"/>
                  <w:tcBorders>
                    <w:tl2br w:val="nil"/>
                    <w:tr2bl w:val="nil"/>
                  </w:tcBorders>
                  <w:noWrap w:val="0"/>
                  <w:vAlign w:val="center"/>
                </w:tcPr>
                <w:p w14:paraId="5F1C6C38">
                  <w:pPr>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生态环境</w:t>
                  </w:r>
                </w:p>
              </w:tc>
              <w:tc>
                <w:tcPr>
                  <w:tcW w:w="545" w:type="pct"/>
                  <w:tcBorders>
                    <w:tl2br w:val="nil"/>
                    <w:tr2bl w:val="nil"/>
                  </w:tcBorders>
                  <w:noWrap w:val="0"/>
                  <w:vAlign w:val="center"/>
                </w:tcPr>
                <w:p w14:paraId="480602F3">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水土流失等</w:t>
                  </w:r>
                </w:p>
              </w:tc>
              <w:tc>
                <w:tcPr>
                  <w:tcW w:w="838" w:type="pct"/>
                  <w:tcBorders>
                    <w:tl2br w:val="nil"/>
                    <w:tr2bl w:val="nil"/>
                  </w:tcBorders>
                  <w:noWrap w:val="0"/>
                  <w:vAlign w:val="center"/>
                </w:tcPr>
                <w:p w14:paraId="4F6086BD">
                  <w:pPr>
                    <w:adjustRightInd w:val="0"/>
                    <w:snapToGrid w:val="0"/>
                    <w:jc w:val="center"/>
                    <w:rPr>
                      <w:rFonts w:hint="default" w:ascii="Times New Roman" w:hAnsi="Times New Roman" w:cs="Times New Roman"/>
                      <w:color w:val="000000" w:themeColor="text1"/>
                      <w:kern w:val="0"/>
                      <w:szCs w:val="21"/>
                      <w:highlight w:val="none"/>
                      <w:lang w:val="en-US" w:eastAsia="zh-CN" w:bidi="ar"/>
                      <w14:textFill>
                        <w14:solidFill>
                          <w14:schemeClr w14:val="tx1"/>
                        </w14:solidFill>
                      </w14:textFill>
                    </w:rPr>
                  </w:pPr>
                  <w:r>
                    <w:rPr>
                      <w:rFonts w:hint="eastAsia" w:cs="Times New Roman"/>
                      <w:color w:val="000000" w:themeColor="text1"/>
                      <w:kern w:val="0"/>
                      <w:szCs w:val="21"/>
                      <w:highlight w:val="none"/>
                      <w:lang w:val="en-US" w:eastAsia="zh-CN" w:bidi="ar"/>
                      <w14:textFill>
                        <w14:solidFill>
                          <w14:schemeClr w14:val="tx1"/>
                        </w14:solidFill>
                      </w14:textFill>
                    </w:rPr>
                    <w:t>/</w:t>
                  </w:r>
                </w:p>
              </w:tc>
              <w:tc>
                <w:tcPr>
                  <w:tcW w:w="1174" w:type="pct"/>
                  <w:tcBorders>
                    <w:tl2br w:val="nil"/>
                    <w:tr2bl w:val="nil"/>
                  </w:tcBorders>
                  <w:noWrap w:val="0"/>
                  <w:vAlign w:val="center"/>
                </w:tcPr>
                <w:p w14:paraId="6AB594B4">
                  <w:pPr>
                    <w:wordWrap w:val="0"/>
                    <w:topLinePunct/>
                    <w:adjustRightInd w:val="0"/>
                    <w:snapToGrid w:val="0"/>
                    <w:jc w:val="center"/>
                    <w:rPr>
                      <w:rFonts w:hint="default" w:ascii="Times New Roman" w:hAnsi="Times New Roman"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在每个施工段进行监测</w:t>
                  </w:r>
                </w:p>
              </w:tc>
              <w:tc>
                <w:tcPr>
                  <w:tcW w:w="1714" w:type="pct"/>
                  <w:tcBorders>
                    <w:tl2br w:val="nil"/>
                    <w:tr2bl w:val="nil"/>
                  </w:tcBorders>
                  <w:noWrap w:val="0"/>
                  <w:vAlign w:val="center"/>
                </w:tcPr>
                <w:p w14:paraId="180B2A66">
                  <w:pPr>
                    <w:wordWrap w:val="0"/>
                    <w:topLinePunct/>
                    <w:adjustRightInd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r>
          </w:tbl>
          <w:p w14:paraId="73E23F62">
            <w:pPr>
              <w:adjustRightInd w:val="0"/>
              <w:spacing w:line="360" w:lineRule="auto"/>
              <w:ind w:firstLine="440" w:firstLineChars="200"/>
              <w:rPr>
                <w:rFonts w:hint="default" w:ascii="Times New Roman" w:hAnsi="Times New Roman" w:eastAsia="仿宋_GB2312" w:cs="Times New Roman"/>
                <w:bCs/>
                <w:color w:val="000000" w:themeColor="text1"/>
                <w:spacing w:val="-10"/>
                <w:sz w:val="24"/>
                <w:highlight w:val="none"/>
                <w14:textFill>
                  <w14:solidFill>
                    <w14:schemeClr w14:val="tx1"/>
                  </w14:solidFill>
                </w14:textFill>
              </w:rPr>
            </w:pPr>
          </w:p>
        </w:tc>
      </w:tr>
      <w:tr w14:paraId="12B49B4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7" w:type="dxa"/>
            <w:tcBorders>
              <w:tl2br w:val="nil"/>
              <w:tr2bl w:val="nil"/>
            </w:tcBorders>
            <w:tcMar>
              <w:left w:w="28" w:type="dxa"/>
              <w:right w:w="28" w:type="dxa"/>
            </w:tcMar>
            <w:vAlign w:val="center"/>
          </w:tcPr>
          <w:p w14:paraId="6B9D8B53">
            <w:pPr>
              <w:adjustRightInd w:val="0"/>
              <w:snapToGrid w:val="0"/>
              <w:jc w:val="center"/>
              <w:rPr>
                <w:rFonts w:hint="default" w:ascii="Times New Roman" w:hAnsi="Times New Roman"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环保投资</w:t>
            </w:r>
          </w:p>
        </w:tc>
        <w:tc>
          <w:tcPr>
            <w:tcW w:w="8511" w:type="dxa"/>
            <w:tcBorders>
              <w:tl2br w:val="nil"/>
              <w:tr2bl w:val="nil"/>
            </w:tcBorders>
            <w:vAlign w:val="center"/>
          </w:tcPr>
          <w:p w14:paraId="17257CAE">
            <w:pPr>
              <w:adjustRightInd w:val="0"/>
              <w:spacing w:line="360" w:lineRule="auto"/>
              <w:ind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本工程总投资</w:t>
            </w:r>
            <w:r>
              <w:rPr>
                <w:rFonts w:hint="default" w:ascii="Times New Roman" w:hAnsi="Times New Roman" w:cs="Times New Roman"/>
                <w:color w:val="000000" w:themeColor="text1"/>
                <w:sz w:val="24"/>
                <w:highlight w:val="none"/>
                <w:lang w:val="en-US" w:eastAsia="zh-CN"/>
                <w14:textFill>
                  <w14:solidFill>
                    <w14:schemeClr w14:val="tx1"/>
                  </w14:solidFill>
                </w14:textFill>
              </w:rPr>
              <w:t>371.7</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万元，项目建成后将</w:t>
            </w:r>
            <w:r>
              <w:rPr>
                <w:rFonts w:hint="default" w:ascii="Times New Roman" w:hAnsi="Times New Roman" w:cs="Times New Roman" w:eastAsiaTheme="minorEastAsia"/>
                <w:color w:val="000000" w:themeColor="text1"/>
                <w:sz w:val="24"/>
                <w:szCs w:val="20"/>
                <w:highlight w:val="none"/>
                <w:lang w:val="en-US" w:eastAsia="zh-CN" w:bidi="en-US"/>
                <w14:textFill>
                  <w14:solidFill>
                    <w14:schemeClr w14:val="tx1"/>
                  </w14:solidFill>
                </w14:textFill>
              </w:rPr>
              <w:t>提高沟道防洪减灾能力，兼顾改善沟道生态环境，保障区域防洪安全。</w:t>
            </w:r>
            <w: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t>项目属于环保项目，因此全部为环保投资。</w:t>
            </w:r>
            <w:r>
              <w:rPr>
                <w:rFonts w:hint="default" w:ascii="Times New Roman" w:hAnsi="Times New Roman" w:cs="Times New Roman"/>
                <w:color w:val="000000" w:themeColor="text1"/>
                <w:sz w:val="24"/>
                <w:szCs w:val="24"/>
                <w:highlight w:val="none"/>
                <w14:textFill>
                  <w14:solidFill>
                    <w14:schemeClr w14:val="tx1"/>
                  </w14:solidFill>
                </w14:textFill>
              </w:rPr>
              <w:t>项目环保投资分项见表5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w:t>
            </w:r>
          </w:p>
          <w:p w14:paraId="367D2836">
            <w:pPr>
              <w:pStyle w:val="10"/>
              <w:keepNext w:val="0"/>
              <w:keepLines w:val="0"/>
              <w:pageBreakBefore w:val="0"/>
              <w:widowControl w:val="0"/>
              <w:kinsoku/>
              <w:wordWrap/>
              <w:overflowPunct/>
              <w:topLinePunct w:val="0"/>
              <w:autoSpaceDE/>
              <w:autoSpaceDN/>
              <w:bidi w:val="0"/>
              <w:adjustRightInd w:val="0"/>
              <w:snapToGrid w:val="0"/>
              <w:spacing w:after="0" w:line="288" w:lineRule="auto"/>
              <w:ind w:left="0" w:leftChars="0" w:firstLine="0" w:firstLineChars="0"/>
              <w:jc w:val="center"/>
              <w:textAlignment w:val="auto"/>
              <w:rPr>
                <w:rFonts w:hint="default" w:ascii="Times New Roman" w:hAnsi="Times New Roman" w:eastAsia="黑体" w:cs="Times New Roman"/>
                <w:b w:val="0"/>
                <w:bCs w:val="0"/>
                <w:color w:val="000000" w:themeColor="text1"/>
                <w:kern w:val="2"/>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kern w:val="2"/>
                <w:sz w:val="24"/>
                <w:szCs w:val="24"/>
                <w:lang w:val="en-US" w:eastAsia="zh-CN"/>
                <w14:textFill>
                  <w14:solidFill>
                    <w14:schemeClr w14:val="tx1"/>
                  </w14:solidFill>
                </w14:textFill>
              </w:rPr>
              <w:t>表5-</w:t>
            </w:r>
            <w:r>
              <w:rPr>
                <w:rFonts w:hint="eastAsia" w:ascii="Times New Roman" w:hAnsi="Times New Roman" w:eastAsia="黑体" w:cs="Times New Roman"/>
                <w:b w:val="0"/>
                <w:bCs w:val="0"/>
                <w:color w:val="000000" w:themeColor="text1"/>
                <w:kern w:val="2"/>
                <w:sz w:val="24"/>
                <w:szCs w:val="24"/>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kern w:val="2"/>
                <w:sz w:val="24"/>
                <w:szCs w:val="24"/>
                <w:lang w:val="en-US" w:eastAsia="zh-CN"/>
                <w14:textFill>
                  <w14:solidFill>
                    <w14:schemeClr w14:val="tx1"/>
                  </w14:solidFill>
                </w14:textFill>
              </w:rPr>
              <w:t xml:space="preserve">  项目环保投资一览表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90"/>
              <w:gridCol w:w="909"/>
              <w:gridCol w:w="1284"/>
              <w:gridCol w:w="3047"/>
              <w:gridCol w:w="1373"/>
              <w:gridCol w:w="1089"/>
            </w:tblGrid>
            <w:tr w14:paraId="6189FF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5" w:type="pct"/>
                  <w:tcBorders>
                    <w:tl2br w:val="nil"/>
                    <w:tr2bl w:val="nil"/>
                  </w:tcBorders>
                  <w:noWrap w:val="0"/>
                  <w:vAlign w:val="center"/>
                </w:tcPr>
                <w:p w14:paraId="2DED5C6C">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时</w:t>
                  </w:r>
                </w:p>
                <w:p w14:paraId="2D1493C4">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段</w:t>
                  </w:r>
                </w:p>
              </w:tc>
              <w:tc>
                <w:tcPr>
                  <w:tcW w:w="548" w:type="pct"/>
                  <w:tcBorders>
                    <w:tl2br w:val="nil"/>
                    <w:tr2bl w:val="nil"/>
                  </w:tcBorders>
                  <w:noWrap w:val="0"/>
                  <w:vAlign w:val="center"/>
                </w:tcPr>
                <w:p w14:paraId="51D50653">
                  <w:pPr>
                    <w:adjustRightInd w:val="0"/>
                    <w:snapToGrid w:val="0"/>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污染</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类型</w:t>
                  </w:r>
                </w:p>
              </w:tc>
              <w:tc>
                <w:tcPr>
                  <w:tcW w:w="774" w:type="pct"/>
                  <w:tcBorders>
                    <w:tl2br w:val="nil"/>
                    <w:tr2bl w:val="nil"/>
                  </w:tcBorders>
                  <w:noWrap w:val="0"/>
                  <w:vAlign w:val="center"/>
                </w:tcPr>
                <w:p w14:paraId="1F12F09E">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污染物</w:t>
                  </w:r>
                </w:p>
              </w:tc>
              <w:tc>
                <w:tcPr>
                  <w:tcW w:w="1837" w:type="pct"/>
                  <w:tcBorders>
                    <w:tl2br w:val="nil"/>
                    <w:tr2bl w:val="nil"/>
                  </w:tcBorders>
                  <w:noWrap w:val="0"/>
                  <w:vAlign w:val="center"/>
                </w:tcPr>
                <w:p w14:paraId="2792C477">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环保措施</w:t>
                  </w:r>
                </w:p>
              </w:tc>
              <w:tc>
                <w:tcPr>
                  <w:tcW w:w="827" w:type="pct"/>
                  <w:tcBorders>
                    <w:tl2br w:val="nil"/>
                    <w:tr2bl w:val="nil"/>
                  </w:tcBorders>
                  <w:noWrap w:val="0"/>
                  <w:vAlign w:val="center"/>
                </w:tcPr>
                <w:p w14:paraId="4855B955">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数量</w:t>
                  </w:r>
                </w:p>
              </w:tc>
              <w:tc>
                <w:tcPr>
                  <w:tcW w:w="656" w:type="pct"/>
                  <w:tcBorders>
                    <w:tl2br w:val="nil"/>
                    <w:tr2bl w:val="nil"/>
                  </w:tcBorders>
                  <w:noWrap w:val="0"/>
                  <w:vAlign w:val="center"/>
                </w:tcPr>
                <w:p w14:paraId="0C582AB0">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投资</w:t>
                  </w:r>
                </w:p>
                <w:p w14:paraId="3224CA83">
                  <w:pPr>
                    <w:adjustRightInd w:val="0"/>
                    <w:snapToGrid w:val="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（万元）</w:t>
                  </w:r>
                </w:p>
              </w:tc>
            </w:tr>
            <w:tr w14:paraId="3562D4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5" w:type="pct"/>
                  <w:vMerge w:val="restart"/>
                  <w:tcBorders>
                    <w:tl2br w:val="nil"/>
                    <w:tr2bl w:val="nil"/>
                  </w:tcBorders>
                  <w:noWrap w:val="0"/>
                  <w:vAlign w:val="center"/>
                </w:tcPr>
                <w:p w14:paraId="29DCAA46">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施</w:t>
                  </w:r>
                </w:p>
                <w:p w14:paraId="5A65FCDC">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工</w:t>
                  </w:r>
                </w:p>
                <w:p w14:paraId="2D5198C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期</w:t>
                  </w:r>
                </w:p>
              </w:tc>
              <w:tc>
                <w:tcPr>
                  <w:tcW w:w="3987" w:type="pct"/>
                  <w:gridSpan w:val="4"/>
                  <w:tcBorders>
                    <w:tl2br w:val="nil"/>
                    <w:tr2bl w:val="nil"/>
                  </w:tcBorders>
                  <w:noWrap w:val="0"/>
                  <w:vAlign w:val="center"/>
                </w:tcPr>
                <w:p w14:paraId="3F3936F3">
                  <w:pPr>
                    <w:adjustRightInd w:val="0"/>
                    <w:snapToGrid w:val="0"/>
                    <w:jc w:val="center"/>
                    <w:rPr>
                      <w:rFonts w:hint="default" w:ascii="Times New Roman" w:cs="Times New Roman"/>
                      <w:color w:val="000000" w:themeColor="text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Cs w:val="21"/>
                      <w:highlight w:val="none"/>
                      <w:vertAlign w:val="baseline"/>
                      <w:lang w:val="en-US" w:eastAsia="zh-CN"/>
                      <w14:textFill>
                        <w14:solidFill>
                          <w14:schemeClr w14:val="tx1"/>
                        </w14:solidFill>
                      </w14:textFill>
                    </w:rPr>
                    <w:t>本项目主要进行沟道清淤、边坡砌护，建设1座视频水位一体化监测站</w:t>
                  </w:r>
                </w:p>
              </w:tc>
              <w:tc>
                <w:tcPr>
                  <w:tcW w:w="656" w:type="pct"/>
                  <w:tcBorders>
                    <w:tl2br w:val="nil"/>
                    <w:tr2bl w:val="nil"/>
                  </w:tcBorders>
                  <w:noWrap w:val="0"/>
                  <w:vAlign w:val="center"/>
                </w:tcPr>
                <w:p w14:paraId="66B3598C">
                  <w:pPr>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320</w:t>
                  </w:r>
                </w:p>
              </w:tc>
            </w:tr>
            <w:tr w14:paraId="2EA38A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5" w:type="pct"/>
                  <w:vMerge w:val="continue"/>
                  <w:tcBorders>
                    <w:tl2br w:val="nil"/>
                    <w:tr2bl w:val="nil"/>
                  </w:tcBorders>
                  <w:noWrap w:val="0"/>
                  <w:vAlign w:val="center"/>
                </w:tcPr>
                <w:p w14:paraId="499F33A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322" w:type="pct"/>
                  <w:gridSpan w:val="2"/>
                  <w:tcBorders>
                    <w:tl2br w:val="nil"/>
                    <w:tr2bl w:val="nil"/>
                  </w:tcBorders>
                  <w:noWrap w:val="0"/>
                  <w:vAlign w:val="center"/>
                </w:tcPr>
                <w:p w14:paraId="3C1FD9E4">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生态环境</w:t>
                  </w:r>
                </w:p>
              </w:tc>
              <w:tc>
                <w:tcPr>
                  <w:tcW w:w="2665" w:type="pct"/>
                  <w:gridSpan w:val="2"/>
                  <w:tcBorders>
                    <w:tl2br w:val="nil"/>
                    <w:tr2bl w:val="nil"/>
                  </w:tcBorders>
                  <w:noWrap w:val="0"/>
                  <w:vAlign w:val="center"/>
                </w:tcPr>
                <w:p w14:paraId="06DA1E0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cs="Times New Roman"/>
                      <w:color w:val="000000" w:themeColor="text1"/>
                      <w:szCs w:val="21"/>
                      <w:highlight w:val="none"/>
                      <w:vertAlign w:val="baseline"/>
                      <w:lang w:val="en-US" w:eastAsia="zh-CN"/>
                      <w14:textFill>
                        <w14:solidFill>
                          <w14:schemeClr w14:val="tx1"/>
                        </w14:solidFill>
                      </w14:textFill>
                    </w:rPr>
                    <w:t>项目施工期通过采取防尘网苫盖降低水土流失，施工期严格控制施工范围，不得对周边耕地造成影响</w:t>
                  </w:r>
                </w:p>
              </w:tc>
              <w:tc>
                <w:tcPr>
                  <w:tcW w:w="656" w:type="pct"/>
                  <w:tcBorders>
                    <w:tl2br w:val="nil"/>
                    <w:tr2bl w:val="nil"/>
                  </w:tcBorders>
                  <w:noWrap w:val="0"/>
                  <w:vAlign w:val="center"/>
                </w:tcPr>
                <w:p w14:paraId="4E9BD6FC">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Cs w:val="21"/>
                      <w:highlight w:val="none"/>
                      <w14:textFill>
                        <w14:solidFill>
                          <w14:schemeClr w14:val="tx1"/>
                        </w14:solidFill>
                      </w14:textFill>
                    </w:rPr>
                    <w:t>0</w:t>
                  </w:r>
                </w:p>
              </w:tc>
            </w:tr>
            <w:tr w14:paraId="7BF960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7" w:hRule="atLeast"/>
                <w:jc w:val="center"/>
              </w:trPr>
              <w:tc>
                <w:tcPr>
                  <w:tcW w:w="355" w:type="pct"/>
                  <w:vMerge w:val="continue"/>
                  <w:tcBorders>
                    <w:tl2br w:val="nil"/>
                    <w:tr2bl w:val="nil"/>
                  </w:tcBorders>
                  <w:noWrap w:val="0"/>
                  <w:vAlign w:val="center"/>
                </w:tcPr>
                <w:p w14:paraId="6121734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48" w:type="pct"/>
                  <w:vMerge w:val="restart"/>
                  <w:tcBorders>
                    <w:tl2br w:val="nil"/>
                    <w:tr2bl w:val="nil"/>
                  </w:tcBorders>
                  <w:noWrap w:val="0"/>
                  <w:vAlign w:val="center"/>
                </w:tcPr>
                <w:p w14:paraId="4FBB5B01">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废气</w:t>
                  </w:r>
                </w:p>
              </w:tc>
              <w:tc>
                <w:tcPr>
                  <w:tcW w:w="774" w:type="pct"/>
                  <w:tcBorders>
                    <w:tl2br w:val="nil"/>
                    <w:tr2bl w:val="nil"/>
                  </w:tcBorders>
                  <w:noWrap w:val="0"/>
                  <w:vAlign w:val="center"/>
                </w:tcPr>
                <w:p w14:paraId="157DF311">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扬尘</w:t>
                  </w:r>
                </w:p>
              </w:tc>
              <w:tc>
                <w:tcPr>
                  <w:tcW w:w="1837" w:type="pct"/>
                  <w:vMerge w:val="restart"/>
                  <w:tcBorders>
                    <w:tl2br w:val="nil"/>
                    <w:tr2bl w:val="nil"/>
                  </w:tcBorders>
                  <w:noWrap w:val="0"/>
                  <w:vAlign w:val="center"/>
                </w:tcPr>
                <w:p w14:paraId="42F66407">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洒水</w:t>
                  </w:r>
                  <w:r>
                    <w:rPr>
                      <w:rFonts w:hint="default" w:ascii="Times New Roman" w:hAnsi="Times New Roman" w:cs="Times New Roman"/>
                      <w:color w:val="000000" w:themeColor="text1"/>
                      <w:szCs w:val="21"/>
                      <w:highlight w:val="none"/>
                      <w:lang w:eastAsia="zh-CN"/>
                      <w14:textFill>
                        <w14:solidFill>
                          <w14:schemeClr w14:val="tx1"/>
                        </w14:solidFill>
                      </w14:textFill>
                    </w:rPr>
                    <w:t>抑尘、防尘网苫盖，施工机械定期检修</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除臭剂除臭</w:t>
                  </w:r>
                </w:p>
              </w:tc>
              <w:tc>
                <w:tcPr>
                  <w:tcW w:w="827" w:type="pct"/>
                  <w:vMerge w:val="restart"/>
                  <w:tcBorders>
                    <w:tl2br w:val="nil"/>
                    <w:tr2bl w:val="nil"/>
                  </w:tcBorders>
                  <w:noWrap w:val="0"/>
                  <w:vAlign w:val="center"/>
                </w:tcPr>
                <w:p w14:paraId="0F99CFD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656" w:type="pct"/>
                  <w:vMerge w:val="restart"/>
                  <w:tcBorders>
                    <w:tl2br w:val="nil"/>
                    <w:tr2bl w:val="nil"/>
                  </w:tcBorders>
                  <w:noWrap w:val="0"/>
                  <w:vAlign w:val="center"/>
                </w:tcPr>
                <w:p w14:paraId="4FFBDF6C">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20</w:t>
                  </w:r>
                </w:p>
              </w:tc>
            </w:tr>
            <w:tr w14:paraId="79F2CA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2" w:hRule="atLeast"/>
                <w:jc w:val="center"/>
              </w:trPr>
              <w:tc>
                <w:tcPr>
                  <w:tcW w:w="355" w:type="pct"/>
                  <w:vMerge w:val="continue"/>
                  <w:tcBorders>
                    <w:tl2br w:val="nil"/>
                    <w:tr2bl w:val="nil"/>
                  </w:tcBorders>
                  <w:noWrap w:val="0"/>
                  <w:vAlign w:val="center"/>
                </w:tcPr>
                <w:p w14:paraId="37C44F2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48" w:type="pct"/>
                  <w:vMerge w:val="continue"/>
                  <w:tcBorders>
                    <w:tl2br w:val="nil"/>
                    <w:tr2bl w:val="nil"/>
                  </w:tcBorders>
                  <w:noWrap w:val="0"/>
                  <w:vAlign w:val="center"/>
                </w:tcPr>
                <w:p w14:paraId="0E84C8A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74" w:type="pct"/>
                  <w:tcBorders>
                    <w:tl2br w:val="nil"/>
                    <w:tr2bl w:val="nil"/>
                  </w:tcBorders>
                  <w:noWrap w:val="0"/>
                  <w:vAlign w:val="center"/>
                </w:tcPr>
                <w:p w14:paraId="07605A78">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施工机械尾气</w:t>
                  </w:r>
                </w:p>
              </w:tc>
              <w:tc>
                <w:tcPr>
                  <w:tcW w:w="1837" w:type="pct"/>
                  <w:vMerge w:val="continue"/>
                  <w:tcBorders>
                    <w:tl2br w:val="nil"/>
                    <w:tr2bl w:val="nil"/>
                  </w:tcBorders>
                  <w:noWrap w:val="0"/>
                  <w:vAlign w:val="center"/>
                </w:tcPr>
                <w:p w14:paraId="2323D2EE">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827" w:type="pct"/>
                  <w:vMerge w:val="continue"/>
                  <w:tcBorders>
                    <w:tl2br w:val="nil"/>
                    <w:tr2bl w:val="nil"/>
                  </w:tcBorders>
                  <w:noWrap w:val="0"/>
                  <w:vAlign w:val="center"/>
                </w:tcPr>
                <w:p w14:paraId="4E4FEDD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56" w:type="pct"/>
                  <w:vMerge w:val="continue"/>
                  <w:tcBorders>
                    <w:tl2br w:val="nil"/>
                    <w:tr2bl w:val="nil"/>
                  </w:tcBorders>
                  <w:noWrap w:val="0"/>
                  <w:vAlign w:val="center"/>
                </w:tcPr>
                <w:p w14:paraId="7F0B4765">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7A19FE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2" w:hRule="atLeast"/>
                <w:jc w:val="center"/>
              </w:trPr>
              <w:tc>
                <w:tcPr>
                  <w:tcW w:w="355" w:type="pct"/>
                  <w:vMerge w:val="continue"/>
                  <w:tcBorders>
                    <w:tl2br w:val="nil"/>
                    <w:tr2bl w:val="nil"/>
                  </w:tcBorders>
                  <w:noWrap w:val="0"/>
                  <w:vAlign w:val="center"/>
                </w:tcPr>
                <w:p w14:paraId="1424989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48" w:type="pct"/>
                  <w:vMerge w:val="continue"/>
                  <w:tcBorders>
                    <w:tl2br w:val="nil"/>
                    <w:tr2bl w:val="nil"/>
                  </w:tcBorders>
                  <w:noWrap w:val="0"/>
                  <w:vAlign w:val="center"/>
                </w:tcPr>
                <w:p w14:paraId="574E0AA2">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74" w:type="pct"/>
                  <w:tcBorders>
                    <w:tl2br w:val="nil"/>
                    <w:tr2bl w:val="nil"/>
                  </w:tcBorders>
                  <w:noWrap w:val="0"/>
                  <w:vAlign w:val="center"/>
                </w:tcPr>
                <w:p w14:paraId="12B2817F">
                  <w:pPr>
                    <w:adjustRightInd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淤泥恶臭</w:t>
                  </w:r>
                </w:p>
              </w:tc>
              <w:tc>
                <w:tcPr>
                  <w:tcW w:w="1837" w:type="pct"/>
                  <w:vMerge w:val="continue"/>
                  <w:tcBorders>
                    <w:tl2br w:val="nil"/>
                    <w:tr2bl w:val="nil"/>
                  </w:tcBorders>
                  <w:noWrap w:val="0"/>
                  <w:vAlign w:val="center"/>
                </w:tcPr>
                <w:p w14:paraId="29EE1A5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827" w:type="pct"/>
                  <w:vMerge w:val="continue"/>
                  <w:tcBorders>
                    <w:tl2br w:val="nil"/>
                    <w:tr2bl w:val="nil"/>
                  </w:tcBorders>
                  <w:noWrap w:val="0"/>
                  <w:vAlign w:val="center"/>
                </w:tcPr>
                <w:p w14:paraId="4397593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56" w:type="pct"/>
                  <w:vMerge w:val="continue"/>
                  <w:tcBorders>
                    <w:tl2br w:val="nil"/>
                    <w:tr2bl w:val="nil"/>
                  </w:tcBorders>
                  <w:noWrap w:val="0"/>
                  <w:vAlign w:val="center"/>
                </w:tcPr>
                <w:p w14:paraId="3E54FBED">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6406AF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355" w:type="pct"/>
                  <w:vMerge w:val="continue"/>
                  <w:tcBorders>
                    <w:tl2br w:val="nil"/>
                    <w:tr2bl w:val="nil"/>
                  </w:tcBorders>
                  <w:noWrap w:val="0"/>
                  <w:vAlign w:val="center"/>
                </w:tcPr>
                <w:p w14:paraId="172ACEC1">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48" w:type="pct"/>
                  <w:tcBorders>
                    <w:tl2br w:val="nil"/>
                    <w:tr2bl w:val="nil"/>
                  </w:tcBorders>
                  <w:noWrap w:val="0"/>
                  <w:vAlign w:val="center"/>
                </w:tcPr>
                <w:p w14:paraId="732EF842">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废水</w:t>
                  </w:r>
                </w:p>
              </w:tc>
              <w:tc>
                <w:tcPr>
                  <w:tcW w:w="774" w:type="pct"/>
                  <w:tcBorders>
                    <w:tl2br w:val="nil"/>
                    <w:tr2bl w:val="nil"/>
                  </w:tcBorders>
                  <w:noWrap w:val="0"/>
                  <w:vAlign w:val="center"/>
                </w:tcPr>
                <w:p w14:paraId="42934677">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生活污水</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车辆冲洗废水</w:t>
                  </w:r>
                </w:p>
              </w:tc>
              <w:tc>
                <w:tcPr>
                  <w:tcW w:w="1837" w:type="pct"/>
                  <w:tcBorders>
                    <w:tl2br w:val="nil"/>
                    <w:tr2bl w:val="nil"/>
                  </w:tcBorders>
                  <w:noWrap w:val="0"/>
                  <w:vAlign w:val="center"/>
                </w:tcPr>
                <w:p w14:paraId="55C0680F">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本项目施工期施工人员生活污水依托租住民房的污水处理措施进行处理；</w:t>
                  </w:r>
                  <w:r>
                    <w:rPr>
                      <w:rFonts w:hint="eastAsia" w:ascii="Times New Roman" w:cs="Times New Roman"/>
                      <w:color w:val="000000" w:themeColor="text1"/>
                      <w:szCs w:val="21"/>
                      <w:highlight w:val="none"/>
                      <w:lang w:val="en-US" w:eastAsia="zh-CN"/>
                      <w14:textFill>
                        <w14:solidFill>
                          <w14:schemeClr w14:val="tx1"/>
                        </w14:solidFill>
                      </w14:textFill>
                    </w:rPr>
                    <w:t>车辆冲洗废水经沉淀池处理后用于洒水抑尘</w:t>
                  </w:r>
                </w:p>
              </w:tc>
              <w:tc>
                <w:tcPr>
                  <w:tcW w:w="827" w:type="pct"/>
                  <w:tcBorders>
                    <w:tl2br w:val="nil"/>
                    <w:tr2bl w:val="nil"/>
                  </w:tcBorders>
                  <w:noWrap w:val="0"/>
                  <w:vAlign w:val="center"/>
                </w:tcPr>
                <w:p w14:paraId="513B0368">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3个沉淀池</w:t>
                  </w:r>
                </w:p>
              </w:tc>
              <w:tc>
                <w:tcPr>
                  <w:tcW w:w="656" w:type="pct"/>
                  <w:tcBorders>
                    <w:tl2br w:val="nil"/>
                    <w:tr2bl w:val="nil"/>
                  </w:tcBorders>
                  <w:noWrap w:val="0"/>
                  <w:vAlign w:val="center"/>
                </w:tcPr>
                <w:p w14:paraId="72F76548">
                  <w:pPr>
                    <w:adjustRightInd w:val="0"/>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8</w:t>
                  </w:r>
                </w:p>
              </w:tc>
            </w:tr>
            <w:tr w14:paraId="5311B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5" w:type="pct"/>
                  <w:vMerge w:val="continue"/>
                  <w:tcBorders>
                    <w:tl2br w:val="nil"/>
                    <w:tr2bl w:val="nil"/>
                  </w:tcBorders>
                  <w:noWrap w:val="0"/>
                  <w:vAlign w:val="center"/>
                </w:tcPr>
                <w:p w14:paraId="6F413BE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48" w:type="pct"/>
                  <w:tcBorders>
                    <w:tl2br w:val="nil"/>
                    <w:tr2bl w:val="nil"/>
                  </w:tcBorders>
                  <w:noWrap w:val="0"/>
                  <w:vAlign w:val="center"/>
                </w:tcPr>
                <w:p w14:paraId="138CAD7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噪声</w:t>
                  </w:r>
                </w:p>
              </w:tc>
              <w:tc>
                <w:tcPr>
                  <w:tcW w:w="774" w:type="pct"/>
                  <w:tcBorders>
                    <w:tl2br w:val="nil"/>
                    <w:tr2bl w:val="nil"/>
                  </w:tcBorders>
                  <w:noWrap w:val="0"/>
                  <w:vAlign w:val="center"/>
                </w:tcPr>
                <w:p w14:paraId="1B008576">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施工机械噪声</w:t>
                  </w:r>
                </w:p>
              </w:tc>
              <w:tc>
                <w:tcPr>
                  <w:tcW w:w="1837" w:type="pct"/>
                  <w:tcBorders>
                    <w:tl2br w:val="nil"/>
                    <w:tr2bl w:val="nil"/>
                  </w:tcBorders>
                  <w:noWrap w:val="0"/>
                  <w:vAlign w:val="center"/>
                </w:tcPr>
                <w:p w14:paraId="5B2243D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施工机械选用低噪声设备</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大气敏感点</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区域</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设置围挡</w:t>
                  </w:r>
                </w:p>
              </w:tc>
              <w:tc>
                <w:tcPr>
                  <w:tcW w:w="827" w:type="pct"/>
                  <w:tcBorders>
                    <w:tl2br w:val="nil"/>
                    <w:tr2bl w:val="nil"/>
                  </w:tcBorders>
                  <w:noWrap w:val="0"/>
                  <w:vAlign w:val="center"/>
                </w:tcPr>
                <w:p w14:paraId="4E4EF529">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656" w:type="pct"/>
                  <w:tcBorders>
                    <w:tl2br w:val="nil"/>
                    <w:tr2bl w:val="nil"/>
                  </w:tcBorders>
                  <w:noWrap w:val="0"/>
                  <w:vAlign w:val="center"/>
                </w:tcPr>
                <w:p w14:paraId="39AAE9DA">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p>
              </w:tc>
            </w:tr>
            <w:tr w14:paraId="45FEA9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5" w:type="pct"/>
                  <w:vMerge w:val="continue"/>
                  <w:tcBorders>
                    <w:tl2br w:val="nil"/>
                    <w:tr2bl w:val="nil"/>
                  </w:tcBorders>
                  <w:noWrap w:val="0"/>
                  <w:vAlign w:val="center"/>
                </w:tcPr>
                <w:p w14:paraId="391CB01B">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48" w:type="pct"/>
                  <w:tcBorders>
                    <w:tl2br w:val="nil"/>
                    <w:tr2bl w:val="nil"/>
                  </w:tcBorders>
                  <w:noWrap w:val="0"/>
                  <w:vAlign w:val="center"/>
                </w:tcPr>
                <w:p w14:paraId="3BF87B08">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固体废物</w:t>
                  </w:r>
                </w:p>
              </w:tc>
              <w:tc>
                <w:tcPr>
                  <w:tcW w:w="774" w:type="pct"/>
                  <w:tcBorders>
                    <w:tl2br w:val="nil"/>
                    <w:tr2bl w:val="nil"/>
                  </w:tcBorders>
                  <w:noWrap w:val="0"/>
                  <w:vAlign w:val="center"/>
                </w:tcPr>
                <w:p w14:paraId="52F9B127">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淤泥、</w:t>
                  </w:r>
                  <w:r>
                    <w:rPr>
                      <w:rFonts w:hint="default" w:ascii="Times New Roman" w:hAnsi="Times New Roman" w:cs="Times New Roman"/>
                      <w:color w:val="000000" w:themeColor="text1"/>
                      <w:szCs w:val="21"/>
                      <w:highlight w:val="none"/>
                      <w:lang w:eastAsia="zh-CN"/>
                      <w14:textFill>
                        <w14:solidFill>
                          <w14:schemeClr w14:val="tx1"/>
                        </w14:solidFill>
                      </w14:textFill>
                    </w:rPr>
                    <w:t>建筑垃圾、</w:t>
                  </w:r>
                  <w:r>
                    <w:rPr>
                      <w:rFonts w:hint="default" w:ascii="Times New Roman" w:hAnsi="Times New Roman" w:cs="Times New Roman"/>
                      <w:color w:val="000000" w:themeColor="text1"/>
                      <w:szCs w:val="21"/>
                      <w:highlight w:val="none"/>
                      <w14:textFill>
                        <w14:solidFill>
                          <w14:schemeClr w14:val="tx1"/>
                        </w14:solidFill>
                      </w14:textFill>
                    </w:rPr>
                    <w:t>生活垃圾</w:t>
                  </w:r>
                </w:p>
              </w:tc>
              <w:tc>
                <w:tcPr>
                  <w:tcW w:w="1837" w:type="pct"/>
                  <w:tcBorders>
                    <w:tl2br w:val="nil"/>
                    <w:tr2bl w:val="nil"/>
                  </w:tcBorders>
                  <w:noWrap w:val="0"/>
                  <w:vAlign w:val="center"/>
                </w:tcPr>
                <w:p w14:paraId="5A278D8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生活垃圾</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租住民房</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垃圾桶收集，</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定期运送至附近垃圾中转站由环卫部门处置</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w:t>
                  </w:r>
                  <w:r>
                    <w:rPr>
                      <w:rFonts w:hint="eastAsia" w:ascii="Times New Roman" w:cs="Times New Roman" w:eastAsiaTheme="minorEastAsia"/>
                      <w:color w:val="000000" w:themeColor="text1"/>
                      <w:sz w:val="21"/>
                      <w:szCs w:val="21"/>
                      <w:highlight w:val="none"/>
                      <w:lang w:val="en-US" w:eastAsia="zh-CN"/>
                      <w14:textFill>
                        <w14:solidFill>
                          <w14:schemeClr w14:val="tx1"/>
                        </w14:solidFill>
                      </w14:textFill>
                    </w:rPr>
                    <w:t>建筑垃圾</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运送至政府指定地点；</w:t>
                  </w:r>
                  <w:r>
                    <w:rPr>
                      <w:rFonts w:hint="default" w:ascii="Times New Roman" w:hAnsi="Times New Roman" w:cs="Times New Roman"/>
                      <w:color w:val="000000" w:themeColor="text1"/>
                      <w:szCs w:val="21"/>
                      <w:highlight w:val="none"/>
                      <w:lang w:val="en-US" w:eastAsia="zh-CN"/>
                      <w14:textFill>
                        <w14:solidFill>
                          <w14:schemeClr w14:val="tx1"/>
                        </w14:solidFill>
                      </w14:textFill>
                    </w:rPr>
                    <w:t>清理的淤泥晾干后集中收集，拉运至其他生态修复治理项目，作为回填材料综合利用</w:t>
                  </w:r>
                </w:p>
              </w:tc>
              <w:tc>
                <w:tcPr>
                  <w:tcW w:w="827" w:type="pct"/>
                  <w:tcBorders>
                    <w:tl2br w:val="nil"/>
                    <w:tr2bl w:val="nil"/>
                  </w:tcBorders>
                  <w:noWrap w:val="0"/>
                  <w:vAlign w:val="center"/>
                </w:tcPr>
                <w:p w14:paraId="10D31FF0">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若干</w:t>
                  </w:r>
                </w:p>
              </w:tc>
              <w:tc>
                <w:tcPr>
                  <w:tcW w:w="656" w:type="pct"/>
                  <w:tcBorders>
                    <w:tl2br w:val="nil"/>
                    <w:tr2bl w:val="nil"/>
                  </w:tcBorders>
                  <w:noWrap w:val="0"/>
                  <w:vAlign w:val="center"/>
                </w:tcPr>
                <w:p w14:paraId="3DC89EB1">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11.7</w:t>
                  </w:r>
                </w:p>
              </w:tc>
            </w:tr>
            <w:tr w14:paraId="6F940B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43" w:type="pct"/>
                  <w:gridSpan w:val="5"/>
                  <w:tcBorders>
                    <w:tl2br w:val="nil"/>
                    <w:tr2bl w:val="nil"/>
                  </w:tcBorders>
                  <w:noWrap w:val="0"/>
                  <w:vAlign w:val="center"/>
                </w:tcPr>
                <w:p w14:paraId="3212DC63">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合计</w:t>
                  </w:r>
                </w:p>
              </w:tc>
              <w:tc>
                <w:tcPr>
                  <w:tcW w:w="656" w:type="pct"/>
                  <w:tcBorders>
                    <w:tl2br w:val="nil"/>
                    <w:tr2bl w:val="nil"/>
                  </w:tcBorders>
                  <w:noWrap w:val="0"/>
                  <w:vAlign w:val="center"/>
                </w:tcPr>
                <w:p w14:paraId="7B5F109C">
                  <w:pPr>
                    <w:adjustRightInd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371.7</w:t>
                  </w:r>
                </w:p>
              </w:tc>
            </w:tr>
          </w:tbl>
          <w:p w14:paraId="50D00221">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6A08BB3A">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2CC71701">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0D4461F1">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7FF26351">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70AE3823">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1FEB2551">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2A9BF0A2">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3F45FBEF">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1F2F6844">
            <w:pPr>
              <w:adjustRightInd w:val="0"/>
              <w:spacing w:line="360" w:lineRule="auto"/>
              <w:ind w:firstLine="480" w:firstLineChars="200"/>
              <w:jc w:val="center"/>
              <w:rPr>
                <w:rFonts w:hint="eastAsia" w:cs="Times New Roman"/>
                <w:color w:val="000000" w:themeColor="text1"/>
                <w:kern w:val="0"/>
                <w:sz w:val="24"/>
                <w:szCs w:val="24"/>
                <w:highlight w:val="none"/>
                <w:lang w:val="en-US" w:eastAsia="zh-CN" w:bidi="ar-SA"/>
                <w14:textFill>
                  <w14:solidFill>
                    <w14:schemeClr w14:val="tx1"/>
                  </w14:solidFill>
                </w14:textFill>
              </w:rPr>
            </w:pPr>
          </w:p>
          <w:p w14:paraId="403AD50B">
            <w:pPr>
              <w:adjustRightInd w:val="0"/>
              <w:spacing w:line="360" w:lineRule="auto"/>
              <w:ind w:firstLine="480" w:firstLineChars="200"/>
              <w:jc w:val="center"/>
              <w:rPr>
                <w:rFonts w:hint="default" w:ascii="Times New Roman" w:hAnsi="Times New Roman" w:cs="Times New Roman"/>
                <w:color w:val="000000" w:themeColor="text1"/>
                <w:kern w:val="0"/>
                <w:sz w:val="24"/>
                <w:szCs w:val="24"/>
                <w:highlight w:val="none"/>
                <w:lang w:val="en-US" w:eastAsia="zh-CN" w:bidi="ar-SA"/>
                <w14:textFill>
                  <w14:solidFill>
                    <w14:schemeClr w14:val="tx1"/>
                  </w14:solidFill>
                </w14:textFill>
              </w:rPr>
            </w:pPr>
          </w:p>
        </w:tc>
      </w:tr>
    </w:tbl>
    <w:p w14:paraId="648E9D81">
      <w:pPr>
        <w:adjustRightInd w:val="0"/>
        <w:snapToGrid w:val="0"/>
        <w:spacing w:line="360" w:lineRule="auto"/>
        <w:rPr>
          <w:rFonts w:hint="default" w:ascii="Times New Roman" w:hAnsi="Times New Roman" w:cs="Times New Roman"/>
          <w:b/>
          <w:color w:val="000000" w:themeColor="text1"/>
          <w:kern w:val="0"/>
          <w:sz w:val="28"/>
          <w:szCs w:val="28"/>
          <w:highlight w:val="none"/>
          <w14:textFill>
            <w14:solidFill>
              <w14:schemeClr w14:val="tx1"/>
            </w14:solidFill>
          </w14:textFill>
        </w:rPr>
        <w:sectPr>
          <w:pgSz w:w="11907" w:h="16840"/>
          <w:pgMar w:top="1701" w:right="1417" w:bottom="1701" w:left="141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7B1FF9BE">
      <w:pPr>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六、生态环境保护措施监督检查</w:t>
      </w:r>
      <w:r>
        <w:rPr>
          <w:rFonts w:eastAsia="黑体"/>
          <w:snapToGrid w:val="0"/>
          <w:color w:val="000000" w:themeColor="text1"/>
          <w:sz w:val="30"/>
          <w:szCs w:val="30"/>
          <w14:textFill>
            <w14:solidFill>
              <w14:schemeClr w14:val="tx1"/>
            </w14:solidFill>
          </w14:textFill>
        </w:rPr>
        <w:t>清单</w:t>
      </w:r>
    </w:p>
    <w:tbl>
      <w:tblPr>
        <w:tblStyle w:val="25"/>
        <w:tblW w:w="14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4526"/>
        <w:gridCol w:w="3173"/>
        <w:gridCol w:w="3291"/>
        <w:gridCol w:w="2270"/>
      </w:tblGrid>
      <w:tr w14:paraId="337D5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197" w:type="dxa"/>
            <w:vMerge w:val="restart"/>
            <w:tcBorders>
              <w:tl2br w:val="nil"/>
              <w:tr2bl w:val="nil"/>
            </w:tcBorders>
            <w:noWrap w:val="0"/>
            <w:vAlign w:val="center"/>
          </w:tcPr>
          <w:p w14:paraId="4125138B">
            <w:pPr>
              <w:pStyle w:val="38"/>
              <w:keepNext w:val="0"/>
              <w:keepLines w:val="0"/>
              <w:pageBreakBefore w:val="0"/>
              <w:widowControl w:val="0"/>
              <w:kinsoku/>
              <w:wordWrap/>
              <w:overflowPunct/>
              <w:topLinePunct w:val="0"/>
              <w:autoSpaceDE/>
              <w:autoSpaceDN/>
              <w:bidi w:val="0"/>
              <w:spacing w:line="240" w:lineRule="exact"/>
              <w:jc w:val="right"/>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内容</w:t>
            </w:r>
          </w:p>
          <w:p w14:paraId="3EA86C6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要素</w:t>
            </w:r>
          </w:p>
        </w:tc>
        <w:tc>
          <w:tcPr>
            <w:tcW w:w="7699" w:type="dxa"/>
            <w:gridSpan w:val="2"/>
            <w:tcBorders>
              <w:tl2br w:val="nil"/>
              <w:tr2bl w:val="nil"/>
            </w:tcBorders>
            <w:noWrap w:val="0"/>
            <w:vAlign w:val="center"/>
          </w:tcPr>
          <w:p w14:paraId="0AEB49F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施工期</w:t>
            </w:r>
          </w:p>
        </w:tc>
        <w:tc>
          <w:tcPr>
            <w:tcW w:w="5561" w:type="dxa"/>
            <w:gridSpan w:val="2"/>
            <w:tcBorders>
              <w:tl2br w:val="nil"/>
              <w:tr2bl w:val="nil"/>
            </w:tcBorders>
            <w:noWrap w:val="0"/>
            <w:vAlign w:val="center"/>
          </w:tcPr>
          <w:p w14:paraId="0E8190A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运营期</w:t>
            </w:r>
          </w:p>
        </w:tc>
      </w:tr>
      <w:tr w14:paraId="6F4FB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197" w:type="dxa"/>
            <w:vMerge w:val="continue"/>
            <w:tcBorders>
              <w:tl2br w:val="nil"/>
              <w:tr2bl w:val="nil"/>
            </w:tcBorders>
            <w:noWrap w:val="0"/>
            <w:vAlign w:val="center"/>
          </w:tcPr>
          <w:p w14:paraId="35310B98">
            <w:pPr>
              <w:pStyle w:val="38"/>
              <w:keepNext w:val="0"/>
              <w:keepLines w:val="0"/>
              <w:pageBreakBefore w:val="0"/>
              <w:widowControl w:val="0"/>
              <w:kinsoku/>
              <w:wordWrap/>
              <w:overflowPunct/>
              <w:topLinePunct w:val="0"/>
              <w:autoSpaceDE/>
              <w:autoSpaceDN/>
              <w:bidi w:val="0"/>
              <w:spacing w:line="240" w:lineRule="exact"/>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p>
        </w:tc>
        <w:tc>
          <w:tcPr>
            <w:tcW w:w="4526" w:type="dxa"/>
            <w:tcBorders>
              <w:tl2br w:val="nil"/>
              <w:tr2bl w:val="nil"/>
            </w:tcBorders>
            <w:noWrap w:val="0"/>
            <w:vAlign w:val="center"/>
          </w:tcPr>
          <w:p w14:paraId="6869704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环境保护措施</w:t>
            </w:r>
          </w:p>
        </w:tc>
        <w:tc>
          <w:tcPr>
            <w:tcW w:w="3173" w:type="dxa"/>
            <w:tcBorders>
              <w:tl2br w:val="nil"/>
              <w:tr2bl w:val="nil"/>
            </w:tcBorders>
            <w:noWrap w:val="0"/>
            <w:vAlign w:val="center"/>
          </w:tcPr>
          <w:p w14:paraId="68D5601E">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验收要求</w:t>
            </w:r>
          </w:p>
        </w:tc>
        <w:tc>
          <w:tcPr>
            <w:tcW w:w="3291" w:type="dxa"/>
            <w:tcBorders>
              <w:tl2br w:val="nil"/>
              <w:tr2bl w:val="nil"/>
            </w:tcBorders>
            <w:noWrap w:val="0"/>
            <w:vAlign w:val="center"/>
          </w:tcPr>
          <w:p w14:paraId="45A1741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环境保护措施</w:t>
            </w:r>
          </w:p>
        </w:tc>
        <w:tc>
          <w:tcPr>
            <w:tcW w:w="2270" w:type="dxa"/>
            <w:tcBorders>
              <w:tl2br w:val="nil"/>
              <w:tr2bl w:val="nil"/>
            </w:tcBorders>
            <w:noWrap w:val="0"/>
            <w:vAlign w:val="center"/>
          </w:tcPr>
          <w:p w14:paraId="61E1E76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验收要求</w:t>
            </w:r>
          </w:p>
        </w:tc>
      </w:tr>
      <w:tr w14:paraId="1F855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1" w:hRule="atLeast"/>
          <w:jc w:val="center"/>
        </w:trPr>
        <w:tc>
          <w:tcPr>
            <w:tcW w:w="1197" w:type="dxa"/>
            <w:tcBorders>
              <w:tl2br w:val="nil"/>
              <w:tr2bl w:val="nil"/>
            </w:tcBorders>
            <w:noWrap w:val="0"/>
            <w:vAlign w:val="center"/>
          </w:tcPr>
          <w:p w14:paraId="387BA4F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陆生生态</w:t>
            </w:r>
          </w:p>
        </w:tc>
        <w:tc>
          <w:tcPr>
            <w:tcW w:w="4526" w:type="dxa"/>
            <w:tcBorders>
              <w:tl2br w:val="nil"/>
              <w:tr2bl w:val="nil"/>
            </w:tcBorders>
            <w:noWrap w:val="0"/>
            <w:vAlign w:val="center"/>
          </w:tcPr>
          <w:p w14:paraId="274ADFF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①加强对施工人员的环境保护意识教育，要求文明施工，不得滥采滥挖滥伐，不得捡拾鸟卵、捕捉野生动物及其幼体等。</w:t>
            </w:r>
          </w:p>
          <w:p w14:paraId="58FFC22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②根据项目施工点位，划定施工范围，禁止随意扩展施工范围。</w:t>
            </w:r>
          </w:p>
          <w:p w14:paraId="48EE967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③合理安排工期，避免大风及暴雨天气施工，提高施工效率，缩短施工时间，减少生态影响；可根据天气情况及时调整施工工序，工序布设紧凑合理，避免因工序安排不当而造成大面积地表裸露，将水土流失控制在最小程度。</w:t>
            </w:r>
          </w:p>
          <w:p w14:paraId="1DEF528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④加强施工人员管理，禁止施工人员打猎、捡拾鸟卵。</w:t>
            </w:r>
          </w:p>
          <w:p w14:paraId="58D4B67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⑤施工时，污染物排放不得超过国家和地方规定的污染物排放标准，定期安排人员收集垃圾和废污水，禁止向水域排放废污水、扔垃圾等。施工现场使用带油料的机械器具，应采取措施防止油料跑、冒、滴、漏，防止对土壤和水体造成污染。</w:t>
            </w:r>
          </w:p>
          <w:p w14:paraId="249DCEA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⑥项目施工应当尽量减少破坏植被；临时占地施工结束后应恢复原地貌和植被。</w:t>
            </w:r>
          </w:p>
        </w:tc>
        <w:tc>
          <w:tcPr>
            <w:tcW w:w="3173" w:type="dxa"/>
            <w:tcBorders>
              <w:tl2br w:val="nil"/>
              <w:tr2bl w:val="nil"/>
            </w:tcBorders>
            <w:noWrap w:val="0"/>
            <w:vAlign w:val="center"/>
          </w:tcPr>
          <w:p w14:paraId="4C5FCA8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在选用先进的施工工艺，选取科学的施工方式的前提下，施工单位加强施工管理，合理规划占地，合理安排施工时间，对施工过程采取有效的控制及影响减缓措施后，可将项目实施对所在区域生态的影响降至最低程度</w:t>
            </w:r>
          </w:p>
        </w:tc>
        <w:tc>
          <w:tcPr>
            <w:tcW w:w="3291" w:type="dxa"/>
            <w:tcBorders>
              <w:tl2br w:val="nil"/>
              <w:tr2bl w:val="nil"/>
            </w:tcBorders>
            <w:noWrap w:val="0"/>
            <w:vAlign w:val="center"/>
          </w:tcPr>
          <w:p w14:paraId="79D02449">
            <w:pPr>
              <w:pStyle w:val="3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检查施工扰动区域的土地恢复情况</w:t>
            </w:r>
          </w:p>
        </w:tc>
        <w:tc>
          <w:tcPr>
            <w:tcW w:w="2270" w:type="dxa"/>
            <w:tcBorders>
              <w:tl2br w:val="nil"/>
              <w:tr2bl w:val="nil"/>
            </w:tcBorders>
            <w:noWrap w:val="0"/>
            <w:vAlign w:val="center"/>
          </w:tcPr>
          <w:p w14:paraId="14CD81DE">
            <w:pPr>
              <w:pStyle w:val="3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落实环评提出的生态保护措施</w:t>
            </w:r>
          </w:p>
        </w:tc>
      </w:tr>
      <w:tr w14:paraId="1F2640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10596A8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水生生态</w:t>
            </w:r>
          </w:p>
        </w:tc>
        <w:tc>
          <w:tcPr>
            <w:tcW w:w="4526" w:type="dxa"/>
            <w:tcBorders>
              <w:tl2br w:val="nil"/>
              <w:tr2bl w:val="nil"/>
            </w:tcBorders>
            <w:noWrap w:val="0"/>
            <w:vAlign w:val="center"/>
          </w:tcPr>
          <w:p w14:paraId="4FEC7EA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14:textFill>
                  <w14:solidFill>
                    <w14:schemeClr w14:val="tx1"/>
                  </w14:solidFill>
                </w14:textFill>
              </w:rPr>
              <w:t>在植物休眠期开展清淤作业，此时水生植物生长停滞、根系活性低，损伤后自愈压力小；本项目选择植被覆盖率低的地方作为材料堆存点，施工过程尽量在施工范围内活动，不得对施工范围外的植被造成影响。</w:t>
            </w:r>
          </w:p>
        </w:tc>
        <w:tc>
          <w:tcPr>
            <w:tcW w:w="3173" w:type="dxa"/>
            <w:tcBorders>
              <w:tl2br w:val="nil"/>
              <w:tr2bl w:val="nil"/>
            </w:tcBorders>
            <w:noWrap w:val="0"/>
            <w:vAlign w:val="center"/>
          </w:tcPr>
          <w:p w14:paraId="6BDFBBA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w:t>
            </w:r>
          </w:p>
        </w:tc>
        <w:tc>
          <w:tcPr>
            <w:tcW w:w="3291" w:type="dxa"/>
            <w:tcBorders>
              <w:tl2br w:val="nil"/>
              <w:tr2bl w:val="nil"/>
            </w:tcBorders>
            <w:noWrap w:val="0"/>
            <w:vAlign w:val="center"/>
          </w:tcPr>
          <w:p w14:paraId="6731C24A">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项目运营期无生产活动，对水生生物无影响</w:t>
            </w:r>
          </w:p>
        </w:tc>
        <w:tc>
          <w:tcPr>
            <w:tcW w:w="2270" w:type="dxa"/>
            <w:tcBorders>
              <w:tl2br w:val="nil"/>
              <w:tr2bl w:val="nil"/>
            </w:tcBorders>
            <w:noWrap w:val="0"/>
            <w:vAlign w:val="center"/>
          </w:tcPr>
          <w:p w14:paraId="0DC881EC">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1675B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56835EA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地表水环境</w:t>
            </w:r>
          </w:p>
        </w:tc>
        <w:tc>
          <w:tcPr>
            <w:tcW w:w="4526" w:type="dxa"/>
            <w:tcBorders>
              <w:tl2br w:val="nil"/>
              <w:tr2bl w:val="nil"/>
            </w:tcBorders>
            <w:noWrap w:val="0"/>
            <w:vAlign w:val="center"/>
          </w:tcPr>
          <w:p w14:paraId="03F3AF3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施工人员生活污水依托租住民房现有的污水处理系统收集处理。</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施工</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废水经临时沉淀池处理后回用于洒水抑尘，不外排</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3173" w:type="dxa"/>
            <w:tcBorders>
              <w:tl2br w:val="nil"/>
              <w:tr2bl w:val="nil"/>
            </w:tcBorders>
            <w:noWrap w:val="0"/>
            <w:vAlign w:val="center"/>
          </w:tcPr>
          <w:p w14:paraId="437993F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废水不外排，不对地表水环境造成影响。</w:t>
            </w:r>
          </w:p>
        </w:tc>
        <w:tc>
          <w:tcPr>
            <w:tcW w:w="3291" w:type="dxa"/>
            <w:tcBorders>
              <w:tl2br w:val="nil"/>
              <w:tr2bl w:val="nil"/>
            </w:tcBorders>
            <w:noWrap w:val="0"/>
            <w:vAlign w:val="center"/>
          </w:tcPr>
          <w:p w14:paraId="591BA5FB">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47B3F7CC">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270A7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2BDBD2B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地下水及土壤环境</w:t>
            </w:r>
          </w:p>
        </w:tc>
        <w:tc>
          <w:tcPr>
            <w:tcW w:w="4526" w:type="dxa"/>
            <w:tcBorders>
              <w:tl2br w:val="nil"/>
              <w:tr2bl w:val="nil"/>
            </w:tcBorders>
            <w:noWrap w:val="0"/>
            <w:vAlign w:val="center"/>
          </w:tcPr>
          <w:p w14:paraId="416D47E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173" w:type="dxa"/>
            <w:tcBorders>
              <w:tl2br w:val="nil"/>
              <w:tr2bl w:val="nil"/>
            </w:tcBorders>
            <w:noWrap w:val="0"/>
            <w:vAlign w:val="center"/>
          </w:tcPr>
          <w:p w14:paraId="4D36B33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291" w:type="dxa"/>
            <w:tcBorders>
              <w:tl2br w:val="nil"/>
              <w:tr2bl w:val="nil"/>
            </w:tcBorders>
            <w:noWrap w:val="0"/>
            <w:vAlign w:val="center"/>
          </w:tcPr>
          <w:p w14:paraId="6BCB3764">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09F025EE">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76FC2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197" w:type="dxa"/>
            <w:tcBorders>
              <w:tl2br w:val="nil"/>
              <w:tr2bl w:val="nil"/>
            </w:tcBorders>
            <w:noWrap w:val="0"/>
            <w:vAlign w:val="center"/>
          </w:tcPr>
          <w:p w14:paraId="18371CA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声环境</w:t>
            </w:r>
          </w:p>
        </w:tc>
        <w:tc>
          <w:tcPr>
            <w:tcW w:w="4526" w:type="dxa"/>
            <w:tcBorders>
              <w:tl2br w:val="nil"/>
              <w:tr2bl w:val="nil"/>
            </w:tcBorders>
            <w:noWrap w:val="0"/>
            <w:vAlign w:val="center"/>
          </w:tcPr>
          <w:p w14:paraId="05343064">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①施工前，对所使用机械设备进行了保养，施工过程中有专人维护。</w:t>
            </w:r>
          </w:p>
          <w:p w14:paraId="32C2033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②降低施工设备噪声。</w:t>
            </w:r>
          </w:p>
          <w:p w14:paraId="0E71F3D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③降低人为噪声</w:t>
            </w:r>
          </w:p>
        </w:tc>
        <w:tc>
          <w:tcPr>
            <w:tcW w:w="3173" w:type="dxa"/>
            <w:tcBorders>
              <w:tl2br w:val="nil"/>
              <w:tr2bl w:val="nil"/>
            </w:tcBorders>
            <w:noWrap w:val="0"/>
            <w:vAlign w:val="center"/>
          </w:tcPr>
          <w:p w14:paraId="5499149B">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项目及敏感目标处</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达到《声环境质量标准》（GB3096-2008）</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类标准要求</w:t>
            </w:r>
          </w:p>
        </w:tc>
        <w:tc>
          <w:tcPr>
            <w:tcW w:w="3291" w:type="dxa"/>
            <w:tcBorders>
              <w:tl2br w:val="nil"/>
              <w:tr2bl w:val="nil"/>
            </w:tcBorders>
            <w:noWrap w:val="0"/>
            <w:vAlign w:val="center"/>
          </w:tcPr>
          <w:p w14:paraId="466AA180">
            <w:pPr>
              <w:pStyle w:val="3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5BDF0507">
            <w:pPr>
              <w:pStyle w:val="3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4ADAE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97" w:type="dxa"/>
            <w:tcBorders>
              <w:tl2br w:val="nil"/>
              <w:tr2bl w:val="nil"/>
            </w:tcBorders>
            <w:noWrap w:val="0"/>
            <w:vAlign w:val="center"/>
          </w:tcPr>
          <w:p w14:paraId="5DDAEB5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振动</w:t>
            </w:r>
          </w:p>
        </w:tc>
        <w:tc>
          <w:tcPr>
            <w:tcW w:w="4526" w:type="dxa"/>
            <w:tcBorders>
              <w:tl2br w:val="nil"/>
              <w:tr2bl w:val="nil"/>
            </w:tcBorders>
            <w:noWrap w:val="0"/>
            <w:vAlign w:val="center"/>
          </w:tcPr>
          <w:p w14:paraId="75CCA1AD">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173" w:type="dxa"/>
            <w:tcBorders>
              <w:tl2br w:val="nil"/>
              <w:tr2bl w:val="nil"/>
            </w:tcBorders>
            <w:noWrap w:val="0"/>
            <w:vAlign w:val="center"/>
          </w:tcPr>
          <w:p w14:paraId="0F598BD4">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291" w:type="dxa"/>
            <w:tcBorders>
              <w:tl2br w:val="nil"/>
              <w:tr2bl w:val="nil"/>
            </w:tcBorders>
            <w:noWrap w:val="0"/>
            <w:vAlign w:val="center"/>
          </w:tcPr>
          <w:p w14:paraId="6E1695E5">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4DEE76AA">
            <w:pPr>
              <w:pStyle w:val="38"/>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r w14:paraId="2932D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05E610C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大气环境</w:t>
            </w:r>
          </w:p>
        </w:tc>
        <w:tc>
          <w:tcPr>
            <w:tcW w:w="4526" w:type="dxa"/>
            <w:tcBorders>
              <w:tl2br w:val="nil"/>
              <w:tr2bl w:val="nil"/>
            </w:tcBorders>
            <w:noWrap w:val="0"/>
            <w:vAlign w:val="center"/>
          </w:tcPr>
          <w:p w14:paraId="1802FE2F">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instrText xml:space="preserve"> = 1 \* GB2 \* MERGEFORMAT </w:instrTex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⑴</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根据施工过程的实际情况，施工现场</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设置</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围栏，以减少施工扬尘扩散范围。</w:t>
            </w:r>
          </w:p>
          <w:p w14:paraId="77AD301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instrText xml:space="preserve"> = 2 \* GB2 \* MERGEFORMAT </w:instrTex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⑵</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避免在大风日以及夏季暴雨时节施工，尽可能缩短施工时间，提高施工效率，减少地表裸露的时间，遇有大风天气时，避免进行挖掘、回填等大土方量作业或采取洒水抑尘措施。</w:t>
            </w:r>
          </w:p>
          <w:p w14:paraId="43D673A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instrText xml:space="preserve"> = 3 \* GB2 \* MERGEFORMAT </w:instrTex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⑶</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施工单位必须加强施工区的规划管理</w:t>
            </w:r>
          </w:p>
          <w:p w14:paraId="386556A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instrText xml:space="preserve"> = 4 \* GB2 \* MERGEFORMAT </w:instrTex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⑷</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用汽车运输易起尘的物料时，要加盖</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篷布</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、控制车速，防止物料洒落和产生扬尘；卸车时应尽量减少落差，减少扬尘；运输车辆进出的主干道应定期洒水清扫，保持车辆出入口路面清洁、润湿，并尽量要求运输车辆放慢行车速度，以减少地面扬尘污染。</w:t>
            </w:r>
          </w:p>
          <w:p w14:paraId="3A188F5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instrText xml:space="preserve"> = 5 \* GB2 \* MERGEFORMAT </w:instrTex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⑸</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加强对施工机械、车辆的维修保养。</w:t>
            </w:r>
          </w:p>
          <w:p w14:paraId="7270D87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instrText xml:space="preserve"> = 6 \* GB2 \* MERGEFORMAT </w:instrTex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⑹</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fldChar w:fldCharType="end"/>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汽车进入施工区内应限速行驶。</w:t>
            </w:r>
          </w:p>
        </w:tc>
        <w:tc>
          <w:tcPr>
            <w:tcW w:w="3173" w:type="dxa"/>
            <w:tcBorders>
              <w:tl2br w:val="nil"/>
              <w:tr2bl w:val="nil"/>
            </w:tcBorders>
            <w:noWrap w:val="0"/>
            <w:vAlign w:val="center"/>
          </w:tcPr>
          <w:p w14:paraId="5D5044B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定期对本工程施工期大气环境进行现状监测，减小对周围敏感点的影响；大气环境现状达到《环境空气质量标准》（GB3095-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2026</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）二级标准</w:t>
            </w:r>
          </w:p>
        </w:tc>
        <w:tc>
          <w:tcPr>
            <w:tcW w:w="3291" w:type="dxa"/>
            <w:tcBorders>
              <w:tl2br w:val="nil"/>
              <w:tr2bl w:val="nil"/>
            </w:tcBorders>
            <w:noWrap w:val="0"/>
            <w:vAlign w:val="center"/>
          </w:tcPr>
          <w:p w14:paraId="7371672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2FFB0D7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507F1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388B8F65">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固体废物</w:t>
            </w:r>
          </w:p>
        </w:tc>
        <w:tc>
          <w:tcPr>
            <w:tcW w:w="4526" w:type="dxa"/>
            <w:tcBorders>
              <w:tl2br w:val="nil"/>
              <w:tr2bl w:val="nil"/>
            </w:tcBorders>
            <w:noWrap w:val="0"/>
            <w:vAlign w:val="center"/>
          </w:tcPr>
          <w:p w14:paraId="1B9D78B9">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施工期固体废物主要为</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淤泥</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、建筑垃圾及生活垃圾。</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淤泥晾干后集中收集，拉运至其他生态修复治理项目，作为回填材料综合利用</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，建筑垃圾运至当地政府指定地点堆放，施工人员生活垃圾收集后交由环卫部门清运处置。</w:t>
            </w:r>
          </w:p>
        </w:tc>
        <w:tc>
          <w:tcPr>
            <w:tcW w:w="3173" w:type="dxa"/>
            <w:tcBorders>
              <w:tl2br w:val="nil"/>
              <w:tr2bl w:val="nil"/>
            </w:tcBorders>
            <w:noWrap w:val="0"/>
            <w:vAlign w:val="center"/>
          </w:tcPr>
          <w:p w14:paraId="0B83D4A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施工期结束后不得在施工现场遗留建筑垃圾、生活垃圾。</w:t>
            </w:r>
          </w:p>
        </w:tc>
        <w:tc>
          <w:tcPr>
            <w:tcW w:w="3291" w:type="dxa"/>
            <w:tcBorders>
              <w:tl2br w:val="nil"/>
              <w:tr2bl w:val="nil"/>
            </w:tcBorders>
            <w:noWrap w:val="0"/>
            <w:vAlign w:val="center"/>
          </w:tcPr>
          <w:p w14:paraId="1EEFB150">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3A20044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6B257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1F5D4CF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电磁环境</w:t>
            </w:r>
          </w:p>
        </w:tc>
        <w:tc>
          <w:tcPr>
            <w:tcW w:w="4526" w:type="dxa"/>
            <w:tcBorders>
              <w:tl2br w:val="nil"/>
              <w:tr2bl w:val="nil"/>
            </w:tcBorders>
            <w:noWrap w:val="0"/>
            <w:vAlign w:val="center"/>
          </w:tcPr>
          <w:p w14:paraId="20A295F8">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173" w:type="dxa"/>
            <w:tcBorders>
              <w:tl2br w:val="nil"/>
              <w:tr2bl w:val="nil"/>
            </w:tcBorders>
            <w:noWrap w:val="0"/>
            <w:vAlign w:val="center"/>
          </w:tcPr>
          <w:p w14:paraId="2CE053FC">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291" w:type="dxa"/>
            <w:tcBorders>
              <w:tl2br w:val="nil"/>
              <w:tr2bl w:val="nil"/>
            </w:tcBorders>
            <w:noWrap w:val="0"/>
            <w:vAlign w:val="center"/>
          </w:tcPr>
          <w:p w14:paraId="07964E8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46571961">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7F32B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5D818D9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环境风险</w:t>
            </w:r>
          </w:p>
        </w:tc>
        <w:tc>
          <w:tcPr>
            <w:tcW w:w="4526" w:type="dxa"/>
            <w:tcBorders>
              <w:tl2br w:val="nil"/>
              <w:tr2bl w:val="nil"/>
            </w:tcBorders>
            <w:noWrap w:val="0"/>
            <w:vAlign w:val="center"/>
          </w:tcPr>
          <w:p w14:paraId="6D8841E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173" w:type="dxa"/>
            <w:tcBorders>
              <w:tl2br w:val="nil"/>
              <w:tr2bl w:val="nil"/>
            </w:tcBorders>
            <w:noWrap w:val="0"/>
            <w:vAlign w:val="center"/>
          </w:tcPr>
          <w:p w14:paraId="09E537A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291" w:type="dxa"/>
            <w:tcBorders>
              <w:tl2br w:val="nil"/>
              <w:tr2bl w:val="nil"/>
            </w:tcBorders>
            <w:noWrap w:val="0"/>
            <w:vAlign w:val="center"/>
          </w:tcPr>
          <w:p w14:paraId="0C2F47A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7FB6B9AF">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3F511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604F539F">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环境监测</w:t>
            </w:r>
          </w:p>
        </w:tc>
        <w:tc>
          <w:tcPr>
            <w:tcW w:w="4526" w:type="dxa"/>
            <w:tcBorders>
              <w:tl2br w:val="nil"/>
              <w:tr2bl w:val="nil"/>
            </w:tcBorders>
            <w:noWrap w:val="0"/>
            <w:vAlign w:val="center"/>
          </w:tcPr>
          <w:p w14:paraId="153107CD">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对施工区边界开展声环境和大气环境质量监测</w:t>
            </w:r>
          </w:p>
        </w:tc>
        <w:tc>
          <w:tcPr>
            <w:tcW w:w="3173" w:type="dxa"/>
            <w:tcBorders>
              <w:tl2br w:val="nil"/>
              <w:tr2bl w:val="nil"/>
            </w:tcBorders>
            <w:noWrap w:val="0"/>
            <w:vAlign w:val="center"/>
          </w:tcPr>
          <w:p w14:paraId="4CD62B1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声环境现状达到《声环境质量标准》（GB3096-2008）</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类；</w:t>
            </w:r>
          </w:p>
        </w:tc>
        <w:tc>
          <w:tcPr>
            <w:tcW w:w="3291" w:type="dxa"/>
            <w:tcBorders>
              <w:tl2br w:val="nil"/>
              <w:tr2bl w:val="nil"/>
            </w:tcBorders>
            <w:noWrap w:val="0"/>
            <w:vAlign w:val="center"/>
          </w:tcPr>
          <w:p w14:paraId="48780703">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对各施工临时占地</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进行恢复，恢复到原有状态</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5432B3A2">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施工前监测一次、施工后三年内每年各监测一次确保生态恢复措施达到预期效果。</w:t>
            </w:r>
          </w:p>
        </w:tc>
      </w:tr>
      <w:tr w14:paraId="20399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97" w:type="dxa"/>
            <w:tcBorders>
              <w:tl2br w:val="nil"/>
              <w:tr2bl w:val="nil"/>
            </w:tcBorders>
            <w:noWrap w:val="0"/>
            <w:vAlign w:val="center"/>
          </w:tcPr>
          <w:p w14:paraId="4B798F82">
            <w:pPr>
              <w:pStyle w:val="38"/>
              <w:keepNext w:val="0"/>
              <w:keepLines w:val="0"/>
              <w:pageBreakBefore w:val="0"/>
              <w:widowControl w:val="0"/>
              <w:kinsoku/>
              <w:wordWrap/>
              <w:overflowPunct/>
              <w:topLinePunct w:val="0"/>
              <w:autoSpaceDE/>
              <w:autoSpaceDN/>
              <w:bidi w:val="0"/>
              <w:spacing w:line="240" w:lineRule="exact"/>
              <w:jc w:val="both"/>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其他</w:t>
            </w:r>
          </w:p>
        </w:tc>
        <w:tc>
          <w:tcPr>
            <w:tcW w:w="4526" w:type="dxa"/>
            <w:tcBorders>
              <w:tl2br w:val="nil"/>
              <w:tr2bl w:val="nil"/>
            </w:tcBorders>
            <w:noWrap w:val="0"/>
            <w:vAlign w:val="center"/>
          </w:tcPr>
          <w:p w14:paraId="194F84C6">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173" w:type="dxa"/>
            <w:tcBorders>
              <w:tl2br w:val="nil"/>
              <w:tr2bl w:val="nil"/>
            </w:tcBorders>
            <w:noWrap w:val="0"/>
            <w:vAlign w:val="center"/>
          </w:tcPr>
          <w:p w14:paraId="5856EF0A">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291" w:type="dxa"/>
            <w:tcBorders>
              <w:tl2br w:val="nil"/>
              <w:tr2bl w:val="nil"/>
            </w:tcBorders>
            <w:noWrap w:val="0"/>
            <w:vAlign w:val="center"/>
          </w:tcPr>
          <w:p w14:paraId="00E180D5">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270" w:type="dxa"/>
            <w:tcBorders>
              <w:tl2br w:val="nil"/>
              <w:tr2bl w:val="nil"/>
            </w:tcBorders>
            <w:noWrap w:val="0"/>
            <w:vAlign w:val="center"/>
          </w:tcPr>
          <w:p w14:paraId="1F7A5B47">
            <w:pPr>
              <w:pStyle w:val="38"/>
              <w:keepNext w:val="0"/>
              <w:keepLines w:val="0"/>
              <w:pageBreakBefore w:val="0"/>
              <w:widowControl w:val="0"/>
              <w:kinsoku/>
              <w:wordWrap/>
              <w:overflowPunct/>
              <w:topLinePunct w:val="0"/>
              <w:autoSpaceDE/>
              <w:autoSpaceDN/>
              <w:bidi w:val="0"/>
              <w:spacing w:line="240" w:lineRule="exact"/>
              <w:ind w:left="0" w:leftChars="0" w:firstLine="0" w:firstLineChars="0"/>
              <w:jc w:val="center"/>
              <w:textAlignment w:val="auto"/>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r>
    </w:tbl>
    <w:p w14:paraId="3438FBBF">
      <w:pPr>
        <w:pStyle w:val="21"/>
        <w:jc w:val="center"/>
        <w:outlineLvl w:val="0"/>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sectPr>
          <w:pgSz w:w="16838" w:h="11906" w:orient="landscape"/>
          <w:pgMar w:top="1417" w:right="1701" w:bottom="1417"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658EEE13">
      <w:pPr>
        <w:pStyle w:val="21"/>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lang w:eastAsia="zh-CN"/>
          <w14:textFill>
            <w14:solidFill>
              <w14:schemeClr w14:val="tx1"/>
            </w14:solidFill>
          </w14:textFill>
        </w:rPr>
        <w:t>七</w:t>
      </w: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、结论</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AC2B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vAlign w:val="center"/>
          </w:tcPr>
          <w:p w14:paraId="2223F90D">
            <w:pPr>
              <w:spacing w:line="360" w:lineRule="auto"/>
              <w:ind w:firstLine="480" w:firstLineChars="200"/>
              <w:jc w:val="center"/>
              <w:rPr>
                <w:rFonts w:hint="default" w:ascii="Times New Roman" w:hAnsi="Times New Roman" w:eastAsia="仿宋_GB2312"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因此，从环境保护的角度考虑，本项目的建设是可行的。</w:t>
            </w:r>
          </w:p>
        </w:tc>
      </w:tr>
    </w:tbl>
    <w:p w14:paraId="0202703B">
      <w:pPr>
        <w:rPr>
          <w:rFonts w:hint="default" w:ascii="Times New Roman" w:hAnsi="Times New Roman" w:eastAsia="黑体" w:cs="Times New Roman"/>
          <w:color w:val="000000" w:themeColor="text1"/>
          <w:highlight w:val="none"/>
          <w14:textFill>
            <w14:solidFill>
              <w14:schemeClr w14:val="tx1"/>
            </w14:solidFill>
          </w14:textFill>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0C5D49-671E-419D-94D1-40827BE4325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AEEF0C71-01A7-4981-BD3D-C8CF85FDEF32}"/>
  </w:font>
  <w:font w:name="MingLiU">
    <w:panose1 w:val="02020509000000000000"/>
    <w:charset w:val="88"/>
    <w:family w:val="modern"/>
    <w:pitch w:val="default"/>
    <w:sig w:usb0="A00002FF" w:usb1="28CFFCFA" w:usb2="00000016" w:usb3="00000000" w:csb0="00100001" w:csb1="00000000"/>
  </w:font>
  <w:font w:name="Arial Black">
    <w:panose1 w:val="020B0A04020102020204"/>
    <w:charset w:val="00"/>
    <w:family w:val="swiss"/>
    <w:pitch w:val="default"/>
    <w:sig w:usb0="00000287" w:usb1="00000000" w:usb2="00000000" w:usb3="00000000" w:csb0="2000009F" w:csb1="DFD70000"/>
  </w:font>
  <w:font w:name="方正小标宋_GBK">
    <w:panose1 w:val="03000509000000000000"/>
    <w:charset w:val="86"/>
    <w:family w:val="script"/>
    <w:pitch w:val="default"/>
    <w:sig w:usb0="00000001" w:usb1="080E0000" w:usb2="00000000" w:usb3="00000000" w:csb0="00040000" w:csb1="00000000"/>
    <w:embedRegular r:id="rId3" w:fontKey="{CF8AF030-1698-40D9-ACCC-1524307ABE5F}"/>
  </w:font>
  <w:font w:name="楷体_GB2312">
    <w:altName w:val="楷体"/>
    <w:panose1 w:val="02010609030101010101"/>
    <w:charset w:val="86"/>
    <w:family w:val="modern"/>
    <w:pitch w:val="default"/>
    <w:sig w:usb0="00000000" w:usb1="00000000" w:usb2="00000000" w:usb3="00000000" w:csb0="00040000" w:csb1="00000000"/>
    <w:embedRegular r:id="rId4" w:fontKey="{36661F71-D522-4E27-A878-CBEF526C721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5" w:fontKey="{76BC0505-D9CC-46E7-998A-5140BEBFD01F}"/>
  </w:font>
  <w:font w:name="Wingdings 2">
    <w:panose1 w:val="05020102010507070707"/>
    <w:charset w:val="02"/>
    <w:family w:val="roman"/>
    <w:pitch w:val="default"/>
    <w:sig w:usb0="00000000" w:usb1="00000000" w:usb2="00000000" w:usb3="00000000" w:csb0="80000000" w:csb1="00000000"/>
    <w:embedRegular r:id="rId6" w:fontKey="{A2B1568C-7A14-4DF8-9475-7322C4BC514B}"/>
  </w:font>
  <w:font w:name="微软雅黑">
    <w:panose1 w:val="020B0503020204020204"/>
    <w:charset w:val="86"/>
    <w:family w:val="auto"/>
    <w:pitch w:val="default"/>
    <w:sig w:usb0="80000287" w:usb1="280F3C52" w:usb2="00000016" w:usb3="00000000" w:csb0="0004001F" w:csb1="00000000"/>
    <w:embedRegular r:id="rId7" w:fontKey="{FD32EC40-31A5-49BF-B089-DECEA7FE8B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5BA44">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7F426">
    <w:pPr>
      <w:pStyle w:val="14"/>
      <w:framePr w:wrap="around" w:vAnchor="text" w:hAnchor="margin" w:xAlign="center" w:y="1"/>
      <w:rPr>
        <w:rStyle w:val="29"/>
      </w:rPr>
    </w:pPr>
    <w:r>
      <w:fldChar w:fldCharType="begin"/>
    </w:r>
    <w:r>
      <w:rPr>
        <w:rStyle w:val="29"/>
      </w:rPr>
      <w:instrText xml:space="preserve">PAGE  </w:instrText>
    </w:r>
    <w:r>
      <w:fldChar w:fldCharType="end"/>
    </w:r>
  </w:p>
  <w:p w14:paraId="1711B281">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662D2">
    <w:pPr>
      <w:pStyle w:val="14"/>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21327">
                          <w:pPr>
                            <w:pStyle w:val="14"/>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F21327">
                    <w:pPr>
                      <w:pStyle w:val="14"/>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3323A">
    <w:pPr>
      <w:pStyle w:val="1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FE1AF">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86B666"/>
    <w:multiLevelType w:val="singleLevel"/>
    <w:tmpl w:val="AA86B666"/>
    <w:lvl w:ilvl="0" w:tentative="0">
      <w:start w:val="1"/>
      <w:numFmt w:val="decimal"/>
      <w:suff w:val="space"/>
      <w:lvlText w:val="%1."/>
      <w:lvlJc w:val="left"/>
    </w:lvl>
  </w:abstractNum>
  <w:abstractNum w:abstractNumId="1">
    <w:nsid w:val="B4CD8A9A"/>
    <w:multiLevelType w:val="singleLevel"/>
    <w:tmpl w:val="B4CD8A9A"/>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VjZDhlZjA1NDQzNGZkNDNlOTVmYzFhMjEyNjViODYifQ=="/>
  </w:docVars>
  <w:rsids>
    <w:rsidRoot w:val="00172A27"/>
    <w:rsid w:val="000060B3"/>
    <w:rsid w:val="000276DA"/>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E546E"/>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967C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52A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19E0"/>
    <w:rsid w:val="002C2B17"/>
    <w:rsid w:val="002D3DD0"/>
    <w:rsid w:val="002E1F3A"/>
    <w:rsid w:val="002E298A"/>
    <w:rsid w:val="00301978"/>
    <w:rsid w:val="0030332C"/>
    <w:rsid w:val="003051C2"/>
    <w:rsid w:val="00312296"/>
    <w:rsid w:val="00314F0E"/>
    <w:rsid w:val="00321D8E"/>
    <w:rsid w:val="00325094"/>
    <w:rsid w:val="00325928"/>
    <w:rsid w:val="00332863"/>
    <w:rsid w:val="0033684D"/>
    <w:rsid w:val="00337B42"/>
    <w:rsid w:val="00340BB7"/>
    <w:rsid w:val="00341B42"/>
    <w:rsid w:val="0034348F"/>
    <w:rsid w:val="00356653"/>
    <w:rsid w:val="0035680E"/>
    <w:rsid w:val="0035743F"/>
    <w:rsid w:val="00357BE2"/>
    <w:rsid w:val="0036170C"/>
    <w:rsid w:val="00366E0F"/>
    <w:rsid w:val="00381A72"/>
    <w:rsid w:val="00384676"/>
    <w:rsid w:val="00385155"/>
    <w:rsid w:val="00390857"/>
    <w:rsid w:val="003918F2"/>
    <w:rsid w:val="003A4BF3"/>
    <w:rsid w:val="003B420D"/>
    <w:rsid w:val="003C6C16"/>
    <w:rsid w:val="003D794D"/>
    <w:rsid w:val="003E3058"/>
    <w:rsid w:val="003E76A9"/>
    <w:rsid w:val="003F03C3"/>
    <w:rsid w:val="003F0809"/>
    <w:rsid w:val="003F6A8C"/>
    <w:rsid w:val="003F755C"/>
    <w:rsid w:val="00406F01"/>
    <w:rsid w:val="00416D50"/>
    <w:rsid w:val="00416FD5"/>
    <w:rsid w:val="00417772"/>
    <w:rsid w:val="00420E6A"/>
    <w:rsid w:val="00425A9E"/>
    <w:rsid w:val="00426D6B"/>
    <w:rsid w:val="00431E6C"/>
    <w:rsid w:val="00433CE7"/>
    <w:rsid w:val="00443D14"/>
    <w:rsid w:val="0044415B"/>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0A7E"/>
    <w:rsid w:val="005401AE"/>
    <w:rsid w:val="00542E07"/>
    <w:rsid w:val="00545424"/>
    <w:rsid w:val="00554A7B"/>
    <w:rsid w:val="0055572C"/>
    <w:rsid w:val="0056106A"/>
    <w:rsid w:val="005720AE"/>
    <w:rsid w:val="00594D77"/>
    <w:rsid w:val="005969E4"/>
    <w:rsid w:val="005A06B7"/>
    <w:rsid w:val="005A1759"/>
    <w:rsid w:val="005A64C9"/>
    <w:rsid w:val="005A68A7"/>
    <w:rsid w:val="005B5FC5"/>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8768E"/>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2C97"/>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CE6"/>
    <w:rsid w:val="008F60D8"/>
    <w:rsid w:val="00902727"/>
    <w:rsid w:val="0090312B"/>
    <w:rsid w:val="0091736D"/>
    <w:rsid w:val="0093037A"/>
    <w:rsid w:val="0094154D"/>
    <w:rsid w:val="00947AAF"/>
    <w:rsid w:val="0095155F"/>
    <w:rsid w:val="00954429"/>
    <w:rsid w:val="009563CE"/>
    <w:rsid w:val="0097629E"/>
    <w:rsid w:val="00976328"/>
    <w:rsid w:val="0097680D"/>
    <w:rsid w:val="00982438"/>
    <w:rsid w:val="0098404C"/>
    <w:rsid w:val="00985283"/>
    <w:rsid w:val="00995992"/>
    <w:rsid w:val="00996A00"/>
    <w:rsid w:val="009A03E5"/>
    <w:rsid w:val="009A0F3B"/>
    <w:rsid w:val="009A1BB4"/>
    <w:rsid w:val="009A2628"/>
    <w:rsid w:val="009A3200"/>
    <w:rsid w:val="009B0897"/>
    <w:rsid w:val="009B7BD9"/>
    <w:rsid w:val="009C2C7F"/>
    <w:rsid w:val="009C7DD5"/>
    <w:rsid w:val="009E227D"/>
    <w:rsid w:val="009E5019"/>
    <w:rsid w:val="00A04F1B"/>
    <w:rsid w:val="00A0501B"/>
    <w:rsid w:val="00A14947"/>
    <w:rsid w:val="00A32A83"/>
    <w:rsid w:val="00A368DB"/>
    <w:rsid w:val="00A423AA"/>
    <w:rsid w:val="00A53EC6"/>
    <w:rsid w:val="00A55C0F"/>
    <w:rsid w:val="00A73A39"/>
    <w:rsid w:val="00A74CF7"/>
    <w:rsid w:val="00A8713F"/>
    <w:rsid w:val="00A90BA1"/>
    <w:rsid w:val="00A97A9A"/>
    <w:rsid w:val="00AA0671"/>
    <w:rsid w:val="00AA2531"/>
    <w:rsid w:val="00AA5870"/>
    <w:rsid w:val="00AB1E09"/>
    <w:rsid w:val="00AB5330"/>
    <w:rsid w:val="00AB7747"/>
    <w:rsid w:val="00AC14CE"/>
    <w:rsid w:val="00AC2A56"/>
    <w:rsid w:val="00AD055E"/>
    <w:rsid w:val="00AD47A7"/>
    <w:rsid w:val="00AF0CBF"/>
    <w:rsid w:val="00AF257F"/>
    <w:rsid w:val="00AF33CF"/>
    <w:rsid w:val="00AF4D50"/>
    <w:rsid w:val="00AF6179"/>
    <w:rsid w:val="00B073B0"/>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7EBC"/>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8718B"/>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0C67"/>
    <w:rsid w:val="00E412D0"/>
    <w:rsid w:val="00E56322"/>
    <w:rsid w:val="00E60982"/>
    <w:rsid w:val="00E610FC"/>
    <w:rsid w:val="00E62C62"/>
    <w:rsid w:val="00E654C1"/>
    <w:rsid w:val="00E65D97"/>
    <w:rsid w:val="00E72A5A"/>
    <w:rsid w:val="00E73354"/>
    <w:rsid w:val="00E75F6B"/>
    <w:rsid w:val="00E9242D"/>
    <w:rsid w:val="00EA7B87"/>
    <w:rsid w:val="00EB2B85"/>
    <w:rsid w:val="00EB5255"/>
    <w:rsid w:val="00EB5C47"/>
    <w:rsid w:val="00EC599E"/>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4C6E"/>
    <w:rsid w:val="01290F7E"/>
    <w:rsid w:val="015D1E09"/>
    <w:rsid w:val="01FC1B85"/>
    <w:rsid w:val="02033B0C"/>
    <w:rsid w:val="0210576C"/>
    <w:rsid w:val="02341832"/>
    <w:rsid w:val="02697903"/>
    <w:rsid w:val="028551FB"/>
    <w:rsid w:val="02EF2D80"/>
    <w:rsid w:val="02F96569"/>
    <w:rsid w:val="03EA7B21"/>
    <w:rsid w:val="03F625E7"/>
    <w:rsid w:val="047346B0"/>
    <w:rsid w:val="04740D77"/>
    <w:rsid w:val="048E79EB"/>
    <w:rsid w:val="049F436D"/>
    <w:rsid w:val="05CF17C3"/>
    <w:rsid w:val="05F83EAE"/>
    <w:rsid w:val="062E0F1B"/>
    <w:rsid w:val="063E7D85"/>
    <w:rsid w:val="067D08E8"/>
    <w:rsid w:val="06EC65D1"/>
    <w:rsid w:val="07293586"/>
    <w:rsid w:val="07295285"/>
    <w:rsid w:val="0746370A"/>
    <w:rsid w:val="07636392"/>
    <w:rsid w:val="07737303"/>
    <w:rsid w:val="07770C56"/>
    <w:rsid w:val="07D90A93"/>
    <w:rsid w:val="084F3130"/>
    <w:rsid w:val="08F1233F"/>
    <w:rsid w:val="092217DD"/>
    <w:rsid w:val="093A7294"/>
    <w:rsid w:val="09CB34FD"/>
    <w:rsid w:val="0A263993"/>
    <w:rsid w:val="0A2D3AC2"/>
    <w:rsid w:val="0A410EC9"/>
    <w:rsid w:val="0A4F48B5"/>
    <w:rsid w:val="0AA755DF"/>
    <w:rsid w:val="0B120D44"/>
    <w:rsid w:val="0B6C2585"/>
    <w:rsid w:val="0BD27BF6"/>
    <w:rsid w:val="0C3B3C7D"/>
    <w:rsid w:val="0C5E13ED"/>
    <w:rsid w:val="0CAB2EAE"/>
    <w:rsid w:val="0D621C7D"/>
    <w:rsid w:val="0E147718"/>
    <w:rsid w:val="0E211365"/>
    <w:rsid w:val="0E245572"/>
    <w:rsid w:val="0E73034D"/>
    <w:rsid w:val="0F13775A"/>
    <w:rsid w:val="0F5F45FE"/>
    <w:rsid w:val="0F9A112B"/>
    <w:rsid w:val="0FA17A7C"/>
    <w:rsid w:val="0FE15C54"/>
    <w:rsid w:val="101C7BD1"/>
    <w:rsid w:val="103C4234"/>
    <w:rsid w:val="103D28B6"/>
    <w:rsid w:val="106D2F64"/>
    <w:rsid w:val="10B63710"/>
    <w:rsid w:val="10F10820"/>
    <w:rsid w:val="111C2F7A"/>
    <w:rsid w:val="115A0E16"/>
    <w:rsid w:val="11665CA1"/>
    <w:rsid w:val="11CE391D"/>
    <w:rsid w:val="11FF157A"/>
    <w:rsid w:val="12617F82"/>
    <w:rsid w:val="127009F7"/>
    <w:rsid w:val="1279748D"/>
    <w:rsid w:val="1368215E"/>
    <w:rsid w:val="13691DD8"/>
    <w:rsid w:val="13951726"/>
    <w:rsid w:val="14396509"/>
    <w:rsid w:val="14535FF1"/>
    <w:rsid w:val="14DD2C3C"/>
    <w:rsid w:val="15F76B45"/>
    <w:rsid w:val="16087E1D"/>
    <w:rsid w:val="16BF5AEC"/>
    <w:rsid w:val="1759391E"/>
    <w:rsid w:val="17701D14"/>
    <w:rsid w:val="17735226"/>
    <w:rsid w:val="17935ADC"/>
    <w:rsid w:val="17FA594C"/>
    <w:rsid w:val="18746085"/>
    <w:rsid w:val="189659FF"/>
    <w:rsid w:val="189F624C"/>
    <w:rsid w:val="1A1C66C0"/>
    <w:rsid w:val="1A3D1800"/>
    <w:rsid w:val="1A42393B"/>
    <w:rsid w:val="1A655CA1"/>
    <w:rsid w:val="1AAD45DE"/>
    <w:rsid w:val="1ABB3A43"/>
    <w:rsid w:val="1B046F80"/>
    <w:rsid w:val="1B174E3A"/>
    <w:rsid w:val="1B3267B5"/>
    <w:rsid w:val="1B40161D"/>
    <w:rsid w:val="1B441859"/>
    <w:rsid w:val="1B484B32"/>
    <w:rsid w:val="1B6606B1"/>
    <w:rsid w:val="1B964E9C"/>
    <w:rsid w:val="1BA063CD"/>
    <w:rsid w:val="1C5E7925"/>
    <w:rsid w:val="1CFD070F"/>
    <w:rsid w:val="1D1328C8"/>
    <w:rsid w:val="1D5F6196"/>
    <w:rsid w:val="1D6132A5"/>
    <w:rsid w:val="1D8E56D5"/>
    <w:rsid w:val="1DCC1A4F"/>
    <w:rsid w:val="1DE7541A"/>
    <w:rsid w:val="1E3E561C"/>
    <w:rsid w:val="1E7A43DA"/>
    <w:rsid w:val="1FDB5AA2"/>
    <w:rsid w:val="1FE7539E"/>
    <w:rsid w:val="20671BE0"/>
    <w:rsid w:val="20963CB8"/>
    <w:rsid w:val="20A81A1B"/>
    <w:rsid w:val="20B07FB6"/>
    <w:rsid w:val="20B646FB"/>
    <w:rsid w:val="20B74F38"/>
    <w:rsid w:val="213B74B1"/>
    <w:rsid w:val="215A2310"/>
    <w:rsid w:val="21DE318A"/>
    <w:rsid w:val="21EF5B80"/>
    <w:rsid w:val="22017822"/>
    <w:rsid w:val="22576990"/>
    <w:rsid w:val="22D8597A"/>
    <w:rsid w:val="22F47480"/>
    <w:rsid w:val="231F3C6E"/>
    <w:rsid w:val="23774748"/>
    <w:rsid w:val="23C54BB2"/>
    <w:rsid w:val="23DE1C48"/>
    <w:rsid w:val="240210CD"/>
    <w:rsid w:val="240B6D7D"/>
    <w:rsid w:val="24273FB5"/>
    <w:rsid w:val="246D27B7"/>
    <w:rsid w:val="24BF09F7"/>
    <w:rsid w:val="251100F1"/>
    <w:rsid w:val="252D53FE"/>
    <w:rsid w:val="25EC2D81"/>
    <w:rsid w:val="262D1B51"/>
    <w:rsid w:val="26C16960"/>
    <w:rsid w:val="26D7601D"/>
    <w:rsid w:val="26E92A70"/>
    <w:rsid w:val="26EC646C"/>
    <w:rsid w:val="27675BE3"/>
    <w:rsid w:val="277057A2"/>
    <w:rsid w:val="27BC5E55"/>
    <w:rsid w:val="287947B6"/>
    <w:rsid w:val="290E1520"/>
    <w:rsid w:val="29206EB8"/>
    <w:rsid w:val="29565F0F"/>
    <w:rsid w:val="29595666"/>
    <w:rsid w:val="296D037D"/>
    <w:rsid w:val="298459DC"/>
    <w:rsid w:val="29874881"/>
    <w:rsid w:val="29E325E0"/>
    <w:rsid w:val="2A452503"/>
    <w:rsid w:val="2AAA65EC"/>
    <w:rsid w:val="2AFD15CC"/>
    <w:rsid w:val="2B3F6C2E"/>
    <w:rsid w:val="2B404D34"/>
    <w:rsid w:val="2BA936A8"/>
    <w:rsid w:val="2BAD5B8F"/>
    <w:rsid w:val="2BDA3485"/>
    <w:rsid w:val="2BEB0073"/>
    <w:rsid w:val="2C315A5A"/>
    <w:rsid w:val="2C4B1C25"/>
    <w:rsid w:val="2C8851AD"/>
    <w:rsid w:val="2CAB4A8D"/>
    <w:rsid w:val="2D4F33A1"/>
    <w:rsid w:val="2D68116A"/>
    <w:rsid w:val="2D9E56F5"/>
    <w:rsid w:val="2DA510B5"/>
    <w:rsid w:val="2DA5538E"/>
    <w:rsid w:val="2E667F96"/>
    <w:rsid w:val="2E8226AB"/>
    <w:rsid w:val="2F11364E"/>
    <w:rsid w:val="2F537CDC"/>
    <w:rsid w:val="2FD065E6"/>
    <w:rsid w:val="2FD96870"/>
    <w:rsid w:val="30580BC9"/>
    <w:rsid w:val="3069765E"/>
    <w:rsid w:val="30AE49CC"/>
    <w:rsid w:val="30CF406E"/>
    <w:rsid w:val="30F77FD8"/>
    <w:rsid w:val="311E2ED7"/>
    <w:rsid w:val="315619EE"/>
    <w:rsid w:val="315C449C"/>
    <w:rsid w:val="316916AD"/>
    <w:rsid w:val="31AD260B"/>
    <w:rsid w:val="31B21721"/>
    <w:rsid w:val="31B82709"/>
    <w:rsid w:val="31D05482"/>
    <w:rsid w:val="32400B34"/>
    <w:rsid w:val="329E6876"/>
    <w:rsid w:val="333015F2"/>
    <w:rsid w:val="3344279D"/>
    <w:rsid w:val="334B6320"/>
    <w:rsid w:val="335E1A00"/>
    <w:rsid w:val="33974A18"/>
    <w:rsid w:val="33C922B7"/>
    <w:rsid w:val="33D934D4"/>
    <w:rsid w:val="33FE2F6A"/>
    <w:rsid w:val="340E07E5"/>
    <w:rsid w:val="34235BF7"/>
    <w:rsid w:val="348232D4"/>
    <w:rsid w:val="34825CF4"/>
    <w:rsid w:val="34EB24D6"/>
    <w:rsid w:val="352C6C95"/>
    <w:rsid w:val="353D7C11"/>
    <w:rsid w:val="358C5FA8"/>
    <w:rsid w:val="35C15DF1"/>
    <w:rsid w:val="36074A7F"/>
    <w:rsid w:val="367407A3"/>
    <w:rsid w:val="36923549"/>
    <w:rsid w:val="36B75FBF"/>
    <w:rsid w:val="36BD0C45"/>
    <w:rsid w:val="36C56482"/>
    <w:rsid w:val="36CC15BF"/>
    <w:rsid w:val="375E61E2"/>
    <w:rsid w:val="37E00298"/>
    <w:rsid w:val="38043ABB"/>
    <w:rsid w:val="381476C1"/>
    <w:rsid w:val="38B302F9"/>
    <w:rsid w:val="38F12CD3"/>
    <w:rsid w:val="38F94775"/>
    <w:rsid w:val="392971ED"/>
    <w:rsid w:val="39325651"/>
    <w:rsid w:val="39343F1A"/>
    <w:rsid w:val="3949339B"/>
    <w:rsid w:val="3959541C"/>
    <w:rsid w:val="39CD3503"/>
    <w:rsid w:val="3A434E14"/>
    <w:rsid w:val="3A872856"/>
    <w:rsid w:val="3AC57421"/>
    <w:rsid w:val="3AE20944"/>
    <w:rsid w:val="3B3763D1"/>
    <w:rsid w:val="3B3907C2"/>
    <w:rsid w:val="3BFF41E4"/>
    <w:rsid w:val="3C0841C8"/>
    <w:rsid w:val="3C1A4B4A"/>
    <w:rsid w:val="3C2951CF"/>
    <w:rsid w:val="3C2F6E1E"/>
    <w:rsid w:val="3C4F64BA"/>
    <w:rsid w:val="3CDA245A"/>
    <w:rsid w:val="3D1E06B7"/>
    <w:rsid w:val="3D673A87"/>
    <w:rsid w:val="3D8C50C3"/>
    <w:rsid w:val="3E1C58D1"/>
    <w:rsid w:val="3E367631"/>
    <w:rsid w:val="3EAB6156"/>
    <w:rsid w:val="3ED71449"/>
    <w:rsid w:val="3EDA0523"/>
    <w:rsid w:val="3F9E5AC2"/>
    <w:rsid w:val="407A6407"/>
    <w:rsid w:val="40DA45D5"/>
    <w:rsid w:val="41151A49"/>
    <w:rsid w:val="41360801"/>
    <w:rsid w:val="4200449D"/>
    <w:rsid w:val="423A3BCC"/>
    <w:rsid w:val="424E57D2"/>
    <w:rsid w:val="425272A4"/>
    <w:rsid w:val="42B26C49"/>
    <w:rsid w:val="42FB38B9"/>
    <w:rsid w:val="43030CEF"/>
    <w:rsid w:val="433A6FE6"/>
    <w:rsid w:val="43480868"/>
    <w:rsid w:val="4350713C"/>
    <w:rsid w:val="436653E0"/>
    <w:rsid w:val="43C4431A"/>
    <w:rsid w:val="43F2172F"/>
    <w:rsid w:val="449E0F2B"/>
    <w:rsid w:val="44B951CC"/>
    <w:rsid w:val="44CD14E0"/>
    <w:rsid w:val="44F20B0B"/>
    <w:rsid w:val="452731C1"/>
    <w:rsid w:val="452E5F4C"/>
    <w:rsid w:val="45466CB8"/>
    <w:rsid w:val="45612018"/>
    <w:rsid w:val="458946E9"/>
    <w:rsid w:val="45A47C0E"/>
    <w:rsid w:val="46002E19"/>
    <w:rsid w:val="46577FD6"/>
    <w:rsid w:val="468758F4"/>
    <w:rsid w:val="46BA28B8"/>
    <w:rsid w:val="46D955A7"/>
    <w:rsid w:val="46F87F14"/>
    <w:rsid w:val="46FB735A"/>
    <w:rsid w:val="47133957"/>
    <w:rsid w:val="476953E6"/>
    <w:rsid w:val="47A07E0C"/>
    <w:rsid w:val="47FC7D62"/>
    <w:rsid w:val="48541414"/>
    <w:rsid w:val="4870272E"/>
    <w:rsid w:val="49DA0ECB"/>
    <w:rsid w:val="49DC7715"/>
    <w:rsid w:val="49F2096D"/>
    <w:rsid w:val="4A023139"/>
    <w:rsid w:val="4A4C4A99"/>
    <w:rsid w:val="4A7B576F"/>
    <w:rsid w:val="4A827CA8"/>
    <w:rsid w:val="4ABE4879"/>
    <w:rsid w:val="4AF561A9"/>
    <w:rsid w:val="4B0616EB"/>
    <w:rsid w:val="4B1C6700"/>
    <w:rsid w:val="4BAB4546"/>
    <w:rsid w:val="4C4A0649"/>
    <w:rsid w:val="4C595F25"/>
    <w:rsid w:val="4C7E5ECA"/>
    <w:rsid w:val="4C876AA5"/>
    <w:rsid w:val="4CC36B68"/>
    <w:rsid w:val="4D0E00FB"/>
    <w:rsid w:val="4D176606"/>
    <w:rsid w:val="4D4D12C8"/>
    <w:rsid w:val="4DEC4FB0"/>
    <w:rsid w:val="4E075D8A"/>
    <w:rsid w:val="4EC00FAD"/>
    <w:rsid w:val="4EF5557C"/>
    <w:rsid w:val="4F1B712F"/>
    <w:rsid w:val="4F5F2ED9"/>
    <w:rsid w:val="4F9843DC"/>
    <w:rsid w:val="4FC62A8C"/>
    <w:rsid w:val="4FE20F0D"/>
    <w:rsid w:val="4FE51552"/>
    <w:rsid w:val="50504C4B"/>
    <w:rsid w:val="509C6E7C"/>
    <w:rsid w:val="50BB0F4B"/>
    <w:rsid w:val="513C510C"/>
    <w:rsid w:val="5162104E"/>
    <w:rsid w:val="5162265C"/>
    <w:rsid w:val="51F55A16"/>
    <w:rsid w:val="52D5782C"/>
    <w:rsid w:val="532C52C8"/>
    <w:rsid w:val="536665A1"/>
    <w:rsid w:val="53A039CC"/>
    <w:rsid w:val="53A1505A"/>
    <w:rsid w:val="54063E08"/>
    <w:rsid w:val="543437E8"/>
    <w:rsid w:val="543547EF"/>
    <w:rsid w:val="54F73313"/>
    <w:rsid w:val="54F80955"/>
    <w:rsid w:val="55093F37"/>
    <w:rsid w:val="555170A7"/>
    <w:rsid w:val="5587536D"/>
    <w:rsid w:val="559B174B"/>
    <w:rsid w:val="559B326E"/>
    <w:rsid w:val="55CA3B75"/>
    <w:rsid w:val="55CE0CF4"/>
    <w:rsid w:val="569D7AB8"/>
    <w:rsid w:val="56B22A9C"/>
    <w:rsid w:val="57642BC7"/>
    <w:rsid w:val="576F626A"/>
    <w:rsid w:val="57B72A76"/>
    <w:rsid w:val="57C3426C"/>
    <w:rsid w:val="57CE1F93"/>
    <w:rsid w:val="58157A78"/>
    <w:rsid w:val="588743D1"/>
    <w:rsid w:val="5887701A"/>
    <w:rsid w:val="594950C5"/>
    <w:rsid w:val="59852DB2"/>
    <w:rsid w:val="59C0439F"/>
    <w:rsid w:val="59C452AF"/>
    <w:rsid w:val="5A132EDD"/>
    <w:rsid w:val="5A990DDC"/>
    <w:rsid w:val="5A9A35FE"/>
    <w:rsid w:val="5ABC6740"/>
    <w:rsid w:val="5ABE2233"/>
    <w:rsid w:val="5B4044E5"/>
    <w:rsid w:val="5B907600"/>
    <w:rsid w:val="5BDF5D95"/>
    <w:rsid w:val="5BFE7528"/>
    <w:rsid w:val="5C115B42"/>
    <w:rsid w:val="5C5069FD"/>
    <w:rsid w:val="5C743E1E"/>
    <w:rsid w:val="5CCC33F6"/>
    <w:rsid w:val="5E2467F1"/>
    <w:rsid w:val="5F106403"/>
    <w:rsid w:val="5F1A2B43"/>
    <w:rsid w:val="5F2D401F"/>
    <w:rsid w:val="5FB837BB"/>
    <w:rsid w:val="60146B05"/>
    <w:rsid w:val="608B165E"/>
    <w:rsid w:val="60CC405A"/>
    <w:rsid w:val="60D55390"/>
    <w:rsid w:val="616A1AA2"/>
    <w:rsid w:val="61E215D8"/>
    <w:rsid w:val="621B3775"/>
    <w:rsid w:val="62364782"/>
    <w:rsid w:val="625A5496"/>
    <w:rsid w:val="631849D2"/>
    <w:rsid w:val="6394356A"/>
    <w:rsid w:val="63C61B2C"/>
    <w:rsid w:val="63D40BE9"/>
    <w:rsid w:val="64102431"/>
    <w:rsid w:val="64A5243A"/>
    <w:rsid w:val="64F531DE"/>
    <w:rsid w:val="65241792"/>
    <w:rsid w:val="653044FF"/>
    <w:rsid w:val="65373578"/>
    <w:rsid w:val="6607271F"/>
    <w:rsid w:val="666B7686"/>
    <w:rsid w:val="671F124A"/>
    <w:rsid w:val="677A33C6"/>
    <w:rsid w:val="67FC76A6"/>
    <w:rsid w:val="681F6961"/>
    <w:rsid w:val="68610A2F"/>
    <w:rsid w:val="686D2352"/>
    <w:rsid w:val="68805514"/>
    <w:rsid w:val="69083302"/>
    <w:rsid w:val="690C653C"/>
    <w:rsid w:val="69316E2F"/>
    <w:rsid w:val="694B27E6"/>
    <w:rsid w:val="694E2071"/>
    <w:rsid w:val="69766163"/>
    <w:rsid w:val="697A3B33"/>
    <w:rsid w:val="69B61AD7"/>
    <w:rsid w:val="69D44760"/>
    <w:rsid w:val="6A520EC7"/>
    <w:rsid w:val="6AF87E20"/>
    <w:rsid w:val="6B322639"/>
    <w:rsid w:val="6C636C38"/>
    <w:rsid w:val="6CD5531A"/>
    <w:rsid w:val="6CF54B44"/>
    <w:rsid w:val="6DA22A9E"/>
    <w:rsid w:val="6DB34098"/>
    <w:rsid w:val="6DB545B6"/>
    <w:rsid w:val="6DE02FB4"/>
    <w:rsid w:val="6E514CED"/>
    <w:rsid w:val="6E74622B"/>
    <w:rsid w:val="6EA34C0D"/>
    <w:rsid w:val="6EA746DE"/>
    <w:rsid w:val="6EB563D5"/>
    <w:rsid w:val="6ED92677"/>
    <w:rsid w:val="6F225983"/>
    <w:rsid w:val="6F2B776F"/>
    <w:rsid w:val="6F8714CD"/>
    <w:rsid w:val="6FFC5590"/>
    <w:rsid w:val="70111815"/>
    <w:rsid w:val="706D1DD0"/>
    <w:rsid w:val="70856B87"/>
    <w:rsid w:val="70D13CB9"/>
    <w:rsid w:val="70D527EE"/>
    <w:rsid w:val="715B5300"/>
    <w:rsid w:val="717E112C"/>
    <w:rsid w:val="71D27F8A"/>
    <w:rsid w:val="721B119A"/>
    <w:rsid w:val="72553024"/>
    <w:rsid w:val="72921A0A"/>
    <w:rsid w:val="729E5DF6"/>
    <w:rsid w:val="72B94560"/>
    <w:rsid w:val="73122968"/>
    <w:rsid w:val="731F5D5E"/>
    <w:rsid w:val="73743F33"/>
    <w:rsid w:val="73C51AD5"/>
    <w:rsid w:val="73E7063A"/>
    <w:rsid w:val="74062323"/>
    <w:rsid w:val="741E793C"/>
    <w:rsid w:val="745E3944"/>
    <w:rsid w:val="74A82615"/>
    <w:rsid w:val="74D50CA0"/>
    <w:rsid w:val="74E61BA3"/>
    <w:rsid w:val="7635099D"/>
    <w:rsid w:val="76A01B45"/>
    <w:rsid w:val="76C21ABB"/>
    <w:rsid w:val="76DF30F6"/>
    <w:rsid w:val="77594F11"/>
    <w:rsid w:val="77762421"/>
    <w:rsid w:val="778B33D6"/>
    <w:rsid w:val="77B56B1F"/>
    <w:rsid w:val="780F09F4"/>
    <w:rsid w:val="7827252A"/>
    <w:rsid w:val="78720D3F"/>
    <w:rsid w:val="788E1C98"/>
    <w:rsid w:val="78A90480"/>
    <w:rsid w:val="78B10F61"/>
    <w:rsid w:val="7909605B"/>
    <w:rsid w:val="79D71005"/>
    <w:rsid w:val="7A364017"/>
    <w:rsid w:val="7A8265E1"/>
    <w:rsid w:val="7AE55D78"/>
    <w:rsid w:val="7AFE4D0F"/>
    <w:rsid w:val="7B686D42"/>
    <w:rsid w:val="7B841746"/>
    <w:rsid w:val="7B9410AA"/>
    <w:rsid w:val="7BD55A85"/>
    <w:rsid w:val="7C0B7A60"/>
    <w:rsid w:val="7C6946B4"/>
    <w:rsid w:val="7C6C5AC7"/>
    <w:rsid w:val="7CC6544B"/>
    <w:rsid w:val="7D0239FF"/>
    <w:rsid w:val="7D5E40CD"/>
    <w:rsid w:val="7DCD56F2"/>
    <w:rsid w:val="7E1162DD"/>
    <w:rsid w:val="7E5D031B"/>
    <w:rsid w:val="7F001CE7"/>
    <w:rsid w:val="7F200254"/>
    <w:rsid w:val="7FC8417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beforeLines="0" w:after="260" w:afterLines="0" w:line="415" w:lineRule="auto"/>
      <w:outlineLvl w:val="1"/>
    </w:pPr>
    <w:rPr>
      <w:rFonts w:ascii="Arial" w:hAnsi="Arial" w:eastAsia="黑体"/>
      <w:b/>
      <w:bCs/>
      <w:sz w:val="32"/>
      <w:szCs w:val="32"/>
    </w:rPr>
  </w:style>
  <w:style w:type="paragraph" w:styleId="4">
    <w:name w:val="heading 3"/>
    <w:basedOn w:val="1"/>
    <w:next w:val="1"/>
    <w:qFormat/>
    <w:locked/>
    <w:uiPriority w:val="0"/>
    <w:pPr>
      <w:outlineLvl w:val="2"/>
    </w:pPr>
    <w:rPr>
      <w:rFonts w:ascii="宋体" w:hAnsi="宋体" w:eastAsia="宋体" w:cs="宋体"/>
      <w:b/>
      <w:bCs/>
      <w:sz w:val="24"/>
      <w:szCs w:val="24"/>
      <w:lang w:val="zh-CN" w:eastAsia="zh-CN" w:bidi="zh-CN"/>
    </w:rPr>
  </w:style>
  <w:style w:type="paragraph" w:styleId="5">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ind w:firstLine="420" w:firstLineChars="200"/>
    </w:pPr>
  </w:style>
  <w:style w:type="paragraph" w:styleId="7">
    <w:name w:val="caption"/>
    <w:basedOn w:val="1"/>
    <w:next w:val="1"/>
    <w:qFormat/>
    <w:locked/>
    <w:uiPriority w:val="0"/>
    <w:pPr>
      <w:jc w:val="center"/>
    </w:pPr>
    <w:rPr>
      <w:rFonts w:eastAsia="黑体"/>
      <w:szCs w:val="21"/>
    </w:rPr>
  </w:style>
  <w:style w:type="paragraph" w:styleId="8">
    <w:name w:val="annotation text"/>
    <w:basedOn w:val="1"/>
    <w:link w:val="45"/>
    <w:semiHidden/>
    <w:qFormat/>
    <w:uiPriority w:val="0"/>
    <w:pPr>
      <w:jc w:val="left"/>
    </w:pPr>
    <w:rPr>
      <w:kern w:val="0"/>
      <w:sz w:val="24"/>
      <w:szCs w:val="20"/>
    </w:rPr>
  </w:style>
  <w:style w:type="paragraph" w:styleId="9">
    <w:name w:val="Body Text"/>
    <w:basedOn w:val="1"/>
    <w:link w:val="43"/>
    <w:qFormat/>
    <w:uiPriority w:val="0"/>
    <w:pPr>
      <w:widowControl/>
      <w:snapToGrid w:val="0"/>
      <w:spacing w:before="60" w:after="160" w:line="259" w:lineRule="auto"/>
      <w:ind w:right="113"/>
    </w:pPr>
    <w:rPr>
      <w:kern w:val="0"/>
      <w:sz w:val="18"/>
      <w:szCs w:val="20"/>
    </w:rPr>
  </w:style>
  <w:style w:type="paragraph" w:styleId="10">
    <w:name w:val="Body Text Indent"/>
    <w:basedOn w:val="1"/>
    <w:next w:val="1"/>
    <w:link w:val="46"/>
    <w:qFormat/>
    <w:uiPriority w:val="0"/>
    <w:pPr>
      <w:spacing w:after="120"/>
      <w:ind w:left="420" w:leftChars="200"/>
    </w:pPr>
    <w:rPr>
      <w:kern w:val="0"/>
      <w:sz w:val="24"/>
      <w:szCs w:val="20"/>
    </w:rPr>
  </w:style>
  <w:style w:type="paragraph" w:styleId="11">
    <w:name w:val="Plain Text"/>
    <w:basedOn w:val="1"/>
    <w:qFormat/>
    <w:locked/>
    <w:uiPriority w:val="0"/>
    <w:rPr>
      <w:rFonts w:ascii="宋体" w:hAnsi="Courier New"/>
    </w:rPr>
  </w:style>
  <w:style w:type="paragraph" w:styleId="12">
    <w:name w:val="Date"/>
    <w:basedOn w:val="1"/>
    <w:next w:val="1"/>
    <w:link w:val="52"/>
    <w:qFormat/>
    <w:uiPriority w:val="0"/>
    <w:pPr>
      <w:ind w:left="100" w:leftChars="2500"/>
    </w:pPr>
    <w:rPr>
      <w:kern w:val="0"/>
      <w:sz w:val="24"/>
      <w:szCs w:val="20"/>
    </w:rPr>
  </w:style>
  <w:style w:type="paragraph" w:styleId="13">
    <w:name w:val="Balloon Text"/>
    <w:basedOn w:val="1"/>
    <w:link w:val="51"/>
    <w:semiHidden/>
    <w:qFormat/>
    <w:uiPriority w:val="0"/>
    <w:rPr>
      <w:kern w:val="0"/>
      <w:sz w:val="18"/>
      <w:szCs w:val="20"/>
    </w:rPr>
  </w:style>
  <w:style w:type="paragraph" w:styleId="14">
    <w:name w:val="footer"/>
    <w:basedOn w:val="1"/>
    <w:next w:val="1"/>
    <w:link w:val="48"/>
    <w:qFormat/>
    <w:uiPriority w:val="99"/>
    <w:pPr>
      <w:tabs>
        <w:tab w:val="center" w:pos="4153"/>
        <w:tab w:val="right" w:pos="8306"/>
      </w:tabs>
      <w:snapToGrid w:val="0"/>
      <w:jc w:val="left"/>
    </w:pPr>
    <w:rPr>
      <w:kern w:val="0"/>
      <w:sz w:val="18"/>
      <w:szCs w:val="20"/>
    </w:rPr>
  </w:style>
  <w:style w:type="paragraph" w:styleId="15">
    <w:name w:val="header"/>
    <w:basedOn w:val="1"/>
    <w:link w:val="41"/>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locked/>
    <w:uiPriority w:val="0"/>
  </w:style>
  <w:style w:type="paragraph" w:styleId="17">
    <w:name w:val="index heading"/>
    <w:basedOn w:val="1"/>
    <w:next w:val="18"/>
    <w:qFormat/>
    <w:locked/>
    <w:uiPriority w:val="99"/>
    <w:rPr>
      <w:rFonts w:ascii="Arial" w:hAnsi="Arial"/>
      <w:b/>
    </w:rPr>
  </w:style>
  <w:style w:type="paragraph" w:styleId="18">
    <w:name w:val="index 1"/>
    <w:basedOn w:val="1"/>
    <w:next w:val="1"/>
    <w:qFormat/>
    <w:locked/>
    <w:uiPriority w:val="99"/>
  </w:style>
  <w:style w:type="paragraph" w:styleId="19">
    <w:name w:val="List"/>
    <w:basedOn w:val="1"/>
    <w:qFormat/>
    <w:locked/>
    <w:uiPriority w:val="0"/>
    <w:pPr>
      <w:ind w:left="200" w:hanging="200" w:hangingChars="200"/>
    </w:pPr>
  </w:style>
  <w:style w:type="paragraph" w:styleId="20">
    <w:name w:val="Body Text 2"/>
    <w:basedOn w:val="1"/>
    <w:qFormat/>
    <w:locked/>
    <w:uiPriority w:val="0"/>
    <w:pPr>
      <w:spacing w:after="120" w:line="480" w:lineRule="auto"/>
    </w:pPr>
  </w:style>
  <w:style w:type="paragraph" w:styleId="21">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8"/>
    <w:next w:val="8"/>
    <w:link w:val="49"/>
    <w:semiHidden/>
    <w:qFormat/>
    <w:uiPriority w:val="0"/>
    <w:rPr>
      <w:b/>
    </w:rPr>
  </w:style>
  <w:style w:type="paragraph" w:styleId="23">
    <w:name w:val="Body Text First Indent"/>
    <w:basedOn w:val="1"/>
    <w:unhideWhenUsed/>
    <w:qFormat/>
    <w:locked/>
    <w:uiPriority w:val="99"/>
    <w:pPr>
      <w:ind w:firstLine="420" w:firstLineChars="100"/>
    </w:pPr>
  </w:style>
  <w:style w:type="paragraph" w:styleId="24">
    <w:name w:val="Body Text First Indent 2"/>
    <w:basedOn w:val="10"/>
    <w:next w:val="1"/>
    <w:qFormat/>
    <w:locked/>
    <w:uiPriority w:val="0"/>
    <w:pPr>
      <w:ind w:firstLine="420"/>
    </w:pPr>
    <w:rPr>
      <w:kern w:val="2"/>
      <w:sz w:val="21"/>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0"/>
    <w:rPr>
      <w:b/>
    </w:rPr>
  </w:style>
  <w:style w:type="character" w:styleId="29">
    <w:name w:val="page number"/>
    <w:basedOn w:val="27"/>
    <w:qFormat/>
    <w:locked/>
    <w:uiPriority w:val="0"/>
  </w:style>
  <w:style w:type="character" w:styleId="30">
    <w:name w:val="Hyperlink"/>
    <w:basedOn w:val="27"/>
    <w:qFormat/>
    <w:locked/>
    <w:uiPriority w:val="0"/>
    <w:rPr>
      <w:color w:val="0000FF"/>
      <w:u w:val="single"/>
    </w:rPr>
  </w:style>
  <w:style w:type="character" w:styleId="31">
    <w:name w:val="annotation reference"/>
    <w:semiHidden/>
    <w:qFormat/>
    <w:uiPriority w:val="0"/>
    <w:rPr>
      <w:sz w:val="21"/>
    </w:rPr>
  </w:style>
  <w:style w:type="paragraph" w:customStyle="1" w:styleId="32">
    <w:name w:val="表头"/>
    <w:basedOn w:val="11"/>
    <w:next w:val="1"/>
    <w:qFormat/>
    <w:uiPriority w:val="0"/>
    <w:pPr>
      <w:snapToGrid w:val="0"/>
      <w:spacing w:before="60" w:beforeLines="25"/>
    </w:pPr>
    <w:rPr>
      <w:rFonts w:hAnsi="宋体" w:eastAsia="仿宋_GB2312"/>
      <w:b/>
      <w:sz w:val="28"/>
      <w:szCs w:val="28"/>
    </w:rPr>
  </w:style>
  <w:style w:type="paragraph" w:customStyle="1" w:styleId="33">
    <w:name w:val="Date1"/>
    <w:basedOn w:val="1"/>
    <w:next w:val="1"/>
    <w:qFormat/>
    <w:uiPriority w:val="0"/>
    <w:pPr>
      <w:adjustRightInd w:val="0"/>
      <w:jc w:val="left"/>
      <w:textAlignment w:val="baseline"/>
    </w:pPr>
    <w:rPr>
      <w:rFonts w:ascii="宋体" w:hAnsi="宋体"/>
      <w:sz w:val="28"/>
      <w:szCs w:val="20"/>
    </w:rPr>
  </w:style>
  <w:style w:type="paragraph" w:customStyle="1" w:styleId="34">
    <w:name w:val="正文（缩进）"/>
    <w:basedOn w:val="35"/>
    <w:next w:val="1"/>
    <w:qFormat/>
    <w:uiPriority w:val="99"/>
    <w:pPr>
      <w:spacing w:line="360" w:lineRule="auto"/>
      <w:ind w:firstLine="480" w:firstLineChars="200"/>
    </w:pPr>
    <w:rPr>
      <w:sz w:val="24"/>
    </w:rPr>
  </w:style>
  <w:style w:type="paragraph" w:customStyle="1" w:styleId="35">
    <w:name w:val="正文(首行缩进)"/>
    <w:basedOn w:val="1"/>
    <w:autoRedefine/>
    <w:qFormat/>
    <w:uiPriority w:val="0"/>
    <w:pPr>
      <w:widowControl w:val="0"/>
      <w:jc w:val="both"/>
    </w:pPr>
    <w:rPr>
      <w:rFonts w:ascii="Times New Roman" w:hAnsi="Times New Roman" w:cs="Times New Roman"/>
      <w:kern w:val="0"/>
      <w:sz w:val="24"/>
      <w:szCs w:val="24"/>
    </w:rPr>
  </w:style>
  <w:style w:type="paragraph" w:customStyle="1" w:styleId="36">
    <w:name w:val="Default"/>
    <w:next w:val="20"/>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7">
    <w:name w:val="正文（首行缩进两字）"/>
    <w:basedOn w:val="1"/>
    <w:qFormat/>
    <w:uiPriority w:val="0"/>
    <w:pPr>
      <w:ind w:firstLine="420" w:firstLineChars="200"/>
    </w:pPr>
    <w:rPr>
      <w:szCs w:val="21"/>
    </w:rPr>
  </w:style>
  <w:style w:type="paragraph" w:customStyle="1" w:styleId="38">
    <w:name w:val="表格"/>
    <w:basedOn w:val="6"/>
    <w:next w:val="1"/>
    <w:link w:val="47"/>
    <w:qFormat/>
    <w:uiPriority w:val="0"/>
    <w:pPr>
      <w:adjustRightInd w:val="0"/>
      <w:snapToGrid w:val="0"/>
      <w:spacing w:beforeLines="10" w:afterLines="10" w:line="259" w:lineRule="auto"/>
      <w:jc w:val="center"/>
    </w:pPr>
    <w:rPr>
      <w:rFonts w:ascii="宋体"/>
      <w:kern w:val="0"/>
      <w:szCs w:val="20"/>
    </w:rPr>
  </w:style>
  <w:style w:type="paragraph" w:customStyle="1" w:styleId="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1">
    <w:name w:val="页眉 字符"/>
    <w:link w:val="15"/>
    <w:qFormat/>
    <w:locked/>
    <w:uiPriority w:val="0"/>
    <w:rPr>
      <w:sz w:val="18"/>
    </w:rPr>
  </w:style>
  <w:style w:type="character" w:customStyle="1" w:styleId="42">
    <w:name w:val="正文文本 字符1"/>
    <w:semiHidden/>
    <w:qFormat/>
    <w:uiPriority w:val="0"/>
    <w:rPr>
      <w:rFonts w:ascii="Times New Roman" w:hAnsi="Times New Roman" w:eastAsia="宋体"/>
      <w:sz w:val="24"/>
    </w:rPr>
  </w:style>
  <w:style w:type="character" w:customStyle="1" w:styleId="43">
    <w:name w:val="正文文本 字符"/>
    <w:link w:val="9"/>
    <w:qFormat/>
    <w:locked/>
    <w:uiPriority w:val="0"/>
    <w:rPr>
      <w:sz w:val="18"/>
    </w:rPr>
  </w:style>
  <w:style w:type="character" w:customStyle="1" w:styleId="44">
    <w:name w:val="普通(网站) 字符"/>
    <w:link w:val="21"/>
    <w:qFormat/>
    <w:locked/>
    <w:uiPriority w:val="0"/>
    <w:rPr>
      <w:rFonts w:ascii="宋体" w:hAnsi="宋体" w:eastAsia="宋体"/>
      <w:sz w:val="24"/>
    </w:rPr>
  </w:style>
  <w:style w:type="character" w:customStyle="1" w:styleId="45">
    <w:name w:val="批注文字 字符"/>
    <w:link w:val="8"/>
    <w:qFormat/>
    <w:locked/>
    <w:uiPriority w:val="0"/>
    <w:rPr>
      <w:rFonts w:ascii="Times New Roman" w:hAnsi="Times New Roman" w:eastAsia="宋体"/>
      <w:sz w:val="24"/>
    </w:rPr>
  </w:style>
  <w:style w:type="character" w:customStyle="1" w:styleId="46">
    <w:name w:val="正文文本缩进 字符"/>
    <w:link w:val="10"/>
    <w:semiHidden/>
    <w:qFormat/>
    <w:locked/>
    <w:uiPriority w:val="0"/>
    <w:rPr>
      <w:rFonts w:ascii="Times New Roman" w:hAnsi="Times New Roman" w:eastAsia="宋体"/>
      <w:sz w:val="24"/>
    </w:rPr>
  </w:style>
  <w:style w:type="character" w:customStyle="1" w:styleId="47">
    <w:name w:val="表格 Char"/>
    <w:link w:val="38"/>
    <w:qFormat/>
    <w:locked/>
    <w:uiPriority w:val="0"/>
    <w:rPr>
      <w:rFonts w:ascii="宋体"/>
      <w:sz w:val="21"/>
    </w:rPr>
  </w:style>
  <w:style w:type="character" w:customStyle="1" w:styleId="48">
    <w:name w:val="页脚 字符1"/>
    <w:link w:val="14"/>
    <w:qFormat/>
    <w:locked/>
    <w:uiPriority w:val="99"/>
    <w:rPr>
      <w:sz w:val="18"/>
    </w:rPr>
  </w:style>
  <w:style w:type="character" w:customStyle="1" w:styleId="49">
    <w:name w:val="批注主题 字符"/>
    <w:link w:val="22"/>
    <w:semiHidden/>
    <w:qFormat/>
    <w:locked/>
    <w:uiPriority w:val="0"/>
    <w:rPr>
      <w:rFonts w:ascii="Times New Roman" w:hAnsi="Times New Roman" w:eastAsia="宋体"/>
      <w:b/>
      <w:kern w:val="2"/>
      <w:sz w:val="24"/>
    </w:rPr>
  </w:style>
  <w:style w:type="character" w:customStyle="1" w:styleId="50">
    <w:name w:val="页脚 字符"/>
    <w:basedOn w:val="27"/>
    <w:qFormat/>
    <w:uiPriority w:val="99"/>
  </w:style>
  <w:style w:type="character" w:customStyle="1" w:styleId="51">
    <w:name w:val="批注框文本 字符"/>
    <w:link w:val="13"/>
    <w:semiHidden/>
    <w:qFormat/>
    <w:locked/>
    <w:uiPriority w:val="0"/>
    <w:rPr>
      <w:rFonts w:ascii="Times New Roman" w:hAnsi="Times New Roman" w:eastAsia="宋体"/>
      <w:sz w:val="18"/>
    </w:rPr>
  </w:style>
  <w:style w:type="character" w:customStyle="1" w:styleId="52">
    <w:name w:val="日期 字符1"/>
    <w:link w:val="12"/>
    <w:qFormat/>
    <w:locked/>
    <w:uiPriority w:val="0"/>
    <w:rPr>
      <w:rFonts w:ascii="Times New Roman" w:hAnsi="Times New Roman" w:eastAsia="宋体"/>
      <w:sz w:val="24"/>
    </w:rPr>
  </w:style>
  <w:style w:type="character" w:customStyle="1" w:styleId="53">
    <w:name w:val="批注文字 字符1"/>
    <w:semiHidden/>
    <w:qFormat/>
    <w:uiPriority w:val="0"/>
    <w:rPr>
      <w:rFonts w:ascii="Times New Roman" w:hAnsi="Times New Roman" w:eastAsia="宋体"/>
      <w:sz w:val="24"/>
    </w:rPr>
  </w:style>
  <w:style w:type="character" w:customStyle="1" w:styleId="54">
    <w:name w:val="日期 字符"/>
    <w:semiHidden/>
    <w:qFormat/>
    <w:uiPriority w:val="0"/>
    <w:rPr>
      <w:rFonts w:ascii="Times New Roman" w:hAnsi="Times New Roman" w:eastAsia="宋体"/>
      <w:sz w:val="24"/>
    </w:rPr>
  </w:style>
  <w:style w:type="paragraph" w:customStyle="1" w:styleId="55">
    <w:name w:val="正文缩近"/>
    <w:basedOn w:val="1"/>
    <w:qFormat/>
    <w:uiPriority w:val="0"/>
    <w:pPr>
      <w:spacing w:line="360" w:lineRule="auto"/>
      <w:ind w:firstLine="560" w:firstLineChars="200"/>
    </w:pPr>
    <w:rPr>
      <w:sz w:val="28"/>
    </w:rPr>
  </w:style>
  <w:style w:type="paragraph" w:customStyle="1" w:styleId="56">
    <w:name w:val="Table Paragraph"/>
    <w:basedOn w:val="1"/>
    <w:qFormat/>
    <w:uiPriority w:val="1"/>
    <w:pPr>
      <w:jc w:val="center"/>
    </w:pPr>
    <w:rPr>
      <w:rFonts w:eastAsia="Times New Roman"/>
      <w:lang w:val="zh-CN" w:bidi="zh-CN"/>
    </w:rPr>
  </w:style>
  <w:style w:type="paragraph" w:customStyle="1" w:styleId="57">
    <w:name w:val="表 正文"/>
    <w:basedOn w:val="1"/>
    <w:qFormat/>
    <w:uiPriority w:val="0"/>
    <w:pPr>
      <w:snapToGrid w:val="0"/>
      <w:spacing w:line="360" w:lineRule="auto"/>
      <w:ind w:firstLine="200" w:firstLineChars="200"/>
    </w:pPr>
    <w:rPr>
      <w:kern w:val="44"/>
      <w:sz w:val="24"/>
    </w:rPr>
  </w:style>
  <w:style w:type="paragraph" w:styleId="58">
    <w:name w:val="List Paragraph"/>
    <w:basedOn w:val="1"/>
    <w:unhideWhenUsed/>
    <w:qFormat/>
    <w:uiPriority w:val="99"/>
    <w:pPr>
      <w:ind w:firstLine="420" w:firstLineChars="200"/>
    </w:pPr>
  </w:style>
  <w:style w:type="paragraph" w:customStyle="1" w:styleId="59">
    <w:name w:val="正文文本 (2)1"/>
    <w:basedOn w:val="1"/>
    <w:qFormat/>
    <w:uiPriority w:val="0"/>
    <w:pPr>
      <w:shd w:val="clear" w:color="auto" w:fill="FFFFFF"/>
      <w:spacing w:line="374" w:lineRule="exact"/>
      <w:jc w:val="distribute"/>
    </w:pPr>
    <w:rPr>
      <w:rFonts w:ascii="MingLiU" w:eastAsia="MingLiU"/>
      <w:spacing w:val="-10"/>
      <w:sz w:val="20"/>
    </w:rPr>
  </w:style>
  <w:style w:type="character" w:customStyle="1" w:styleId="60">
    <w:name w:val="正文文本 (2) + 9 pt"/>
    <w:qFormat/>
    <w:uiPriority w:val="0"/>
    <w:rPr>
      <w:rFonts w:hint="eastAsia" w:ascii="MingLiU" w:hAnsi="MingLiU" w:eastAsia="MingLiU" w:cs="MingLiU"/>
      <w:color w:val="000000"/>
      <w:spacing w:val="10"/>
      <w:w w:val="100"/>
      <w:position w:val="0"/>
      <w:sz w:val="18"/>
      <w:szCs w:val="18"/>
      <w:lang w:val="zh-TW" w:eastAsia="zh-TW" w:bidi="zh-TW"/>
    </w:rPr>
  </w:style>
  <w:style w:type="paragraph" w:customStyle="1" w:styleId="61">
    <w:name w:val="表字1"/>
    <w:basedOn w:val="1"/>
    <w:qFormat/>
    <w:uiPriority w:val="0"/>
    <w:pPr>
      <w:adjustRightInd w:val="0"/>
      <w:spacing w:line="360" w:lineRule="auto"/>
      <w:jc w:val="center"/>
      <w:textAlignment w:val="baseline"/>
    </w:pPr>
    <w:rPr>
      <w:rFonts w:ascii="宋体"/>
      <w:kern w:val="0"/>
      <w:szCs w:val="20"/>
    </w:rPr>
  </w:style>
  <w:style w:type="paragraph" w:customStyle="1" w:styleId="62">
    <w:name w:val="书 正文"/>
    <w:basedOn w:val="1"/>
    <w:qFormat/>
    <w:uiPriority w:val="0"/>
    <w:pPr>
      <w:adjustRightInd w:val="0"/>
      <w:snapToGrid w:val="0"/>
      <w:spacing w:line="360" w:lineRule="auto"/>
      <w:ind w:firstLine="200" w:firstLineChars="200"/>
      <w:jc w:val="left"/>
    </w:pPr>
    <w:rPr>
      <w:rFonts w:ascii="Times New Roman" w:hAnsi="Times New Roman" w:eastAsia="仿宋_GB2312" w:cs="Times New Roman"/>
      <w:kern w:val="24"/>
      <w:sz w:val="24"/>
      <w:szCs w:val="24"/>
    </w:rPr>
  </w:style>
  <w:style w:type="paragraph" w:customStyle="1" w:styleId="63">
    <w:name w:val="小标题"/>
    <w:basedOn w:val="1"/>
    <w:qFormat/>
    <w:uiPriority w:val="0"/>
    <w:pPr>
      <w:spacing w:line="240" w:lineRule="auto"/>
      <w:ind w:firstLine="0" w:firstLineChars="0"/>
      <w:jc w:val="center"/>
    </w:pPr>
    <w:rPr>
      <w:rFonts w:hint="eastAsia" w:cs="Times New Roman"/>
      <w:b/>
      <w:sz w:val="21"/>
    </w:rPr>
  </w:style>
  <w:style w:type="paragraph" w:customStyle="1" w:styleId="64">
    <w:name w:val="表格文字"/>
    <w:basedOn w:val="11"/>
    <w:next w:val="1"/>
    <w:qFormat/>
    <w:uiPriority w:val="0"/>
    <w:pPr>
      <w:jc w:val="center"/>
    </w:pPr>
    <w:rPr>
      <w:rFonts w:ascii="仿宋_GB2312" w:hAnsi="Arial Black" w:eastAsia="仿宋_GB2312"/>
      <w:kern w:val="44"/>
    </w:rPr>
  </w:style>
  <w:style w:type="table" w:customStyle="1" w:styleId="65">
    <w:name w:val="表格主题1"/>
    <w:basedOn w:val="25"/>
    <w:qFormat/>
    <w:uiPriority w:val="0"/>
    <w:pPr>
      <w:widowControl w:val="0"/>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tblStylePr w:type="firstRow">
      <w:pPr>
        <w:wordWrap/>
        <w:spacing w:before="0" w:beforeLines="0" w:beforeAutospacing="0" w:after="0" w:afterLines="0" w:afterAutospacing="0"/>
        <w:ind w:left="0" w:leftChars="0" w:right="0" w:rightChars="0"/>
      </w:pPr>
      <w:rPr>
        <w:b/>
        <w:sz w:val="21"/>
      </w:rPr>
    </w:tblStylePr>
  </w:style>
  <w:style w:type="paragraph" w:customStyle="1" w:styleId="66">
    <w:name w:val="报告正文"/>
    <w:basedOn w:val="1"/>
    <w:qFormat/>
    <w:uiPriority w:val="0"/>
    <w:pPr>
      <w:spacing w:line="400" w:lineRule="exact"/>
    </w:pPr>
    <w:rPr>
      <w:sz w:val="24"/>
      <w:szCs w:val="20"/>
    </w:rPr>
  </w:style>
  <w:style w:type="paragraph" w:customStyle="1" w:styleId="67">
    <w:name w:val="报告表正文"/>
    <w:basedOn w:val="1"/>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szCs w:val="24"/>
    </w:rPr>
  </w:style>
  <w:style w:type="paragraph" w:customStyle="1" w:styleId="68">
    <w:name w:val="正文1"/>
    <w:basedOn w:val="1"/>
    <w:next w:val="1"/>
    <w:semiHidden/>
    <w:qFormat/>
    <w:uiPriority w:val="0"/>
    <w:pPr>
      <w:widowControl w:val="0"/>
      <w:adjustRightInd w:val="0"/>
      <w:snapToGrid w:val="0"/>
      <w:spacing w:line="360" w:lineRule="auto"/>
    </w:pPr>
    <w:rPr>
      <w:kern w:val="0"/>
      <w:sz w:val="28"/>
      <w:szCs w:val="32"/>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表格1123"/>
    <w:basedOn w:val="23"/>
    <w:qFormat/>
    <w:uiPriority w:val="0"/>
    <w:pPr>
      <w:ind w:firstLine="0" w:firstLineChars="0"/>
      <w:jc w:val="center"/>
    </w:pPr>
    <w:rPr>
      <w:rFonts w:ascii="Times New Roman" w:hAnsi="Times New Roman" w:eastAsia="宋体"/>
      <w:sz w:val="18"/>
    </w:rPr>
  </w:style>
  <w:style w:type="paragraph" w:customStyle="1" w:styleId="71">
    <w:name w:val="报告表小标题"/>
    <w:basedOn w:val="1"/>
    <w:qFormat/>
    <w:uiPriority w:val="0"/>
    <w:pPr>
      <w:spacing w:line="360" w:lineRule="auto"/>
    </w:pPr>
    <w:rPr>
      <w:b/>
      <w:sz w:val="24"/>
    </w:rPr>
  </w:style>
  <w:style w:type="paragraph" w:customStyle="1" w:styleId="72">
    <w:name w:val="表一级标题"/>
    <w:basedOn w:val="1"/>
    <w:qFormat/>
    <w:uiPriority w:val="0"/>
    <w:pPr>
      <w:adjustRightInd w:val="0"/>
      <w:snapToGrid w:val="0"/>
      <w:spacing w:before="50" w:beforeLines="50" w:after="50" w:afterLines="50" w:line="240" w:lineRule="auto"/>
      <w:ind w:firstLine="0" w:firstLineChars="0"/>
      <w:jc w:val="left"/>
      <w:textAlignment w:val="baseline"/>
    </w:pPr>
    <w:rPr>
      <w:rFonts w:ascii="Times New Roman" w:hAnsi="Times New Roman" w:eastAsia="宋体"/>
      <w:b/>
      <w:sz w:val="24"/>
    </w:rPr>
  </w:style>
  <w:style w:type="paragraph" w:customStyle="1" w:styleId="73">
    <w:name w:val="表格内容"/>
    <w:basedOn w:val="74"/>
    <w:qFormat/>
    <w:uiPriority w:val="0"/>
    <w:pPr>
      <w:widowControl/>
    </w:pPr>
    <w:rPr>
      <w:rFonts w:hAnsi="宋体"/>
      <w:kern w:val="0"/>
      <w:sz w:val="21"/>
      <w:szCs w:val="21"/>
    </w:rPr>
  </w:style>
  <w:style w:type="paragraph" w:customStyle="1" w:styleId="74">
    <w:name w:val="表格表头"/>
    <w:basedOn w:val="75"/>
    <w:qFormat/>
    <w:uiPriority w:val="0"/>
    <w:pPr>
      <w:spacing w:beforeLines="50" w:line="240" w:lineRule="auto"/>
      <w:jc w:val="center"/>
      <w:outlineLvl w:val="9"/>
    </w:pPr>
    <w:rPr>
      <w:b/>
      <w:sz w:val="24"/>
    </w:rPr>
  </w:style>
  <w:style w:type="paragraph" w:customStyle="1" w:styleId="75">
    <w:name w:val="四级标题"/>
    <w:basedOn w:val="76"/>
    <w:qFormat/>
    <w:uiPriority w:val="0"/>
    <w:pPr>
      <w:outlineLvl w:val="3"/>
    </w:pPr>
    <w:rPr>
      <w:b w:val="0"/>
    </w:rPr>
  </w:style>
  <w:style w:type="paragraph" w:customStyle="1" w:styleId="76">
    <w:name w:val="三级标题"/>
    <w:basedOn w:val="77"/>
    <w:qFormat/>
    <w:uiPriority w:val="0"/>
    <w:pPr>
      <w:outlineLvl w:val="2"/>
    </w:pPr>
  </w:style>
  <w:style w:type="paragraph" w:customStyle="1" w:styleId="77">
    <w:name w:val="二级标题"/>
    <w:basedOn w:val="78"/>
    <w:qFormat/>
    <w:uiPriority w:val="0"/>
    <w:pPr>
      <w:ind w:firstLine="0" w:firstLineChars="0"/>
      <w:jc w:val="left"/>
      <w:outlineLvl w:val="1"/>
    </w:pPr>
    <w:rPr>
      <w:sz w:val="28"/>
    </w:rPr>
  </w:style>
  <w:style w:type="paragraph" w:customStyle="1" w:styleId="78">
    <w:name w:val="一级标题"/>
    <w:basedOn w:val="1"/>
    <w:qFormat/>
    <w:uiPriority w:val="0"/>
    <w:pPr>
      <w:jc w:val="center"/>
      <w:outlineLvl w:val="0"/>
    </w:pPr>
    <w:rPr>
      <w:b/>
      <w:sz w:val="30"/>
    </w:rPr>
  </w:style>
  <w:style w:type="paragraph" w:customStyle="1" w:styleId="79">
    <w:name w:val="正文(亮)"/>
    <w:qFormat/>
    <w:uiPriority w:val="0"/>
    <w:pPr>
      <w:spacing w:line="360" w:lineRule="auto"/>
      <w:ind w:firstLine="200" w:firstLineChars="200"/>
      <w:jc w:val="both"/>
    </w:pPr>
    <w:rPr>
      <w:rFonts w:ascii="Times New Roman" w:hAnsi="Times New Roman" w:eastAsia="宋体" w:cs="Times New Roman"/>
      <w:bCs/>
      <w:kern w:val="2"/>
      <w:sz w:val="24"/>
      <w:szCs w:val="32"/>
      <w:lang w:val="en-US" w:eastAsia="zh-CN" w:bidi="ar-SA"/>
    </w:rPr>
  </w:style>
  <w:style w:type="paragraph" w:customStyle="1" w:styleId="80">
    <w:name w:val="Table Text"/>
    <w:basedOn w:val="1"/>
    <w:qFormat/>
    <w:uiPriority w:val="0"/>
    <w:rPr>
      <w:rFonts w:ascii="宋体" w:hAnsi="宋体" w:eastAsia="宋体" w:cs="宋体"/>
      <w:sz w:val="18"/>
      <w:szCs w:val="18"/>
      <w:lang w:val="en-US" w:eastAsia="en-US" w:bidi="ar-SA"/>
    </w:rPr>
  </w:style>
  <w:style w:type="paragraph" w:customStyle="1" w:styleId="81">
    <w:name w:val="表格001"/>
    <w:basedOn w:val="1"/>
    <w:next w:val="82"/>
    <w:qFormat/>
    <w:uiPriority w:val="0"/>
    <w:pPr>
      <w:adjustRightInd w:val="0"/>
      <w:snapToGrid w:val="0"/>
      <w:jc w:val="center"/>
    </w:pPr>
    <w:rPr>
      <w:rFonts w:hint="eastAsia" w:cs="Times New Roman"/>
      <w:szCs w:val="21"/>
    </w:rPr>
  </w:style>
  <w:style w:type="paragraph" w:customStyle="1" w:styleId="82">
    <w:name w:val="正文001"/>
    <w:basedOn w:val="1"/>
    <w:qFormat/>
    <w:uiPriority w:val="0"/>
    <w:pPr>
      <w:adjustRightInd w:val="0"/>
      <w:snapToGrid w:val="0"/>
      <w:spacing w:line="360" w:lineRule="auto"/>
      <w:ind w:firstLine="720" w:firstLineChars="200"/>
    </w:pPr>
    <w:rPr>
      <w:rFonts w:hint="eastAsia"/>
      <w:sz w:val="24"/>
    </w:rPr>
  </w:style>
  <w:style w:type="paragraph" w:customStyle="1" w:styleId="83">
    <w:name w:val="【正文】"/>
    <w:basedOn w:val="1"/>
    <w:next w:val="1"/>
    <w:qFormat/>
    <w:uiPriority w:val="0"/>
    <w:pPr>
      <w:widowControl w:val="0"/>
      <w:spacing w:before="120" w:after="120" w:line="312" w:lineRule="auto"/>
      <w:jc w:val="both"/>
    </w:pPr>
    <w:rPr>
      <w:rFonts w:ascii="Times New Roman" w:hAnsi="Times New Roman" w:eastAsia="宋体" w:cs="Times New Roman"/>
      <w:kern w:val="2"/>
      <w:szCs w:val="20"/>
    </w:rPr>
  </w:style>
  <w:style w:type="character" w:customStyle="1" w:styleId="84">
    <w:name w:val="NormalCharacter"/>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ntractReview xmlns="http://schemas.wps.cn/vas-ai-hub/contract-review">
  <reviewItems>
    <reviewItem>
      <errorID>4a6bffde-bd6c-4a38-b591-ca6391d87f5d</errorID>
      <errorWord>[2025]37号</errorWord>
      <group>L1_Knowledge</group>
      <groupName>知识性问题</groupName>
      <ability>L2_Knowledge</ability>
      <abilityName>其他知识</abilityName>
      <candidateList>
        <item>〔2025〕37号</item>
      </candidateList>
      <explain>发文字号格式错误。</explain>
      <paraID>7FBA3E29</paraID>
      <start>9</start>
      <end>18</end>
      <status>unmodified</status>
      <modifiedWord/>
      <trackRevisions>false</trackRevisions>
    </reviewItem>
    <reviewItem>
      <errorID>d318e26a-b8d3-4b13-a5f6-92fd65f68ae7</errorID>
      <errorWord>[2026]35号</errorWord>
      <group>L1_Knowledge</group>
      <groupName>知识性问题</groupName>
      <ability>L2_Knowledge</ability>
      <abilityName>其他知识</abilityName>
      <candidateList>
        <item>〔2026〕35号</item>
      </candidateList>
      <explain>发文字号格式错误。</explain>
      <paraID>7FBA3E29</paraID>
      <start>36</start>
      <end>45</end>
      <status>unmodified</status>
      <modifiedWord/>
      <trackRevisions>false</trackRevisions>
    </reviewItem>
    <reviewItem>
      <errorID>6fda3504-346e-44cc-b353-9a0816c2bdaa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590FD58C</paraID>
      <start>0</start>
      <end>2</end>
      <status>unmodified</status>
      <modifiedWord/>
      <trackRevisions>false</trackRevisions>
    </reviewItem>
    <reviewItem>
      <errorID>3db48fa7-d213-4449-b7b0-8ca04a6356e5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18CB4B68</paraID>
      <start>0</start>
      <end>2</end>
      <status>unmodified</status>
      <modifiedWord/>
      <trackRevisions>false</trackRevisions>
    </reviewItem>
    <reviewItem>
      <errorID>f085a7ab-aee5-4a47-9c21-bc7da92bcc84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5C35A119</paraID>
      <start>0</start>
      <end>2</end>
      <status>unmodified</status>
      <modifiedWord/>
      <trackRevisions>false</trackRevisions>
    </reviewItem>
    <reviewItem>
      <errorID>54933378-52a0-46ad-9a84-5acf7762b631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567AB36E</paraID>
      <start>0</start>
      <end>2</end>
      <status>unmodified</status>
      <modifiedWord/>
      <trackRevisions>false</trackRevisions>
    </reviewItem>
    <reviewItem>
      <errorID>fc4388d4-c5d7-4455-b46c-005173587ff4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454AF267</paraID>
      <start>0</start>
      <end>2</end>
      <status>unmodified</status>
      <modifiedWord/>
      <trackRevisions>false</trackRevisions>
    </reviewItem>
    <reviewItem>
      <errorID>04d9fd10-65b6-4752-8f2d-f63f56fac767</errorID>
      <errorWord>上线</errorWord>
      <group>L1_Word</group>
      <groupName>字词问题</groupName>
      <ability>L2_Typo</ability>
      <abilityName>字词错误</abilityName>
      <candidateList>
        <item>上限</item>
      </candidateList>
      <explain/>
      <paraID> CAEE3B8</paraID>
      <start>17</start>
      <end>19</end>
      <status>unmodified</status>
      <modifiedWord/>
      <trackRevisions>false</trackRevisions>
    </reviewItem>
    <reviewItem>
      <errorID>aa056fb5-6a6a-41e2-b3d8-e4708646f6cd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75D5F610</paraID>
      <start>0</start>
      <end>2</end>
      <status>unmodified</status>
      <modifiedWord/>
      <trackRevisions>false</trackRevisions>
    </reviewItem>
    <reviewItem>
      <errorID>7a2abdc5-7156-4c2a-bb3b-b7e57f0979d2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8E45F36</paraID>
      <start>43</start>
      <end>44</end>
      <status>unmodified</status>
      <modifiedWord/>
      <trackRevisions>false</trackRevisions>
    </reviewItem>
    <reviewItem>
      <errorID>e5fae373-ceaa-446a-b96e-01c63bdda8eb</errorID>
      <errorWord>(</errorWord>
      <group>L1_Format</group>
      <groupName>格式问题</groupName>
      <ability>L2_HalfPunc</ability>
      <abilityName>全半角检查</abilityName>
      <candidateList>
        <item>（</item>
      </candidateList>
      <explain>文本全半角错误。</explain>
      <paraID> 8E45F36</paraID>
      <start>86</start>
      <end>87</end>
      <status>unmodified</status>
      <modifiedWord/>
      <trackRevisions>false</trackRevisions>
    </reviewItem>
    <reviewItem>
      <errorID>07f1d21b-4211-4296-b907-7275b05165c4</errorID>
      <errorWord>)</errorWord>
      <group>L1_Format</group>
      <groupName>格式问题</groupName>
      <ability>L2_HalfPunc</ability>
      <abilityName>全半角检查</abilityName>
      <candidateList>
        <item>）</item>
      </candidateList>
      <explain>文本全半角错误。</explain>
      <paraID> 8E45F36</paraID>
      <start>93</start>
      <end>94</end>
      <status>unmodified</status>
      <modifiedWord/>
      <trackRevisions>false</trackRevisions>
    </reviewItem>
    <reviewItem>
      <errorID>ad04e9e8-a9cd-4e18-a66c-2b17b061663f</errorID>
      <errorWord>（</errorWord>
      <group>L1_Punc</group>
      <groupName>标点问题</groupName>
      <ability>L2_Punc</ability>
      <abilityName>标点符号检查</abilityName>
      <candidateList/>
      <explain>同一形式括号套用。</explain>
      <paraID> 8E45F36</paraID>
      <start>173</start>
      <end>174</end>
      <status>unmodified</status>
      <modifiedWord/>
      <trackRevisions>false</trackRevisions>
    </reviewItem>
    <reviewItem>
      <errorID>4732b92b-b2b4-44df-87ae-558c83a40fd2</errorID>
      <errorWord>）</errorWord>
      <group>L1_Punc</group>
      <groupName>标点问题</groupName>
      <ability>L2_Punc</ability>
      <abilityName>标点符号检查</abilityName>
      <candidateList/>
      <explain>同一形式括号套用。</explain>
      <paraID> 8E45F36</paraID>
      <start>176</start>
      <end>177</end>
      <status>unmodified</status>
      <modifiedWord/>
      <trackRevisions>false</trackRevisions>
    </reviewItem>
    <reviewItem>
      <errorID>aa1831b7-b8e1-4054-87e7-cd427c339424</errorID>
      <errorWord>（</errorWord>
      <group>L1_Punc</group>
      <groupName>标点问题</groupName>
      <ability>L2_Punc</ability>
      <abilityName>标点符号检查</abilityName>
      <candidateList/>
      <explain>同一形式括号套用。</explain>
      <paraID> 8E45F36</paraID>
      <start>313</start>
      <end>314</end>
      <status>unmodified</status>
      <modifiedWord/>
      <trackRevisions>false</trackRevisions>
    </reviewItem>
    <reviewItem>
      <errorID>81f6a778-1c8b-4d4e-af78-caa7df4b884f</errorID>
      <errorWord>）</errorWord>
      <group>L1_Punc</group>
      <groupName>标点问题</groupName>
      <ability>L2_Punc</ability>
      <abilityName>标点符号检查</abilityName>
      <candidateList/>
      <explain>同一形式括号套用。</explain>
      <paraID> 8E45F36</paraID>
      <start>316</start>
      <end>317</end>
      <status>unmodified</status>
      <modifiedWord/>
      <trackRevisions>false</trackRevisions>
    </reviewItem>
    <reviewItem>
      <errorID>89abf92f-7240-4aab-9856-ce63341f05c3</errorID>
      <errorWord>（</errorWord>
      <group>L1_Punc</group>
      <groupName>标点问题</groupName>
      <ability>L2_Punc</ability>
      <abilityName>标点符号检查</abilityName>
      <candidateList/>
      <explain>同一形式括号套用。</explain>
      <paraID> 8E45F36</paraID>
      <start>410</start>
      <end>411</end>
      <status>unmodified</status>
      <modifiedWord/>
      <trackRevisions>false</trackRevisions>
    </reviewItem>
    <reviewItem>
      <errorID>f5f3339f-b0ba-4611-b898-075ee464deed</errorID>
      <errorWord>）</errorWord>
      <group>L1_Punc</group>
      <groupName>标点问题</groupName>
      <ability>L2_Punc</ability>
      <abilityName>标点符号检查</abilityName>
      <candidateList/>
      <explain>同一形式括号套用。</explain>
      <paraID> 8E45F36</paraID>
      <start>413</start>
      <end>414</end>
      <status>unmodified</status>
      <modifiedWord/>
      <trackRevisions>false</trackRevisions>
    </reviewItem>
    <reviewItem>
      <errorID>a8d62a37-260b-4683-9559-19f375f67b73</errorID>
      <errorWord>（</errorWord>
      <group>L1_Punc</group>
      <groupName>标点问题</groupName>
      <ability>L2_Punc</ability>
      <abilityName>标点符号检查</abilityName>
      <candidateList/>
      <explain>同一形式括号套用。</explain>
      <paraID> 8E45F36</paraID>
      <start>516</start>
      <end>517</end>
      <status>unmodified</status>
      <modifiedWord/>
      <trackRevisions>false</trackRevisions>
    </reviewItem>
    <reviewItem>
      <errorID>5eb813fb-cad0-4202-b709-17eb4a8b8edd</errorID>
      <errorWord>）</errorWord>
      <group>L1_Punc</group>
      <groupName>标点问题</groupName>
      <ability>L2_Punc</ability>
      <abilityName>标点符号检查</abilityName>
      <candidateList/>
      <explain>同一形式括号套用。</explain>
      <paraID> 8E45F36</paraID>
      <start>519</start>
      <end>520</end>
      <status>unmodified</status>
      <modifiedWord/>
      <trackRevisions>false</trackRevisions>
    </reviewItem>
    <reviewItem>
      <errorID>d93bacf6-4f8d-4149-a4bf-c158946e7ab0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53E80E0E</paraID>
      <start>0</start>
      <end>2</end>
      <status>unmodified</status>
      <modifiedWord/>
      <trackRevisions>false</trackRevisions>
    </reviewItem>
    <reviewItem>
      <errorID>eb962840-75a0-4a34-8697-876ba482cb13</errorID>
      <errorWord>(</errorWord>
      <group>L1_Format</group>
      <groupName>格式问题</groupName>
      <ability>L2_HalfPunc</ability>
      <abilityName>全半角检查</abilityName>
      <candidateList>
        <item>（</item>
      </candidateList>
      <explain>文本全半角错误。</explain>
      <paraID>12E61EE4</paraID>
      <start>31</start>
      <end>32</end>
      <status>unmodified</status>
      <modifiedWord/>
      <trackRevisions>false</trackRevisions>
    </reviewItem>
    <reviewItem>
      <errorID>cf7f35ad-a70c-4451-bd2a-abdd1c2b059c</errorID>
      <errorWord>)</errorWord>
      <group>L1_Format</group>
      <groupName>格式问题</groupName>
      <ability>L2_HalfPunc</ability>
      <abilityName>全半角检查</abilityName>
      <candidateList>
        <item>）</item>
      </candidateList>
      <explain>文本全半角错误。</explain>
      <paraID>12E61EE4</paraID>
      <start>46</start>
      <end>47</end>
      <status>unmodified</status>
      <modifiedWord/>
      <trackRevisions>false</trackRevisions>
    </reviewItem>
    <reviewItem>
      <errorID>303948ee-13fb-402d-a5d2-1f78cd1ed3f2</errorID>
      <errorWord>上线</errorWord>
      <group>L1_Word</group>
      <groupName>字词问题</groupName>
      <ability>L2_Typo</ability>
      <abilityName>字词错误</abilityName>
      <candidateList>
        <item>上限</item>
      </candidateList>
      <explain/>
      <paraID>74D3609A</paraID>
      <start>5</start>
      <end>7</end>
      <status>unmodified</status>
      <modifiedWord/>
      <trackRevisions>false</trackRevisions>
    </reviewItem>
    <reviewItem>
      <errorID>918e7d05-c940-458e-9ed6-b95deb990169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11408C61</paraID>
      <start>24</start>
      <end>27</end>
      <status>unmodified</status>
      <modifiedWord/>
      <trackRevisions>false</trackRevisions>
    </reviewItem>
    <reviewItem>
      <errorID>e29481c5-cea6-4495-a194-77384b54f2ef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589ABCF1</paraID>
      <start>0</start>
      <end>3</end>
      <status>unmodified</status>
      <modifiedWord/>
      <trackRevisions>false</trackRevisions>
    </reviewItem>
    <reviewItem>
      <errorID>cecc4f9a-af80-4354-a028-0ee0611885df</errorID>
      <errorWord>标升</errorWord>
      <group>L1_Word</group>
      <groupName>字词问题</groupName>
      <ability>L2_Typo</ability>
      <abilityName>字词错误</abilityName>
      <candidateList>
        <item>飙升</item>
      </candidateList>
      <explain/>
      <paraID>7916A0FE</paraID>
      <start>0</start>
      <end>2</end>
      <status>unmodified</status>
      <modifiedWord/>
      <trackRevisions>false</trackRevisions>
    </reviewItem>
    <reviewItem>
      <errorID>83024870-8ede-4e46-8f0e-171e2da95447</errorID>
      <errorWord>-</errorWord>
      <group>L1_Format</group>
      <groupName>格式问题</groupName>
      <ability>L2_HalfPunc</ability>
      <abilityName>全半角检查</abilityName>
      <candidateList>
        <item>－</item>
      </candidateList>
      <explain>文本全半角错误。</explain>
      <paraID>3CBC2783</paraID>
      <start>103</start>
      <end>104</end>
      <status>unmodified</status>
      <modifiedWord/>
      <trackRevisions>false</trackRevisions>
    </reviewItem>
    <reviewItem>
      <errorID>c796dedf-ec20-4df4-8b76-28e9963e939a</errorID>
      <errorWord>(</errorWord>
      <group>L1_Format</group>
      <groupName>格式问题</groupName>
      <ability>L2_HalfPunc</ability>
      <abilityName>全半角检查</abilityName>
      <candidateList>
        <item>（</item>
      </candidateList>
      <explain>文本全半角错误。</explain>
      <paraID>3CBC2783</paraID>
      <start>105</start>
      <end>106</end>
      <status>unmodified</status>
      <modifiedWord/>
      <trackRevisions>false</trackRevisions>
    </reviewItem>
    <reviewItem>
      <errorID>0f5af7df-57e2-47aa-9635-5fab790350ab</errorID>
      <errorWord>)</errorWord>
      <group>L1_Format</group>
      <groupName>格式问题</groupName>
      <ability>L2_HalfPunc</ability>
      <abilityName>全半角检查</abilityName>
      <candidateList>
        <item>）</item>
      </candidateList>
      <explain>文本全半角错误。</explain>
      <paraID>3CBC2783</paraID>
      <start>107</start>
      <end>108</end>
      <status>unmodified</status>
      <modifiedWord/>
      <trackRevisions>false</trackRevisions>
    </reviewItem>
    <reviewItem>
      <errorID>2f25f18c-7278-4ac0-81a8-58b2b49e0a63</errorID>
      <errorWord>-</errorWord>
      <group>L1_Format</group>
      <groupName>格式问题</groupName>
      <ability>L2_HalfPunc</ability>
      <abilityName>全半角检查</abilityName>
      <candidateList>
        <item>－</item>
      </candidateList>
      <explain>文本全半角错误。</explain>
      <paraID>3CBC2783</paraID>
      <start>108</start>
      <end>109</end>
      <status>unmodified</status>
      <modifiedWord/>
      <trackRevisions>false</trackRevisions>
    </reviewItem>
    <reviewItem>
      <errorID>c9505df4-fb4a-409b-b171-499101319213</errorID>
      <errorWord>-</errorWord>
      <group>L1_Format</group>
      <groupName>格式问题</groupName>
      <ability>L2_HalfPunc</ability>
      <abilityName>全半角检查</abilityName>
      <candidateList>
        <item>－</item>
      </candidateList>
      <explain>文本全半角错误。</explain>
      <paraID>3CBC2783</paraID>
      <start>111</start>
      <end>112</end>
      <status>unmodified</status>
      <modifiedWord/>
      <trackRevisions>false</trackRevisions>
    </reviewItem>
    <reviewItem>
      <errorID>edd092c4-5391-4e8a-b27f-213a03f2e659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E119BCA</paraID>
      <start>0</start>
      <end>2</end>
      <status>unmodified</status>
      <modifiedWord/>
      <trackRevisions>false</trackRevisions>
    </reviewItem>
    <reviewItem>
      <errorID>95f28ce7-2b09-4b10-9050-878a775fceab</errorID>
      <errorWord>》中</errorWord>
      <group>L1_Word</group>
      <groupName>字词问题</groupName>
      <ability>L2_Typo</ability>
      <abilityName>字词错误</abilityName>
      <candidateList>
        <item>》</item>
      </candidateList>
      <explain/>
      <paraID>2C66CDFF</paraID>
      <start>21</start>
      <end>23</end>
      <status>unmodified</status>
      <modifiedWord/>
      <trackRevisions>false</trackRevisions>
    </reviewItem>
    <reviewItem>
      <errorID>8f994c1f-3e50-4702-969d-6db3649784e9</errorID>
      <errorWord>《黄河生态保护治理攻坚战行动方案》（五）</errorWord>
      <group>L1_Knowledge</group>
      <groupName>知识性问题</groupName>
      <ability>L2_Knowledge</ability>
      <abilityName>其他知识</abilityName>
      <candidateList>
        <item>《黄河生态保护治理攻坚战行动方案（五）》</item>
      </candidateList>
      <explain>疑似政策文件、法律法规名称等书写不规范，请注意检查。</explain>
      <paraID>497D639F</paraID>
      <start>2</start>
      <end>22</end>
      <status>unmodified</status>
      <modifiedWord/>
      <trackRevisions>false</trackRevisions>
    </reviewItem>
    <reviewItem>
      <errorID>e1f6bc67-cd6c-4f65-8b13-a49bd5ead156</errorID>
      <errorWord>,</errorWord>
      <group>L1_Format</group>
      <groupName>格式问题</groupName>
      <ability>L2_HalfPunc</ability>
      <abilityName>全半角检查</abilityName>
      <candidateList>
        <item>，</item>
      </candidateList>
      <explain>文本全半角错误。</explain>
      <paraID>4180ACBF</paraID>
      <start>90</start>
      <end>91</end>
      <status>unmodified</status>
      <modifiedWord/>
      <trackRevisions>false</trackRevisions>
    </reviewItem>
    <reviewItem>
      <errorID>925aef61-61db-4850-8ff7-f32c643d42ae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594F30A2</paraID>
      <start>0</start>
      <end>2</end>
      <status>unmodified</status>
      <modifiedWord/>
      <trackRevisions>false</trackRevisions>
    </reviewItem>
    <reviewItem>
      <errorID>0516fd87-f483-4b6e-b534-e0cff64d2146</errorID>
      <errorWord>（</errorWord>
      <group>L1_Punc</group>
      <groupName>标点问题</groupName>
      <ability>L2_Punc</ability>
      <abilityName>标点符号检查</abilityName>
      <candidateList/>
      <explain>同一形式括号套用。</explain>
      <paraID>6121C8FA</paraID>
      <start>159</start>
      <end>160</end>
      <status>unmodified</status>
      <modifiedWord/>
      <trackRevisions>false</trackRevisions>
    </reviewItem>
    <reviewItem>
      <errorID>56e185c7-3bb7-4c67-9b21-0f6c1256d55d</errorID>
      <errorWord>）</errorWord>
      <group>L1_Punc</group>
      <groupName>标点问题</groupName>
      <ability>L2_Punc</ability>
      <abilityName>标点符号检查</abilityName>
      <candidateList/>
      <explain>同一形式括号套用。</explain>
      <paraID>6121C8FA</paraID>
      <start>162</start>
      <end>163</end>
      <status>unmodified</status>
      <modifiedWord/>
      <trackRevisions>false</trackRevisions>
    </reviewItem>
    <reviewItem>
      <errorID>d30cd9d4-6b50-4a55-ab34-cea0ce46a06c</errorID>
      <errorWord>[2025]37号</errorWord>
      <group>L1_Knowledge</group>
      <groupName>知识性问题</groupName>
      <ability>L2_Knowledge</ability>
      <abilityName>其他知识</abilityName>
      <candidateList>
        <item>〔2025〕37号</item>
      </candidateList>
      <explain>发文字号格式错误。</explain>
      <paraID>6121C8FA</paraID>
      <start>163</start>
      <end>172</end>
      <status>unmodified</status>
      <modifiedWord/>
      <trackRevisions>false</trackRevisions>
    </reviewItem>
    <reviewItem>
      <errorID>35c1a21f-a5bb-489d-9c93-949ec42c7e31</errorID>
      <errorWord>(</errorWord>
      <group>L1_Format</group>
      <groupName>格式问题</groupName>
      <ability>L2_HalfPunc</ability>
      <abilityName>全半角检查</abilityName>
      <candidateList>
        <item>（</item>
      </candidateList>
      <explain>文本全半角错误。</explain>
      <paraID>6121C8FA</paraID>
      <start>253</start>
      <end>254</end>
      <status>unmodified</status>
      <modifiedWord/>
      <trackRevisions>false</trackRevisions>
    </reviewItem>
    <reviewItem>
      <errorID>9ea0e599-b65e-486c-b77a-f92e6a939ef3</errorID>
      <errorWord>)</errorWord>
      <group>L1_Format</group>
      <groupName>格式问题</groupName>
      <ability>L2_HalfPunc</ability>
      <abilityName>全半角检查</abilityName>
      <candidateList>
        <item>）</item>
      </candidateList>
      <explain>文本全半角错误。</explain>
      <paraID>6121C8FA</paraID>
      <start>255</start>
      <end>256</end>
      <status>unmodified</status>
      <modifiedWord/>
      <trackRevisions>false</trackRevisions>
    </reviewItem>
    <reviewItem>
      <errorID>3dce9eb1-cf78-40d6-8ea2-2b6d17ec7417</errorID>
      <errorWord>（</errorWord>
      <group>L1_Punc</group>
      <groupName>标点问题</groupName>
      <ability>L2_Punc</ability>
      <abilityName>标点符号检查</abilityName>
      <candidateList/>
      <explain>同一形式括号套用。</explain>
      <paraID>1B7A1B76</paraID>
      <start>96</start>
      <end>97</end>
      <status>unmodified</status>
      <modifiedWord/>
      <trackRevisions>false</trackRevisions>
    </reviewItem>
    <reviewItem>
      <errorID>4f2d8558-0836-430d-8f28-069757429a79</errorID>
      <errorWord>）</errorWord>
      <group>L1_Punc</group>
      <groupName>标点问题</groupName>
      <ability>L2_Punc</ability>
      <abilityName>标点符号检查</abilityName>
      <candidateList/>
      <explain>同一形式括号套用。</explain>
      <paraID>1B7A1B76</paraID>
      <start>99</start>
      <end>100</end>
      <status>unmodified</status>
      <modifiedWord/>
      <trackRevisions>false</trackRevisions>
    </reviewItem>
    <reviewItem>
      <errorID>c55de00c-4fcb-4c23-934a-4df8c748f067</errorID>
      <errorWord>（</errorWord>
      <group>L1_Punc</group>
      <groupName>标点问题</groupName>
      <ability>L2_Punc</ability>
      <abilityName>标点符号检查</abilityName>
      <candidateList/>
      <explain>同一形式括号套用。</explain>
      <paraID>1B7A1B76</paraID>
      <start>193</start>
      <end>194</end>
      <status>unmodified</status>
      <modifiedWord/>
      <trackRevisions>false</trackRevisions>
    </reviewItem>
    <reviewItem>
      <errorID>a1b3ebb3-f468-4283-94b5-cf68981cfdbf</errorID>
      <errorWord>）</errorWord>
      <group>L1_Punc</group>
      <groupName>标点问题</groupName>
      <ability>L2_Punc</ability>
      <abilityName>标点符号检查</abilityName>
      <candidateList/>
      <explain>同一形式括号套用。</explain>
      <paraID>1B7A1B76</paraID>
      <start>196</start>
      <end>197</end>
      <status>unmodified</status>
      <modifiedWord/>
      <trackRevisions>false</trackRevisions>
    </reviewItem>
    <reviewItem>
      <errorID>7f573c70-08a3-45ba-9203-621d0406a8c9</errorID>
      <errorWord>（</errorWord>
      <group>L1_Punc</group>
      <groupName>标点问题</groupName>
      <ability>L2_Punc</ability>
      <abilityName>标点符号检查</abilityName>
      <candidateList/>
      <explain>同一形式括号套用。</explain>
      <paraID>1B7A1B76</paraID>
      <start>323</start>
      <end>324</end>
      <status>unmodified</status>
      <modifiedWord/>
      <trackRevisions>false</trackRevisions>
    </reviewItem>
    <reviewItem>
      <errorID>a3a833a4-77c6-457a-b745-2dbbdb8fc47a</errorID>
      <errorWord>）</errorWord>
      <group>L1_Punc</group>
      <groupName>标点问题</groupName>
      <ability>L2_Punc</ability>
      <abilityName>标点符号检查</abilityName>
      <candidateList/>
      <explain>同一形式括号套用。</explain>
      <paraID>1B7A1B76</paraID>
      <start>326</start>
      <end>327</end>
      <status>unmodified</status>
      <modifiedWord/>
      <trackRevisions>false</trackRevisions>
    </reviewItem>
    <reviewItem>
      <errorID>62161d4e-e87e-4959-b637-f86531fc15fe</errorID>
      <errorWord>[2026]35号</errorWord>
      <group>L1_Knowledge</group>
      <groupName>知识性问题</groupName>
      <ability>L2_Knowledge</ability>
      <abilityName>其他知识</abilityName>
      <candidateList>
        <item>〔2026〕35号</item>
      </candidateList>
      <explain>发文字号格式错误。</explain>
      <paraID>1B7A1B76</paraID>
      <start>327</start>
      <end>336</end>
      <status>unmodified</status>
      <modifiedWord/>
      <trackRevisions>false</trackRevisions>
    </reviewItem>
    <reviewItem>
      <errorID>18dbb8fa-615f-416e-a3a6-78e6f5ce5016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282B449A</paraID>
      <start>0</start>
      <end>2</end>
      <status>unmodified</status>
      <modifiedWord/>
      <trackRevisions>false</trackRevisions>
    </reviewItem>
    <reviewItem>
      <errorID>9633ef8a-1c4e-4ae8-a8a6-a7b85918ceea</errorID>
      <errorWord>单组份</errorWord>
      <group>L1_Word</group>
      <groupName>字词问题</groupName>
      <ability>L2_Variant</ability>
      <abilityName>异形词</abilityName>
      <candidateList>
        <item>单组分</item>
      </candidateList>
      <explain>词汇[单组份]的规范词形写作[单组分]。</explain>
      <paraID>405BC6EE</paraID>
      <start>0</start>
      <end>3</end>
      <status>unmodified</status>
      <modifiedWord/>
      <trackRevisions>false</trackRevisions>
    </reviewItem>
    <reviewItem>
      <errorID>799d8983-5ad9-477d-92c3-d4c07261740d</errorID>
      <errorWord>单组份</errorWord>
      <group>L1_Word</group>
      <groupName>字词问题</groupName>
      <ability>L2_Variant</ability>
      <abilityName>异形词</abilityName>
      <candidateList>
        <item>单组分</item>
      </candidateList>
      <explain>词汇[单组份]的规范词形写作[单组分]。</explain>
      <paraID>504551FA</paraID>
      <start>0</start>
      <end>3</end>
      <status>unmodified</status>
      <modifiedWord/>
      <trackRevisions>false</trackRevisions>
    </reviewItem>
    <reviewItem>
      <errorID>06c31172-1e62-4bfc-bf89-1e79fd1a9520</errorID>
      <errorWord>单组份</errorWord>
      <group>L1_Word</group>
      <groupName>字词问题</groupName>
      <ability>L2_Variant</ability>
      <abilityName>异形词</abilityName>
      <candidateList>
        <item>单组分</item>
      </candidateList>
      <explain>词汇[单组份]的规范词形写作[单组分]。</explain>
      <paraID>1070B35B</paraID>
      <start>0</start>
      <end>3</end>
      <status>unmodified</status>
      <modifiedWord/>
      <trackRevisions>false</trackRevisions>
    </reviewItem>
    <reviewItem>
      <errorID>ac60e9ff-6f7b-4900-b25e-0b8ebab90a93</errorID>
      <errorWord>：</errorWord>
      <group>L1_Format</group>
      <groupName>格式问题</groupName>
      <ability>L2_HalfPunc</ability>
      <abilityName>全半角检查</abilityName>
      <candidateList>
        <item>:</item>
      </candidateList>
      <explain>文本全半角错误。</explain>
      <paraID>4EA5DBD0</paraID>
      <start>45</start>
      <end>46</end>
      <status>unmodified</status>
      <modifiedWord/>
      <trackRevisions>false</trackRevisions>
    </reviewItem>
    <reviewItem>
      <errorID>a97db46f-0b9f-4688-9412-4d5a4f0d7613</errorID>
      <errorWord>：</errorWord>
      <group>L1_Format</group>
      <groupName>格式问题</groupName>
      <ability>L2_HalfPunc</ability>
      <abilityName>全半角检查</abilityName>
      <candidateList>
        <item>:</item>
      </candidateList>
      <explain>文本全半角错误。</explain>
      <paraID>4EA5DBD0</paraID>
      <start>49</start>
      <end>50</end>
      <status>unmodified</status>
      <modifiedWord/>
      <trackRevisions>false</trackRevisions>
    </reviewItem>
    <reviewItem>
      <errorID>bf28b948-968d-4550-bbec-6e35e8172c67</errorID>
      <errorWord>(</errorWord>
      <group>L1_Format</group>
      <groupName>格式问题</groupName>
      <ability>L2_HalfPunc</ability>
      <abilityName>全半角检查</abilityName>
      <candidateList>
        <item>（</item>
      </candidateList>
      <explain>文本全半角错误。</explain>
      <paraID> C68EF9B</paraID>
      <start>157</start>
      <end>158</end>
      <status>unmodified</status>
      <modifiedWord/>
      <trackRevisions>false</trackRevisions>
    </reviewItem>
    <reviewItem>
      <errorID>b997963f-f8b9-44eb-be7e-fe4c62b2d467</errorID>
      <errorWord>)</errorWord>
      <group>L1_Format</group>
      <groupName>格式问题</groupName>
      <ability>L2_HalfPunc</ability>
      <abilityName>全半角检查</abilityName>
      <candidateList>
        <item>）</item>
      </candidateList>
      <explain>文本全半角错误。</explain>
      <paraID> C68EF9B</paraID>
      <start>163</start>
      <end>164</end>
      <status>unmodified</status>
      <modifiedWord/>
      <trackRevisions>false</trackRevisions>
    </reviewItem>
    <reviewItem>
      <errorID>00bb8430-8c42-4f75-ac54-90b25c8758f4</errorID>
      <errorWord>)</errorWord>
      <group>L1_Format</group>
      <groupName>格式问题</groupName>
      <ability>L2_HalfPunc</ability>
      <abilityName>全半角检查</abilityName>
      <candidateList>
        <item>）</item>
      </candidateList>
      <explain>文本全半角错误。</explain>
      <paraID> FE51743</paraID>
      <start>58</start>
      <end>59</end>
      <status>unmodified</status>
      <modifiedWord/>
      <trackRevisions>false</trackRevisions>
    </reviewItem>
    <reviewItem>
      <errorID>c2f4f8ef-a1a4-40a2-9487-250b2550074b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7DFB2F02</paraID>
      <start>47</start>
      <end>48</end>
      <status>unmodified</status>
      <modifiedWord/>
      <trackRevisions>false</trackRevisions>
    </reviewItem>
    <reviewItem>
      <errorID>0eefcd1c-c867-4370-a87a-edf657f6c994</errorID>
      <errorWord>：</errorWord>
      <group>L1_Format</group>
      <groupName>格式问题</groupName>
      <ability>L2_HalfPunc</ability>
      <abilityName>全半角检查</abilityName>
      <candidateList>
        <item>:</item>
      </candidateList>
      <explain>文本全半角错误。</explain>
      <paraID>611743E9</paraID>
      <start>24</start>
      <end>25</end>
      <status>unmodified</status>
      <modifiedWord/>
      <trackRevisions>false</trackRevisions>
    </reviewItem>
    <reviewItem>
      <errorID>5e135194-2ebf-4877-9d97-569e73e60a7a</errorID>
      <errorWord>（</errorWord>
      <group>L1_Format</group>
      <groupName>格式问题</groupName>
      <ability>L2_HalfPunc</ability>
      <abilityName>全半角检查</abilityName>
      <candidateList>
        <item>(</item>
      </candidateList>
      <explain>文本全半角错误。</explain>
      <paraID>26870900</paraID>
      <start>45</start>
      <end>46</end>
      <status>unmodified</status>
      <modifiedWord/>
      <trackRevisions>false</trackRevisions>
    </reviewItem>
    <reviewItem>
      <errorID>7b6d44f0-32a8-4a0c-817d-e3f5d8f73094</errorID>
      <errorWord>)</errorWord>
      <group>L1_Format</group>
      <groupName>格式问题</groupName>
      <ability>L2_HalfPunc</ability>
      <abilityName>全半角检查</abilityName>
      <candidateList>
        <item>）</item>
      </candidateList>
      <explain>文本全半角错误。</explain>
      <paraID>26870900</paraID>
      <start>47</start>
      <end>48</end>
      <status>unmodified</status>
      <modifiedWord/>
      <trackRevisions>false</trackRevisions>
    </reviewItem>
    <reviewItem>
      <errorID>2134c167-fbc8-4796-a977-b717e6087812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51F1817C</paraID>
      <start>22</start>
      <end>23</end>
      <status>unmodified</status>
      <modifiedWord/>
      <trackRevisions>false</trackRevisions>
    </reviewItem>
    <reviewItem>
      <errorID>a53d0648-2338-4e48-8607-0212168a8911</errorID>
      <errorWord>：</errorWord>
      <group>L1_Format</group>
      <groupName>格式问题</groupName>
      <ability>L2_HalfPunc</ability>
      <abilityName>全半角检查</abilityName>
      <candidateList>
        <item>:</item>
      </candidateList>
      <explain>文本全半角错误。</explain>
      <paraID>7459EEE4</paraID>
      <start>216</start>
      <end>217</end>
      <status>unmodified</status>
      <modifiedWord/>
      <trackRevisions>false</trackRevisions>
    </reviewItem>
    <reviewItem>
      <errorID>9838639e-22eb-427e-8167-f528b492309e</errorID>
      <errorWord>单组份</errorWord>
      <group>L1_Word</group>
      <groupName>字词问题</groupName>
      <ability>L2_Variant</ability>
      <abilityName>异形词</abilityName>
      <candidateList>
        <item>单组分</item>
      </candidateList>
      <explain>词汇[单组份]的规范词形写作[单组分]。</explain>
      <paraID>7459EEE4</paraID>
      <start>256</start>
      <end>259</end>
      <status>unmodified</status>
      <modifiedWord/>
      <trackRevisions>false</trackRevisions>
    </reviewItem>
    <reviewItem>
      <errorID>b1572dfd-a872-481c-95de-a9e36c5edd96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592EDC90</paraID>
      <start>0</start>
      <end>2</end>
      <status>unmodified</status>
      <modifiedWord/>
      <trackRevisions>false</trackRevisions>
    </reviewItem>
    <reviewItem>
      <errorID>e08d0126-5be3-4ef2-9741-3745dba71c93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213C73A7</paraID>
      <start>0</start>
      <end>2</end>
      <status>unmodified</status>
      <modifiedWord/>
      <trackRevisions>false</trackRevisions>
    </reviewItem>
    <reviewItem>
      <errorID>6c6e64ed-1412-4357-b9dc-e22a8ae58750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355634B4</paraID>
      <start>0</start>
      <end>2</end>
      <status>unmodified</status>
      <modifiedWord/>
      <trackRevisions>false</trackRevisions>
    </reviewItem>
    <reviewItem>
      <errorID>9cf7a74b-2a84-4578-9656-a4b4ba668b51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5B7C588D</paraID>
      <start>0</start>
      <end>2</end>
      <status>unmodified</status>
      <modifiedWord/>
      <trackRevisions>false</trackRevisions>
    </reviewItem>
    <reviewItem>
      <errorID>cb85bcee-ce5d-4082-9634-303e021a84db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301CB703</paraID>
      <start>0</start>
      <end>2</end>
      <status>unmodified</status>
      <modifiedWord/>
      <trackRevisions>false</trackRevisions>
    </reviewItem>
    <reviewItem>
      <errorID>89368dcc-2e4c-4fbb-b36f-c10e3517557a</errorID>
      <errorWord>-</errorWord>
      <group>L1_Format</group>
      <groupName>格式问题</groupName>
      <ability>L2_HalfPunc</ability>
      <abilityName>全半角检查</abilityName>
      <candidateList>
        <item>－</item>
      </candidateList>
      <explain>文本全半角错误。</explain>
      <paraID>311A3FAA</paraID>
      <start>28</start>
      <end>29</end>
      <status>unmodified</status>
      <modifiedWord/>
      <trackRevisions>false</trackRevisions>
    </reviewItem>
    <reviewItem>
      <errorID>a417738c-686f-418b-9b35-8ceba53b6790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E96D682</paraID>
      <start>0</start>
      <end>2</end>
      <status>unmodified</status>
      <modifiedWord/>
      <trackRevisions>false</trackRevisions>
    </reviewItem>
    <reviewItem>
      <errorID>e475befa-62eb-4aed-b65a-7eb0a18ece92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553AA5A</paraID>
      <start>0</start>
      <end>2</end>
      <status>unmodified</status>
      <modifiedWord/>
      <trackRevisions>false</trackRevisions>
    </reviewItem>
    <reviewItem>
      <errorID>dc8a9cfe-5f62-4255-82c5-7bd5e263687a</errorID>
      <errorWord>~</errorWord>
      <group>L1_Format</group>
      <groupName>格式问题</groupName>
      <ability>L2_HalfPunc</ability>
      <abilityName>全半角检查</abilityName>
      <candidateList>
        <item>～</item>
      </candidateList>
      <explain>文本全半角错误。</explain>
      <paraID> BB16903</paraID>
      <start>11</start>
      <end>12</end>
      <status>unmodified</status>
      <modifiedWord/>
      <trackRevisions>false</trackRevisions>
    </reviewItem>
    <reviewItem>
      <errorID>277f749f-9a1b-42e4-a9be-4cb6c21f4b37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1E8C525C</paraID>
      <start>0</start>
      <end>2</end>
      <status>unmodified</status>
      <modifiedWord/>
      <trackRevisions>false</trackRevisions>
    </reviewItem>
    <reviewItem>
      <errorID>2134b843-2a4e-41ab-a092-f1032853e5bf</errorID>
      <errorWord>~</errorWord>
      <group>L1_Format</group>
      <groupName>格式问题</groupName>
      <ability>L2_HalfPunc</ability>
      <abilityName>全半角检查</abilityName>
      <candidateList>
        <item>～</item>
      </candidateList>
      <explain>文本全半角错误。</explain>
      <paraID>44985668</paraID>
      <start>12</start>
      <end>13</end>
      <status>unmodified</status>
      <modifiedWord/>
      <trackRevisions>false</trackRevisions>
    </reviewItem>
    <reviewItem>
      <errorID>98fc2ca4-540c-45d0-bd66-a0df59b9a247</errorID>
      <errorWord>:</errorWord>
      <group>L1_Format</group>
      <groupName>格式问题</groupName>
      <ability>L2_HalfPunc</ability>
      <abilityName>全半角检查</abilityName>
      <candidateList>
        <item>：</item>
      </candidateList>
      <explain>文本全半角错误。</explain>
      <paraID>62099D36</paraID>
      <start>9</start>
      <end>10</end>
      <status>unmodified</status>
      <modifiedWord/>
      <trackRevisions>false</trackRevisions>
    </reviewItem>
    <reviewItem>
      <errorID>6c13acdb-631d-4378-9bdf-5cd0bf3f2906</errorID>
      <errorWord>~</errorWord>
      <group>L1_Format</group>
      <groupName>格式问题</groupName>
      <ability>L2_HalfPunc</ability>
      <abilityName>全半角检查</abilityName>
      <candidateList>
        <item>～</item>
      </candidateList>
      <explain>文本全半角错误。</explain>
      <paraID>62099D36</paraID>
      <start>13</start>
      <end>14</end>
      <status>unmodified</status>
      <modifiedWord/>
      <trackRevisions>false</trackRevisions>
    </reviewItem>
    <reviewItem>
      <errorID>ffd3069e-5732-41a1-aa5d-b45594a2c3e1</errorID>
      <errorWord>-</errorWord>
      <group>L1_Format</group>
      <groupName>格式问题</groupName>
      <ability>L2_HalfPunc</ability>
      <abilityName>全半角检查</abilityName>
      <candidateList>
        <item>－</item>
      </candidateList>
      <explain>文本全半角错误。</explain>
      <paraID>62099D36</paraID>
      <start>30</start>
      <end>31</end>
      <status>unmodified</status>
      <modifiedWord/>
      <trackRevisions>false</trackRevisions>
    </reviewItem>
    <reviewItem>
      <errorID>4a11a02d-f604-43d6-adb0-1dc240108554</errorID>
      <errorWord>-</errorWord>
      <group>L1_Format</group>
      <groupName>格式问题</groupName>
      <ability>L2_HalfPunc</ability>
      <abilityName>全半角检查</abilityName>
      <candidateList>
        <item>－</item>
      </candidateList>
      <explain>文本全半角错误。</explain>
      <paraID>62099D36</paraID>
      <start>40</start>
      <end>41</end>
      <status>unmodified</status>
      <modifiedWord/>
      <trackRevisions>false</trackRevisions>
    </reviewItem>
    <reviewItem>
      <errorID>a709307c-58e0-47a2-872b-89a5bef63242</errorID>
      <errorWord>-</errorWord>
      <group>L1_Format</group>
      <groupName>格式问题</groupName>
      <ability>L2_HalfPunc</ability>
      <abilityName>全半角检查</abilityName>
      <candidateList>
        <item>－</item>
      </candidateList>
      <explain>文本全半角错误。</explain>
      <paraID>62099D36</paraID>
      <start>47</start>
      <end>48</end>
      <status>unmodified</status>
      <modifiedWord/>
      <trackRevisions>false</trackRevisions>
    </reviewItem>
    <reviewItem>
      <errorID>bb20b3b9-c5e5-46d9-960f-87a2c3c6c5be</errorID>
      <errorWord>:</errorWord>
      <group>L1_Format</group>
      <groupName>格式问题</groupName>
      <ability>L2_HalfPunc</ability>
      <abilityName>全半角检查</abilityName>
      <candidateList>
        <item>：</item>
      </candidateList>
      <explain>文本全半角错误。</explain>
      <paraID>2E98BC6B</paraID>
      <start>8</start>
      <end>9</end>
      <status>unmodified</status>
      <modifiedWord/>
      <trackRevisions>false</trackRevisions>
    </reviewItem>
    <reviewItem>
      <errorID>92fade96-6fc5-4094-a257-4a2a2529fe8c</errorID>
      <errorWord>:</errorWord>
      <group>L1_Format</group>
      <groupName>格式问题</groupName>
      <ability>L2_HalfPunc</ability>
      <abilityName>全半角检查</abilityName>
      <candidateList>
        <item>：</item>
      </candidateList>
      <explain>文本全半角错误。</explain>
      <paraID> D8FD332</paraID>
      <start>6</start>
      <end>7</end>
      <status>unmodified</status>
      <modifiedWord/>
      <trackRevisions>false</trackRevisions>
    </reviewItem>
    <reviewItem>
      <errorID>ef153506-1f53-4fdc-8c95-99f471f19720</errorID>
      <errorWord>~</errorWord>
      <group>L1_Format</group>
      <groupName>格式问题</groupName>
      <ability>L2_HalfPunc</ability>
      <abilityName>全半角检查</abilityName>
      <candidateList>
        <item>～</item>
      </candidateList>
      <explain>文本全半角错误。</explain>
      <paraID> D8FD332</paraID>
      <start>15</start>
      <end>16</end>
      <status>unmodified</status>
      <modifiedWord/>
      <trackRevisions>false</trackRevisions>
    </reviewItem>
    <reviewItem>
      <errorID>89e0b55f-f0d9-42fd-9d66-3692572d0011</errorID>
      <errorWord>，</errorWord>
      <group>L1_Word</group>
      <groupName>字词问题</groupName>
      <ability>L2_Typo</ability>
      <abilityName>字词错误</abilityName>
      <candidateList>
        <item>，根</item>
      </candidateList>
      <explain/>
      <paraID> D8FD332</paraID>
      <start>156</start>
      <end>157</end>
      <status>unmodified</status>
      <modifiedWord/>
      <trackRevisions>false</trackRevisions>
    </reviewItem>
    <reviewItem>
      <errorID>0eeae257-0d46-4426-a206-a38ee78322dd</errorID>
      <errorWord>此层</errorWord>
      <group>L1_Word</group>
      <groupName>字词问题</groupName>
      <ability>L2_Typo</ability>
      <abilityName>字词错误</abilityName>
      <candidateList>
        <item>地层</item>
      </candidateList>
      <explain/>
      <paraID> D8FD332</paraID>
      <start>181</start>
      <end>183</end>
      <status>unmodified</status>
      <modifiedWord/>
      <trackRevisions>false</trackRevisions>
    </reviewItem>
    <reviewItem>
      <errorID>511d8b69-db5c-4aab-ad16-94820aa1ebb1</errorID>
      <errorWord>50~60%</errorWord>
      <group>L1_Knowledge</group>
      <groupName>知识性问题</groupName>
      <ability>L2_Knowledge</ability>
      <abilityName>其他知识</abilityName>
      <candidateList>
        <item>50%～60%</item>
      </candidateList>
      <explain>1. “50~60%”中的单位“%”仅出现在后一个数字上，容易引起歧义；根据《现代汉语标点符号数字用法规范手册》，数字表示范围两边需要使用统一的格式。2. 根据标点国标 4.13 中的规则，数字、时间或地域连接符应使用（视觉上更长的）“—”或“～”。</explain>
      <paraID>2EACAD77</paraID>
      <start>159</start>
      <end>165</end>
      <status>unmodified</status>
      <modifiedWord/>
      <trackRevisions>false</trackRevisions>
    </reviewItem>
    <reviewItem>
      <errorID>c69039d3-fd60-4bda-b77d-6d0cf5c239d8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183B70A9</paraID>
      <start>0</start>
      <end>2</end>
      <status>unmodified</status>
      <modifiedWord/>
      <trackRevisions>false</trackRevisions>
    </reviewItem>
    <reviewItem>
      <errorID>fa9c8a2c-cb69-4b15-bb7e-d47768a712ce</errorID>
      <errorWord>沟拜</errorWord>
      <group>L1_Word</group>
      <groupName>字词问题</groupName>
      <ability>L2_Typo</ability>
      <abilityName>字词错误</abilityName>
      <candidateList>
        <item>沟道</item>
      </candidateList>
      <explain/>
      <paraID>2A7EA433</paraID>
      <start>88</start>
      <end>90</end>
      <status>unmodified</status>
      <modifiedWord/>
      <trackRevisions>false</trackRevisions>
    </reviewItem>
    <reviewItem>
      <errorID>3730ab18-cb3f-4220-a2d4-7f3aa04f2b6f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2AE01AA</paraID>
      <start>17</start>
      <end>18</end>
      <status>unmodified</status>
      <modifiedWord/>
      <trackRevisions>false</trackRevisions>
    </reviewItem>
    <reviewItem>
      <errorID>5c0fd726-ac11-4b25-8864-3dbf8ed0c527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A75B8C3</paraID>
      <start>0</start>
      <end>2</end>
      <status>unmodified</status>
      <modifiedWord/>
      <trackRevisions>false</trackRevisions>
    </reviewItem>
    <reviewItem>
      <errorID>da6a96e2-49ae-4e69-b4be-d305481a1c2d</errorID>
      <errorWord>(</errorWord>
      <group>L1_Format</group>
      <groupName>格式问题</groupName>
      <ability>L2_HalfPunc</ability>
      <abilityName>全半角检查</abilityName>
      <candidateList>
        <item>（</item>
      </candidateList>
      <explain>文本全半角错误。</explain>
      <paraID>65504948</paraID>
      <start>41</start>
      <end>42</end>
      <status>unmodified</status>
      <modifiedWord/>
      <trackRevisions>false</trackRevisions>
    </reviewItem>
    <reviewItem>
      <errorID>139dcd9e-c049-49fb-ac54-1caf04742475</errorID>
      <errorWord>)</errorWord>
      <group>L1_Format</group>
      <groupName>格式问题</groupName>
      <ability>L2_HalfPunc</ability>
      <abilityName>全半角检查</abilityName>
      <candidateList>
        <item>）</item>
      </candidateList>
      <explain>文本全半角错误。</explain>
      <paraID>65504948</paraID>
      <start>52</start>
      <end>53</end>
      <status>unmodified</status>
      <modifiedWord/>
      <trackRevisions>false</trackRevisions>
    </reviewItem>
    <reviewItem>
      <errorID>c8158af6-ab8e-4422-ba02-8fd899214cc2</errorID>
      <errorWord>(</errorWord>
      <group>L1_Format</group>
      <groupName>格式问题</groupName>
      <ability>L2_HalfPunc</ability>
      <abilityName>全半角检查</abilityName>
      <candidateList>
        <item>（</item>
      </candidateList>
      <explain>文本全半角错误。</explain>
      <paraID>65504948</paraID>
      <start>152</start>
      <end>153</end>
      <status>unmodified</status>
      <modifiedWord/>
      <trackRevisions>false</trackRevisions>
    </reviewItem>
    <reviewItem>
      <errorID>e03c5610-b40d-422b-a0a3-171481760563</errorID>
      <errorWord>)</errorWord>
      <group>L1_Format</group>
      <groupName>格式问题</groupName>
      <ability>L2_HalfPunc</ability>
      <abilityName>全半角检查</abilityName>
      <candidateList>
        <item>）</item>
      </candidateList>
      <explain>文本全半角错误。</explain>
      <paraID>65504948</paraID>
      <start>163</start>
      <end>164</end>
      <status>unmodified</status>
      <modifiedWord/>
      <trackRevisions>false</trackRevisions>
    </reviewItem>
    <reviewItem>
      <errorID>2c0def0c-921b-4c0f-94a2-70758511399b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4F61377B</paraID>
      <start>0</start>
      <end>2</end>
      <status>unmodified</status>
      <modifiedWord/>
      <trackRevisions>false</trackRevisions>
    </reviewItem>
    <reviewItem>
      <errorID>9599d4f3-b7aa-49fa-80b5-f2a05cf277fd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303EC78</paraID>
      <start>0</start>
      <end>2</end>
      <status>unmodified</status>
      <modifiedWord/>
      <trackRevisions>false</trackRevisions>
    </reviewItem>
    <reviewItem>
      <errorID>4a010e3f-0727-4ed7-b6c2-ae1822b62e3e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F05B3FB</paraID>
      <start>0</start>
      <end>2</end>
      <status>unmodified</status>
      <modifiedWord/>
      <trackRevisions>false</trackRevisions>
    </reviewItem>
    <reviewItem>
      <errorID>cfae456a-ffa5-4264-a8b0-760b87c1398b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3347A97</paraID>
      <start>0</start>
      <end>2</end>
      <status>unmodified</status>
      <modifiedWord/>
      <trackRevisions>false</trackRevisions>
    </reviewItem>
    <reviewItem>
      <errorID>2abd9582-e9f9-4474-a40f-2a702f140c6c</errorID>
      <errorWord>~</errorWord>
      <group>L1_Format</group>
      <groupName>格式问题</groupName>
      <ability>L2_HalfPunc</ability>
      <abilityName>全半角检查</abilityName>
      <candidateList>
        <item>～</item>
      </candidateList>
      <explain>文本全半角错误。</explain>
      <paraID>4E37A579</paraID>
      <start>2</start>
      <end>3</end>
      <status>unmodified</status>
      <modifiedWord/>
      <trackRevisions>false</trackRevisions>
    </reviewItem>
    <reviewItem>
      <errorID>cb2e5ef0-7407-4b78-a147-3e5b90e9e50d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79AE6F3E</paraID>
      <start>0</start>
      <end>2</end>
      <status>unmodified</status>
      <modifiedWord/>
      <trackRevisions>false</trackRevisions>
    </reviewItem>
    <reviewItem>
      <errorID>aff921c9-17df-44e9-96c6-818774f18191</errorID>
      <errorWord>：</errorWord>
      <group>L1_Format</group>
      <groupName>格式问题</groupName>
      <ability>L2_HalfPunc</ability>
      <abilityName>全半角检查</abilityName>
      <candidateList>
        <item>:</item>
      </candidateList>
      <explain>文本全半角错误。</explain>
      <paraID>7AB0147A</paraID>
      <start>9</start>
      <end>10</end>
      <status>unmodified</status>
      <modifiedWord/>
      <trackRevisions>false</trackRevisions>
    </reviewItem>
    <reviewItem>
      <errorID>94fcde82-21fa-4785-9310-100156a1cab8</errorID>
      <errorWord>：</errorWord>
      <group>L1_Format</group>
      <groupName>格式问题</groupName>
      <ability>L2_HalfPunc</ability>
      <abilityName>全半角检查</abilityName>
      <candidateList>
        <item>:</item>
      </candidateList>
      <explain>文本全半角错误。</explain>
      <paraID>7AB0147A</paraID>
      <start>15</start>
      <end>16</end>
      <status>unmodified</status>
      <modifiedWord/>
      <trackRevisions>false</trackRevisions>
    </reviewItem>
    <reviewItem>
      <errorID>568e4c73-7fe6-4fe5-8d22-c5aa70e28ece</errorID>
      <errorWord>：</errorWord>
      <group>L1_Format</group>
      <groupName>格式问题</groupName>
      <ability>L2_HalfPunc</ability>
      <abilityName>全半角检查</abilityName>
      <candidateList>
        <item>:</item>
      </candidateList>
      <explain>文本全半角错误。</explain>
      <paraID>7AB0147A</paraID>
      <start>25</start>
      <end>26</end>
      <status>unmodified</status>
      <modifiedWord/>
      <trackRevisions>false</trackRevisions>
    </reviewItem>
    <reviewItem>
      <errorID>a2daa94c-28dd-4f71-be71-c7eb93e63dfa</errorID>
      <errorWord>：</errorWord>
      <group>L1_Format</group>
      <groupName>格式问题</groupName>
      <ability>L2_HalfPunc</ability>
      <abilityName>全半角检查</abilityName>
      <candidateList>
        <item>:</item>
      </candidateList>
      <explain>文本全半角错误。</explain>
      <paraID>7AB0147A</paraID>
      <start>30</start>
      <end>31</end>
      <status>unmodified</status>
      <modifiedWord/>
      <trackRevisions>false</trackRevisions>
    </reviewItem>
    <reviewItem>
      <errorID>b4cfc1c3-2ab2-43aa-8b14-62df5cdfa9f3</errorID>
      <errorWord>)</errorWord>
      <group>L1_Format</group>
      <groupName>格式问题</groupName>
      <ability>L2_HalfPunc</ability>
      <abilityName>全半角检查</abilityName>
      <candidateList>
        <item>）</item>
      </candidateList>
      <explain>文本全半角错误。</explain>
      <paraID>2A2AA30A</paraID>
      <start>25</start>
      <end>26</end>
      <status>unmodified</status>
      <modifiedWord/>
      <trackRevisions>false</trackRevisions>
    </reviewItem>
    <reviewItem>
      <errorID>46501692-9f75-40a0-b0b8-f467cd02232b</errorID>
      <errorWord>)</errorWord>
      <group>L1_Format</group>
      <groupName>格式问题</groupName>
      <ability>L2_HalfPunc</ability>
      <abilityName>全半角检查</abilityName>
      <candidateList>
        <item>）</item>
      </candidateList>
      <explain>文本全半角错误。</explain>
      <paraID>2A2AA30A</paraID>
      <start>45</start>
      <end>46</end>
      <status>unmodified</status>
      <modifiedWord/>
      <trackRevisions>false</trackRevisions>
    </reviewItem>
    <reviewItem>
      <errorID>5fc454b2-0cfc-4a92-9dba-a86ad902ddfe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493335AE</paraID>
      <start>0</start>
      <end>2</end>
      <status>unmodified</status>
      <modifiedWord/>
      <trackRevisions>false</trackRevisions>
    </reviewItem>
    <reviewItem>
      <errorID>eb092195-47ef-44b7-a074-e57d518df11a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4AE30DDB</paraID>
      <start>0</start>
      <end>2</end>
      <status>unmodified</status>
      <modifiedWord/>
      <trackRevisions>false</trackRevisions>
    </reviewItem>
    <reviewItem>
      <errorID>75462ae6-2e15-48aa-bfbd-a317f06fe0b4</errorID>
      <errorWord>拜</errorWord>
      <group>L1_Word</group>
      <groupName>字词问题</groupName>
      <ability>L2_Typo</ability>
      <abilityName>字词错误</abilityName>
      <candidateList>
        <item>壁</item>
      </candidateList>
      <explain>存在发音相近字词的误用。</explain>
      <paraID>68C5E204</paraID>
      <start>65</start>
      <end>66</end>
      <status>unmodified</status>
      <modifiedWord/>
      <trackRevisions>false</trackRevisions>
    </reviewItem>
    <reviewItem>
      <errorID>3c61dc23-0953-4b60-a988-934ab1ecb10b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345AF5D9</paraID>
      <start>0</start>
      <end>2</end>
      <status>unmodified</status>
      <modifiedWord/>
      <trackRevisions>false</trackRevisions>
    </reviewItem>
    <reviewItem>
      <errorID>926b32a6-c08c-4825-81ee-5742ec1e9f2c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26591EDC</paraID>
      <start>0</start>
      <end>2</end>
      <status>unmodified</status>
      <modifiedWord/>
      <trackRevisions>false</trackRevisions>
    </reviewItem>
    <reviewItem>
      <errorID>7b46a35d-3619-4563-b679-d07f734d22fe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54B34B9C</paraID>
      <start>0</start>
      <end>2</end>
      <status>unmodified</status>
      <modifiedWord/>
      <trackRevisions>false</trackRevisions>
    </reviewItem>
    <reviewItem>
      <errorID>8b7b81f9-6e58-494f-9f16-7ae2aa9abe61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1E9E60E1</paraID>
      <start>0</start>
      <end>2</end>
      <status>unmodified</status>
      <modifiedWord/>
      <trackRevisions>false</trackRevisions>
    </reviewItem>
    <reviewItem>
      <errorID>7806c37d-9910-4ff8-8f62-26e2a514b7c2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915F35C</paraID>
      <start>0</start>
      <end>2</end>
      <status>unmodified</status>
      <modifiedWord/>
      <trackRevisions>false</trackRevisions>
    </reviewItem>
    <reviewItem>
      <errorID>35b99158-7050-4ef9-b154-5cde9bb37a91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1F3DD9D8</paraID>
      <start>0</start>
      <end>2</end>
      <status>unmodified</status>
      <modifiedWord/>
      <trackRevisions>false</trackRevisions>
    </reviewItem>
    <reviewItem>
      <errorID>8276d486-c412-4d5a-8eb2-bd49c44ea36d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EED6701</paraID>
      <start>0</start>
      <end>2</end>
      <status>unmodified</status>
      <modifiedWord/>
      <trackRevisions>false</trackRevisions>
    </reviewItem>
    <reviewItem>
      <errorID>61566941-3c10-45d8-b226-17043469ac23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5B45ADF4</paraID>
      <start>0</start>
      <end>2</end>
      <status>unmodified</status>
      <modifiedWord/>
      <trackRevisions>false</trackRevisions>
    </reviewItem>
    <reviewItem>
      <errorID>e3e49566-58d5-431d-9d37-8f69dc0e505a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3641D24B</paraID>
      <start>53</start>
      <end>54</end>
      <status>unmodified</status>
      <modifiedWord/>
      <trackRevisions>false</trackRevisions>
    </reviewItem>
    <reviewItem>
      <errorID>54dc98a4-edf5-4b2b-8644-7c24046038d8</errorID>
      <errorWord>１</errorWord>
      <group>L1_Format</group>
      <groupName>格式问题</groupName>
      <ability>L2_HalfPunc</ability>
      <abilityName>全半角检查</abilityName>
      <candidateList>
        <item>1</item>
      </candidateList>
      <explain>文本全半角错误。</explain>
      <paraID>3641D24B</paraID>
      <start>54</start>
      <end>55</end>
      <status>unmodified</status>
      <modifiedWord/>
      <trackRevisions>false</trackRevisions>
    </reviewItem>
    <reviewItem>
      <errorID>73cfc34b-1038-4136-aa08-0176be9e97d9</errorID>
      <errorWord>《土壤环境质量 农用地土壤污染风险管控标准》（试行）</errorWord>
      <group>L1_Knowledge</group>
      <groupName>知识性问题</groupName>
      <ability>L2_Knowledge</ability>
      <abilityName>其他知识</abilityName>
      <candidateList>
        <item>《土壤环境质量 农用地土壤污染风险管控标准（试行）》</item>
      </candidateList>
      <explain>疑似政策文件、法律法规名称等书写不规范，请注意检查。</explain>
      <paraID>1D218614</paraID>
      <start>9</start>
      <end>35</end>
      <status>unmodified</status>
      <modifiedWord/>
      <trackRevisions>false</trackRevisions>
    </reviewItem>
    <reviewItem>
      <errorID>76ecd8ad-c055-4e28-bb1a-72b972bf4039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3924B432</paraID>
      <start>0</start>
      <end>2</end>
      <status>unmodified</status>
      <modifiedWord/>
      <trackRevisions>false</trackRevisions>
    </reviewItem>
    <reviewItem>
      <errorID>08b5fb6b-906a-4743-b5dd-14d77446eb5b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C20DE8C</paraID>
      <start>0</start>
      <end>2</end>
      <status>unmodified</status>
      <modifiedWord/>
      <trackRevisions>false</trackRevisions>
    </reviewItem>
    <reviewItem>
      <errorID>998cbec0-baff-4c80-9806-7e265b993ea8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1D97D2E3</paraID>
      <start>0</start>
      <end>2</end>
      <status>unmodified</status>
      <modifiedWord/>
      <trackRevisions>false</trackRevisions>
    </reviewItem>
    <reviewItem>
      <errorID>4d7e7333-2b58-49e9-be8b-4dfb421ce2ed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6B0E1CD9</paraID>
      <start>0</start>
      <end>2</end>
      <status>unmodified</status>
      <modifiedWord/>
      <trackRevisions>false</trackRevisions>
    </reviewItem>
    <reviewItem>
      <errorID>4fdf49af-b028-4505-a9a0-4ae8aed12008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1B23ED46</paraID>
      <start>0</start>
      <end>2</end>
      <status>unmodified</status>
      <modifiedWord/>
      <trackRevisions>false</trackRevisions>
    </reviewItem>
    <reviewItem>
      <errorID>52d3de5d-4e5e-4c55-be18-d4bcaee7b34f</errorID>
      <errorWord>)</errorWord>
      <group>L1_Format</group>
      <groupName>格式问题</groupName>
      <ability>L2_HalfPunc</ability>
      <abilityName>全半角检查</abilityName>
      <candidateList>
        <item>）</item>
      </candidateList>
      <explain>文本全半角错误。</explain>
      <paraID>770E94EC</paraID>
      <start>30</start>
      <end>31</end>
      <status>unmodified</status>
      <modifiedWord/>
      <trackRevisions>false</trackRevisions>
    </reviewItem>
    <reviewItem>
      <errorID>c93876ff-4067-490d-b66e-ef545bbf17ac</errorID>
      <errorWord>(</errorWord>
      <group>L1_Format</group>
      <groupName>格式问题</groupName>
      <ability>L2_HalfPunc</ability>
      <abilityName>全半角检查</abilityName>
      <candidateList>
        <item>（</item>
      </candidateList>
      <explain>文本全半角错误。</explain>
      <paraID>770E94EC</paraID>
      <start>64</start>
      <end>65</end>
      <status>unmodified</status>
      <modifiedWord/>
      <trackRevisions>false</trackRevisions>
    </reviewItem>
    <reviewItem>
      <errorID>8b2d905a-398f-43ae-984e-5bc40b3ea647</errorID>
      <errorWord>)</errorWord>
      <group>L1_Format</group>
      <groupName>格式问题</groupName>
      <ability>L2_HalfPunc</ability>
      <abilityName>全半角检查</abilityName>
      <candidateList>
        <item>）</item>
      </candidateList>
      <explain>文本全半角错误。</explain>
      <paraID>770E94EC</paraID>
      <start>77</start>
      <end>78</end>
      <status>unmodified</status>
      <modifiedWord/>
      <trackRevisions>false</trackRevisions>
    </reviewItem>
    <reviewItem>
      <errorID>96f3a3f0-c9e3-46bf-a667-81a151dc2a15</errorID>
      <errorWord>)</errorWord>
      <group>L1_Format</group>
      <groupName>格式问题</groupName>
      <ability>L2_HalfPunc</ability>
      <abilityName>全半角检查</abilityName>
      <candidateList>
        <item>）</item>
      </candidateList>
      <explain>文本全半角错误。</explain>
      <paraID>4F4BE305</paraID>
      <start>55</start>
      <end>56</end>
      <status>unmodified</status>
      <modifiedWord/>
      <trackRevisions>false</trackRevisions>
    </reviewItem>
    <reviewItem>
      <errorID>5e6ffdb7-8c2c-45c5-b5cf-caf9d12e9e8c</errorID>
      <errorWord>)</errorWord>
      <group>L1_Format</group>
      <groupName>格式问题</groupName>
      <ability>L2_HalfPunc</ability>
      <abilityName>全半角检查</abilityName>
      <candidateList>
        <item>）</item>
      </candidateList>
      <explain>文本全半角错误。</explain>
      <paraID>4F4BE305</paraID>
      <start>65</start>
      <end>66</end>
      <status>unmodified</status>
      <modifiedWord/>
      <trackRevisions>false</trackRevisions>
    </reviewItem>
    <reviewItem>
      <errorID>3f45a5fa-33c7-4567-a43d-26d31c1a4f28</errorID>
      <errorWord>(</errorWord>
      <group>L1_Format</group>
      <groupName>格式问题</groupName>
      <ability>L2_HalfPunc</ability>
      <abilityName>全半角检查</abilityName>
      <candidateList>
        <item>（</item>
      </candidateList>
      <explain>文本全半角错误。</explain>
      <paraID>4F4BE305</paraID>
      <start>85</start>
      <end>86</end>
      <status>unmodified</status>
      <modifiedWord/>
      <trackRevisions>false</trackRevisions>
    </reviewItem>
    <reviewItem>
      <errorID>f1f68ee8-30c3-49a2-992c-7770e04ea810</errorID>
      <errorWord>)</errorWord>
      <group>L1_Format</group>
      <groupName>格式问题</groupName>
      <ability>L2_HalfPunc</ability>
      <abilityName>全半角检查</abilityName>
      <candidateList>
        <item>）</item>
      </candidateList>
      <explain>文本全半角错误。</explain>
      <paraID>4F4BE305</paraID>
      <start>96</start>
      <end>97</end>
      <status>unmodified</status>
      <modifiedWord/>
      <trackRevisions>false</trackRevisions>
    </reviewItem>
    <reviewItem>
      <errorID>a82cabe5-df08-47da-a9c1-e37b5c55b5e4</errorID>
      <errorWord>)</errorWord>
      <group>L1_Format</group>
      <groupName>格式问题</groupName>
      <ability>L2_HalfPunc</ability>
      <abilityName>全半角检查</abilityName>
      <candidateList>
        <item>）</item>
      </candidateList>
      <explain>文本全半角错误。</explain>
      <paraID>6FC8EFF9</paraID>
      <start>33</start>
      <end>34</end>
      <status>unmodified</status>
      <modifiedWord/>
      <trackRevisions>false</trackRevisions>
    </reviewItem>
    <reviewItem>
      <errorID>3aebb3b1-eef9-4b18-84da-163c601d1f9a</errorID>
      <errorWord>(</errorWord>
      <group>L1_Format</group>
      <groupName>格式问题</groupName>
      <ability>L2_HalfPunc</ability>
      <abilityName>全半角检查</abilityName>
      <candidateList>
        <item>（</item>
      </candidateList>
      <explain>文本全半角错误。</explain>
      <paraID>6FC8EFF9</paraID>
      <start>49</start>
      <end>50</end>
      <status>unmodified</status>
      <modifiedWord/>
      <trackRevisions>false</trackRevisions>
    </reviewItem>
    <reviewItem>
      <errorID>c796629e-6def-454c-ab1e-66352058535b</errorID>
      <errorWord>)</errorWord>
      <group>L1_Format</group>
      <groupName>格式问题</groupName>
      <ability>L2_HalfPunc</ability>
      <abilityName>全半角检查</abilityName>
      <candidateList>
        <item>）</item>
      </candidateList>
      <explain>文本全半角错误。</explain>
      <paraID>6FC8EFF9</paraID>
      <start>62</start>
      <end>63</end>
      <status>unmodified</status>
      <modifiedWord/>
      <trackRevisions>false</trackRevisions>
    </reviewItem>
    <reviewItem>
      <errorID>109d5c88-54b2-4812-81e5-d25393dfe88e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32E28A29</paraID>
      <start>0</start>
      <end>2</end>
      <status>unmodified</status>
      <modifiedWord/>
      <trackRevisions>false</trackRevisions>
    </reviewItem>
    <reviewItem>
      <errorID>b0b01a78-bedc-42ca-b9eb-163307081397</errorID>
      <errorWord>计</errorWord>
      <group>L1_Word</group>
      <groupName>字词问题</groupName>
      <ability>L2_Typo</ability>
      <abilityName>字词错误</abilityName>
      <candidateList>
        <item>计算</item>
      </candidateList>
      <explain/>
      <paraID>105A1365</paraID>
      <start>29</start>
      <end>30</end>
      <status>unmodified</status>
      <modifiedWord/>
      <trackRevisions>false</trackRevisions>
    </reviewItem>
    <reviewItem>
      <errorID>4c5f7b14-0eb7-445f-812c-30e1fe665fd3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1D2AE25E</paraID>
      <start>0</start>
      <end>2</end>
      <status>unmodified</status>
      <modifiedWord/>
      <trackRevisions>false</trackRevisions>
    </reviewItem>
    <reviewItem>
      <errorID>8360fd1a-81d9-44d9-b6c8-d9e0338c3314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756AE90A</paraID>
      <start>0</start>
      <end>2</end>
      <status>unmodified</status>
      <modifiedWord/>
      <trackRevisions>false</trackRevisions>
    </reviewItem>
    <reviewItem>
      <errorID>1af1964c-24af-4765-ad1f-611a73eca9d2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5552F4DB</paraID>
      <start>17</start>
      <end>20</end>
      <status>unmodified</status>
      <modifiedWord/>
      <trackRevisions>false</trackRevisions>
    </reviewItem>
    <reviewItem>
      <errorID>3b4e8242-dca4-472c-a067-8f009041ffc0</errorID>
      <errorWord>程</errorWord>
      <group>L1_Word</group>
      <groupName>字词问题</groupName>
      <ability>L2_Typo</ability>
      <abilityName>字词错误</abilityName>
      <candidateList>
        <item>程中</item>
      </candidateList>
      <explain/>
      <paraID>793A3FE2</paraID>
      <start>86</start>
      <end>87</end>
      <status>unmodified</status>
      <modifiedWord/>
      <trackRevisions>false</trackRevisions>
    </reviewItem>
    <reviewItem>
      <errorID>d509ec10-f7ba-483f-bb42-480d2812e871</errorID>
      <errorWord>，</errorWord>
      <group>L1_Word</group>
      <groupName>字词问题</groupName>
      <ability>L2_Typo</ability>
      <abilityName>字词错误</abilityName>
      <candidateList>
        <item>，在</item>
      </candidateList>
      <explain/>
      <paraID>7719E04C</paraID>
      <start>49</start>
      <end>50</end>
      <status>unmodified</status>
      <modifiedWord/>
      <trackRevisions>false</trackRevisions>
    </reviewItem>
    <reviewItem>
      <errorID>4ffc247d-905f-417f-8e9f-f75d5fc55a4a</errorID>
      <errorWord>期</errorWord>
      <group>L1_Word</group>
      <groupName>字词问题</groupName>
      <ability>L2_Typo</ability>
      <abilityName>字词错误</abilityName>
      <candidateList>
        <item>期间</item>
      </candidateList>
      <explain>〈名〉某个时期里面：农忙～｜春节～｜抗战～。</explain>
      <paraID>7719E04C</paraID>
      <start>52</start>
      <end>53</end>
      <status>unmodified</status>
      <modifiedWord/>
      <trackRevisions>false</trackRevisions>
    </reviewItem>
    <reviewItem>
      <errorID>003d11cd-227b-4c6b-8dbd-336a59825e9b</errorID>
      <errorWord>期</errorWord>
      <group>L1_Word</group>
      <groupName>字词问题</groupName>
      <ability>L2_Typo</ability>
      <abilityName>字词错误</abilityName>
      <candidateList>
        <item>期间</item>
      </candidateList>
      <explain>〈名〉某个时期里面：农忙～｜春节～｜抗战～。</explain>
      <paraID>2B2E314D</paraID>
      <start>4</start>
      <end>5</end>
      <status>unmodified</status>
      <modifiedWord/>
      <trackRevisions>false</trackRevisions>
    </reviewItem>
    <reviewItem>
      <errorID>bc295135-5335-4259-b0ac-afb416ae999a</errorID>
      <errorWord>提高</errorWord>
      <group>L1_Grammar</group>
      <groupName>语法问题</groupName>
      <ability>L2_Grammar</ability>
      <abilityName>语法错误</abilityName>
      <candidateList>
        <item>增强</item>
      </candidateList>
      <explain>“提高～意识”搭配不当，建议修改为“增强～意识”。</explain>
      <paraID>495BAAE6</paraID>
      <start>82</start>
      <end>84</end>
      <status>unmodified</status>
      <modifiedWord/>
      <trackRevisions>false</trackRevisions>
    </reviewItem>
    <reviewItem>
      <errorID>e216d52f-4aa7-4d55-9c8e-1ce82274c26d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1F56C1F8</paraID>
      <start>0</start>
      <end>2</end>
      <status>unmodified</status>
      <modifiedWord/>
      <trackRevisions>false</trackRevisions>
    </reviewItem>
    <reviewItem>
      <errorID>1a3f0b18-6fce-413e-bd26-45ec73f15789</errorID>
      <errorWord>~</errorWord>
      <group>L1_Format</group>
      <groupName>格式问题</groupName>
      <ability>L2_HalfPunc</ability>
      <abilityName>全半角检查</abilityName>
      <candidateList>
        <item>～</item>
      </candidateList>
      <explain>文本全半角错误。</explain>
      <paraID>1300FEA2</paraID>
      <start>19</start>
      <end>20</end>
      <status>unmodified</status>
      <modifiedWord/>
      <trackRevisions>false</trackRevisions>
    </reviewItem>
    <reviewItem>
      <errorID>2deac6c2-f3b5-43e2-95de-4a5e5896a75d</errorID>
      <errorWord>抛撒</errorWord>
      <group>L1_Word</group>
      <groupName>字词问题</groupName>
      <ability>L2_Typo</ability>
      <abilityName>字词错误</abilityName>
      <candidateList>
        <item>抛洒</item>
      </candidateList>
      <explain>存在发音相同字词的误用。</explain>
      <paraID>7CBEA884</paraID>
      <start>60</start>
      <end>62</end>
      <status>unmodified</status>
      <modifiedWord/>
      <trackRevisions>false</trackRevisions>
    </reviewItem>
    <reviewItem>
      <errorID>63dc0d4b-75ef-41a3-b500-cab9b0613e9c</errorID>
      <errorWord>(</errorWord>
      <group>L1_Format</group>
      <groupName>格式问题</groupName>
      <ability>L2_HalfPunc</ability>
      <abilityName>全半角检查</abilityName>
      <candidateList>
        <item>（</item>
      </candidateList>
      <explain>文本全半角错误。</explain>
      <paraID>5A860DB1</paraID>
      <start>69</start>
      <end>70</end>
      <status>unmodified</status>
      <modifiedWord/>
      <trackRevisions>false</trackRevisions>
    </reviewItem>
    <reviewItem>
      <errorID>63f72ec4-c19b-4854-b95c-64376d3d0b88</errorID>
      <errorWord>)</errorWord>
      <group>L1_Format</group>
      <groupName>格式问题</groupName>
      <ability>L2_HalfPunc</ability>
      <abilityName>全半角检查</abilityName>
      <candidateList>
        <item>）</item>
      </candidateList>
      <explain>文本全半角错误。</explain>
      <paraID>5A860DB1</paraID>
      <start>82</start>
      <end>83</end>
      <status>unmodified</status>
      <modifiedWord/>
      <trackRevisions>false</trackRevisions>
    </reviewItem>
    <reviewItem>
      <errorID>d161c61f-33ab-4d41-9a9a-ba426c130820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57BF0BB6</paraID>
      <start>0</start>
      <end>2</end>
      <status>unmodified</status>
      <modifiedWord/>
      <trackRevisions>false</trackRevisions>
    </reviewItem>
    <reviewItem>
      <errorID>323b067b-b9bf-4dba-8287-1e72b86b9135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1ECB15F1</paraID>
      <start>0</start>
      <end>2</end>
      <status>unmodified</status>
      <modifiedWord/>
      <trackRevisions>false</trackRevisions>
    </reviewItem>
    <reviewItem>
      <errorID>68eb1a3a-80db-4bc0-9ebc-93f369acf09e</errorID>
      <errorWord>~</errorWord>
      <group>L1_Format</group>
      <groupName>格式问题</groupName>
      <ability>L2_HalfPunc</ability>
      <abilityName>全半角检查</abilityName>
      <candidateList>
        <item>～</item>
      </candidateList>
      <explain>文本全半角错误。</explain>
      <paraID>10F85077</paraID>
      <start>168</start>
      <end>169</end>
      <status>unmodified</status>
      <modifiedWord/>
      <trackRevisions>false</trackRevisions>
    </reviewItem>
    <reviewItem>
      <errorID>6860e766-6aba-46f4-9a67-7107879cf0f9</errorID>
      <errorWord>：</errorWord>
      <group>L1_Format</group>
      <groupName>格式问题</groupName>
      <ability>L2_HalfPunc</ability>
      <abilityName>全半角检查</abilityName>
      <candidateList>
        <item>:</item>
      </candidateList>
      <explain>文本全半角错误。</explain>
      <paraID>158B232B</paraID>
      <start>57</start>
      <end>58</end>
      <status>unmodified</status>
      <modifiedWord/>
      <trackRevisions>false</trackRevisions>
    </reviewItem>
    <reviewItem>
      <errorID>d8c1c514-476d-414f-9c9d-189d42d22b28</errorID>
      <errorWord>：</errorWord>
      <group>L1_Format</group>
      <groupName>格式问题</groupName>
      <ability>L2_HalfPunc</ability>
      <abilityName>全半角检查</abilityName>
      <candidateList>
        <item>:</item>
      </candidateList>
      <explain>文本全半角错误。</explain>
      <paraID>158B232B</paraID>
      <start>63</start>
      <end>64</end>
      <status>unmodified</status>
      <modifiedWord/>
      <trackRevisions>false</trackRevisions>
    </reviewItem>
    <reviewItem>
      <errorID>93136717-fb80-4488-80e9-6b485c16e4d6</errorID>
      <errorWord>加强</errorWord>
      <group>L1_Grammar</group>
      <groupName>语法问题</groupName>
      <ability>L2_Grammar</ability>
      <abilityName>语法错误</abilityName>
      <candidateList>
        <item>加大</item>
      </candidateList>
      <explain>“加强～力度”搭配不当，建议修改为“加大～力度”。</explain>
      <paraID> 17567E7</paraID>
      <start>157</start>
      <end>159</end>
      <status>unmodified</status>
      <modifiedWord/>
      <trackRevisions>false</trackRevisions>
    </reviewItem>
    <reviewItem>
      <errorID>dbd68fd3-3f6a-4f5d-9a69-812ea3ea83f9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74B08CE3</paraID>
      <start>0</start>
      <end>2</end>
      <status>unmodified</status>
      <modifiedWord/>
      <trackRevisions>false</trackRevisions>
    </reviewItem>
    <reviewItem>
      <errorID>f417d61a-1d46-4a7e-8744-95dc52c1afd4</errorID>
      <errorWord>抛撒</errorWord>
      <group>L1_Word</group>
      <groupName>字词问题</groupName>
      <ability>L2_Typo</ability>
      <abilityName>字词错误</abilityName>
      <candidateList>
        <item>抛洒</item>
      </candidateList>
      <explain>存在发音相同字词的误用。</explain>
      <paraID> 4129C7F</paraID>
      <start>221</start>
      <end>223</end>
      <status>unmodified</status>
      <modifiedWord/>
      <trackRevisions>false</trackRevisions>
    </reviewItem>
    <reviewItem>
      <errorID>b1eaebd7-b76f-4409-8455-b145955a2463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45B200AA</paraID>
      <start>0</start>
      <end>3</end>
      <status>unmodified</status>
      <modifiedWord/>
      <trackRevisions>false</trackRevisions>
    </reviewItem>
    <reviewItem>
      <errorID>656bc515-58de-4c1c-a1ba-84889dc0d676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5A10D2B2</paraID>
      <start>0</start>
      <end>3</end>
      <status>unmodified</status>
      <modifiedWord/>
      <trackRevisions>false</trackRevisions>
    </reviewItem>
    <reviewItem>
      <errorID>00b38fa0-c194-4049-89ba-f597a39e3999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3208211F</paraID>
      <start>0</start>
      <end>3</end>
      <status>unmodified</status>
      <modifiedWord/>
      <trackRevisions>false</trackRevisions>
    </reviewItem>
    <reviewItem>
      <errorID>b40953b7-e007-4808-a8d2-710089c43094</errorID>
      <errorWord>其它</errorWord>
      <group>L1_Word</group>
      <groupName>字词问题</groupName>
      <ability>L2_Alias</ability>
      <abilityName>也作/曾用词</abilityName>
      <candidateList>
        <item>其他</item>
      </candidateList>
      <explain>词汇[其它]为不规范表述或旧称，其规范书面表述为[其他]。</explain>
      <paraID>3208211F</paraID>
      <start>13</start>
      <end>15</end>
      <status>unmodified</status>
      <modifiedWord/>
      <trackRevisions>false</trackRevisions>
    </reviewItem>
    <reviewItem>
      <errorID>7fa9152a-bd06-4a47-85b8-5b8c750438c4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592B7874</paraID>
      <start>0</start>
      <end>3</end>
      <status>unmodified</status>
      <modifiedWord/>
      <trackRevisions>false</trackRevisions>
    </reviewItem>
    <reviewItem>
      <errorID>9c41c1b7-3d7b-4ff6-bfb7-bf25de8a01b5</errorID>
      <errorWord>，</errorWord>
      <group>L1_Word</group>
      <groupName>字词问题</groupName>
      <ability>L2_Typo</ability>
      <abilityName>字词错误</abilityName>
      <candidateList>
        <item>，在</item>
      </candidateList>
      <explain/>
      <paraID>592B7874</paraID>
      <start>17</start>
      <end>18</end>
      <status>unmodified</status>
      <modifiedWord/>
      <trackRevisions>false</trackRevisions>
    </reviewItem>
    <reviewItem>
      <errorID>ffee82cb-67ae-4884-af76-42c6fa16c597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2E4C5D65</paraID>
      <start>0</start>
      <end>2</end>
      <status>unmodified</status>
      <modifiedWord/>
      <trackRevisions>false</trackRevisions>
    </reviewItem>
    <reviewItem>
      <errorID>611b795b-3ef2-4609-82d5-3f102a2072be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3AE5840D</paraID>
      <start>28</start>
      <end>29</end>
      <status>unmodified</status>
      <modifiedWord/>
      <trackRevisions>false</trackRevisions>
    </reviewItem>
    <reviewItem>
      <errorID>5f1b3174-f63b-42ea-be12-4254c51d8d96</errorID>
      <errorWord>滥采</errorWord>
      <group>L1_Word</group>
      <groupName>字词问题</groupName>
      <ability>L2_Typo</ability>
      <abilityName>字词错误</abilityName>
      <candidateList>
        <item>乱采</item>
      </candidateList>
      <explain>存在发音相近字词的误用。</explain>
      <paraID>274ADFFA</paraID>
      <start>27</start>
      <end>29</end>
      <status>unmodified</status>
      <modifiedWord/>
      <trackRevisions>false</trackRevisions>
    </reviewItem>
    <reviewItem>
      <errorID>96d2ae65-d87a-457b-928c-3352cd82f0d7</errorID>
      <errorWord>程</errorWord>
      <group>L1_Word</group>
      <groupName>字词问题</groupName>
      <ability>L2_Typo</ability>
      <abilityName>字词错误</abilityName>
      <candidateList>
        <item>程中</item>
      </candidateList>
      <explain/>
      <paraID>4FEC7EA7</paraID>
      <start>64</start>
      <end>65</end>
      <status>unmodified</status>
      <modifiedWord/>
      <trackRevisions>false</trackRevisions>
    </reviewItem>
    <reviewItem>
      <errorID>e9c58cf8-1688-4ab6-8382-834ec1223b63</errorID>
      <errorWord>，</errorWord>
      <group>L1_Word</group>
      <groupName>字词问题</groupName>
      <ability>L2_Typo</ability>
      <abilityName>字词错误</abilityName>
      <candidateList>
        <item>，在</item>
      </candidateList>
      <explain/>
      <paraID>1802FE2F</paraID>
      <start>42</start>
      <end>43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C6182E-FC0C-4C30-809D-EC99C9BF6654}">
  <ds:schemaRefs/>
</ds:datastoreItem>
</file>

<file path=customXml/itemProps3.xml><?xml version="1.0" encoding="utf-8"?>
<ds:datastoreItem xmlns:ds="http://schemas.openxmlformats.org/officeDocument/2006/customXml" ds:itemID="{14614783-318c-4a25-99a8-fe3e7b7d24d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60</Pages>
  <Words>11149</Words>
  <Characters>11646</Characters>
  <Lines>160</Lines>
  <Paragraphs>45</Paragraphs>
  <TotalTime>22</TotalTime>
  <ScaleCrop>false</ScaleCrop>
  <LinksUpToDate>false</LinksUpToDate>
  <CharactersWithSpaces>11777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鱼儿</cp:lastModifiedBy>
  <cp:lastPrinted>2020-12-29T02:43:00Z</cp:lastPrinted>
  <dcterms:modified xsi:type="dcterms:W3CDTF">2026-05-20T01:47:21Z</dcterms:modified>
  <dc:title>附件2</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E6DE504530F248A39421ACB148ACF9B8_13</vt:lpwstr>
  </property>
  <property fmtid="{D5CDD505-2E9C-101B-9397-08002B2CF9AE}" pid="4" name="KSOTemplateDocerSaveRecord">
    <vt:lpwstr>eyJoZGlkIjoiZTY5MGFlNTdlZjkzNjdlYzUyMzQ3OTY0OTRlZmU5N2IiLCJ1c2VySWQiOiI0NjI0MTY4NzQifQ==</vt:lpwstr>
  </property>
</Properties>
</file>