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C85C94">
      <w:pPr>
        <w:rPr>
          <w:rFonts w:hint="default" w:ascii="Times New Roman" w:hAnsi="Times New Roman" w:eastAsia="仿宋_GB2312" w:cs="Times New Roman"/>
          <w:color w:val="auto"/>
          <w:sz w:val="36"/>
          <w:szCs w:val="36"/>
          <w:highlight w:val="none"/>
        </w:rPr>
      </w:pPr>
    </w:p>
    <w:p w14:paraId="4DCF78D5">
      <w:pPr>
        <w:rPr>
          <w:rFonts w:hint="default" w:ascii="Times New Roman" w:hAnsi="Times New Roman" w:eastAsia="仿宋_GB2312" w:cs="Times New Roman"/>
          <w:color w:val="auto"/>
          <w:sz w:val="36"/>
          <w:szCs w:val="36"/>
          <w:highlight w:val="none"/>
        </w:rPr>
      </w:pPr>
    </w:p>
    <w:p w14:paraId="3BA2A8D1">
      <w:pPr>
        <w:rPr>
          <w:rFonts w:hint="default" w:ascii="Times New Roman" w:hAnsi="Times New Roman" w:eastAsia="仿宋_GB2312" w:cs="Times New Roman"/>
          <w:color w:val="auto"/>
          <w:sz w:val="36"/>
          <w:szCs w:val="36"/>
          <w:highlight w:val="none"/>
        </w:rPr>
      </w:pPr>
    </w:p>
    <w:p w14:paraId="2581D24D">
      <w:pPr>
        <w:adjustRightInd w:val="0"/>
        <w:snapToGrid w:val="0"/>
        <w:jc w:val="center"/>
        <w:outlineLvl w:val="0"/>
        <w:rPr>
          <w:rFonts w:hint="default" w:ascii="Times New Roman" w:hAnsi="Times New Roman" w:eastAsia="方正小标宋_GBK" w:cs="Times New Roman"/>
          <w:bCs/>
          <w:color w:val="auto"/>
          <w:sz w:val="72"/>
          <w:szCs w:val="72"/>
          <w:highlight w:val="none"/>
        </w:rPr>
      </w:pPr>
      <w:r>
        <w:rPr>
          <w:rFonts w:hint="default" w:ascii="Times New Roman" w:hAnsi="Times New Roman" w:eastAsia="方正小标宋_GBK" w:cs="Times New Roman"/>
          <w:bCs/>
          <w:color w:val="auto"/>
          <w:sz w:val="52"/>
          <w:szCs w:val="52"/>
          <w:highlight w:val="none"/>
        </w:rPr>
        <w:t>建设项目环境影响报告表</w:t>
      </w:r>
    </w:p>
    <w:p w14:paraId="187BEFF4">
      <w:pPr>
        <w:adjustRightInd w:val="0"/>
        <w:snapToGrid w:val="0"/>
        <w:spacing w:before="192" w:beforeLines="80"/>
        <w:jc w:val="center"/>
        <w:rPr>
          <w:rFonts w:hint="default" w:ascii="Times New Roman" w:hAnsi="Times New Roman" w:eastAsia="楷体_GB2312" w:cs="Times New Roman"/>
          <w:bCs/>
          <w:color w:val="auto"/>
          <w:sz w:val="48"/>
          <w:szCs w:val="48"/>
          <w:highlight w:val="none"/>
        </w:rPr>
      </w:pPr>
      <w:r>
        <w:rPr>
          <w:rFonts w:hint="default" w:ascii="Times New Roman" w:hAnsi="Times New Roman" w:eastAsia="楷体_GB2312" w:cs="Times New Roman"/>
          <w:bCs/>
          <w:color w:val="auto"/>
          <w:sz w:val="48"/>
          <w:szCs w:val="48"/>
          <w:highlight w:val="none"/>
        </w:rPr>
        <w:t>（</w:t>
      </w:r>
      <w:r>
        <w:rPr>
          <w:rFonts w:hint="default" w:ascii="Times New Roman" w:hAnsi="Times New Roman" w:eastAsia="楷体_GB2312" w:cs="Times New Roman"/>
          <w:bCs/>
          <w:color w:val="auto"/>
          <w:sz w:val="48"/>
          <w:szCs w:val="48"/>
          <w:highlight w:val="none"/>
          <w:lang w:eastAsia="zh-CN"/>
        </w:rPr>
        <w:t>生态</w:t>
      </w:r>
      <w:r>
        <w:rPr>
          <w:rFonts w:hint="default" w:ascii="Times New Roman" w:hAnsi="Times New Roman" w:eastAsia="楷体_GB2312" w:cs="Times New Roman"/>
          <w:bCs/>
          <w:color w:val="auto"/>
          <w:sz w:val="48"/>
          <w:szCs w:val="48"/>
          <w:highlight w:val="none"/>
        </w:rPr>
        <w:t>影响类）</w:t>
      </w:r>
    </w:p>
    <w:p w14:paraId="16185AA2">
      <w:pPr>
        <w:adjustRightInd w:val="0"/>
        <w:snapToGrid w:val="0"/>
        <w:spacing w:line="288" w:lineRule="auto"/>
        <w:jc w:val="center"/>
        <w:outlineLvl w:val="0"/>
        <w:rPr>
          <w:rFonts w:hint="default" w:ascii="Times New Roman" w:hAnsi="Times New Roman" w:eastAsia="华文仿宋" w:cs="Times New Roman"/>
          <w:color w:val="auto"/>
          <w:kern w:val="44"/>
          <w:sz w:val="44"/>
          <w:szCs w:val="44"/>
          <w:highlight w:val="none"/>
        </w:rPr>
      </w:pPr>
    </w:p>
    <w:p w14:paraId="78C779FD">
      <w:pPr>
        <w:jc w:val="center"/>
        <w:rPr>
          <w:rFonts w:hint="default" w:ascii="Times New Roman" w:hAnsi="Times New Roman" w:eastAsia="仿宋" w:cs="Times New Roman"/>
          <w:color w:val="auto"/>
          <w:sz w:val="52"/>
          <w:szCs w:val="52"/>
          <w:highlight w:val="none"/>
        </w:rPr>
      </w:pPr>
    </w:p>
    <w:p w14:paraId="173DA1B5">
      <w:pPr>
        <w:ind w:firstLine="1040"/>
        <w:rPr>
          <w:rFonts w:hint="default" w:ascii="Times New Roman" w:hAnsi="Times New Roman" w:eastAsia="仿宋" w:cs="Times New Roman"/>
          <w:color w:val="auto"/>
          <w:sz w:val="44"/>
          <w:szCs w:val="44"/>
          <w:highlight w:val="none"/>
        </w:rPr>
      </w:pPr>
    </w:p>
    <w:p w14:paraId="23517DFD">
      <w:pPr>
        <w:ind w:firstLine="1040"/>
        <w:rPr>
          <w:rFonts w:hint="default" w:ascii="Times New Roman" w:hAnsi="Times New Roman" w:eastAsia="仿宋" w:cs="Times New Roman"/>
          <w:color w:val="auto"/>
          <w:sz w:val="44"/>
          <w:szCs w:val="44"/>
          <w:highlight w:val="none"/>
        </w:rPr>
      </w:pPr>
    </w:p>
    <w:p w14:paraId="5997501B">
      <w:pPr>
        <w:ind w:firstLine="1040"/>
        <w:rPr>
          <w:rFonts w:hint="default" w:ascii="Times New Roman" w:hAnsi="Times New Roman" w:eastAsia="仿宋" w:cs="Times New Roman"/>
          <w:color w:val="auto"/>
          <w:sz w:val="44"/>
          <w:szCs w:val="44"/>
          <w:highlight w:val="none"/>
        </w:rPr>
      </w:pPr>
    </w:p>
    <w:p w14:paraId="0B28607A">
      <w:pPr>
        <w:pStyle w:val="37"/>
        <w:rPr>
          <w:rFonts w:hint="default" w:ascii="Times New Roman" w:hAnsi="Times New Roman" w:eastAsia="仿宋" w:cs="Times New Roman"/>
          <w:color w:val="auto"/>
          <w:sz w:val="44"/>
          <w:szCs w:val="44"/>
          <w:highlight w:val="none"/>
        </w:rPr>
      </w:pPr>
    </w:p>
    <w:p w14:paraId="1467DB7F">
      <w:pPr>
        <w:pStyle w:val="37"/>
        <w:rPr>
          <w:rFonts w:hint="default" w:ascii="Times New Roman" w:hAnsi="Times New Roman" w:eastAsia="仿宋" w:cs="Times New Roman"/>
          <w:color w:val="auto"/>
          <w:sz w:val="44"/>
          <w:szCs w:val="44"/>
          <w:highlight w:val="none"/>
        </w:rPr>
      </w:pPr>
    </w:p>
    <w:p w14:paraId="2A95FE45">
      <w:pPr>
        <w:ind w:firstLine="1040"/>
        <w:rPr>
          <w:rFonts w:hint="default" w:ascii="Times New Roman" w:hAnsi="Times New Roman" w:eastAsia="仿宋" w:cs="Times New Roman"/>
          <w:color w:val="auto"/>
          <w:sz w:val="44"/>
          <w:szCs w:val="44"/>
          <w:highlight w:val="none"/>
        </w:rPr>
      </w:pPr>
    </w:p>
    <w:p w14:paraId="4449B4EF">
      <w:pPr>
        <w:adjustRightInd w:val="0"/>
        <w:snapToGrid w:val="0"/>
        <w:spacing w:line="360" w:lineRule="auto"/>
        <w:ind w:firstLine="1500" w:firstLineChars="500"/>
        <w:rPr>
          <w:rFonts w:hint="default" w:ascii="Times New Roman" w:hAnsi="Times New Roman" w:eastAsia="仿宋_GB2312" w:cs="Times New Roman"/>
          <w:color w:val="auto"/>
          <w:sz w:val="30"/>
          <w:szCs w:val="30"/>
          <w:highlight w:val="none"/>
          <w:u w:val="single"/>
          <w:lang w:val="en-US" w:eastAsia="zh-CN"/>
        </w:rPr>
      </w:pPr>
      <w:r>
        <w:rPr>
          <w:rFonts w:hint="default" w:ascii="Times New Roman" w:hAnsi="Times New Roman" w:eastAsia="仿宋_GB2312" w:cs="Times New Roman"/>
          <w:color w:val="auto"/>
          <w:sz w:val="30"/>
          <w:szCs w:val="30"/>
          <w:highlight w:val="none"/>
        </w:rPr>
        <w:t>项目名称：</w:t>
      </w:r>
      <w:r>
        <w:rPr>
          <w:rFonts w:hint="default" w:ascii="Times New Roman" w:hAnsi="Times New Roman" w:eastAsia="仿宋_GB2312" w:cs="Times New Roman"/>
          <w:color w:val="auto"/>
          <w:sz w:val="30"/>
          <w:szCs w:val="30"/>
          <w:highlight w:val="none"/>
          <w:u w:val="single"/>
          <w:lang w:val="en-US" w:eastAsia="zh-CN"/>
        </w:rPr>
        <w:t xml:space="preserve"> </w:t>
      </w:r>
      <w:r>
        <w:rPr>
          <w:rFonts w:hint="default" w:ascii="Times New Roman" w:hAnsi="Times New Roman" w:eastAsia="仿宋_GB2312" w:cs="Times New Roman"/>
          <w:color w:val="auto"/>
          <w:sz w:val="30"/>
          <w:szCs w:val="30"/>
          <w:highlight w:val="none"/>
          <w:u w:val="single"/>
          <w:lang w:eastAsia="zh-CN"/>
        </w:rPr>
        <w:t>中卫市沙坡头区高崖沟治理工程</w:t>
      </w:r>
      <w:r>
        <w:rPr>
          <w:rFonts w:hint="default" w:ascii="Times New Roman" w:hAnsi="Times New Roman" w:eastAsia="仿宋_GB2312" w:cs="Times New Roman"/>
          <w:color w:val="auto"/>
          <w:sz w:val="30"/>
          <w:szCs w:val="30"/>
          <w:highlight w:val="none"/>
          <w:u w:val="single"/>
          <w:lang w:val="en-US" w:eastAsia="zh-CN"/>
        </w:rPr>
        <w:t xml:space="preserve"> </w:t>
      </w:r>
    </w:p>
    <w:p w14:paraId="73FF028F">
      <w:pPr>
        <w:adjustRightInd w:val="0"/>
        <w:snapToGrid w:val="0"/>
        <w:spacing w:line="360" w:lineRule="auto"/>
        <w:ind w:firstLine="1500" w:firstLineChars="500"/>
        <w:rPr>
          <w:rFonts w:hint="default" w:ascii="Times New Roman" w:hAnsi="Times New Roman" w:eastAsia="仿宋_GB2312" w:cs="Times New Roman"/>
          <w:color w:val="auto"/>
          <w:sz w:val="30"/>
          <w:szCs w:val="30"/>
          <w:highlight w:val="none"/>
          <w:u w:val="single"/>
          <w:lang w:val="en-US" w:eastAsia="zh-CN"/>
        </w:rPr>
      </w:pPr>
      <w:r>
        <w:rPr>
          <w:rFonts w:hint="default" w:ascii="Times New Roman" w:hAnsi="Times New Roman" w:eastAsia="仿宋_GB2312" w:cs="Times New Roman"/>
          <w:color w:val="auto"/>
          <w:sz w:val="30"/>
          <w:szCs w:val="30"/>
          <w:highlight w:val="none"/>
        </w:rPr>
        <w:t>建设单位（盖章）：</w:t>
      </w:r>
      <w:r>
        <w:rPr>
          <w:rFonts w:hint="default" w:ascii="Times New Roman" w:hAnsi="Times New Roman" w:eastAsia="仿宋_GB2312" w:cs="Times New Roman"/>
          <w:color w:val="auto"/>
          <w:sz w:val="30"/>
          <w:szCs w:val="30"/>
          <w:highlight w:val="none"/>
          <w:u w:val="single"/>
          <w:lang w:val="en-US" w:eastAsia="zh-CN"/>
        </w:rPr>
        <w:t xml:space="preserve"> 中卫市沙坡头区水务局 </w:t>
      </w:r>
    </w:p>
    <w:p w14:paraId="515ED87D">
      <w:pPr>
        <w:adjustRightInd w:val="0"/>
        <w:snapToGrid w:val="0"/>
        <w:spacing w:line="360" w:lineRule="auto"/>
        <w:ind w:firstLine="1500" w:firstLineChars="500"/>
        <w:rPr>
          <w:rFonts w:hint="default" w:ascii="Times New Roman" w:hAnsi="Times New Roman" w:eastAsia="仿宋_GB2312" w:cs="Times New Roman"/>
          <w:color w:val="auto"/>
          <w:sz w:val="36"/>
          <w:szCs w:val="36"/>
          <w:highlight w:val="none"/>
          <w:u w:val="single"/>
        </w:rPr>
      </w:pPr>
      <w:r>
        <w:rPr>
          <w:rFonts w:hint="default" w:ascii="Times New Roman" w:hAnsi="Times New Roman" w:eastAsia="仿宋_GB2312" w:cs="Times New Roman"/>
          <w:color w:val="auto"/>
          <w:sz w:val="30"/>
          <w:szCs w:val="30"/>
          <w:highlight w:val="none"/>
        </w:rPr>
        <w:t>编制日期：</w:t>
      </w:r>
      <w:r>
        <w:rPr>
          <w:rFonts w:hint="default" w:ascii="Times New Roman" w:hAnsi="Times New Roman" w:eastAsia="仿宋_GB2312" w:cs="Times New Roman"/>
          <w:color w:val="auto"/>
          <w:sz w:val="30"/>
          <w:szCs w:val="30"/>
          <w:highlight w:val="none"/>
          <w:u w:val="single"/>
        </w:rPr>
        <w:t xml:space="preserve">   </w:t>
      </w:r>
      <w:r>
        <w:rPr>
          <w:rFonts w:hint="default" w:ascii="Times New Roman" w:hAnsi="Times New Roman" w:eastAsia="仿宋_GB2312" w:cs="Times New Roman"/>
          <w:color w:val="auto"/>
          <w:sz w:val="30"/>
          <w:szCs w:val="30"/>
          <w:highlight w:val="none"/>
          <w:u w:val="single"/>
          <w:lang w:val="en-US" w:eastAsia="zh-CN"/>
        </w:rPr>
        <w:t xml:space="preserve"> </w:t>
      </w:r>
      <w:r>
        <w:rPr>
          <w:rFonts w:hint="default" w:ascii="Times New Roman" w:hAnsi="Times New Roman" w:eastAsia="仿宋_GB2312" w:cs="Times New Roman"/>
          <w:color w:val="auto"/>
          <w:sz w:val="30"/>
          <w:szCs w:val="30"/>
          <w:highlight w:val="none"/>
          <w:u w:val="single"/>
        </w:rPr>
        <w:t xml:space="preserve">    </w:t>
      </w:r>
      <w:r>
        <w:rPr>
          <w:rFonts w:hint="default" w:ascii="Times New Roman" w:hAnsi="Times New Roman" w:eastAsia="仿宋_GB2312" w:cs="Times New Roman"/>
          <w:color w:val="auto"/>
          <w:sz w:val="30"/>
          <w:szCs w:val="30"/>
          <w:highlight w:val="none"/>
          <w:u w:val="single"/>
          <w:lang w:val="en-US" w:eastAsia="zh-CN"/>
        </w:rPr>
        <w:t xml:space="preserve"> </w:t>
      </w:r>
      <w:r>
        <w:rPr>
          <w:rFonts w:hint="default" w:ascii="Times New Roman" w:hAnsi="Times New Roman" w:eastAsia="仿宋_GB2312" w:cs="Times New Roman"/>
          <w:color w:val="auto"/>
          <w:sz w:val="30"/>
          <w:szCs w:val="30"/>
          <w:highlight w:val="none"/>
          <w:u w:val="single"/>
        </w:rPr>
        <w:t>202</w:t>
      </w:r>
      <w:r>
        <w:rPr>
          <w:rFonts w:hint="default" w:ascii="Times New Roman" w:hAnsi="Times New Roman" w:eastAsia="仿宋_GB2312" w:cs="Times New Roman"/>
          <w:color w:val="auto"/>
          <w:sz w:val="30"/>
          <w:szCs w:val="30"/>
          <w:highlight w:val="none"/>
          <w:u w:val="single"/>
          <w:lang w:val="en-US" w:eastAsia="zh-CN"/>
        </w:rPr>
        <w:t>6</w:t>
      </w:r>
      <w:r>
        <w:rPr>
          <w:rFonts w:hint="default" w:ascii="Times New Roman" w:hAnsi="Times New Roman" w:eastAsia="仿宋_GB2312" w:cs="Times New Roman"/>
          <w:color w:val="auto"/>
          <w:sz w:val="30"/>
          <w:szCs w:val="30"/>
          <w:highlight w:val="none"/>
          <w:u w:val="single"/>
        </w:rPr>
        <w:t>年</w:t>
      </w:r>
      <w:r>
        <w:rPr>
          <w:rFonts w:hint="eastAsia" w:eastAsia="仿宋_GB2312" w:cs="Times New Roman"/>
          <w:color w:val="auto"/>
          <w:sz w:val="30"/>
          <w:szCs w:val="30"/>
          <w:highlight w:val="none"/>
          <w:u w:val="single"/>
          <w:lang w:val="en-US" w:eastAsia="zh-CN"/>
        </w:rPr>
        <w:t>5</w:t>
      </w:r>
      <w:r>
        <w:rPr>
          <w:rFonts w:hint="default" w:ascii="Times New Roman" w:hAnsi="Times New Roman" w:eastAsia="仿宋_GB2312" w:cs="Times New Roman"/>
          <w:color w:val="auto"/>
          <w:sz w:val="30"/>
          <w:szCs w:val="30"/>
          <w:highlight w:val="none"/>
          <w:u w:val="single"/>
        </w:rPr>
        <w:t>月</w:t>
      </w:r>
      <w:r>
        <w:rPr>
          <w:rFonts w:hint="default" w:ascii="Times New Roman" w:hAnsi="Times New Roman" w:eastAsia="仿宋_GB2312" w:cs="Times New Roman"/>
          <w:color w:val="auto"/>
          <w:sz w:val="30"/>
          <w:szCs w:val="30"/>
          <w:highlight w:val="none"/>
          <w:u w:val="single"/>
          <w:lang w:val="en-US" w:eastAsia="zh-CN"/>
        </w:rPr>
        <w:t xml:space="preserve">      </w:t>
      </w:r>
      <w:r>
        <w:rPr>
          <w:rFonts w:hint="default" w:ascii="Times New Roman" w:hAnsi="Times New Roman" w:eastAsia="仿宋_GB2312" w:cs="Times New Roman"/>
          <w:color w:val="auto"/>
          <w:sz w:val="30"/>
          <w:szCs w:val="30"/>
          <w:highlight w:val="none"/>
          <w:u w:val="single"/>
        </w:rPr>
        <w:t xml:space="preserve">   </w:t>
      </w:r>
      <w:r>
        <w:rPr>
          <w:rFonts w:hint="default" w:ascii="Times New Roman" w:hAnsi="Times New Roman" w:eastAsia="仿宋_GB2312" w:cs="Times New Roman"/>
          <w:color w:val="auto"/>
          <w:sz w:val="30"/>
          <w:szCs w:val="30"/>
          <w:highlight w:val="none"/>
          <w:u w:val="single"/>
          <w:lang w:val="en-US" w:eastAsia="zh-CN"/>
        </w:rPr>
        <w:t xml:space="preserve"> </w:t>
      </w:r>
    </w:p>
    <w:p w14:paraId="0EDC9A5E">
      <w:pPr>
        <w:adjustRightInd w:val="0"/>
        <w:snapToGrid w:val="0"/>
        <w:spacing w:line="288" w:lineRule="auto"/>
        <w:ind w:firstLine="1040"/>
        <w:rPr>
          <w:rFonts w:hint="default" w:ascii="Times New Roman" w:hAnsi="Times New Roman" w:eastAsia="仿宋_GB2312" w:cs="Times New Roman"/>
          <w:color w:val="auto"/>
          <w:sz w:val="36"/>
          <w:szCs w:val="36"/>
          <w:highlight w:val="none"/>
          <w:u w:val="single"/>
        </w:rPr>
      </w:pPr>
      <w:bookmarkStart w:id="0" w:name="_Hlk57884087"/>
    </w:p>
    <w:p w14:paraId="799DB0BC">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p>
    <w:p w14:paraId="32D13F60">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p>
    <w:p w14:paraId="042C4010">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p>
    <w:bookmarkEnd w:id="0"/>
    <w:p w14:paraId="3B193F53">
      <w:pPr>
        <w:adjustRightInd w:val="0"/>
        <w:snapToGrid w:val="0"/>
        <w:spacing w:line="288" w:lineRule="auto"/>
        <w:jc w:val="center"/>
        <w:rPr>
          <w:rFonts w:hint="default" w:ascii="Times New Roman" w:hAnsi="Times New Roman" w:eastAsia="楷体_GB2312" w:cs="Times New Roman"/>
          <w:color w:val="auto"/>
          <w:sz w:val="36"/>
          <w:szCs w:val="36"/>
          <w:highlight w:val="none"/>
        </w:rPr>
      </w:pPr>
      <w:r>
        <w:rPr>
          <w:rFonts w:hint="default" w:ascii="Times New Roman" w:hAnsi="Times New Roman" w:eastAsia="楷体_GB2312" w:cs="Times New Roman"/>
          <w:color w:val="auto"/>
          <w:sz w:val="36"/>
          <w:szCs w:val="36"/>
          <w:highlight w:val="none"/>
        </w:rPr>
        <w:t>中华人民共和国生态环境部制</w:t>
      </w:r>
    </w:p>
    <w:p w14:paraId="5D25E8BC">
      <w:pPr>
        <w:adjustRightInd w:val="0"/>
        <w:snapToGrid w:val="0"/>
        <w:spacing w:line="288" w:lineRule="auto"/>
        <w:ind w:firstLine="1040"/>
        <w:rPr>
          <w:rFonts w:hint="default" w:ascii="Times New Roman" w:hAnsi="Times New Roman" w:eastAsia="仿宋_GB2312" w:cs="Times New Roman"/>
          <w:color w:val="auto"/>
          <w:sz w:val="36"/>
          <w:szCs w:val="36"/>
          <w:highlight w:val="none"/>
        </w:rPr>
        <w:sectPr>
          <w:headerReference r:id="rId3" w:type="default"/>
          <w:footerReference r:id="rId4" w:type="default"/>
          <w:footerReference r:id="rId5" w:type="even"/>
          <w:pgSz w:w="11906" w:h="16838"/>
          <w:pgMar w:top="1701" w:right="1417" w:bottom="1701" w:left="1417" w:header="851" w:footer="1077" w:gutter="0"/>
          <w:pgBorders>
            <w:top w:val="none" w:sz="0" w:space="0"/>
            <w:left w:val="none" w:sz="0" w:space="0"/>
            <w:bottom w:val="none" w:sz="0" w:space="0"/>
            <w:right w:val="none" w:sz="0" w:space="0"/>
          </w:pgBorders>
          <w:pgNumType w:fmt="numberInDash" w:start="3"/>
          <w:cols w:space="720" w:num="1"/>
          <w:docGrid w:linePitch="312" w:charSpace="0"/>
        </w:sectPr>
      </w:pPr>
    </w:p>
    <w:p w14:paraId="029A9C5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黑体" w:cs="Times New Roman"/>
          <w:snapToGrid w:val="0"/>
          <w:color w:val="auto"/>
          <w:kern w:val="0"/>
          <w:sz w:val="30"/>
          <w:szCs w:val="30"/>
          <w:highlight w:val="none"/>
        </w:rPr>
      </w:pPr>
      <w:r>
        <w:rPr>
          <w:rFonts w:hint="default" w:ascii="Times New Roman" w:hAnsi="Times New Roman" w:eastAsia="黑体" w:cs="Times New Roman"/>
          <w:snapToGrid w:val="0"/>
          <w:color w:val="auto"/>
          <w:kern w:val="0"/>
          <w:sz w:val="30"/>
          <w:szCs w:val="30"/>
          <w:highlight w:val="none"/>
        </w:rPr>
        <w:t>一、建设项目基本情况</w:t>
      </w:r>
    </w:p>
    <w:tbl>
      <w:tblPr>
        <w:tblStyle w:val="26"/>
        <w:tblW w:w="494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444"/>
        <w:gridCol w:w="1414"/>
        <w:gridCol w:w="2009"/>
        <w:gridCol w:w="1912"/>
        <w:gridCol w:w="3228"/>
      </w:tblGrid>
      <w:tr w14:paraId="101E8C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859" w:type="dxa"/>
            <w:gridSpan w:val="2"/>
            <w:tcBorders>
              <w:tl2br w:val="nil"/>
              <w:tr2bl w:val="nil"/>
            </w:tcBorders>
            <w:tcMar>
              <w:top w:w="16" w:type="dxa"/>
              <w:left w:w="16" w:type="dxa"/>
              <w:right w:w="16" w:type="dxa"/>
            </w:tcMar>
            <w:vAlign w:val="center"/>
          </w:tcPr>
          <w:p w14:paraId="4FE6470F">
            <w:pPr>
              <w:keepNext w:val="0"/>
              <w:keepLines w:val="0"/>
              <w:pageBreakBefore w:val="0"/>
              <w:kinsoku/>
              <w:wordWrap/>
              <w:topLinePunct w:val="0"/>
              <w:bidi w:val="0"/>
              <w:adjustRightInd w:val="0"/>
              <w:snapToGrid w:val="0"/>
              <w:jc w:val="center"/>
              <w:textAlignment w:val="auto"/>
              <w:rPr>
                <w:rFonts w:hint="default" w:ascii="Times New Roman" w:hAnsi="Times New Roman" w:cs="Times New Roman"/>
                <w:color w:val="auto"/>
                <w:sz w:val="24"/>
                <w:highlight w:val="none"/>
              </w:rPr>
            </w:pPr>
            <w:r>
              <w:rPr>
                <w:rFonts w:hint="default" w:ascii="Times New Roman" w:hAnsi="Times New Roman" w:cs="Times New Roman"/>
                <w:b/>
                <w:bCs/>
                <w:color w:val="auto"/>
                <w:sz w:val="24"/>
                <w:highlight w:val="none"/>
              </w:rPr>
              <w:t>建设项目名称</w:t>
            </w:r>
          </w:p>
        </w:tc>
        <w:tc>
          <w:tcPr>
            <w:tcW w:w="7149" w:type="dxa"/>
            <w:gridSpan w:val="3"/>
            <w:tcBorders>
              <w:tl2br w:val="nil"/>
              <w:tr2bl w:val="nil"/>
            </w:tcBorders>
            <w:vAlign w:val="center"/>
          </w:tcPr>
          <w:p w14:paraId="367195CD">
            <w:pPr>
              <w:keepNext w:val="0"/>
              <w:keepLines w:val="0"/>
              <w:pageBreakBefore w:val="0"/>
              <w:kinsoku/>
              <w:wordWrap/>
              <w:topLinePunct w:val="0"/>
              <w:bidi w:val="0"/>
              <w:adjustRightInd w:val="0"/>
              <w:snapToGrid w:val="0"/>
              <w:jc w:val="center"/>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lang w:eastAsia="zh-CN"/>
              </w:rPr>
              <w:t>中卫市沙坡头区高崖沟治理工程</w:t>
            </w:r>
          </w:p>
        </w:tc>
      </w:tr>
      <w:tr w14:paraId="0FCECE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859" w:type="dxa"/>
            <w:gridSpan w:val="2"/>
            <w:tcBorders>
              <w:tl2br w:val="nil"/>
              <w:tr2bl w:val="nil"/>
            </w:tcBorders>
            <w:tcMar>
              <w:top w:w="16" w:type="dxa"/>
              <w:left w:w="16" w:type="dxa"/>
              <w:right w:w="16" w:type="dxa"/>
            </w:tcMar>
            <w:vAlign w:val="center"/>
          </w:tcPr>
          <w:p w14:paraId="029F253E">
            <w:pPr>
              <w:keepNext w:val="0"/>
              <w:keepLines w:val="0"/>
              <w:pageBreakBefore w:val="0"/>
              <w:kinsoku/>
              <w:wordWrap/>
              <w:topLinePunct w:val="0"/>
              <w:bidi w:val="0"/>
              <w:adjustRightInd w:val="0"/>
              <w:snapToGrid w:val="0"/>
              <w:jc w:val="center"/>
              <w:textAlignment w:val="auto"/>
              <w:rPr>
                <w:rFonts w:hint="default" w:ascii="Times New Roman" w:hAnsi="Times New Roman" w:cs="Times New Roman"/>
                <w:color w:val="auto"/>
                <w:sz w:val="24"/>
                <w:highlight w:val="none"/>
              </w:rPr>
            </w:pPr>
            <w:r>
              <w:rPr>
                <w:rFonts w:hint="default" w:ascii="Times New Roman" w:hAnsi="Times New Roman" w:cs="Times New Roman"/>
                <w:b/>
                <w:bCs/>
                <w:color w:val="auto"/>
                <w:sz w:val="24"/>
                <w:highlight w:val="none"/>
              </w:rPr>
              <w:t>项目代码</w:t>
            </w:r>
          </w:p>
        </w:tc>
        <w:tc>
          <w:tcPr>
            <w:tcW w:w="7149" w:type="dxa"/>
            <w:gridSpan w:val="3"/>
            <w:tcBorders>
              <w:tl2br w:val="nil"/>
              <w:tr2bl w:val="nil"/>
            </w:tcBorders>
            <w:vAlign w:val="center"/>
          </w:tcPr>
          <w:p w14:paraId="1890BC8B">
            <w:pPr>
              <w:keepNext w:val="0"/>
              <w:keepLines w:val="0"/>
              <w:pageBreakBefore w:val="0"/>
              <w:kinsoku/>
              <w:wordWrap/>
              <w:topLinePunct w:val="0"/>
              <w:bidi w:val="0"/>
              <w:adjustRightInd w:val="0"/>
              <w:snapToGrid w:val="0"/>
              <w:jc w:val="center"/>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2503-640500-19-01-623238</w:t>
            </w:r>
          </w:p>
        </w:tc>
      </w:tr>
      <w:tr w14:paraId="524B32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859" w:type="dxa"/>
            <w:gridSpan w:val="2"/>
            <w:tcBorders>
              <w:tl2br w:val="nil"/>
              <w:tr2bl w:val="nil"/>
            </w:tcBorders>
            <w:tcMar>
              <w:top w:w="16" w:type="dxa"/>
              <w:left w:w="16" w:type="dxa"/>
              <w:right w:w="16" w:type="dxa"/>
            </w:tcMar>
            <w:vAlign w:val="center"/>
          </w:tcPr>
          <w:p w14:paraId="00780023">
            <w:pPr>
              <w:keepNext w:val="0"/>
              <w:keepLines w:val="0"/>
              <w:pageBreakBefore w:val="0"/>
              <w:kinsoku/>
              <w:wordWrap/>
              <w:topLinePunct w:val="0"/>
              <w:bidi w:val="0"/>
              <w:adjustRightInd w:val="0"/>
              <w:snapToGrid w:val="0"/>
              <w:jc w:val="center"/>
              <w:textAlignment w:val="auto"/>
              <w:rPr>
                <w:rFonts w:hint="default" w:ascii="Times New Roman" w:hAnsi="Times New Roman" w:cs="Times New Roman"/>
                <w:color w:val="auto"/>
                <w:sz w:val="24"/>
                <w:highlight w:val="none"/>
              </w:rPr>
            </w:pPr>
            <w:r>
              <w:rPr>
                <w:rFonts w:hint="default" w:ascii="Times New Roman" w:hAnsi="Times New Roman" w:cs="Times New Roman"/>
                <w:b/>
                <w:bCs/>
                <w:color w:val="auto"/>
                <w:sz w:val="24"/>
                <w:highlight w:val="none"/>
              </w:rPr>
              <w:t>建设单位联系人</w:t>
            </w:r>
          </w:p>
        </w:tc>
        <w:tc>
          <w:tcPr>
            <w:tcW w:w="2009" w:type="dxa"/>
            <w:tcBorders>
              <w:tl2br w:val="nil"/>
              <w:tr2bl w:val="nil"/>
            </w:tcBorders>
            <w:vAlign w:val="center"/>
          </w:tcPr>
          <w:p w14:paraId="53B27669">
            <w:pPr>
              <w:keepNext w:val="0"/>
              <w:keepLines w:val="0"/>
              <w:pageBreakBefore w:val="0"/>
              <w:kinsoku/>
              <w:wordWrap/>
              <w:topLinePunct w:val="0"/>
              <w:bidi w:val="0"/>
              <w:adjustRightInd w:val="0"/>
              <w:snapToGrid w:val="0"/>
              <w:jc w:val="center"/>
              <w:textAlignment w:val="auto"/>
              <w:rPr>
                <w:rFonts w:hint="default" w:ascii="Times New Roman" w:hAnsi="Times New Roman" w:eastAsia="宋体" w:cs="Times New Roman"/>
                <w:color w:val="auto"/>
                <w:sz w:val="24"/>
                <w:highlight w:val="none"/>
                <w:lang w:eastAsia="zh-CN"/>
              </w:rPr>
            </w:pPr>
            <w:r>
              <w:rPr>
                <w:rFonts w:hint="eastAsia" w:cs="Times New Roman"/>
                <w:color w:val="auto"/>
                <w:sz w:val="24"/>
                <w:highlight w:val="none"/>
                <w:lang w:val="en-US" w:eastAsia="zh-CN"/>
              </w:rPr>
              <w:t>张宁</w:t>
            </w:r>
          </w:p>
        </w:tc>
        <w:tc>
          <w:tcPr>
            <w:tcW w:w="1912" w:type="dxa"/>
            <w:tcBorders>
              <w:tl2br w:val="nil"/>
              <w:tr2bl w:val="nil"/>
            </w:tcBorders>
            <w:vAlign w:val="center"/>
          </w:tcPr>
          <w:p w14:paraId="6ABD8BC1">
            <w:pPr>
              <w:keepNext w:val="0"/>
              <w:keepLines w:val="0"/>
              <w:pageBreakBefore w:val="0"/>
              <w:kinsoku/>
              <w:wordWrap/>
              <w:topLinePunct w:val="0"/>
              <w:bidi w:val="0"/>
              <w:adjustRightInd w:val="0"/>
              <w:snapToGrid w:val="0"/>
              <w:jc w:val="center"/>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color w:val="auto"/>
                <w:sz w:val="24"/>
                <w:highlight w:val="none"/>
              </w:rPr>
              <w:t>联系方式</w:t>
            </w:r>
          </w:p>
        </w:tc>
        <w:tc>
          <w:tcPr>
            <w:tcW w:w="3228" w:type="dxa"/>
            <w:tcBorders>
              <w:tl2br w:val="nil"/>
              <w:tr2bl w:val="nil"/>
            </w:tcBorders>
            <w:vAlign w:val="center"/>
          </w:tcPr>
          <w:p w14:paraId="52F013C4">
            <w:pPr>
              <w:keepNext w:val="0"/>
              <w:keepLines w:val="0"/>
              <w:pageBreakBefore w:val="0"/>
              <w:kinsoku/>
              <w:wordWrap/>
              <w:topLinePunct w:val="0"/>
              <w:bidi w:val="0"/>
              <w:adjustRightInd w:val="0"/>
              <w:snapToGrid w:val="0"/>
              <w:jc w:val="center"/>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w:t>
            </w:r>
          </w:p>
        </w:tc>
      </w:tr>
      <w:tr w14:paraId="46C211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859" w:type="dxa"/>
            <w:gridSpan w:val="2"/>
            <w:tcBorders>
              <w:tl2br w:val="nil"/>
              <w:tr2bl w:val="nil"/>
            </w:tcBorders>
            <w:tcMar>
              <w:top w:w="16" w:type="dxa"/>
              <w:left w:w="16" w:type="dxa"/>
              <w:right w:w="16" w:type="dxa"/>
            </w:tcMar>
            <w:vAlign w:val="center"/>
          </w:tcPr>
          <w:p w14:paraId="5ED7281F">
            <w:pPr>
              <w:keepNext w:val="0"/>
              <w:keepLines w:val="0"/>
              <w:pageBreakBefore w:val="0"/>
              <w:kinsoku/>
              <w:wordWrap/>
              <w:topLinePunct w:val="0"/>
              <w:bidi w:val="0"/>
              <w:adjustRightInd w:val="0"/>
              <w:snapToGrid w:val="0"/>
              <w:jc w:val="center"/>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建设地点</w:t>
            </w:r>
          </w:p>
        </w:tc>
        <w:tc>
          <w:tcPr>
            <w:tcW w:w="7149" w:type="dxa"/>
            <w:gridSpan w:val="3"/>
            <w:tcBorders>
              <w:tl2br w:val="nil"/>
              <w:tr2bl w:val="nil"/>
            </w:tcBorders>
            <w:vAlign w:val="center"/>
          </w:tcPr>
          <w:p w14:paraId="7912807C">
            <w:pPr>
              <w:keepNext w:val="0"/>
              <w:keepLines w:val="0"/>
              <w:pageBreakBefore w:val="0"/>
              <w:kinsoku/>
              <w:wordWrap/>
              <w:topLinePunct w:val="0"/>
              <w:bidi w:val="0"/>
              <w:adjustRightInd w:val="0"/>
              <w:snapToGrid w:val="0"/>
              <w:jc w:val="center"/>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u w:val="single"/>
                <w:lang w:eastAsia="zh-CN"/>
              </w:rPr>
              <w:t>宁夏回族自治</w:t>
            </w:r>
            <w:r>
              <w:rPr>
                <w:rFonts w:hint="default" w:ascii="Times New Roman" w:hAnsi="Times New Roman" w:eastAsia="宋体" w:cs="Times New Roman"/>
                <w:color w:val="auto"/>
                <w:sz w:val="24"/>
                <w:highlight w:val="none"/>
                <w:u w:val="none"/>
                <w:lang w:eastAsia="zh-CN"/>
              </w:rPr>
              <w:t>区</w:t>
            </w:r>
            <w:r>
              <w:rPr>
                <w:rFonts w:hint="default" w:ascii="Times New Roman" w:hAnsi="Times New Roman" w:cs="Times New Roman"/>
                <w:color w:val="auto"/>
                <w:sz w:val="24"/>
                <w:highlight w:val="none"/>
                <w:u w:val="single"/>
                <w:lang w:val="en-US" w:eastAsia="zh-CN"/>
              </w:rPr>
              <w:t>中卫</w:t>
            </w:r>
            <w:r>
              <w:rPr>
                <w:rFonts w:hint="default" w:ascii="Times New Roman" w:hAnsi="Times New Roman" w:cs="Times New Roman"/>
                <w:color w:val="auto"/>
                <w:sz w:val="24"/>
                <w:highlight w:val="none"/>
                <w:u w:val="none"/>
                <w:lang w:val="en-US" w:eastAsia="zh-CN"/>
              </w:rPr>
              <w:t>市</w:t>
            </w:r>
            <w:r>
              <w:rPr>
                <w:rFonts w:hint="default" w:ascii="Times New Roman" w:hAnsi="Times New Roman" w:cs="Times New Roman"/>
                <w:color w:val="auto"/>
                <w:sz w:val="24"/>
                <w:highlight w:val="none"/>
                <w:u w:val="single"/>
                <w:lang w:val="en-US" w:eastAsia="zh-CN"/>
              </w:rPr>
              <w:t>沙坡头</w:t>
            </w:r>
            <w:r>
              <w:rPr>
                <w:rFonts w:hint="default" w:ascii="Times New Roman" w:hAnsi="Times New Roman" w:cs="Times New Roman"/>
                <w:color w:val="auto"/>
                <w:sz w:val="24"/>
                <w:highlight w:val="none"/>
                <w:u w:val="none"/>
                <w:lang w:val="en-US" w:eastAsia="zh-CN"/>
              </w:rPr>
              <w:t>区</w:t>
            </w:r>
            <w:r>
              <w:rPr>
                <w:rFonts w:hint="default" w:ascii="Times New Roman" w:hAnsi="Times New Roman" w:cs="Times New Roman"/>
                <w:color w:val="auto"/>
                <w:sz w:val="24"/>
                <w:highlight w:val="none"/>
                <w:u w:val="single"/>
                <w:lang w:val="en-US" w:eastAsia="zh-CN"/>
              </w:rPr>
              <w:t>兴仁</w:t>
            </w:r>
            <w:r>
              <w:rPr>
                <w:rFonts w:hint="default" w:ascii="Times New Roman" w:hAnsi="Times New Roman" w:cs="Times New Roman"/>
                <w:color w:val="auto"/>
                <w:sz w:val="24"/>
                <w:highlight w:val="none"/>
                <w:u w:val="none"/>
                <w:lang w:val="en-US" w:eastAsia="zh-CN"/>
              </w:rPr>
              <w:t>镇、</w:t>
            </w:r>
            <w:r>
              <w:rPr>
                <w:rFonts w:hint="default" w:ascii="Times New Roman" w:hAnsi="Times New Roman" w:cs="Times New Roman"/>
                <w:color w:val="auto"/>
                <w:sz w:val="24"/>
                <w:highlight w:val="none"/>
                <w:u w:val="single"/>
                <w:lang w:val="en-US" w:eastAsia="zh-CN"/>
              </w:rPr>
              <w:t>香山</w:t>
            </w:r>
            <w:r>
              <w:rPr>
                <w:rFonts w:hint="default" w:ascii="Times New Roman" w:hAnsi="Times New Roman" w:cs="Times New Roman"/>
                <w:color w:val="auto"/>
                <w:sz w:val="24"/>
                <w:highlight w:val="none"/>
                <w:u w:val="none"/>
                <w:lang w:val="en-US" w:eastAsia="zh-CN"/>
              </w:rPr>
              <w:t>乡</w:t>
            </w:r>
          </w:p>
        </w:tc>
      </w:tr>
      <w:tr w14:paraId="1993A0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859" w:type="dxa"/>
            <w:gridSpan w:val="2"/>
            <w:tcBorders>
              <w:tl2br w:val="nil"/>
              <w:tr2bl w:val="nil"/>
            </w:tcBorders>
            <w:tcMar>
              <w:top w:w="16" w:type="dxa"/>
              <w:left w:w="16" w:type="dxa"/>
              <w:right w:w="16" w:type="dxa"/>
            </w:tcMar>
            <w:vAlign w:val="center"/>
          </w:tcPr>
          <w:p w14:paraId="1D530F92">
            <w:pPr>
              <w:keepNext w:val="0"/>
              <w:keepLines w:val="0"/>
              <w:pageBreakBefore w:val="0"/>
              <w:kinsoku/>
              <w:wordWrap/>
              <w:topLinePunct w:val="0"/>
              <w:bidi w:val="0"/>
              <w:adjustRightInd w:val="0"/>
              <w:snapToGrid w:val="0"/>
              <w:jc w:val="center"/>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地理坐标</w:t>
            </w:r>
          </w:p>
        </w:tc>
        <w:tc>
          <w:tcPr>
            <w:tcW w:w="7149" w:type="dxa"/>
            <w:gridSpan w:val="3"/>
            <w:tcBorders>
              <w:tl2br w:val="nil"/>
              <w:tr2bl w:val="nil"/>
            </w:tcBorders>
            <w:vAlign w:val="center"/>
          </w:tcPr>
          <w:p w14:paraId="4973E7F6">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本项目主要在高崖沟内实施边坡砌护、沟道清淤、巡护道路修建等工程，其中清淤共三段，两侧边坡砌护</w:t>
            </w:r>
            <w:bookmarkStart w:id="10" w:name="_GoBack"/>
            <w:bookmarkEnd w:id="10"/>
            <w:r>
              <w:rPr>
                <w:rFonts w:hint="eastAsia" w:ascii="Times New Roman" w:hAnsi="Times New Roman" w:eastAsia="宋体" w:cs="Times New Roman"/>
                <w:color w:val="auto"/>
                <w:kern w:val="0"/>
                <w:sz w:val="24"/>
                <w:highlight w:val="none"/>
                <w:lang w:val="en-US" w:eastAsia="zh-CN"/>
              </w:rPr>
              <w:t>共计29段（相对较为集中，大体上分为上游、下游2大段），巡护道路1段，各工程坐标见下表：</w:t>
            </w:r>
          </w:p>
          <w:p w14:paraId="53BE34AE">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黑体" w:cs="Times New Roman"/>
                <w:bCs/>
                <w:color w:val="auto"/>
                <w:kern w:val="2"/>
                <w:sz w:val="24"/>
                <w:szCs w:val="24"/>
                <w:highlight w:val="none"/>
                <w:lang w:val="en-US" w:eastAsia="zh-CN" w:bidi="ar-SA"/>
              </w:rPr>
            </w:pPr>
            <w:r>
              <w:rPr>
                <w:rFonts w:hint="eastAsia" w:ascii="Times New Roman" w:hAnsi="Times New Roman" w:eastAsia="黑体" w:cs="Times New Roman"/>
                <w:bCs/>
                <w:color w:val="auto"/>
                <w:kern w:val="2"/>
                <w:sz w:val="24"/>
                <w:szCs w:val="24"/>
                <w:highlight w:val="none"/>
                <w:lang w:val="en-US" w:eastAsia="zh-CN" w:bidi="ar-SA"/>
              </w:rPr>
              <w:t>表1-1  项目各工程坐标信息一览表</w:t>
            </w:r>
          </w:p>
          <w:tbl>
            <w:tblPr>
              <w:tblStyle w:val="2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1"/>
              <w:gridCol w:w="650"/>
              <w:gridCol w:w="1327"/>
              <w:gridCol w:w="1176"/>
              <w:gridCol w:w="1784"/>
              <w:gridCol w:w="1801"/>
            </w:tblGrid>
            <w:tr w14:paraId="34094E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4" w:type="pct"/>
                  <w:tcBorders>
                    <w:tl2br w:val="nil"/>
                    <w:tr2bl w:val="nil"/>
                  </w:tcBorders>
                  <w:vAlign w:val="center"/>
                </w:tcPr>
                <w:p w14:paraId="005176B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序号</w:t>
                  </w:r>
                </w:p>
              </w:tc>
              <w:tc>
                <w:tcPr>
                  <w:tcW w:w="2211" w:type="pct"/>
                  <w:gridSpan w:val="3"/>
                  <w:tcBorders>
                    <w:tl2br w:val="nil"/>
                    <w:tr2bl w:val="nil"/>
                  </w:tcBorders>
                  <w:vAlign w:val="center"/>
                </w:tcPr>
                <w:p w14:paraId="249D463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工程（段）名称</w:t>
                  </w:r>
                </w:p>
              </w:tc>
              <w:tc>
                <w:tcPr>
                  <w:tcW w:w="1251" w:type="pct"/>
                  <w:tcBorders>
                    <w:tl2br w:val="nil"/>
                    <w:tr2bl w:val="nil"/>
                  </w:tcBorders>
                  <w:vAlign w:val="center"/>
                </w:tcPr>
                <w:p w14:paraId="7963563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起点坐标</w:t>
                  </w:r>
                </w:p>
              </w:tc>
              <w:tc>
                <w:tcPr>
                  <w:tcW w:w="1263" w:type="pct"/>
                  <w:tcBorders>
                    <w:tl2br w:val="nil"/>
                    <w:tr2bl w:val="nil"/>
                  </w:tcBorders>
                  <w:vAlign w:val="center"/>
                </w:tcPr>
                <w:p w14:paraId="1A4B253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终点坐标</w:t>
                  </w:r>
                </w:p>
              </w:tc>
            </w:tr>
            <w:tr w14:paraId="7DAA4C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4" w:type="pct"/>
                  <w:vMerge w:val="restart"/>
                  <w:tcBorders>
                    <w:tl2br w:val="nil"/>
                    <w:tr2bl w:val="nil"/>
                  </w:tcBorders>
                  <w:vAlign w:val="center"/>
                </w:tcPr>
                <w:p w14:paraId="7145DD1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w:t>
                  </w:r>
                </w:p>
              </w:tc>
              <w:tc>
                <w:tcPr>
                  <w:tcW w:w="455" w:type="pct"/>
                  <w:vMerge w:val="restart"/>
                  <w:tcBorders>
                    <w:tl2br w:val="nil"/>
                    <w:tr2bl w:val="nil"/>
                  </w:tcBorders>
                  <w:vAlign w:val="center"/>
                </w:tcPr>
                <w:p w14:paraId="13B867C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沟道清淤</w:t>
                  </w:r>
                </w:p>
              </w:tc>
              <w:tc>
                <w:tcPr>
                  <w:tcW w:w="1755" w:type="pct"/>
                  <w:gridSpan w:val="2"/>
                  <w:tcBorders>
                    <w:tl2br w:val="nil"/>
                    <w:tr2bl w:val="nil"/>
                  </w:tcBorders>
                  <w:vAlign w:val="center"/>
                </w:tcPr>
                <w:p w14:paraId="5421034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GY0+000</w:t>
                  </w:r>
                  <w:r>
                    <w:rPr>
                      <w:rFonts w:hint="eastAsia" w:cs="Times New Roman"/>
                      <w:color w:val="auto"/>
                      <w:sz w:val="21"/>
                      <w:szCs w:val="21"/>
                      <w:highlight w:val="none"/>
                      <w:vertAlign w:val="baseline"/>
                      <w:lang w:val="en-US" w:eastAsia="zh-CN"/>
                    </w:rPr>
                    <w:t>~G</w:t>
                  </w:r>
                  <w:r>
                    <w:rPr>
                      <w:rFonts w:hint="default" w:ascii="Times New Roman" w:hAnsi="Times New Roman" w:eastAsia="宋体" w:cs="Times New Roman"/>
                      <w:color w:val="auto"/>
                      <w:sz w:val="21"/>
                      <w:szCs w:val="21"/>
                      <w:highlight w:val="none"/>
                      <w:vertAlign w:val="baseline"/>
                      <w:lang w:val="en-US" w:eastAsia="zh-CN"/>
                    </w:rPr>
                    <w:t>Y1+130</w:t>
                  </w:r>
                </w:p>
              </w:tc>
              <w:tc>
                <w:tcPr>
                  <w:tcW w:w="1251" w:type="pct"/>
                  <w:tcBorders>
                    <w:tl2br w:val="nil"/>
                    <w:tr2bl w:val="nil"/>
                  </w:tcBorders>
                  <w:vAlign w:val="center"/>
                </w:tcPr>
                <w:p w14:paraId="34B5252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w:t>
                  </w:r>
                  <w:r>
                    <w:rPr>
                      <w:rFonts w:hint="default" w:ascii="Times New Roman" w:hAnsi="Times New Roman" w:eastAsia="宋体" w:cs="Times New Roman"/>
                      <w:color w:val="auto"/>
                      <w:sz w:val="21"/>
                      <w:szCs w:val="21"/>
                      <w:highlight w:val="none"/>
                      <w:vertAlign w:val="baseline"/>
                      <w:lang w:val="en-US" w:eastAsia="zh-CN"/>
                    </w:rPr>
                    <w:t>105°14'39.245"</w:t>
                  </w:r>
                </w:p>
                <w:p w14:paraId="5D72FBD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N：</w:t>
                  </w:r>
                  <w:r>
                    <w:rPr>
                      <w:rFonts w:hint="default" w:ascii="Times New Roman" w:hAnsi="Times New Roman" w:eastAsia="宋体" w:cs="Times New Roman"/>
                      <w:color w:val="auto"/>
                      <w:sz w:val="21"/>
                      <w:szCs w:val="21"/>
                      <w:highlight w:val="none"/>
                      <w:vertAlign w:val="baseline"/>
                      <w:lang w:val="en-US" w:eastAsia="zh-CN"/>
                    </w:rPr>
                    <w:t>36°53'20.996"</w:t>
                  </w:r>
                </w:p>
              </w:tc>
              <w:tc>
                <w:tcPr>
                  <w:tcW w:w="1263" w:type="pct"/>
                  <w:tcBorders>
                    <w:tl2br w:val="nil"/>
                    <w:tr2bl w:val="nil"/>
                  </w:tcBorders>
                  <w:vAlign w:val="center"/>
                </w:tcPr>
                <w:p w14:paraId="298BEC1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w:t>
                  </w:r>
                  <w:r>
                    <w:rPr>
                      <w:rFonts w:hint="default" w:ascii="Times New Roman" w:hAnsi="Times New Roman" w:eastAsia="宋体" w:cs="Times New Roman"/>
                      <w:color w:val="auto"/>
                      <w:sz w:val="21"/>
                      <w:szCs w:val="21"/>
                      <w:highlight w:val="none"/>
                      <w:vertAlign w:val="baseline"/>
                      <w:lang w:val="en-US" w:eastAsia="zh-CN"/>
                    </w:rPr>
                    <w:t>105°14'48.34</w:t>
                  </w:r>
                  <w:r>
                    <w:rPr>
                      <w:rFonts w:hint="eastAsia" w:cs="Times New Roman"/>
                      <w:color w:val="auto"/>
                      <w:sz w:val="21"/>
                      <w:szCs w:val="21"/>
                      <w:highlight w:val="none"/>
                      <w:vertAlign w:val="baseline"/>
                      <w:lang w:val="en-US" w:eastAsia="zh-CN"/>
                    </w:rPr>
                    <w:t>1</w:t>
                  </w:r>
                  <w:r>
                    <w:rPr>
                      <w:rFonts w:hint="default" w:ascii="Times New Roman" w:hAnsi="Times New Roman" w:eastAsia="宋体" w:cs="Times New Roman"/>
                      <w:color w:val="auto"/>
                      <w:sz w:val="21"/>
                      <w:szCs w:val="21"/>
                      <w:highlight w:val="none"/>
                      <w:vertAlign w:val="baseline"/>
                      <w:lang w:val="en-US" w:eastAsia="zh-CN"/>
                    </w:rPr>
                    <w:t>"</w:t>
                  </w:r>
                </w:p>
                <w:p w14:paraId="008EBE2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N：</w:t>
                  </w:r>
                  <w:r>
                    <w:rPr>
                      <w:rFonts w:hint="default" w:ascii="Times New Roman" w:hAnsi="Times New Roman" w:eastAsia="宋体" w:cs="Times New Roman"/>
                      <w:color w:val="auto"/>
                      <w:sz w:val="21"/>
                      <w:szCs w:val="21"/>
                      <w:highlight w:val="none"/>
                      <w:vertAlign w:val="baseline"/>
                      <w:lang w:val="en-US" w:eastAsia="zh-CN"/>
                    </w:rPr>
                    <w:t>36°53'53.188"</w:t>
                  </w:r>
                </w:p>
              </w:tc>
            </w:tr>
            <w:tr w14:paraId="41DBD6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274" w:type="pct"/>
                  <w:vMerge w:val="continue"/>
                  <w:tcBorders>
                    <w:tl2br w:val="nil"/>
                    <w:tr2bl w:val="nil"/>
                  </w:tcBorders>
                  <w:vAlign w:val="center"/>
                </w:tcPr>
                <w:p w14:paraId="273BB3B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55" w:type="pct"/>
                  <w:vMerge w:val="continue"/>
                  <w:tcBorders>
                    <w:tl2br w:val="nil"/>
                    <w:tr2bl w:val="nil"/>
                  </w:tcBorders>
                  <w:vAlign w:val="center"/>
                </w:tcPr>
                <w:p w14:paraId="4CF4D22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755" w:type="pct"/>
                  <w:gridSpan w:val="2"/>
                  <w:tcBorders>
                    <w:tl2br w:val="nil"/>
                    <w:tr2bl w:val="nil"/>
                  </w:tcBorders>
                  <w:vAlign w:val="center"/>
                </w:tcPr>
                <w:p w14:paraId="35D769D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GY4+800</w:t>
                  </w:r>
                  <w:r>
                    <w:rPr>
                      <w:rFonts w:hint="eastAsia" w:cs="Times New Roman"/>
                      <w:color w:val="auto"/>
                      <w:sz w:val="21"/>
                      <w:szCs w:val="21"/>
                      <w:highlight w:val="none"/>
                      <w:vertAlign w:val="baseline"/>
                      <w:lang w:val="en-US" w:eastAsia="zh-CN"/>
                    </w:rPr>
                    <w:t>~G</w:t>
                  </w:r>
                  <w:r>
                    <w:rPr>
                      <w:rFonts w:hint="default" w:ascii="Times New Roman" w:hAnsi="Times New Roman" w:eastAsia="宋体" w:cs="Times New Roman"/>
                      <w:color w:val="auto"/>
                      <w:sz w:val="21"/>
                      <w:szCs w:val="21"/>
                      <w:highlight w:val="none"/>
                      <w:vertAlign w:val="baseline"/>
                      <w:lang w:val="en-US" w:eastAsia="zh-CN"/>
                    </w:rPr>
                    <w:t>Y5+800</w:t>
                  </w:r>
                </w:p>
              </w:tc>
              <w:tc>
                <w:tcPr>
                  <w:tcW w:w="1251" w:type="pct"/>
                  <w:tcBorders>
                    <w:tl2br w:val="nil"/>
                    <w:tr2bl w:val="nil"/>
                  </w:tcBorders>
                  <w:vAlign w:val="center"/>
                </w:tcPr>
                <w:p w14:paraId="77CE60D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w:t>
                  </w:r>
                  <w:r>
                    <w:rPr>
                      <w:rFonts w:hint="default" w:ascii="Times New Roman" w:hAnsi="Times New Roman" w:eastAsia="宋体" w:cs="Times New Roman"/>
                      <w:color w:val="auto"/>
                      <w:sz w:val="21"/>
                      <w:szCs w:val="21"/>
                      <w:highlight w:val="none"/>
                      <w:vertAlign w:val="baseline"/>
                      <w:lang w:val="en-US" w:eastAsia="zh-CN"/>
                    </w:rPr>
                    <w:t>105°15'32.120"</w:t>
                  </w:r>
                </w:p>
                <w:p w14:paraId="4D2BCEC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N：</w:t>
                  </w:r>
                  <w:r>
                    <w:rPr>
                      <w:rFonts w:hint="default" w:ascii="Times New Roman" w:hAnsi="Times New Roman" w:eastAsia="宋体" w:cs="Times New Roman"/>
                      <w:color w:val="auto"/>
                      <w:sz w:val="21"/>
                      <w:szCs w:val="21"/>
                      <w:highlight w:val="none"/>
                      <w:vertAlign w:val="baseline"/>
                      <w:lang w:val="en-US" w:eastAsia="zh-CN"/>
                    </w:rPr>
                    <w:t>36°55'44.655"</w:t>
                  </w:r>
                </w:p>
              </w:tc>
              <w:tc>
                <w:tcPr>
                  <w:tcW w:w="1263" w:type="pct"/>
                  <w:tcBorders>
                    <w:tl2br w:val="nil"/>
                    <w:tr2bl w:val="nil"/>
                  </w:tcBorders>
                  <w:vAlign w:val="center"/>
                </w:tcPr>
                <w:p w14:paraId="449F493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w:t>
                  </w:r>
                  <w:r>
                    <w:rPr>
                      <w:rFonts w:hint="default" w:ascii="Times New Roman" w:hAnsi="Times New Roman" w:eastAsia="宋体" w:cs="Times New Roman"/>
                      <w:color w:val="auto"/>
                      <w:sz w:val="21"/>
                      <w:szCs w:val="21"/>
                      <w:highlight w:val="none"/>
                      <w:vertAlign w:val="baseline"/>
                      <w:lang w:val="en-US" w:eastAsia="zh-CN"/>
                    </w:rPr>
                    <w:t>105°15'46.155"</w:t>
                  </w:r>
                </w:p>
                <w:p w14:paraId="6D0FB65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N：</w:t>
                  </w:r>
                  <w:r>
                    <w:rPr>
                      <w:rFonts w:hint="default" w:ascii="Times New Roman" w:hAnsi="Times New Roman" w:eastAsia="宋体" w:cs="Times New Roman"/>
                      <w:color w:val="auto"/>
                      <w:sz w:val="21"/>
                      <w:szCs w:val="21"/>
                      <w:highlight w:val="none"/>
                      <w:vertAlign w:val="baseline"/>
                      <w:lang w:val="en-US" w:eastAsia="zh-CN"/>
                    </w:rPr>
                    <w:t>36°56'18.065"</w:t>
                  </w:r>
                </w:p>
              </w:tc>
            </w:tr>
            <w:tr w14:paraId="1C3879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4" w:type="pct"/>
                  <w:vMerge w:val="continue"/>
                  <w:tcBorders>
                    <w:tl2br w:val="nil"/>
                    <w:tr2bl w:val="nil"/>
                  </w:tcBorders>
                  <w:vAlign w:val="center"/>
                </w:tcPr>
                <w:p w14:paraId="301E3FF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55" w:type="pct"/>
                  <w:vMerge w:val="continue"/>
                  <w:tcBorders>
                    <w:tl2br w:val="nil"/>
                    <w:tr2bl w:val="nil"/>
                  </w:tcBorders>
                  <w:vAlign w:val="center"/>
                </w:tcPr>
                <w:p w14:paraId="5F29912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755" w:type="pct"/>
                  <w:gridSpan w:val="2"/>
                  <w:tcBorders>
                    <w:tl2br w:val="nil"/>
                    <w:tr2bl w:val="nil"/>
                  </w:tcBorders>
                  <w:vAlign w:val="center"/>
                </w:tcPr>
                <w:p w14:paraId="7AF2641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GY45+010~GY48+880</w:t>
                  </w:r>
                </w:p>
              </w:tc>
              <w:tc>
                <w:tcPr>
                  <w:tcW w:w="1251" w:type="pct"/>
                  <w:tcBorders>
                    <w:tl2br w:val="nil"/>
                    <w:tr2bl w:val="nil"/>
                  </w:tcBorders>
                  <w:vAlign w:val="center"/>
                </w:tcPr>
                <w:p w14:paraId="7A91FBA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w:t>
                  </w:r>
                  <w:r>
                    <w:rPr>
                      <w:rFonts w:hint="default" w:ascii="Times New Roman" w:hAnsi="Times New Roman" w:eastAsia="宋体" w:cs="Times New Roman"/>
                      <w:color w:val="auto"/>
                      <w:sz w:val="21"/>
                      <w:szCs w:val="21"/>
                      <w:highlight w:val="none"/>
                      <w:vertAlign w:val="baseline"/>
                      <w:lang w:val="en-US" w:eastAsia="zh-CN"/>
                    </w:rPr>
                    <w:t>104°54'58.217"</w:t>
                  </w:r>
                </w:p>
                <w:p w14:paraId="3FAB05A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N：</w:t>
                  </w:r>
                  <w:r>
                    <w:rPr>
                      <w:rFonts w:hint="default" w:ascii="Times New Roman" w:hAnsi="Times New Roman" w:eastAsia="宋体" w:cs="Times New Roman"/>
                      <w:color w:val="auto"/>
                      <w:sz w:val="21"/>
                      <w:szCs w:val="21"/>
                      <w:highlight w:val="none"/>
                      <w:vertAlign w:val="baseline"/>
                      <w:lang w:val="en-US" w:eastAsia="zh-CN"/>
                    </w:rPr>
                    <w:t>37°06'14.824"</w:t>
                  </w:r>
                </w:p>
              </w:tc>
              <w:tc>
                <w:tcPr>
                  <w:tcW w:w="1263" w:type="pct"/>
                  <w:tcBorders>
                    <w:tl2br w:val="nil"/>
                    <w:tr2bl w:val="nil"/>
                  </w:tcBorders>
                  <w:vAlign w:val="center"/>
                </w:tcPr>
                <w:p w14:paraId="72CBEA9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w:t>
                  </w:r>
                  <w:r>
                    <w:rPr>
                      <w:rFonts w:hint="default" w:ascii="Times New Roman" w:hAnsi="Times New Roman" w:eastAsia="宋体" w:cs="Times New Roman"/>
                      <w:color w:val="auto"/>
                      <w:sz w:val="21"/>
                      <w:szCs w:val="21"/>
                      <w:highlight w:val="none"/>
                      <w:vertAlign w:val="baseline"/>
                      <w:lang w:val="en-US" w:eastAsia="zh-CN"/>
                    </w:rPr>
                    <w:t>104°54'48.039"</w:t>
                  </w:r>
                </w:p>
                <w:p w14:paraId="26CCFB6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N：</w:t>
                  </w:r>
                  <w:r>
                    <w:rPr>
                      <w:rFonts w:hint="default" w:ascii="Times New Roman" w:hAnsi="Times New Roman" w:eastAsia="宋体" w:cs="Times New Roman"/>
                      <w:color w:val="auto"/>
                      <w:sz w:val="21"/>
                      <w:szCs w:val="21"/>
                      <w:highlight w:val="none"/>
                      <w:vertAlign w:val="baseline"/>
                      <w:lang w:val="en-US" w:eastAsia="zh-CN"/>
                    </w:rPr>
                    <w:t>37°07'10.983"</w:t>
                  </w:r>
                </w:p>
              </w:tc>
            </w:tr>
            <w:tr w14:paraId="043E16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4" w:type="pct"/>
                  <w:vMerge w:val="restart"/>
                  <w:tcBorders>
                    <w:tl2br w:val="nil"/>
                    <w:tr2bl w:val="nil"/>
                  </w:tcBorders>
                  <w:vAlign w:val="center"/>
                </w:tcPr>
                <w:p w14:paraId="7C65EB5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w:t>
                  </w:r>
                </w:p>
              </w:tc>
              <w:tc>
                <w:tcPr>
                  <w:tcW w:w="455" w:type="pct"/>
                  <w:vMerge w:val="restart"/>
                  <w:tcBorders>
                    <w:tl2br w:val="nil"/>
                    <w:tr2bl w:val="nil"/>
                  </w:tcBorders>
                  <w:vAlign w:val="center"/>
                </w:tcPr>
                <w:p w14:paraId="2FD2B72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边坡砌护</w:t>
                  </w:r>
                </w:p>
              </w:tc>
              <w:tc>
                <w:tcPr>
                  <w:tcW w:w="1755" w:type="pct"/>
                  <w:gridSpan w:val="2"/>
                  <w:tcBorders>
                    <w:tl2br w:val="nil"/>
                    <w:tr2bl w:val="nil"/>
                  </w:tcBorders>
                  <w:vAlign w:val="center"/>
                </w:tcPr>
                <w:p w14:paraId="5C5A13E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上游段</w:t>
                  </w:r>
                </w:p>
                <w:p w14:paraId="63A393B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（GY2+000~GY3+000、GY3+200~GY3+600、GY4+400~GY5+340、GY6+840~GY8+240、GY8+500~GY8+900、GY10+400~GY10+800、GY11+200~GY11+600）</w:t>
                  </w:r>
                </w:p>
              </w:tc>
              <w:tc>
                <w:tcPr>
                  <w:tcW w:w="1251" w:type="pct"/>
                  <w:tcBorders>
                    <w:tl2br w:val="nil"/>
                    <w:tr2bl w:val="nil"/>
                  </w:tcBorders>
                  <w:vAlign w:val="center"/>
                </w:tcPr>
                <w:p w14:paraId="322F882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w:t>
                  </w:r>
                  <w:r>
                    <w:rPr>
                      <w:rFonts w:hint="default" w:ascii="Times New Roman" w:hAnsi="Times New Roman" w:eastAsia="宋体" w:cs="Times New Roman"/>
                      <w:color w:val="auto"/>
                      <w:sz w:val="21"/>
                      <w:szCs w:val="21"/>
                      <w:highlight w:val="none"/>
                      <w:vertAlign w:val="baseline"/>
                      <w:lang w:val="en-US" w:eastAsia="zh-CN"/>
                    </w:rPr>
                    <w:t>105°15'16.624"</w:t>
                  </w:r>
                </w:p>
                <w:p w14:paraId="5729E1E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N：</w:t>
                  </w:r>
                  <w:r>
                    <w:rPr>
                      <w:rFonts w:hint="default" w:ascii="Times New Roman" w:hAnsi="Times New Roman" w:eastAsia="宋体" w:cs="Times New Roman"/>
                      <w:color w:val="auto"/>
                      <w:sz w:val="21"/>
                      <w:szCs w:val="21"/>
                      <w:highlight w:val="none"/>
                      <w:vertAlign w:val="baseline"/>
                      <w:lang w:val="en-US" w:eastAsia="zh-CN"/>
                    </w:rPr>
                    <w:t>36°55'18.513"</w:t>
                  </w:r>
                </w:p>
              </w:tc>
              <w:tc>
                <w:tcPr>
                  <w:tcW w:w="1263" w:type="pct"/>
                  <w:tcBorders>
                    <w:tl2br w:val="nil"/>
                    <w:tr2bl w:val="nil"/>
                  </w:tcBorders>
                  <w:vAlign w:val="center"/>
                </w:tcPr>
                <w:p w14:paraId="61C0EFA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w:t>
                  </w:r>
                  <w:r>
                    <w:rPr>
                      <w:rFonts w:hint="default" w:ascii="Times New Roman" w:hAnsi="Times New Roman" w:eastAsia="宋体" w:cs="Times New Roman"/>
                      <w:color w:val="auto"/>
                      <w:sz w:val="21"/>
                      <w:szCs w:val="21"/>
                      <w:highlight w:val="none"/>
                      <w:vertAlign w:val="baseline"/>
                      <w:lang w:val="en-US" w:eastAsia="zh-CN"/>
                    </w:rPr>
                    <w:t>105°15'36.913"</w:t>
                  </w:r>
                </w:p>
                <w:p w14:paraId="1F7E029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N：</w:t>
                  </w:r>
                  <w:r>
                    <w:rPr>
                      <w:rFonts w:hint="default" w:ascii="Times New Roman" w:hAnsi="Times New Roman" w:eastAsia="宋体" w:cs="Times New Roman"/>
                      <w:color w:val="auto"/>
                      <w:sz w:val="21"/>
                      <w:szCs w:val="21"/>
                      <w:highlight w:val="none"/>
                      <w:vertAlign w:val="baseline"/>
                      <w:lang w:val="en-US" w:eastAsia="zh-CN"/>
                    </w:rPr>
                    <w:t>36°56'00.90</w:t>
                  </w:r>
                  <w:r>
                    <w:rPr>
                      <w:rFonts w:hint="eastAsia" w:cs="Times New Roman"/>
                      <w:color w:val="auto"/>
                      <w:sz w:val="21"/>
                      <w:szCs w:val="21"/>
                      <w:highlight w:val="none"/>
                      <w:vertAlign w:val="baseline"/>
                      <w:lang w:val="en-US" w:eastAsia="zh-CN"/>
                    </w:rPr>
                    <w:t>1</w:t>
                  </w:r>
                  <w:r>
                    <w:rPr>
                      <w:rFonts w:hint="default" w:ascii="Times New Roman" w:hAnsi="Times New Roman" w:eastAsia="宋体" w:cs="Times New Roman"/>
                      <w:color w:val="auto"/>
                      <w:sz w:val="21"/>
                      <w:szCs w:val="21"/>
                      <w:highlight w:val="none"/>
                      <w:vertAlign w:val="baseline"/>
                      <w:lang w:val="en-US" w:eastAsia="zh-CN"/>
                    </w:rPr>
                    <w:t>"</w:t>
                  </w:r>
                </w:p>
              </w:tc>
            </w:tr>
            <w:tr w14:paraId="50B342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4" w:type="pct"/>
                  <w:vMerge w:val="continue"/>
                  <w:tcBorders>
                    <w:tl2br w:val="nil"/>
                    <w:tr2bl w:val="nil"/>
                  </w:tcBorders>
                  <w:vAlign w:val="center"/>
                </w:tcPr>
                <w:p w14:paraId="7411664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55" w:type="pct"/>
                  <w:vMerge w:val="continue"/>
                  <w:tcBorders>
                    <w:tl2br w:val="nil"/>
                    <w:tr2bl w:val="nil"/>
                  </w:tcBorders>
                  <w:vAlign w:val="center"/>
                </w:tcPr>
                <w:p w14:paraId="79F10C4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755" w:type="pct"/>
                  <w:gridSpan w:val="2"/>
                  <w:tcBorders>
                    <w:tl2br w:val="nil"/>
                    <w:tr2bl w:val="nil"/>
                  </w:tcBorders>
                  <w:vAlign w:val="center"/>
                </w:tcPr>
                <w:p w14:paraId="170BB77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下游段</w:t>
                  </w:r>
                </w:p>
                <w:p w14:paraId="123DA25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r>
                    <w:rPr>
                      <w:rFonts w:hint="default" w:cs="Times New Roman"/>
                      <w:color w:val="auto"/>
                      <w:sz w:val="21"/>
                      <w:szCs w:val="21"/>
                      <w:highlight w:val="none"/>
                      <w:vertAlign w:val="baseline"/>
                      <w:lang w:val="en-US" w:eastAsia="zh-CN"/>
                    </w:rPr>
                    <w:t>GY45+000</w:t>
                  </w:r>
                  <w:r>
                    <w:rPr>
                      <w:rFonts w:hint="eastAsia" w:cs="Times New Roman"/>
                      <w:color w:val="auto"/>
                      <w:sz w:val="21"/>
                      <w:szCs w:val="21"/>
                      <w:highlight w:val="none"/>
                      <w:vertAlign w:val="baseline"/>
                      <w:lang w:val="en-US" w:eastAsia="zh-CN"/>
                    </w:rPr>
                    <w:t>~G</w:t>
                  </w:r>
                  <w:r>
                    <w:rPr>
                      <w:rFonts w:hint="default" w:cs="Times New Roman"/>
                      <w:color w:val="auto"/>
                      <w:sz w:val="21"/>
                      <w:szCs w:val="21"/>
                      <w:highlight w:val="none"/>
                      <w:vertAlign w:val="baseline"/>
                      <w:lang w:val="en-US" w:eastAsia="zh-CN"/>
                    </w:rPr>
                    <w:t>Y45+600、GY45+800</w:t>
                  </w:r>
                  <w:r>
                    <w:rPr>
                      <w:rFonts w:hint="eastAsia" w:cs="Times New Roman"/>
                      <w:color w:val="auto"/>
                      <w:sz w:val="21"/>
                      <w:szCs w:val="21"/>
                      <w:highlight w:val="none"/>
                      <w:vertAlign w:val="baseline"/>
                      <w:lang w:val="en-US" w:eastAsia="zh-CN"/>
                    </w:rPr>
                    <w:t>~G</w:t>
                  </w:r>
                  <w:r>
                    <w:rPr>
                      <w:rFonts w:hint="default" w:cs="Times New Roman"/>
                      <w:color w:val="auto"/>
                      <w:sz w:val="21"/>
                      <w:szCs w:val="21"/>
                      <w:highlight w:val="none"/>
                      <w:vertAlign w:val="baseline"/>
                      <w:lang w:val="en-US" w:eastAsia="zh-CN"/>
                    </w:rPr>
                    <w:t>Y46+000、GY46+200</w:t>
                  </w:r>
                  <w:r>
                    <w:rPr>
                      <w:rFonts w:hint="eastAsia" w:cs="Times New Roman"/>
                      <w:color w:val="auto"/>
                      <w:sz w:val="21"/>
                      <w:szCs w:val="21"/>
                      <w:highlight w:val="none"/>
                      <w:vertAlign w:val="baseline"/>
                      <w:lang w:val="en-US" w:eastAsia="zh-CN"/>
                    </w:rPr>
                    <w:t>~G</w:t>
                  </w:r>
                  <w:r>
                    <w:rPr>
                      <w:rFonts w:hint="default" w:cs="Times New Roman"/>
                      <w:color w:val="auto"/>
                      <w:sz w:val="21"/>
                      <w:szCs w:val="21"/>
                      <w:highlight w:val="none"/>
                      <w:vertAlign w:val="baseline"/>
                      <w:lang w:val="en-US" w:eastAsia="zh-CN"/>
                    </w:rPr>
                    <w:t>Y49+400、GY49+400</w:t>
                  </w:r>
                  <w:r>
                    <w:rPr>
                      <w:rFonts w:hint="eastAsia" w:cs="Times New Roman"/>
                      <w:color w:val="auto"/>
                      <w:sz w:val="21"/>
                      <w:szCs w:val="21"/>
                      <w:highlight w:val="none"/>
                      <w:vertAlign w:val="baseline"/>
                      <w:lang w:val="en-US" w:eastAsia="zh-CN"/>
                    </w:rPr>
                    <w:t>~G</w:t>
                  </w:r>
                  <w:r>
                    <w:rPr>
                      <w:rFonts w:hint="default" w:cs="Times New Roman"/>
                      <w:color w:val="auto"/>
                      <w:sz w:val="21"/>
                      <w:szCs w:val="21"/>
                      <w:highlight w:val="none"/>
                      <w:vertAlign w:val="baseline"/>
                      <w:lang w:val="en-US" w:eastAsia="zh-CN"/>
                    </w:rPr>
                    <w:t>Y54+200、GY54+500</w:t>
                  </w:r>
                  <w:r>
                    <w:rPr>
                      <w:rFonts w:hint="eastAsia" w:cs="Times New Roman"/>
                      <w:color w:val="auto"/>
                      <w:sz w:val="21"/>
                      <w:szCs w:val="21"/>
                      <w:highlight w:val="none"/>
                      <w:vertAlign w:val="baseline"/>
                      <w:lang w:val="en-US" w:eastAsia="zh-CN"/>
                    </w:rPr>
                    <w:t>~G</w:t>
                  </w:r>
                  <w:r>
                    <w:rPr>
                      <w:rFonts w:hint="default" w:cs="Times New Roman"/>
                      <w:color w:val="auto"/>
                      <w:sz w:val="21"/>
                      <w:szCs w:val="21"/>
                      <w:highlight w:val="none"/>
                      <w:vertAlign w:val="baseline"/>
                      <w:lang w:val="en-US" w:eastAsia="zh-CN"/>
                    </w:rPr>
                    <w:t>Y55+200、GY55+600</w:t>
                  </w:r>
                  <w:r>
                    <w:rPr>
                      <w:rFonts w:hint="eastAsia" w:cs="Times New Roman"/>
                      <w:color w:val="auto"/>
                      <w:sz w:val="21"/>
                      <w:szCs w:val="21"/>
                      <w:highlight w:val="none"/>
                      <w:vertAlign w:val="baseline"/>
                      <w:lang w:val="en-US" w:eastAsia="zh-CN"/>
                    </w:rPr>
                    <w:t>~G</w:t>
                  </w:r>
                  <w:r>
                    <w:rPr>
                      <w:rFonts w:hint="default" w:cs="Times New Roman"/>
                      <w:color w:val="auto"/>
                      <w:sz w:val="21"/>
                      <w:szCs w:val="21"/>
                      <w:highlight w:val="none"/>
                      <w:vertAlign w:val="baseline"/>
                      <w:lang w:val="en-US" w:eastAsia="zh-CN"/>
                    </w:rPr>
                    <w:t>Y57+600、GY58+400</w:t>
                  </w:r>
                  <w:r>
                    <w:rPr>
                      <w:rFonts w:hint="eastAsia" w:cs="Times New Roman"/>
                      <w:color w:val="auto"/>
                      <w:sz w:val="21"/>
                      <w:szCs w:val="21"/>
                      <w:highlight w:val="none"/>
                      <w:vertAlign w:val="baseline"/>
                      <w:lang w:val="en-US" w:eastAsia="zh-CN"/>
                    </w:rPr>
                    <w:t>~G</w:t>
                  </w:r>
                  <w:r>
                    <w:rPr>
                      <w:rFonts w:hint="default" w:cs="Times New Roman"/>
                      <w:color w:val="auto"/>
                      <w:sz w:val="21"/>
                      <w:szCs w:val="21"/>
                      <w:highlight w:val="none"/>
                      <w:vertAlign w:val="baseline"/>
                      <w:lang w:val="en-US" w:eastAsia="zh-CN"/>
                    </w:rPr>
                    <w:t>Y58+800、GY59+100</w:t>
                  </w:r>
                  <w:r>
                    <w:rPr>
                      <w:rFonts w:hint="eastAsia" w:cs="Times New Roman"/>
                      <w:color w:val="auto"/>
                      <w:sz w:val="21"/>
                      <w:szCs w:val="21"/>
                      <w:highlight w:val="none"/>
                      <w:vertAlign w:val="baseline"/>
                      <w:lang w:val="en-US" w:eastAsia="zh-CN"/>
                    </w:rPr>
                    <w:t>~G</w:t>
                  </w:r>
                  <w:r>
                    <w:rPr>
                      <w:rFonts w:hint="default" w:cs="Times New Roman"/>
                      <w:color w:val="auto"/>
                      <w:sz w:val="21"/>
                      <w:szCs w:val="21"/>
                      <w:highlight w:val="none"/>
                      <w:vertAlign w:val="baseline"/>
                      <w:lang w:val="en-US" w:eastAsia="zh-CN"/>
                    </w:rPr>
                    <w:t>Y65+210</w:t>
                  </w:r>
                  <w:r>
                    <w:rPr>
                      <w:rFonts w:hint="eastAsia" w:cs="Times New Roman"/>
                      <w:color w:val="auto"/>
                      <w:sz w:val="21"/>
                      <w:szCs w:val="21"/>
                      <w:highlight w:val="none"/>
                      <w:vertAlign w:val="baseline"/>
                      <w:lang w:val="en-US" w:eastAsia="zh-CN"/>
                    </w:rPr>
                    <w:t>）</w:t>
                  </w:r>
                </w:p>
              </w:tc>
              <w:tc>
                <w:tcPr>
                  <w:tcW w:w="1251" w:type="pct"/>
                  <w:tcBorders>
                    <w:tl2br w:val="nil"/>
                    <w:tr2bl w:val="nil"/>
                  </w:tcBorders>
                  <w:vAlign w:val="center"/>
                </w:tcPr>
                <w:p w14:paraId="339D298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w:t>
                  </w:r>
                  <w:r>
                    <w:rPr>
                      <w:rFonts w:hint="default" w:ascii="Times New Roman" w:hAnsi="Times New Roman" w:eastAsia="宋体" w:cs="Times New Roman"/>
                      <w:color w:val="auto"/>
                      <w:sz w:val="21"/>
                      <w:szCs w:val="21"/>
                      <w:highlight w:val="none"/>
                      <w:vertAlign w:val="baseline"/>
                      <w:lang w:val="en-US" w:eastAsia="zh-CN"/>
                    </w:rPr>
                    <w:t>104°54'43.145"</w:t>
                  </w:r>
                </w:p>
                <w:p w14:paraId="3917D3A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N：</w:t>
                  </w:r>
                  <w:r>
                    <w:rPr>
                      <w:rFonts w:hint="default" w:ascii="Times New Roman" w:hAnsi="Times New Roman" w:eastAsia="宋体" w:cs="Times New Roman"/>
                      <w:color w:val="auto"/>
                      <w:sz w:val="21"/>
                      <w:szCs w:val="21"/>
                      <w:highlight w:val="none"/>
                      <w:vertAlign w:val="baseline"/>
                      <w:lang w:val="en-US" w:eastAsia="zh-CN"/>
                    </w:rPr>
                    <w:t>37°07'18.963"</w:t>
                  </w:r>
                </w:p>
              </w:tc>
              <w:tc>
                <w:tcPr>
                  <w:tcW w:w="1263" w:type="pct"/>
                  <w:tcBorders>
                    <w:tl2br w:val="nil"/>
                    <w:tr2bl w:val="nil"/>
                  </w:tcBorders>
                  <w:vAlign w:val="center"/>
                </w:tcPr>
                <w:p w14:paraId="7CA6D6B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w:t>
                  </w:r>
                  <w:r>
                    <w:rPr>
                      <w:rFonts w:hint="default" w:ascii="Times New Roman" w:hAnsi="Times New Roman" w:eastAsia="宋体" w:cs="Times New Roman"/>
                      <w:color w:val="auto"/>
                      <w:sz w:val="21"/>
                      <w:szCs w:val="21"/>
                      <w:highlight w:val="none"/>
                      <w:vertAlign w:val="baseline"/>
                      <w:lang w:val="en-US" w:eastAsia="zh-CN"/>
                    </w:rPr>
                    <w:t>104°51'22.559"</w:t>
                  </w:r>
                </w:p>
                <w:p w14:paraId="34FF712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N：</w:t>
                  </w:r>
                  <w:r>
                    <w:rPr>
                      <w:rFonts w:hint="default" w:ascii="Times New Roman" w:hAnsi="Times New Roman" w:eastAsia="宋体" w:cs="Times New Roman"/>
                      <w:color w:val="auto"/>
                      <w:sz w:val="21"/>
                      <w:szCs w:val="21"/>
                      <w:highlight w:val="none"/>
                      <w:vertAlign w:val="baseline"/>
                      <w:lang w:val="en-US" w:eastAsia="zh-CN"/>
                    </w:rPr>
                    <w:t>37°12'27.809"</w:t>
                  </w:r>
                </w:p>
              </w:tc>
            </w:tr>
            <w:tr w14:paraId="4B3F44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4" w:type="pct"/>
                  <w:tcBorders>
                    <w:tl2br w:val="nil"/>
                    <w:tr2bl w:val="nil"/>
                  </w:tcBorders>
                  <w:vAlign w:val="center"/>
                </w:tcPr>
                <w:p w14:paraId="088EA8E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w:t>
                  </w:r>
                </w:p>
              </w:tc>
              <w:tc>
                <w:tcPr>
                  <w:tcW w:w="455" w:type="pct"/>
                  <w:tcBorders>
                    <w:tl2br w:val="nil"/>
                    <w:tr2bl w:val="nil"/>
                  </w:tcBorders>
                  <w:vAlign w:val="center"/>
                </w:tcPr>
                <w:p w14:paraId="2D360DF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巡护道路</w:t>
                  </w:r>
                </w:p>
              </w:tc>
              <w:tc>
                <w:tcPr>
                  <w:tcW w:w="1755" w:type="pct"/>
                  <w:gridSpan w:val="2"/>
                  <w:tcBorders>
                    <w:tl2br w:val="nil"/>
                    <w:tr2bl w:val="nil"/>
                  </w:tcBorders>
                  <w:vAlign w:val="center"/>
                </w:tcPr>
                <w:p w14:paraId="35A40F6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 xml:space="preserve">GY43+600 </w:t>
                  </w:r>
                  <w:r>
                    <w:rPr>
                      <w:rFonts w:hint="eastAsia" w:cs="Times New Roman"/>
                      <w:color w:val="auto"/>
                      <w:sz w:val="21"/>
                      <w:szCs w:val="21"/>
                      <w:highlight w:val="none"/>
                      <w:vertAlign w:val="baseline"/>
                      <w:lang w:val="en-US" w:eastAsia="zh-CN"/>
                    </w:rPr>
                    <w:t>~G</w:t>
                  </w:r>
                  <w:r>
                    <w:rPr>
                      <w:rFonts w:hint="default" w:ascii="Times New Roman" w:hAnsi="Times New Roman" w:eastAsia="宋体" w:cs="Times New Roman"/>
                      <w:color w:val="auto"/>
                      <w:sz w:val="21"/>
                      <w:szCs w:val="21"/>
                      <w:highlight w:val="none"/>
                      <w:vertAlign w:val="baseline"/>
                      <w:lang w:val="en-US" w:eastAsia="zh-CN"/>
                    </w:rPr>
                    <w:t>Y65+990</w:t>
                  </w:r>
                </w:p>
              </w:tc>
              <w:tc>
                <w:tcPr>
                  <w:tcW w:w="1251" w:type="pct"/>
                  <w:tcBorders>
                    <w:tl2br w:val="nil"/>
                    <w:tr2bl w:val="nil"/>
                  </w:tcBorders>
                  <w:vAlign w:val="center"/>
                </w:tcPr>
                <w:p w14:paraId="37C3237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w:t>
                  </w:r>
                  <w:r>
                    <w:rPr>
                      <w:rFonts w:hint="default" w:ascii="Times New Roman" w:hAnsi="Times New Roman" w:eastAsia="宋体" w:cs="Times New Roman"/>
                      <w:color w:val="auto"/>
                      <w:sz w:val="21"/>
                      <w:szCs w:val="21"/>
                      <w:highlight w:val="none"/>
                      <w:vertAlign w:val="baseline"/>
                      <w:lang w:val="en-US" w:eastAsia="zh-CN"/>
                    </w:rPr>
                    <w:t>104°51'34.177"</w:t>
                  </w:r>
                </w:p>
                <w:p w14:paraId="556FE70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N：</w:t>
                  </w:r>
                  <w:r>
                    <w:rPr>
                      <w:rFonts w:hint="default" w:ascii="Times New Roman" w:hAnsi="Times New Roman" w:eastAsia="宋体" w:cs="Times New Roman"/>
                      <w:color w:val="auto"/>
                      <w:sz w:val="21"/>
                      <w:szCs w:val="21"/>
                      <w:highlight w:val="none"/>
                      <w:vertAlign w:val="baseline"/>
                      <w:lang w:val="en-US" w:eastAsia="zh-CN"/>
                    </w:rPr>
                    <w:t>37°12'44.472"</w:t>
                  </w:r>
                </w:p>
              </w:tc>
              <w:tc>
                <w:tcPr>
                  <w:tcW w:w="1263" w:type="pct"/>
                  <w:tcBorders>
                    <w:tl2br w:val="nil"/>
                    <w:tr2bl w:val="nil"/>
                  </w:tcBorders>
                  <w:vAlign w:val="center"/>
                </w:tcPr>
                <w:p w14:paraId="4DAB2C4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w:t>
                  </w:r>
                  <w:r>
                    <w:rPr>
                      <w:rFonts w:hint="default" w:ascii="Times New Roman" w:hAnsi="Times New Roman" w:eastAsia="宋体" w:cs="Times New Roman"/>
                      <w:color w:val="auto"/>
                      <w:sz w:val="21"/>
                      <w:szCs w:val="21"/>
                      <w:highlight w:val="none"/>
                      <w:vertAlign w:val="baseline"/>
                      <w:lang w:val="en-US" w:eastAsia="zh-CN"/>
                    </w:rPr>
                    <w:t>104°55'49.94</w:t>
                  </w:r>
                  <w:r>
                    <w:rPr>
                      <w:rFonts w:hint="eastAsia" w:cs="Times New Roman"/>
                      <w:color w:val="auto"/>
                      <w:sz w:val="21"/>
                      <w:szCs w:val="21"/>
                      <w:highlight w:val="none"/>
                      <w:vertAlign w:val="baseline"/>
                      <w:lang w:val="en-US" w:eastAsia="zh-CN"/>
                    </w:rPr>
                    <w:t>1</w:t>
                  </w:r>
                  <w:r>
                    <w:rPr>
                      <w:rFonts w:hint="default" w:ascii="Times New Roman" w:hAnsi="Times New Roman" w:eastAsia="宋体" w:cs="Times New Roman"/>
                      <w:color w:val="auto"/>
                      <w:sz w:val="21"/>
                      <w:szCs w:val="21"/>
                      <w:highlight w:val="none"/>
                      <w:vertAlign w:val="baseline"/>
                      <w:lang w:val="en-US" w:eastAsia="zh-CN"/>
                    </w:rPr>
                    <w:t>"</w:t>
                  </w:r>
                </w:p>
                <w:p w14:paraId="1C2BA07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N：</w:t>
                  </w:r>
                  <w:r>
                    <w:rPr>
                      <w:rFonts w:hint="default" w:ascii="Times New Roman" w:hAnsi="Times New Roman" w:eastAsia="宋体" w:cs="Times New Roman"/>
                      <w:color w:val="auto"/>
                      <w:sz w:val="21"/>
                      <w:szCs w:val="21"/>
                      <w:highlight w:val="none"/>
                      <w:vertAlign w:val="baseline"/>
                      <w:lang w:val="en-US" w:eastAsia="zh-CN"/>
                    </w:rPr>
                    <w:t>37°05'26.199"</w:t>
                  </w:r>
                </w:p>
              </w:tc>
            </w:tr>
            <w:tr w14:paraId="06F85D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274" w:type="pct"/>
                  <w:vMerge w:val="restart"/>
                  <w:tcBorders>
                    <w:tl2br w:val="nil"/>
                    <w:tr2bl w:val="nil"/>
                  </w:tcBorders>
                  <w:vAlign w:val="center"/>
                </w:tcPr>
                <w:p w14:paraId="252742E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w:t>
                  </w:r>
                </w:p>
              </w:tc>
              <w:tc>
                <w:tcPr>
                  <w:tcW w:w="455" w:type="pct"/>
                  <w:vMerge w:val="restart"/>
                  <w:tcBorders>
                    <w:tl2br w:val="nil"/>
                    <w:tr2bl w:val="nil"/>
                  </w:tcBorders>
                  <w:vAlign w:val="center"/>
                </w:tcPr>
                <w:p w14:paraId="7C5A6B7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视频监测系统</w:t>
                  </w:r>
                </w:p>
              </w:tc>
              <w:tc>
                <w:tcPr>
                  <w:tcW w:w="930" w:type="pct"/>
                  <w:vMerge w:val="restart"/>
                  <w:tcBorders>
                    <w:tl2br w:val="nil"/>
                    <w:tr2bl w:val="nil"/>
                  </w:tcBorders>
                  <w:vAlign w:val="center"/>
                </w:tcPr>
                <w:p w14:paraId="3D927E6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自动雨量站</w:t>
                  </w:r>
                </w:p>
              </w:tc>
              <w:tc>
                <w:tcPr>
                  <w:tcW w:w="824" w:type="pct"/>
                  <w:tcBorders>
                    <w:tl2br w:val="nil"/>
                    <w:tr2bl w:val="nil"/>
                  </w:tcBorders>
                  <w:vAlign w:val="center"/>
                </w:tcPr>
                <w:p w14:paraId="0B8D51A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w:t>
                  </w:r>
                </w:p>
              </w:tc>
              <w:tc>
                <w:tcPr>
                  <w:tcW w:w="2514" w:type="pct"/>
                  <w:gridSpan w:val="2"/>
                  <w:tcBorders>
                    <w:tl2br w:val="nil"/>
                    <w:tr2bl w:val="nil"/>
                  </w:tcBorders>
                  <w:vAlign w:val="center"/>
                </w:tcPr>
                <w:p w14:paraId="06AACB1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w:t>
                  </w:r>
                  <w:r>
                    <w:rPr>
                      <w:rFonts w:hint="default" w:ascii="Times New Roman" w:hAnsi="Times New Roman" w:eastAsia="宋体" w:cs="Times New Roman"/>
                      <w:color w:val="auto"/>
                      <w:sz w:val="21"/>
                      <w:szCs w:val="21"/>
                      <w:highlight w:val="none"/>
                      <w:vertAlign w:val="baseline"/>
                      <w:lang w:val="en-US" w:eastAsia="zh-CN"/>
                    </w:rPr>
                    <w:t>105°14'39.245"</w:t>
                  </w:r>
                  <w:r>
                    <w:rPr>
                      <w:rFonts w:hint="eastAsia" w:cs="Times New Roman"/>
                      <w:color w:val="auto"/>
                      <w:sz w:val="21"/>
                      <w:szCs w:val="21"/>
                      <w:highlight w:val="none"/>
                      <w:vertAlign w:val="baseline"/>
                      <w:lang w:val="en-US" w:eastAsia="zh-CN"/>
                    </w:rPr>
                    <w:t>，N：</w:t>
                  </w:r>
                  <w:r>
                    <w:rPr>
                      <w:rFonts w:hint="default" w:ascii="Times New Roman" w:hAnsi="Times New Roman" w:eastAsia="宋体" w:cs="Times New Roman"/>
                      <w:color w:val="auto"/>
                      <w:sz w:val="21"/>
                      <w:szCs w:val="21"/>
                      <w:highlight w:val="none"/>
                      <w:vertAlign w:val="baseline"/>
                      <w:lang w:val="en-US" w:eastAsia="zh-CN"/>
                    </w:rPr>
                    <w:t>36°53'20.996"</w:t>
                  </w:r>
                </w:p>
              </w:tc>
            </w:tr>
            <w:tr w14:paraId="3F72D1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274" w:type="pct"/>
                  <w:vMerge w:val="continue"/>
                  <w:tcBorders>
                    <w:tl2br w:val="nil"/>
                    <w:tr2bl w:val="nil"/>
                  </w:tcBorders>
                  <w:vAlign w:val="center"/>
                </w:tcPr>
                <w:p w14:paraId="594FF52F">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p>
              </w:tc>
              <w:tc>
                <w:tcPr>
                  <w:tcW w:w="455" w:type="pct"/>
                  <w:vMerge w:val="continue"/>
                  <w:tcBorders>
                    <w:tl2br w:val="nil"/>
                    <w:tr2bl w:val="nil"/>
                  </w:tcBorders>
                  <w:vAlign w:val="center"/>
                </w:tcPr>
                <w:p w14:paraId="0D9BEC76">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p>
              </w:tc>
              <w:tc>
                <w:tcPr>
                  <w:tcW w:w="930" w:type="pct"/>
                  <w:vMerge w:val="continue"/>
                  <w:tcBorders>
                    <w:tl2br w:val="nil"/>
                    <w:tr2bl w:val="nil"/>
                  </w:tcBorders>
                  <w:vAlign w:val="center"/>
                </w:tcPr>
                <w:p w14:paraId="619633B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824" w:type="pct"/>
                  <w:tcBorders>
                    <w:tl2br w:val="nil"/>
                    <w:tr2bl w:val="nil"/>
                  </w:tcBorders>
                  <w:vAlign w:val="center"/>
                </w:tcPr>
                <w:p w14:paraId="3A27FFC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w:t>
                  </w:r>
                </w:p>
              </w:tc>
              <w:tc>
                <w:tcPr>
                  <w:tcW w:w="2514" w:type="pct"/>
                  <w:gridSpan w:val="2"/>
                  <w:tcBorders>
                    <w:tl2br w:val="nil"/>
                    <w:tr2bl w:val="nil"/>
                  </w:tcBorders>
                  <w:vAlign w:val="center"/>
                </w:tcPr>
                <w:p w14:paraId="4D703A0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w:t>
                  </w:r>
                  <w:r>
                    <w:rPr>
                      <w:rFonts w:hint="default" w:ascii="Times New Roman" w:hAnsi="Times New Roman" w:eastAsia="宋体" w:cs="Times New Roman"/>
                      <w:color w:val="auto"/>
                      <w:sz w:val="21"/>
                      <w:szCs w:val="21"/>
                      <w:highlight w:val="none"/>
                      <w:vertAlign w:val="baseline"/>
                      <w:lang w:val="en-US" w:eastAsia="zh-CN"/>
                    </w:rPr>
                    <w:t>105°14'38.677"</w:t>
                  </w:r>
                  <w:r>
                    <w:rPr>
                      <w:rFonts w:hint="eastAsia" w:cs="Times New Roman"/>
                      <w:color w:val="auto"/>
                      <w:sz w:val="21"/>
                      <w:szCs w:val="21"/>
                      <w:highlight w:val="none"/>
                      <w:vertAlign w:val="baseline"/>
                      <w:lang w:val="en-US" w:eastAsia="zh-CN"/>
                    </w:rPr>
                    <w:t>，N：</w:t>
                  </w:r>
                  <w:r>
                    <w:rPr>
                      <w:rFonts w:hint="default" w:ascii="Times New Roman" w:hAnsi="Times New Roman" w:eastAsia="宋体" w:cs="Times New Roman"/>
                      <w:color w:val="auto"/>
                      <w:sz w:val="21"/>
                      <w:szCs w:val="21"/>
                      <w:highlight w:val="none"/>
                      <w:vertAlign w:val="baseline"/>
                      <w:lang w:val="en-US" w:eastAsia="zh-CN"/>
                    </w:rPr>
                    <w:t>36°57'22.458"</w:t>
                  </w:r>
                </w:p>
              </w:tc>
            </w:tr>
            <w:tr w14:paraId="6B1601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274" w:type="pct"/>
                  <w:vMerge w:val="continue"/>
                  <w:tcBorders>
                    <w:tl2br w:val="nil"/>
                    <w:tr2bl w:val="nil"/>
                  </w:tcBorders>
                  <w:vAlign w:val="center"/>
                </w:tcPr>
                <w:p w14:paraId="187A93A8">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p>
              </w:tc>
              <w:tc>
                <w:tcPr>
                  <w:tcW w:w="455" w:type="pct"/>
                  <w:vMerge w:val="continue"/>
                  <w:tcBorders>
                    <w:tl2br w:val="nil"/>
                    <w:tr2bl w:val="nil"/>
                  </w:tcBorders>
                  <w:vAlign w:val="center"/>
                </w:tcPr>
                <w:p w14:paraId="73838D01">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p>
              </w:tc>
              <w:tc>
                <w:tcPr>
                  <w:tcW w:w="930" w:type="pct"/>
                  <w:vMerge w:val="continue"/>
                  <w:tcBorders>
                    <w:tl2br w:val="nil"/>
                    <w:tr2bl w:val="nil"/>
                  </w:tcBorders>
                  <w:vAlign w:val="center"/>
                </w:tcPr>
                <w:p w14:paraId="3E32ACF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824" w:type="pct"/>
                  <w:tcBorders>
                    <w:tl2br w:val="nil"/>
                    <w:tr2bl w:val="nil"/>
                  </w:tcBorders>
                  <w:vAlign w:val="center"/>
                </w:tcPr>
                <w:p w14:paraId="2A787E9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w:t>
                  </w:r>
                </w:p>
              </w:tc>
              <w:tc>
                <w:tcPr>
                  <w:tcW w:w="2514" w:type="pct"/>
                  <w:gridSpan w:val="2"/>
                  <w:tcBorders>
                    <w:tl2br w:val="nil"/>
                    <w:tr2bl w:val="nil"/>
                  </w:tcBorders>
                  <w:vAlign w:val="center"/>
                </w:tcPr>
                <w:p w14:paraId="2DA4D38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w:t>
                  </w:r>
                  <w:r>
                    <w:rPr>
                      <w:rFonts w:hint="default" w:ascii="Times New Roman" w:hAnsi="Times New Roman" w:eastAsia="宋体" w:cs="Times New Roman"/>
                      <w:color w:val="auto"/>
                      <w:sz w:val="21"/>
                      <w:szCs w:val="21"/>
                      <w:highlight w:val="none"/>
                      <w:vertAlign w:val="baseline"/>
                      <w:lang w:val="en-US" w:eastAsia="zh-CN"/>
                    </w:rPr>
                    <w:t>105°13'05.927"</w:t>
                  </w:r>
                  <w:r>
                    <w:rPr>
                      <w:rFonts w:hint="eastAsia" w:cs="Times New Roman"/>
                      <w:color w:val="auto"/>
                      <w:sz w:val="21"/>
                      <w:szCs w:val="21"/>
                      <w:highlight w:val="none"/>
                      <w:vertAlign w:val="baseline"/>
                      <w:lang w:val="en-US" w:eastAsia="zh-CN"/>
                    </w:rPr>
                    <w:t>，N：</w:t>
                  </w:r>
                  <w:r>
                    <w:rPr>
                      <w:rFonts w:hint="default" w:ascii="Times New Roman" w:hAnsi="Times New Roman" w:eastAsia="宋体" w:cs="Times New Roman"/>
                      <w:color w:val="auto"/>
                      <w:sz w:val="21"/>
                      <w:szCs w:val="21"/>
                      <w:highlight w:val="none"/>
                      <w:vertAlign w:val="baseline"/>
                      <w:lang w:val="en-US" w:eastAsia="zh-CN"/>
                    </w:rPr>
                    <w:t>36°58'04.317"</w:t>
                  </w:r>
                </w:p>
              </w:tc>
            </w:tr>
            <w:tr w14:paraId="0F62DC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274" w:type="pct"/>
                  <w:vMerge w:val="continue"/>
                  <w:tcBorders>
                    <w:tl2br w:val="nil"/>
                    <w:tr2bl w:val="nil"/>
                  </w:tcBorders>
                  <w:vAlign w:val="center"/>
                </w:tcPr>
                <w:p w14:paraId="69D3243C">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p>
              </w:tc>
              <w:tc>
                <w:tcPr>
                  <w:tcW w:w="455" w:type="pct"/>
                  <w:vMerge w:val="continue"/>
                  <w:tcBorders>
                    <w:tl2br w:val="nil"/>
                    <w:tr2bl w:val="nil"/>
                  </w:tcBorders>
                  <w:vAlign w:val="center"/>
                </w:tcPr>
                <w:p w14:paraId="09D95B32">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p>
              </w:tc>
              <w:tc>
                <w:tcPr>
                  <w:tcW w:w="930" w:type="pct"/>
                  <w:vMerge w:val="continue"/>
                  <w:tcBorders>
                    <w:tl2br w:val="nil"/>
                    <w:tr2bl w:val="nil"/>
                  </w:tcBorders>
                  <w:vAlign w:val="center"/>
                </w:tcPr>
                <w:p w14:paraId="3334705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824" w:type="pct"/>
                  <w:tcBorders>
                    <w:tl2br w:val="nil"/>
                    <w:tr2bl w:val="nil"/>
                  </w:tcBorders>
                  <w:vAlign w:val="center"/>
                </w:tcPr>
                <w:p w14:paraId="16FE61C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w:t>
                  </w:r>
                </w:p>
              </w:tc>
              <w:tc>
                <w:tcPr>
                  <w:tcW w:w="2514" w:type="pct"/>
                  <w:gridSpan w:val="2"/>
                  <w:tcBorders>
                    <w:tl2br w:val="nil"/>
                    <w:tr2bl w:val="nil"/>
                  </w:tcBorders>
                  <w:vAlign w:val="center"/>
                </w:tcPr>
                <w:p w14:paraId="370BFB5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w:t>
                  </w:r>
                  <w:r>
                    <w:rPr>
                      <w:rFonts w:hint="default" w:ascii="Times New Roman" w:hAnsi="Times New Roman" w:eastAsia="宋体" w:cs="Times New Roman"/>
                      <w:color w:val="auto"/>
                      <w:sz w:val="21"/>
                      <w:szCs w:val="21"/>
                      <w:highlight w:val="none"/>
                      <w:vertAlign w:val="baseline"/>
                      <w:lang w:val="en-US" w:eastAsia="zh-CN"/>
                    </w:rPr>
                    <w:t>105°12'03.067"</w:t>
                  </w:r>
                  <w:r>
                    <w:rPr>
                      <w:rFonts w:hint="eastAsia" w:cs="Times New Roman"/>
                      <w:color w:val="auto"/>
                      <w:sz w:val="21"/>
                      <w:szCs w:val="21"/>
                      <w:highlight w:val="none"/>
                      <w:vertAlign w:val="baseline"/>
                      <w:lang w:val="en-US" w:eastAsia="zh-CN"/>
                    </w:rPr>
                    <w:t>，N：</w:t>
                  </w:r>
                  <w:r>
                    <w:rPr>
                      <w:rFonts w:hint="default" w:ascii="Times New Roman" w:hAnsi="Times New Roman" w:eastAsia="宋体" w:cs="Times New Roman"/>
                      <w:color w:val="auto"/>
                      <w:sz w:val="21"/>
                      <w:szCs w:val="21"/>
                      <w:highlight w:val="none"/>
                      <w:vertAlign w:val="baseline"/>
                      <w:lang w:val="en-US" w:eastAsia="zh-CN"/>
                    </w:rPr>
                    <w:t>36°58'34.866"</w:t>
                  </w:r>
                </w:p>
              </w:tc>
            </w:tr>
            <w:tr w14:paraId="1F834B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274" w:type="pct"/>
                  <w:vMerge w:val="continue"/>
                  <w:tcBorders>
                    <w:tl2br w:val="nil"/>
                    <w:tr2bl w:val="nil"/>
                  </w:tcBorders>
                  <w:vAlign w:val="center"/>
                </w:tcPr>
                <w:p w14:paraId="4E5BC16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55" w:type="pct"/>
                  <w:vMerge w:val="continue"/>
                  <w:tcBorders>
                    <w:tl2br w:val="nil"/>
                    <w:tr2bl w:val="nil"/>
                  </w:tcBorders>
                  <w:vAlign w:val="center"/>
                </w:tcPr>
                <w:p w14:paraId="09EC1A0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30" w:type="pct"/>
                  <w:vMerge w:val="continue"/>
                  <w:tcBorders>
                    <w:tl2br w:val="nil"/>
                    <w:tr2bl w:val="nil"/>
                  </w:tcBorders>
                  <w:vAlign w:val="center"/>
                </w:tcPr>
                <w:p w14:paraId="6B23125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824" w:type="pct"/>
                  <w:tcBorders>
                    <w:tl2br w:val="nil"/>
                    <w:tr2bl w:val="nil"/>
                  </w:tcBorders>
                  <w:vAlign w:val="center"/>
                </w:tcPr>
                <w:p w14:paraId="0437021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w:t>
                  </w:r>
                </w:p>
              </w:tc>
              <w:tc>
                <w:tcPr>
                  <w:tcW w:w="2514" w:type="pct"/>
                  <w:gridSpan w:val="2"/>
                  <w:tcBorders>
                    <w:tl2br w:val="nil"/>
                    <w:tr2bl w:val="nil"/>
                  </w:tcBorders>
                  <w:vAlign w:val="center"/>
                </w:tcPr>
                <w:p w14:paraId="39AABC6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w:t>
                  </w:r>
                  <w:r>
                    <w:rPr>
                      <w:rFonts w:hint="default" w:ascii="Times New Roman" w:hAnsi="Times New Roman" w:eastAsia="宋体" w:cs="Times New Roman"/>
                      <w:color w:val="auto"/>
                      <w:sz w:val="21"/>
                      <w:szCs w:val="21"/>
                      <w:highlight w:val="none"/>
                      <w:vertAlign w:val="baseline"/>
                      <w:lang w:val="en-US" w:eastAsia="zh-CN"/>
                    </w:rPr>
                    <w:t>104°53'55.200"</w:t>
                  </w:r>
                  <w:r>
                    <w:rPr>
                      <w:rFonts w:hint="eastAsia" w:cs="Times New Roman"/>
                      <w:color w:val="auto"/>
                      <w:sz w:val="21"/>
                      <w:szCs w:val="21"/>
                      <w:highlight w:val="none"/>
                      <w:vertAlign w:val="baseline"/>
                      <w:lang w:val="en-US" w:eastAsia="zh-CN"/>
                    </w:rPr>
                    <w:t>，N：</w:t>
                  </w:r>
                  <w:r>
                    <w:rPr>
                      <w:rFonts w:hint="default" w:ascii="Times New Roman" w:hAnsi="Times New Roman" w:eastAsia="宋体" w:cs="Times New Roman"/>
                      <w:color w:val="auto"/>
                      <w:sz w:val="21"/>
                      <w:szCs w:val="21"/>
                      <w:highlight w:val="none"/>
                      <w:vertAlign w:val="baseline"/>
                      <w:lang w:val="en-US" w:eastAsia="zh-CN"/>
                    </w:rPr>
                    <w:t>37°07'38.857"</w:t>
                  </w:r>
                </w:p>
              </w:tc>
            </w:tr>
            <w:tr w14:paraId="5F0A8A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274" w:type="pct"/>
                  <w:vMerge w:val="continue"/>
                  <w:tcBorders>
                    <w:tl2br w:val="nil"/>
                    <w:tr2bl w:val="nil"/>
                  </w:tcBorders>
                  <w:vAlign w:val="center"/>
                </w:tcPr>
                <w:p w14:paraId="2995A26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55" w:type="pct"/>
                  <w:vMerge w:val="continue"/>
                  <w:tcBorders>
                    <w:tl2br w:val="nil"/>
                    <w:tr2bl w:val="nil"/>
                  </w:tcBorders>
                  <w:vAlign w:val="center"/>
                </w:tcPr>
                <w:p w14:paraId="01BC036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30" w:type="pct"/>
                  <w:vMerge w:val="continue"/>
                  <w:tcBorders>
                    <w:tl2br w:val="nil"/>
                    <w:tr2bl w:val="nil"/>
                  </w:tcBorders>
                  <w:vAlign w:val="center"/>
                </w:tcPr>
                <w:p w14:paraId="70C0C08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824" w:type="pct"/>
                  <w:tcBorders>
                    <w:tl2br w:val="nil"/>
                    <w:tr2bl w:val="nil"/>
                  </w:tcBorders>
                  <w:vAlign w:val="center"/>
                </w:tcPr>
                <w:p w14:paraId="0ACAA63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6#</w:t>
                  </w:r>
                </w:p>
              </w:tc>
              <w:tc>
                <w:tcPr>
                  <w:tcW w:w="2514" w:type="pct"/>
                  <w:gridSpan w:val="2"/>
                  <w:tcBorders>
                    <w:tl2br w:val="nil"/>
                    <w:tr2bl w:val="nil"/>
                  </w:tcBorders>
                  <w:vAlign w:val="center"/>
                </w:tcPr>
                <w:p w14:paraId="5C4BF5B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w:t>
                  </w:r>
                  <w:r>
                    <w:rPr>
                      <w:rFonts w:hint="default" w:ascii="Times New Roman" w:hAnsi="Times New Roman" w:eastAsia="宋体" w:cs="Times New Roman"/>
                      <w:color w:val="auto"/>
                      <w:sz w:val="21"/>
                      <w:szCs w:val="21"/>
                      <w:highlight w:val="none"/>
                      <w:vertAlign w:val="baseline"/>
                      <w:lang w:val="en-US" w:eastAsia="zh-CN"/>
                    </w:rPr>
                    <w:t>104°53'22.758"</w:t>
                  </w:r>
                  <w:r>
                    <w:rPr>
                      <w:rFonts w:hint="eastAsia" w:cs="Times New Roman"/>
                      <w:color w:val="auto"/>
                      <w:sz w:val="21"/>
                      <w:szCs w:val="21"/>
                      <w:highlight w:val="none"/>
                      <w:vertAlign w:val="baseline"/>
                      <w:lang w:val="en-US" w:eastAsia="zh-CN"/>
                    </w:rPr>
                    <w:t>，N：</w:t>
                  </w:r>
                  <w:r>
                    <w:rPr>
                      <w:rFonts w:hint="default" w:ascii="Times New Roman" w:hAnsi="Times New Roman" w:eastAsia="宋体" w:cs="Times New Roman"/>
                      <w:color w:val="auto"/>
                      <w:sz w:val="21"/>
                      <w:szCs w:val="21"/>
                      <w:highlight w:val="none"/>
                      <w:vertAlign w:val="baseline"/>
                      <w:lang w:val="en-US" w:eastAsia="zh-CN"/>
                    </w:rPr>
                    <w:t>37°09'19.607"</w:t>
                  </w:r>
                </w:p>
              </w:tc>
            </w:tr>
            <w:tr w14:paraId="624232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274" w:type="pct"/>
                  <w:vMerge w:val="continue"/>
                  <w:tcBorders>
                    <w:tl2br w:val="nil"/>
                    <w:tr2bl w:val="nil"/>
                  </w:tcBorders>
                  <w:vAlign w:val="center"/>
                </w:tcPr>
                <w:p w14:paraId="7505A32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55" w:type="pct"/>
                  <w:vMerge w:val="continue"/>
                  <w:tcBorders>
                    <w:tl2br w:val="nil"/>
                    <w:tr2bl w:val="nil"/>
                  </w:tcBorders>
                  <w:vAlign w:val="center"/>
                </w:tcPr>
                <w:p w14:paraId="7D19F3E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30" w:type="pct"/>
                  <w:vMerge w:val="continue"/>
                  <w:tcBorders>
                    <w:tl2br w:val="nil"/>
                    <w:tr2bl w:val="nil"/>
                  </w:tcBorders>
                  <w:vAlign w:val="center"/>
                </w:tcPr>
                <w:p w14:paraId="4F7E1C1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824" w:type="pct"/>
                  <w:tcBorders>
                    <w:tl2br w:val="nil"/>
                    <w:tr2bl w:val="nil"/>
                  </w:tcBorders>
                  <w:vAlign w:val="center"/>
                </w:tcPr>
                <w:p w14:paraId="3040F98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7#</w:t>
                  </w:r>
                </w:p>
              </w:tc>
              <w:tc>
                <w:tcPr>
                  <w:tcW w:w="2514" w:type="pct"/>
                  <w:gridSpan w:val="2"/>
                  <w:tcBorders>
                    <w:tl2br w:val="nil"/>
                    <w:tr2bl w:val="nil"/>
                  </w:tcBorders>
                  <w:vAlign w:val="center"/>
                </w:tcPr>
                <w:p w14:paraId="41325A6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w:t>
                  </w:r>
                  <w:r>
                    <w:rPr>
                      <w:rFonts w:hint="default" w:ascii="Times New Roman" w:hAnsi="Times New Roman" w:eastAsia="宋体" w:cs="Times New Roman"/>
                      <w:color w:val="auto"/>
                      <w:sz w:val="21"/>
                      <w:szCs w:val="21"/>
                      <w:highlight w:val="none"/>
                      <w:vertAlign w:val="baseline"/>
                      <w:lang w:val="en-US" w:eastAsia="zh-CN"/>
                    </w:rPr>
                    <w:t>104°51'55.863"</w:t>
                  </w:r>
                  <w:r>
                    <w:rPr>
                      <w:rFonts w:hint="eastAsia" w:cs="Times New Roman"/>
                      <w:color w:val="auto"/>
                      <w:sz w:val="21"/>
                      <w:szCs w:val="21"/>
                      <w:highlight w:val="none"/>
                      <w:vertAlign w:val="baseline"/>
                      <w:lang w:val="en-US" w:eastAsia="zh-CN"/>
                    </w:rPr>
                    <w:t>，N：</w:t>
                  </w:r>
                  <w:r>
                    <w:rPr>
                      <w:rFonts w:hint="default" w:ascii="Times New Roman" w:hAnsi="Times New Roman" w:eastAsia="宋体" w:cs="Times New Roman"/>
                      <w:color w:val="auto"/>
                      <w:sz w:val="21"/>
                      <w:szCs w:val="21"/>
                      <w:highlight w:val="none"/>
                      <w:vertAlign w:val="baseline"/>
                      <w:lang w:val="en-US" w:eastAsia="zh-CN"/>
                    </w:rPr>
                    <w:t>37°10'38.832"</w:t>
                  </w:r>
                </w:p>
              </w:tc>
            </w:tr>
            <w:tr w14:paraId="6F6961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274" w:type="pct"/>
                  <w:vMerge w:val="continue"/>
                  <w:tcBorders>
                    <w:tl2br w:val="nil"/>
                    <w:tr2bl w:val="nil"/>
                  </w:tcBorders>
                  <w:vAlign w:val="center"/>
                </w:tcPr>
                <w:p w14:paraId="39C5B09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55" w:type="pct"/>
                  <w:vMerge w:val="continue"/>
                  <w:tcBorders>
                    <w:tl2br w:val="nil"/>
                    <w:tr2bl w:val="nil"/>
                  </w:tcBorders>
                  <w:vAlign w:val="center"/>
                </w:tcPr>
                <w:p w14:paraId="4E6119E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30" w:type="pct"/>
                  <w:vMerge w:val="continue"/>
                  <w:tcBorders>
                    <w:tl2br w:val="nil"/>
                    <w:tr2bl w:val="nil"/>
                  </w:tcBorders>
                  <w:vAlign w:val="center"/>
                </w:tcPr>
                <w:p w14:paraId="4A01DBB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824" w:type="pct"/>
                  <w:tcBorders>
                    <w:tl2br w:val="nil"/>
                    <w:tr2bl w:val="nil"/>
                  </w:tcBorders>
                  <w:vAlign w:val="center"/>
                </w:tcPr>
                <w:p w14:paraId="7E15EA4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8#</w:t>
                  </w:r>
                </w:p>
              </w:tc>
              <w:tc>
                <w:tcPr>
                  <w:tcW w:w="2514" w:type="pct"/>
                  <w:gridSpan w:val="2"/>
                  <w:tcBorders>
                    <w:tl2br w:val="nil"/>
                    <w:tr2bl w:val="nil"/>
                  </w:tcBorders>
                  <w:vAlign w:val="center"/>
                </w:tcPr>
                <w:p w14:paraId="74E8214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w:t>
                  </w:r>
                  <w:r>
                    <w:rPr>
                      <w:rFonts w:hint="default" w:ascii="Times New Roman" w:hAnsi="Times New Roman" w:eastAsia="宋体" w:cs="Times New Roman"/>
                      <w:color w:val="auto"/>
                      <w:sz w:val="21"/>
                      <w:szCs w:val="21"/>
                      <w:highlight w:val="none"/>
                      <w:vertAlign w:val="baseline"/>
                      <w:lang w:val="en-US" w:eastAsia="zh-CN"/>
                    </w:rPr>
                    <w:t>104°51'28.929"</w:t>
                  </w:r>
                  <w:r>
                    <w:rPr>
                      <w:rFonts w:hint="eastAsia" w:cs="Times New Roman"/>
                      <w:color w:val="auto"/>
                      <w:sz w:val="21"/>
                      <w:szCs w:val="21"/>
                      <w:highlight w:val="none"/>
                      <w:vertAlign w:val="baseline"/>
                      <w:lang w:val="en-US" w:eastAsia="zh-CN"/>
                    </w:rPr>
                    <w:t>，N：</w:t>
                  </w:r>
                  <w:r>
                    <w:rPr>
                      <w:rFonts w:hint="default" w:ascii="Times New Roman" w:hAnsi="Times New Roman" w:eastAsia="宋体" w:cs="Times New Roman"/>
                      <w:color w:val="auto"/>
                      <w:sz w:val="21"/>
                      <w:szCs w:val="21"/>
                      <w:highlight w:val="none"/>
                      <w:vertAlign w:val="baseline"/>
                      <w:lang w:val="en-US" w:eastAsia="zh-CN"/>
                    </w:rPr>
                    <w:t>37°12'42.383"</w:t>
                  </w:r>
                </w:p>
              </w:tc>
            </w:tr>
            <w:tr w14:paraId="51DC41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274" w:type="pct"/>
                  <w:vMerge w:val="continue"/>
                  <w:tcBorders>
                    <w:tl2br w:val="nil"/>
                    <w:tr2bl w:val="nil"/>
                  </w:tcBorders>
                  <w:vAlign w:val="center"/>
                </w:tcPr>
                <w:p w14:paraId="560466E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55" w:type="pct"/>
                  <w:vMerge w:val="continue"/>
                  <w:tcBorders>
                    <w:tl2br w:val="nil"/>
                    <w:tr2bl w:val="nil"/>
                  </w:tcBorders>
                  <w:vAlign w:val="center"/>
                </w:tcPr>
                <w:p w14:paraId="730046C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30" w:type="pct"/>
                  <w:vMerge w:val="restart"/>
                  <w:tcBorders>
                    <w:tl2br w:val="nil"/>
                    <w:tr2bl w:val="nil"/>
                  </w:tcBorders>
                  <w:vAlign w:val="center"/>
                </w:tcPr>
                <w:p w14:paraId="02EA806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水位监测站</w:t>
                  </w:r>
                </w:p>
              </w:tc>
              <w:tc>
                <w:tcPr>
                  <w:tcW w:w="824" w:type="pct"/>
                  <w:tcBorders>
                    <w:tl2br w:val="nil"/>
                    <w:tr2bl w:val="nil"/>
                  </w:tcBorders>
                  <w:vAlign w:val="center"/>
                </w:tcPr>
                <w:p w14:paraId="73D1761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w:t>
                  </w:r>
                </w:p>
              </w:tc>
              <w:tc>
                <w:tcPr>
                  <w:tcW w:w="2514" w:type="pct"/>
                  <w:gridSpan w:val="2"/>
                  <w:tcBorders>
                    <w:tl2br w:val="nil"/>
                    <w:tr2bl w:val="nil"/>
                  </w:tcBorders>
                  <w:vAlign w:val="center"/>
                </w:tcPr>
                <w:p w14:paraId="5037CD9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w:t>
                  </w:r>
                  <w:r>
                    <w:rPr>
                      <w:rFonts w:hint="default" w:ascii="Times New Roman" w:hAnsi="Times New Roman" w:eastAsia="宋体" w:cs="Times New Roman"/>
                      <w:color w:val="auto"/>
                      <w:sz w:val="21"/>
                      <w:szCs w:val="21"/>
                      <w:highlight w:val="none"/>
                      <w:vertAlign w:val="baseline"/>
                      <w:lang w:val="en-US" w:eastAsia="zh-CN"/>
                    </w:rPr>
                    <w:t>105°14'39.245"</w:t>
                  </w:r>
                  <w:r>
                    <w:rPr>
                      <w:rFonts w:hint="eastAsia" w:cs="Times New Roman"/>
                      <w:color w:val="auto"/>
                      <w:sz w:val="21"/>
                      <w:szCs w:val="21"/>
                      <w:highlight w:val="none"/>
                      <w:vertAlign w:val="baseline"/>
                      <w:lang w:val="en-US" w:eastAsia="zh-CN"/>
                    </w:rPr>
                    <w:t>，N：</w:t>
                  </w:r>
                  <w:r>
                    <w:rPr>
                      <w:rFonts w:hint="default" w:ascii="Times New Roman" w:hAnsi="Times New Roman" w:eastAsia="宋体" w:cs="Times New Roman"/>
                      <w:color w:val="auto"/>
                      <w:sz w:val="21"/>
                      <w:szCs w:val="21"/>
                      <w:highlight w:val="none"/>
                      <w:vertAlign w:val="baseline"/>
                      <w:lang w:val="en-US" w:eastAsia="zh-CN"/>
                    </w:rPr>
                    <w:t>36°53'20.996"</w:t>
                  </w:r>
                </w:p>
              </w:tc>
            </w:tr>
            <w:tr w14:paraId="1FA2EC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274" w:type="pct"/>
                  <w:vMerge w:val="continue"/>
                  <w:tcBorders>
                    <w:tl2br w:val="nil"/>
                    <w:tr2bl w:val="nil"/>
                  </w:tcBorders>
                  <w:vAlign w:val="center"/>
                </w:tcPr>
                <w:p w14:paraId="7F35111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55" w:type="pct"/>
                  <w:vMerge w:val="continue"/>
                  <w:tcBorders>
                    <w:tl2br w:val="nil"/>
                    <w:tr2bl w:val="nil"/>
                  </w:tcBorders>
                  <w:vAlign w:val="center"/>
                </w:tcPr>
                <w:p w14:paraId="77CA0DE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30" w:type="pct"/>
                  <w:vMerge w:val="continue"/>
                  <w:tcBorders>
                    <w:tl2br w:val="nil"/>
                    <w:tr2bl w:val="nil"/>
                  </w:tcBorders>
                  <w:vAlign w:val="center"/>
                </w:tcPr>
                <w:p w14:paraId="5BAC77A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824" w:type="pct"/>
                  <w:tcBorders>
                    <w:tl2br w:val="nil"/>
                    <w:tr2bl w:val="nil"/>
                  </w:tcBorders>
                  <w:vAlign w:val="center"/>
                </w:tcPr>
                <w:p w14:paraId="6DFD29C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w:t>
                  </w:r>
                </w:p>
              </w:tc>
              <w:tc>
                <w:tcPr>
                  <w:tcW w:w="2514" w:type="pct"/>
                  <w:gridSpan w:val="2"/>
                  <w:tcBorders>
                    <w:tl2br w:val="nil"/>
                    <w:tr2bl w:val="nil"/>
                  </w:tcBorders>
                  <w:vAlign w:val="center"/>
                </w:tcPr>
                <w:p w14:paraId="78557E7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w:t>
                  </w:r>
                  <w:r>
                    <w:rPr>
                      <w:rFonts w:hint="default" w:ascii="Times New Roman" w:hAnsi="Times New Roman" w:eastAsia="宋体" w:cs="Times New Roman"/>
                      <w:color w:val="auto"/>
                      <w:sz w:val="21"/>
                      <w:szCs w:val="21"/>
                      <w:highlight w:val="none"/>
                      <w:vertAlign w:val="baseline"/>
                      <w:lang w:val="en-US" w:eastAsia="zh-CN"/>
                    </w:rPr>
                    <w:t>105°15'45.995"</w:t>
                  </w:r>
                  <w:r>
                    <w:rPr>
                      <w:rFonts w:hint="eastAsia" w:cs="Times New Roman"/>
                      <w:color w:val="auto"/>
                      <w:sz w:val="21"/>
                      <w:szCs w:val="21"/>
                      <w:highlight w:val="none"/>
                      <w:vertAlign w:val="baseline"/>
                      <w:lang w:val="en-US" w:eastAsia="zh-CN"/>
                    </w:rPr>
                    <w:t>，N：</w:t>
                  </w:r>
                  <w:r>
                    <w:rPr>
                      <w:rFonts w:hint="default" w:ascii="Times New Roman" w:hAnsi="Times New Roman" w:eastAsia="宋体" w:cs="Times New Roman"/>
                      <w:color w:val="auto"/>
                      <w:sz w:val="21"/>
                      <w:szCs w:val="21"/>
                      <w:highlight w:val="none"/>
                      <w:vertAlign w:val="baseline"/>
                      <w:lang w:val="en-US" w:eastAsia="zh-CN"/>
                    </w:rPr>
                    <w:t>36°56'17.264"</w:t>
                  </w:r>
                </w:p>
              </w:tc>
            </w:tr>
            <w:tr w14:paraId="6F5C9B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274" w:type="pct"/>
                  <w:vMerge w:val="continue"/>
                  <w:tcBorders>
                    <w:tl2br w:val="nil"/>
                    <w:tr2bl w:val="nil"/>
                  </w:tcBorders>
                  <w:vAlign w:val="center"/>
                </w:tcPr>
                <w:p w14:paraId="6C64DE8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55" w:type="pct"/>
                  <w:vMerge w:val="continue"/>
                  <w:tcBorders>
                    <w:tl2br w:val="nil"/>
                    <w:tr2bl w:val="nil"/>
                  </w:tcBorders>
                  <w:vAlign w:val="center"/>
                </w:tcPr>
                <w:p w14:paraId="75FA826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30" w:type="pct"/>
                  <w:vMerge w:val="continue"/>
                  <w:tcBorders>
                    <w:tl2br w:val="nil"/>
                    <w:tr2bl w:val="nil"/>
                  </w:tcBorders>
                  <w:vAlign w:val="center"/>
                </w:tcPr>
                <w:p w14:paraId="2304EAD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824" w:type="pct"/>
                  <w:tcBorders>
                    <w:tl2br w:val="nil"/>
                    <w:tr2bl w:val="nil"/>
                  </w:tcBorders>
                  <w:vAlign w:val="center"/>
                </w:tcPr>
                <w:p w14:paraId="1D6E901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w:t>
                  </w:r>
                </w:p>
              </w:tc>
              <w:tc>
                <w:tcPr>
                  <w:tcW w:w="2514" w:type="pct"/>
                  <w:gridSpan w:val="2"/>
                  <w:tcBorders>
                    <w:tl2br w:val="nil"/>
                    <w:tr2bl w:val="nil"/>
                  </w:tcBorders>
                  <w:vAlign w:val="center"/>
                </w:tcPr>
                <w:p w14:paraId="7544C72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w:t>
                  </w:r>
                  <w:r>
                    <w:rPr>
                      <w:rFonts w:hint="default" w:ascii="Times New Roman" w:hAnsi="Times New Roman" w:eastAsia="宋体" w:cs="Times New Roman"/>
                      <w:color w:val="auto"/>
                      <w:sz w:val="21"/>
                      <w:szCs w:val="21"/>
                      <w:highlight w:val="none"/>
                      <w:vertAlign w:val="baseline"/>
                      <w:lang w:val="en-US" w:eastAsia="zh-CN"/>
                    </w:rPr>
                    <w:t>105°12'03.067"</w:t>
                  </w:r>
                  <w:r>
                    <w:rPr>
                      <w:rFonts w:hint="eastAsia" w:cs="Times New Roman"/>
                      <w:color w:val="auto"/>
                      <w:sz w:val="21"/>
                      <w:szCs w:val="21"/>
                      <w:highlight w:val="none"/>
                      <w:vertAlign w:val="baseline"/>
                      <w:lang w:val="en-US" w:eastAsia="zh-CN"/>
                    </w:rPr>
                    <w:t>，N：</w:t>
                  </w:r>
                  <w:r>
                    <w:rPr>
                      <w:rFonts w:hint="default" w:ascii="Times New Roman" w:hAnsi="Times New Roman" w:eastAsia="宋体" w:cs="Times New Roman"/>
                      <w:color w:val="auto"/>
                      <w:sz w:val="21"/>
                      <w:szCs w:val="21"/>
                      <w:highlight w:val="none"/>
                      <w:vertAlign w:val="baseline"/>
                      <w:lang w:val="en-US" w:eastAsia="zh-CN"/>
                    </w:rPr>
                    <w:t>36°58'34.866"</w:t>
                  </w:r>
                </w:p>
              </w:tc>
            </w:tr>
            <w:tr w14:paraId="3323E1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274" w:type="pct"/>
                  <w:vMerge w:val="continue"/>
                  <w:tcBorders>
                    <w:tl2br w:val="nil"/>
                    <w:tr2bl w:val="nil"/>
                  </w:tcBorders>
                  <w:vAlign w:val="center"/>
                </w:tcPr>
                <w:p w14:paraId="449B81C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55" w:type="pct"/>
                  <w:vMerge w:val="continue"/>
                  <w:tcBorders>
                    <w:tl2br w:val="nil"/>
                    <w:tr2bl w:val="nil"/>
                  </w:tcBorders>
                  <w:vAlign w:val="center"/>
                </w:tcPr>
                <w:p w14:paraId="56D9099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30" w:type="pct"/>
                  <w:vMerge w:val="continue"/>
                  <w:tcBorders>
                    <w:tl2br w:val="nil"/>
                    <w:tr2bl w:val="nil"/>
                  </w:tcBorders>
                  <w:vAlign w:val="center"/>
                </w:tcPr>
                <w:p w14:paraId="10C0411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824" w:type="pct"/>
                  <w:tcBorders>
                    <w:tl2br w:val="nil"/>
                    <w:tr2bl w:val="nil"/>
                  </w:tcBorders>
                  <w:vAlign w:val="center"/>
                </w:tcPr>
                <w:p w14:paraId="2CE91B6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w:t>
                  </w:r>
                </w:p>
              </w:tc>
              <w:tc>
                <w:tcPr>
                  <w:tcW w:w="2514" w:type="pct"/>
                  <w:gridSpan w:val="2"/>
                  <w:tcBorders>
                    <w:tl2br w:val="nil"/>
                    <w:tr2bl w:val="nil"/>
                  </w:tcBorders>
                  <w:vAlign w:val="center"/>
                </w:tcPr>
                <w:p w14:paraId="1B5EC02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w:t>
                  </w:r>
                  <w:r>
                    <w:rPr>
                      <w:rFonts w:hint="default" w:ascii="Times New Roman" w:hAnsi="Times New Roman" w:eastAsia="宋体" w:cs="Times New Roman"/>
                      <w:color w:val="auto"/>
                      <w:sz w:val="21"/>
                      <w:szCs w:val="21"/>
                      <w:highlight w:val="none"/>
                      <w:vertAlign w:val="baseline"/>
                      <w:lang w:val="en-US" w:eastAsia="zh-CN"/>
                    </w:rPr>
                    <w:t>104°53'55.200"</w:t>
                  </w:r>
                  <w:r>
                    <w:rPr>
                      <w:rFonts w:hint="eastAsia" w:cs="Times New Roman"/>
                      <w:color w:val="auto"/>
                      <w:sz w:val="21"/>
                      <w:szCs w:val="21"/>
                      <w:highlight w:val="none"/>
                      <w:vertAlign w:val="baseline"/>
                      <w:lang w:val="en-US" w:eastAsia="zh-CN"/>
                    </w:rPr>
                    <w:t>，N：</w:t>
                  </w:r>
                  <w:r>
                    <w:rPr>
                      <w:rFonts w:hint="default" w:ascii="Times New Roman" w:hAnsi="Times New Roman" w:eastAsia="宋体" w:cs="Times New Roman"/>
                      <w:color w:val="auto"/>
                      <w:sz w:val="21"/>
                      <w:szCs w:val="21"/>
                      <w:highlight w:val="none"/>
                      <w:vertAlign w:val="baseline"/>
                      <w:lang w:val="en-US" w:eastAsia="zh-CN"/>
                    </w:rPr>
                    <w:t>37°07'38.857"</w:t>
                  </w:r>
                </w:p>
              </w:tc>
            </w:tr>
            <w:tr w14:paraId="6D21BD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274" w:type="pct"/>
                  <w:vMerge w:val="continue"/>
                  <w:tcBorders>
                    <w:tl2br w:val="nil"/>
                    <w:tr2bl w:val="nil"/>
                  </w:tcBorders>
                  <w:vAlign w:val="center"/>
                </w:tcPr>
                <w:p w14:paraId="7310E0D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55" w:type="pct"/>
                  <w:vMerge w:val="continue"/>
                  <w:tcBorders>
                    <w:tl2br w:val="nil"/>
                    <w:tr2bl w:val="nil"/>
                  </w:tcBorders>
                  <w:vAlign w:val="center"/>
                </w:tcPr>
                <w:p w14:paraId="2669C6C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30" w:type="pct"/>
                  <w:vMerge w:val="continue"/>
                  <w:tcBorders>
                    <w:tl2br w:val="nil"/>
                    <w:tr2bl w:val="nil"/>
                  </w:tcBorders>
                  <w:vAlign w:val="center"/>
                </w:tcPr>
                <w:p w14:paraId="3870995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824" w:type="pct"/>
                  <w:tcBorders>
                    <w:tl2br w:val="nil"/>
                    <w:tr2bl w:val="nil"/>
                  </w:tcBorders>
                  <w:vAlign w:val="center"/>
                </w:tcPr>
                <w:p w14:paraId="35F452D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w:t>
                  </w:r>
                </w:p>
              </w:tc>
              <w:tc>
                <w:tcPr>
                  <w:tcW w:w="2514" w:type="pct"/>
                  <w:gridSpan w:val="2"/>
                  <w:tcBorders>
                    <w:tl2br w:val="nil"/>
                    <w:tr2bl w:val="nil"/>
                  </w:tcBorders>
                  <w:vAlign w:val="center"/>
                </w:tcPr>
                <w:p w14:paraId="7462570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w:t>
                  </w:r>
                  <w:r>
                    <w:rPr>
                      <w:rFonts w:hint="default" w:ascii="Times New Roman" w:hAnsi="Times New Roman" w:eastAsia="宋体" w:cs="Times New Roman"/>
                      <w:color w:val="auto"/>
                      <w:sz w:val="21"/>
                      <w:szCs w:val="21"/>
                      <w:highlight w:val="none"/>
                      <w:vertAlign w:val="baseline"/>
                      <w:lang w:val="en-US" w:eastAsia="zh-CN"/>
                    </w:rPr>
                    <w:t>104°51'28.929"</w:t>
                  </w:r>
                  <w:r>
                    <w:rPr>
                      <w:rFonts w:hint="eastAsia" w:cs="Times New Roman"/>
                      <w:color w:val="auto"/>
                      <w:sz w:val="21"/>
                      <w:szCs w:val="21"/>
                      <w:highlight w:val="none"/>
                      <w:vertAlign w:val="baseline"/>
                      <w:lang w:val="en-US" w:eastAsia="zh-CN"/>
                    </w:rPr>
                    <w:t>，N：</w:t>
                  </w:r>
                  <w:r>
                    <w:rPr>
                      <w:rFonts w:hint="default" w:ascii="Times New Roman" w:hAnsi="Times New Roman" w:eastAsia="宋体" w:cs="Times New Roman"/>
                      <w:color w:val="auto"/>
                      <w:sz w:val="21"/>
                      <w:szCs w:val="21"/>
                      <w:highlight w:val="none"/>
                      <w:vertAlign w:val="baseline"/>
                      <w:lang w:val="en-US" w:eastAsia="zh-CN"/>
                    </w:rPr>
                    <w:t>37°12'42.383"</w:t>
                  </w:r>
                </w:p>
              </w:tc>
            </w:tr>
            <w:tr w14:paraId="24FF8A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274" w:type="pct"/>
                  <w:vMerge w:val="continue"/>
                  <w:tcBorders>
                    <w:tl2br w:val="nil"/>
                    <w:tr2bl w:val="nil"/>
                  </w:tcBorders>
                  <w:vAlign w:val="center"/>
                </w:tcPr>
                <w:p w14:paraId="3A7F72A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55" w:type="pct"/>
                  <w:vMerge w:val="continue"/>
                  <w:tcBorders>
                    <w:tl2br w:val="nil"/>
                    <w:tr2bl w:val="nil"/>
                  </w:tcBorders>
                  <w:vAlign w:val="center"/>
                </w:tcPr>
                <w:p w14:paraId="5FEE2A9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30" w:type="pct"/>
                  <w:vMerge w:val="restart"/>
                  <w:tcBorders>
                    <w:tl2br w:val="nil"/>
                    <w:tr2bl w:val="nil"/>
                  </w:tcBorders>
                  <w:vAlign w:val="center"/>
                </w:tcPr>
                <w:p w14:paraId="523D120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水情监测站</w:t>
                  </w:r>
                </w:p>
              </w:tc>
              <w:tc>
                <w:tcPr>
                  <w:tcW w:w="824" w:type="pct"/>
                  <w:tcBorders>
                    <w:tl2br w:val="nil"/>
                    <w:tr2bl w:val="nil"/>
                  </w:tcBorders>
                  <w:vAlign w:val="center"/>
                </w:tcPr>
                <w:p w14:paraId="3788B1D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w:t>
                  </w:r>
                </w:p>
              </w:tc>
              <w:tc>
                <w:tcPr>
                  <w:tcW w:w="2514" w:type="pct"/>
                  <w:gridSpan w:val="2"/>
                  <w:tcBorders>
                    <w:tl2br w:val="nil"/>
                    <w:tr2bl w:val="nil"/>
                  </w:tcBorders>
                  <w:vAlign w:val="center"/>
                </w:tcPr>
                <w:p w14:paraId="2453F00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w:t>
                  </w:r>
                  <w:r>
                    <w:rPr>
                      <w:rFonts w:hint="default" w:ascii="Times New Roman" w:hAnsi="Times New Roman" w:eastAsia="宋体" w:cs="Times New Roman"/>
                      <w:color w:val="auto"/>
                      <w:sz w:val="21"/>
                      <w:szCs w:val="21"/>
                      <w:highlight w:val="none"/>
                      <w:vertAlign w:val="baseline"/>
                      <w:lang w:val="en-US" w:eastAsia="zh-CN"/>
                    </w:rPr>
                    <w:t>105°14'39.245"</w:t>
                  </w:r>
                  <w:r>
                    <w:rPr>
                      <w:rFonts w:hint="eastAsia" w:cs="Times New Roman"/>
                      <w:color w:val="auto"/>
                      <w:sz w:val="21"/>
                      <w:szCs w:val="21"/>
                      <w:highlight w:val="none"/>
                      <w:vertAlign w:val="baseline"/>
                      <w:lang w:val="en-US" w:eastAsia="zh-CN"/>
                    </w:rPr>
                    <w:t>，N：</w:t>
                  </w:r>
                  <w:r>
                    <w:rPr>
                      <w:rFonts w:hint="default" w:ascii="Times New Roman" w:hAnsi="Times New Roman" w:eastAsia="宋体" w:cs="Times New Roman"/>
                      <w:color w:val="auto"/>
                      <w:sz w:val="21"/>
                      <w:szCs w:val="21"/>
                      <w:highlight w:val="none"/>
                      <w:vertAlign w:val="baseline"/>
                      <w:lang w:val="en-US" w:eastAsia="zh-CN"/>
                    </w:rPr>
                    <w:t>36°53'20.996"</w:t>
                  </w:r>
                </w:p>
              </w:tc>
            </w:tr>
            <w:tr w14:paraId="2BFFBB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274" w:type="pct"/>
                  <w:vMerge w:val="continue"/>
                  <w:tcBorders>
                    <w:tl2br w:val="nil"/>
                    <w:tr2bl w:val="nil"/>
                  </w:tcBorders>
                  <w:vAlign w:val="center"/>
                </w:tcPr>
                <w:p w14:paraId="3334E16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55" w:type="pct"/>
                  <w:vMerge w:val="continue"/>
                  <w:tcBorders>
                    <w:tl2br w:val="nil"/>
                    <w:tr2bl w:val="nil"/>
                  </w:tcBorders>
                  <w:vAlign w:val="center"/>
                </w:tcPr>
                <w:p w14:paraId="6C358D8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30" w:type="pct"/>
                  <w:vMerge w:val="continue"/>
                  <w:tcBorders>
                    <w:tl2br w:val="nil"/>
                    <w:tr2bl w:val="nil"/>
                  </w:tcBorders>
                  <w:vAlign w:val="center"/>
                </w:tcPr>
                <w:p w14:paraId="652CEEE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824" w:type="pct"/>
                  <w:tcBorders>
                    <w:tl2br w:val="nil"/>
                    <w:tr2bl w:val="nil"/>
                  </w:tcBorders>
                  <w:vAlign w:val="center"/>
                </w:tcPr>
                <w:p w14:paraId="516C3D3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w:t>
                  </w:r>
                </w:p>
              </w:tc>
              <w:tc>
                <w:tcPr>
                  <w:tcW w:w="2514" w:type="pct"/>
                  <w:gridSpan w:val="2"/>
                  <w:tcBorders>
                    <w:tl2br w:val="nil"/>
                    <w:tr2bl w:val="nil"/>
                  </w:tcBorders>
                  <w:vAlign w:val="center"/>
                </w:tcPr>
                <w:p w14:paraId="493A243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w:t>
                  </w:r>
                  <w:r>
                    <w:rPr>
                      <w:rFonts w:hint="default" w:ascii="Times New Roman" w:hAnsi="Times New Roman" w:eastAsia="宋体" w:cs="Times New Roman"/>
                      <w:color w:val="auto"/>
                      <w:sz w:val="21"/>
                      <w:szCs w:val="21"/>
                      <w:highlight w:val="none"/>
                      <w:vertAlign w:val="baseline"/>
                      <w:lang w:val="en-US" w:eastAsia="zh-CN"/>
                    </w:rPr>
                    <w:t>105°15'45.995"</w:t>
                  </w:r>
                  <w:r>
                    <w:rPr>
                      <w:rFonts w:hint="eastAsia" w:cs="Times New Roman"/>
                      <w:color w:val="auto"/>
                      <w:sz w:val="21"/>
                      <w:szCs w:val="21"/>
                      <w:highlight w:val="none"/>
                      <w:vertAlign w:val="baseline"/>
                      <w:lang w:val="en-US" w:eastAsia="zh-CN"/>
                    </w:rPr>
                    <w:t>，N：</w:t>
                  </w:r>
                  <w:r>
                    <w:rPr>
                      <w:rFonts w:hint="default" w:ascii="Times New Roman" w:hAnsi="Times New Roman" w:eastAsia="宋体" w:cs="Times New Roman"/>
                      <w:color w:val="auto"/>
                      <w:sz w:val="21"/>
                      <w:szCs w:val="21"/>
                      <w:highlight w:val="none"/>
                      <w:vertAlign w:val="baseline"/>
                      <w:lang w:val="en-US" w:eastAsia="zh-CN"/>
                    </w:rPr>
                    <w:t>36°56'17.264"</w:t>
                  </w:r>
                </w:p>
              </w:tc>
            </w:tr>
            <w:tr w14:paraId="03C621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274" w:type="pct"/>
                  <w:vMerge w:val="continue"/>
                  <w:tcBorders>
                    <w:tl2br w:val="nil"/>
                    <w:tr2bl w:val="nil"/>
                  </w:tcBorders>
                  <w:vAlign w:val="center"/>
                </w:tcPr>
                <w:p w14:paraId="190D695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55" w:type="pct"/>
                  <w:vMerge w:val="continue"/>
                  <w:tcBorders>
                    <w:tl2br w:val="nil"/>
                    <w:tr2bl w:val="nil"/>
                  </w:tcBorders>
                  <w:vAlign w:val="center"/>
                </w:tcPr>
                <w:p w14:paraId="7C920A9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30" w:type="pct"/>
                  <w:vMerge w:val="continue"/>
                  <w:tcBorders>
                    <w:tl2br w:val="nil"/>
                    <w:tr2bl w:val="nil"/>
                  </w:tcBorders>
                  <w:vAlign w:val="center"/>
                </w:tcPr>
                <w:p w14:paraId="6BF0462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824" w:type="pct"/>
                  <w:tcBorders>
                    <w:tl2br w:val="nil"/>
                    <w:tr2bl w:val="nil"/>
                  </w:tcBorders>
                  <w:vAlign w:val="center"/>
                </w:tcPr>
                <w:p w14:paraId="1F2D797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w:t>
                  </w:r>
                </w:p>
              </w:tc>
              <w:tc>
                <w:tcPr>
                  <w:tcW w:w="2514" w:type="pct"/>
                  <w:gridSpan w:val="2"/>
                  <w:tcBorders>
                    <w:tl2br w:val="nil"/>
                    <w:tr2bl w:val="nil"/>
                  </w:tcBorders>
                  <w:vAlign w:val="center"/>
                </w:tcPr>
                <w:p w14:paraId="5AD82DB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w:t>
                  </w:r>
                  <w:r>
                    <w:rPr>
                      <w:rFonts w:hint="default" w:ascii="Times New Roman" w:hAnsi="Times New Roman" w:eastAsia="宋体" w:cs="Times New Roman"/>
                      <w:color w:val="auto"/>
                      <w:sz w:val="21"/>
                      <w:szCs w:val="21"/>
                      <w:highlight w:val="none"/>
                      <w:vertAlign w:val="baseline"/>
                      <w:lang w:val="en-US" w:eastAsia="zh-CN"/>
                    </w:rPr>
                    <w:t>105°12'03.067"</w:t>
                  </w:r>
                  <w:r>
                    <w:rPr>
                      <w:rFonts w:hint="eastAsia" w:cs="Times New Roman"/>
                      <w:color w:val="auto"/>
                      <w:sz w:val="21"/>
                      <w:szCs w:val="21"/>
                      <w:highlight w:val="none"/>
                      <w:vertAlign w:val="baseline"/>
                      <w:lang w:val="en-US" w:eastAsia="zh-CN"/>
                    </w:rPr>
                    <w:t>，N：</w:t>
                  </w:r>
                  <w:r>
                    <w:rPr>
                      <w:rFonts w:hint="default" w:ascii="Times New Roman" w:hAnsi="Times New Roman" w:eastAsia="宋体" w:cs="Times New Roman"/>
                      <w:color w:val="auto"/>
                      <w:sz w:val="21"/>
                      <w:szCs w:val="21"/>
                      <w:highlight w:val="none"/>
                      <w:vertAlign w:val="baseline"/>
                      <w:lang w:val="en-US" w:eastAsia="zh-CN"/>
                    </w:rPr>
                    <w:t>36°58'34.866"</w:t>
                  </w:r>
                </w:p>
              </w:tc>
            </w:tr>
            <w:tr w14:paraId="506641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274" w:type="pct"/>
                  <w:vMerge w:val="continue"/>
                  <w:tcBorders>
                    <w:tl2br w:val="nil"/>
                    <w:tr2bl w:val="nil"/>
                  </w:tcBorders>
                  <w:vAlign w:val="center"/>
                </w:tcPr>
                <w:p w14:paraId="2A23713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55" w:type="pct"/>
                  <w:vMerge w:val="continue"/>
                  <w:tcBorders>
                    <w:tl2br w:val="nil"/>
                    <w:tr2bl w:val="nil"/>
                  </w:tcBorders>
                  <w:vAlign w:val="center"/>
                </w:tcPr>
                <w:p w14:paraId="6320BCD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30" w:type="pct"/>
                  <w:vMerge w:val="continue"/>
                  <w:tcBorders>
                    <w:tl2br w:val="nil"/>
                    <w:tr2bl w:val="nil"/>
                  </w:tcBorders>
                  <w:vAlign w:val="center"/>
                </w:tcPr>
                <w:p w14:paraId="2149A80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824" w:type="pct"/>
                  <w:tcBorders>
                    <w:tl2br w:val="nil"/>
                    <w:tr2bl w:val="nil"/>
                  </w:tcBorders>
                  <w:vAlign w:val="center"/>
                </w:tcPr>
                <w:p w14:paraId="7F2AE5E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w:t>
                  </w:r>
                </w:p>
              </w:tc>
              <w:tc>
                <w:tcPr>
                  <w:tcW w:w="2514" w:type="pct"/>
                  <w:gridSpan w:val="2"/>
                  <w:tcBorders>
                    <w:tl2br w:val="nil"/>
                    <w:tr2bl w:val="nil"/>
                  </w:tcBorders>
                  <w:vAlign w:val="center"/>
                </w:tcPr>
                <w:p w14:paraId="1BF51C7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w:t>
                  </w:r>
                  <w:r>
                    <w:rPr>
                      <w:rFonts w:hint="default" w:ascii="Times New Roman" w:hAnsi="Times New Roman" w:eastAsia="宋体" w:cs="Times New Roman"/>
                      <w:color w:val="auto"/>
                      <w:sz w:val="21"/>
                      <w:szCs w:val="21"/>
                      <w:highlight w:val="none"/>
                      <w:vertAlign w:val="baseline"/>
                      <w:lang w:val="en-US" w:eastAsia="zh-CN"/>
                    </w:rPr>
                    <w:t>104°53'55.200"</w:t>
                  </w:r>
                  <w:r>
                    <w:rPr>
                      <w:rFonts w:hint="eastAsia" w:cs="Times New Roman"/>
                      <w:color w:val="auto"/>
                      <w:sz w:val="21"/>
                      <w:szCs w:val="21"/>
                      <w:highlight w:val="none"/>
                      <w:vertAlign w:val="baseline"/>
                      <w:lang w:val="en-US" w:eastAsia="zh-CN"/>
                    </w:rPr>
                    <w:t>，N：</w:t>
                  </w:r>
                  <w:r>
                    <w:rPr>
                      <w:rFonts w:hint="default" w:ascii="Times New Roman" w:hAnsi="Times New Roman" w:eastAsia="宋体" w:cs="Times New Roman"/>
                      <w:color w:val="auto"/>
                      <w:sz w:val="21"/>
                      <w:szCs w:val="21"/>
                      <w:highlight w:val="none"/>
                      <w:vertAlign w:val="baseline"/>
                      <w:lang w:val="en-US" w:eastAsia="zh-CN"/>
                    </w:rPr>
                    <w:t>37°07'38.857"</w:t>
                  </w:r>
                </w:p>
              </w:tc>
            </w:tr>
          </w:tbl>
          <w:p w14:paraId="5BEBA132">
            <w:pPr>
              <w:keepNext w:val="0"/>
              <w:keepLines w:val="0"/>
              <w:pageBreakBefore w:val="0"/>
              <w:kinsoku/>
              <w:wordWrap/>
              <w:topLinePunct w:val="0"/>
              <w:bidi w:val="0"/>
              <w:snapToGrid w:val="0"/>
              <w:jc w:val="center"/>
              <w:textAlignment w:val="auto"/>
              <w:rPr>
                <w:rFonts w:hint="default" w:ascii="Times New Roman" w:hAnsi="Times New Roman" w:eastAsia="宋体" w:cs="Times New Roman"/>
                <w:color w:val="auto"/>
                <w:sz w:val="24"/>
                <w:highlight w:val="none"/>
                <w:lang w:eastAsia="zh-CN"/>
              </w:rPr>
            </w:pPr>
          </w:p>
        </w:tc>
      </w:tr>
      <w:tr w14:paraId="62210C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859" w:type="dxa"/>
            <w:gridSpan w:val="2"/>
            <w:tcBorders>
              <w:tl2br w:val="nil"/>
              <w:tr2bl w:val="nil"/>
            </w:tcBorders>
            <w:tcMar>
              <w:top w:w="16" w:type="dxa"/>
              <w:left w:w="16" w:type="dxa"/>
              <w:right w:w="16" w:type="dxa"/>
            </w:tcMar>
            <w:vAlign w:val="center"/>
          </w:tcPr>
          <w:p w14:paraId="54FFE992">
            <w:pPr>
              <w:keepNext w:val="0"/>
              <w:keepLines w:val="0"/>
              <w:pageBreakBefore w:val="0"/>
              <w:kinsoku/>
              <w:wordWrap/>
              <w:topLinePunct w:val="0"/>
              <w:bidi w:val="0"/>
              <w:adjustRightInd w:val="0"/>
              <w:snapToGrid w:val="0"/>
              <w:jc w:val="center"/>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建设项目</w:t>
            </w:r>
          </w:p>
          <w:p w14:paraId="31460142">
            <w:pPr>
              <w:keepNext w:val="0"/>
              <w:keepLines w:val="0"/>
              <w:pageBreakBefore w:val="0"/>
              <w:kinsoku/>
              <w:wordWrap/>
              <w:topLinePunct w:val="0"/>
              <w:bidi w:val="0"/>
              <w:adjustRightInd w:val="0"/>
              <w:snapToGrid w:val="0"/>
              <w:jc w:val="center"/>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行业类别</w:t>
            </w:r>
          </w:p>
        </w:tc>
        <w:tc>
          <w:tcPr>
            <w:tcW w:w="2009" w:type="dxa"/>
            <w:tcBorders>
              <w:tl2br w:val="nil"/>
              <w:tr2bl w:val="nil"/>
            </w:tcBorders>
            <w:vAlign w:val="center"/>
          </w:tcPr>
          <w:p w14:paraId="3650DA6B">
            <w:pPr>
              <w:keepNext w:val="0"/>
              <w:keepLines w:val="0"/>
              <w:pageBreakBefore w:val="0"/>
              <w:kinsoku/>
              <w:wordWrap/>
              <w:topLinePunct w:val="0"/>
              <w:bidi w:val="0"/>
              <w:adjustRightInd w:val="0"/>
              <w:snapToGrid w:val="0"/>
              <w:jc w:val="center"/>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val="0"/>
                <w:bCs w:val="0"/>
                <w:color w:val="auto"/>
                <w:sz w:val="24"/>
                <w:szCs w:val="24"/>
                <w:highlight w:val="none"/>
                <w:lang w:eastAsia="zh-CN"/>
              </w:rPr>
              <w:t>五十一</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eastAsia="zh-CN"/>
              </w:rPr>
              <w:t>水利；</w:t>
            </w:r>
            <w:r>
              <w:rPr>
                <w:rFonts w:hint="default" w:ascii="Times New Roman" w:hAnsi="Times New Roman" w:eastAsia="宋体" w:cs="Times New Roman"/>
                <w:b w:val="0"/>
                <w:bCs w:val="0"/>
                <w:color w:val="auto"/>
                <w:sz w:val="24"/>
                <w:szCs w:val="24"/>
                <w:highlight w:val="none"/>
                <w:lang w:val="en-US" w:eastAsia="zh-CN"/>
              </w:rPr>
              <w:t>128</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河湖整治</w:t>
            </w:r>
            <w:r>
              <w:rPr>
                <w:rFonts w:hint="default" w:ascii="Times New Roman" w:hAnsi="Times New Roman" w:eastAsia="宋体" w:cs="Times New Roman"/>
                <w:color w:val="auto"/>
                <w:sz w:val="24"/>
                <w:highlight w:val="none"/>
                <w:lang w:val="en-US" w:eastAsia="zh-CN"/>
              </w:rPr>
              <w:t>；其他</w:t>
            </w:r>
          </w:p>
        </w:tc>
        <w:tc>
          <w:tcPr>
            <w:tcW w:w="1912" w:type="dxa"/>
            <w:tcBorders>
              <w:tl2br w:val="nil"/>
              <w:tr2bl w:val="nil"/>
            </w:tcBorders>
            <w:vAlign w:val="center"/>
          </w:tcPr>
          <w:p w14:paraId="16478E65">
            <w:pPr>
              <w:keepNext w:val="0"/>
              <w:keepLines w:val="0"/>
              <w:pageBreakBefore w:val="0"/>
              <w:kinsoku/>
              <w:wordWrap/>
              <w:topLinePunct w:val="0"/>
              <w:bidi w:val="0"/>
              <w:adjustRightInd w:val="0"/>
              <w:snapToGrid w:val="0"/>
              <w:jc w:val="center"/>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用地（用海）面积（</w:t>
            </w:r>
            <w:r>
              <w:rPr>
                <w:rFonts w:hint="default" w:ascii="Times New Roman" w:hAnsi="Times New Roman" w:cs="Times New Roman"/>
                <w:b/>
                <w:bCs/>
                <w:color w:val="auto"/>
                <w:sz w:val="24"/>
                <w:highlight w:val="none"/>
                <w:lang w:eastAsia="zh-CN"/>
              </w:rPr>
              <w:t>m²</w:t>
            </w:r>
            <w:r>
              <w:rPr>
                <w:rFonts w:hint="default" w:ascii="Times New Roman" w:hAnsi="Times New Roman" w:eastAsia="宋体" w:cs="Times New Roman"/>
                <w:b/>
                <w:bCs/>
                <w:color w:val="auto"/>
                <w:sz w:val="24"/>
                <w:highlight w:val="none"/>
              </w:rPr>
              <w:t>）/长度（km）</w:t>
            </w:r>
          </w:p>
        </w:tc>
        <w:tc>
          <w:tcPr>
            <w:tcW w:w="3228" w:type="dxa"/>
            <w:tcBorders>
              <w:tl2br w:val="nil"/>
              <w:tr2bl w:val="nil"/>
            </w:tcBorders>
            <w:vAlign w:val="center"/>
          </w:tcPr>
          <w:p w14:paraId="0F5E65A5">
            <w:pPr>
              <w:keepNext w:val="0"/>
              <w:keepLines w:val="0"/>
              <w:pageBreakBefore w:val="0"/>
              <w:kinsoku/>
              <w:wordWrap/>
              <w:topLinePunct w:val="0"/>
              <w:bidi w:val="0"/>
              <w:adjustRightInd w:val="0"/>
              <w:snapToGrid w:val="0"/>
              <w:jc w:val="center"/>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护岸长度：22.6km；河道清淤疏浚：6km；新建巡护道路20.2km。</w:t>
            </w:r>
          </w:p>
          <w:p w14:paraId="1D38F0BE">
            <w:pPr>
              <w:keepNext w:val="0"/>
              <w:keepLines w:val="0"/>
              <w:pageBreakBefore w:val="0"/>
              <w:kinsoku/>
              <w:wordWrap/>
              <w:topLinePunct w:val="0"/>
              <w:bidi w:val="0"/>
              <w:adjustRightInd w:val="0"/>
              <w:snapToGrid w:val="0"/>
              <w:jc w:val="center"/>
              <w:textAlignment w:val="auto"/>
              <w:rPr>
                <w:rFonts w:hint="default" w:ascii="Times New Roman" w:hAnsi="Times New Roman" w:cs="Times New Roman"/>
                <w:b w:val="0"/>
                <w:bCs w:val="0"/>
                <w:color w:val="auto"/>
                <w:spacing w:val="-6"/>
                <w:sz w:val="24"/>
                <w:highlight w:val="none"/>
                <w:vertAlign w:val="baseline"/>
                <w:lang w:val="en-US" w:eastAsia="zh-CN"/>
              </w:rPr>
            </w:pPr>
            <w:r>
              <w:rPr>
                <w:rFonts w:hint="eastAsia" w:cs="Times New Roman"/>
                <w:color w:val="auto"/>
                <w:sz w:val="24"/>
                <w:highlight w:val="none"/>
                <w:lang w:val="en-US" w:eastAsia="zh-CN"/>
              </w:rPr>
              <w:t>永久站占地：316453.5</w:t>
            </w:r>
            <w:r>
              <w:rPr>
                <w:rFonts w:hint="default" w:ascii="Times New Roman" w:hAnsi="Times New Roman" w:eastAsia="宋体" w:cs="Times New Roman"/>
                <w:b w:val="0"/>
                <w:bCs w:val="0"/>
                <w:color w:val="auto"/>
                <w:spacing w:val="-6"/>
                <w:sz w:val="24"/>
                <w:highlight w:val="none"/>
              </w:rPr>
              <w:t>m</w:t>
            </w:r>
            <w:r>
              <w:rPr>
                <w:rFonts w:hint="default" w:ascii="Times New Roman" w:hAnsi="Times New Roman" w:cs="Times New Roman"/>
                <w:b w:val="0"/>
                <w:bCs w:val="0"/>
                <w:color w:val="auto"/>
                <w:spacing w:val="-6"/>
                <w:sz w:val="24"/>
                <w:highlight w:val="none"/>
                <w:vertAlign w:val="baseline"/>
                <w:lang w:val="en-US" w:eastAsia="zh-CN"/>
              </w:rPr>
              <w:t>²</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临时占地</w:t>
            </w:r>
            <w:r>
              <w:rPr>
                <w:rFonts w:hint="default" w:ascii="Times New Roman" w:hAnsi="Times New Roman" w:cs="Times New Roman"/>
                <w:color w:val="auto"/>
                <w:sz w:val="24"/>
                <w:highlight w:val="none"/>
                <w:lang w:val="en-US" w:eastAsia="zh-CN"/>
              </w:rPr>
              <w:t>22800</w:t>
            </w:r>
            <w:r>
              <w:rPr>
                <w:rFonts w:hint="default" w:ascii="Times New Roman" w:hAnsi="Times New Roman" w:eastAsia="宋体" w:cs="Times New Roman"/>
                <w:b w:val="0"/>
                <w:bCs w:val="0"/>
                <w:color w:val="auto"/>
                <w:spacing w:val="-6"/>
                <w:sz w:val="24"/>
                <w:highlight w:val="none"/>
              </w:rPr>
              <w:t>m</w:t>
            </w:r>
            <w:r>
              <w:rPr>
                <w:rFonts w:hint="default" w:ascii="Times New Roman" w:hAnsi="Times New Roman" w:cs="Times New Roman"/>
                <w:b w:val="0"/>
                <w:bCs w:val="0"/>
                <w:color w:val="auto"/>
                <w:spacing w:val="-6"/>
                <w:sz w:val="24"/>
                <w:highlight w:val="none"/>
                <w:vertAlign w:val="baseline"/>
                <w:lang w:val="en-US" w:eastAsia="zh-CN"/>
              </w:rPr>
              <w:t>²；</w:t>
            </w:r>
          </w:p>
        </w:tc>
      </w:tr>
      <w:tr w14:paraId="5B0B62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859" w:type="dxa"/>
            <w:gridSpan w:val="2"/>
            <w:tcBorders>
              <w:tl2br w:val="nil"/>
              <w:tr2bl w:val="nil"/>
            </w:tcBorders>
            <w:tcMar>
              <w:top w:w="16" w:type="dxa"/>
              <w:left w:w="16" w:type="dxa"/>
              <w:right w:w="16" w:type="dxa"/>
            </w:tcMar>
            <w:vAlign w:val="center"/>
          </w:tcPr>
          <w:p w14:paraId="3C844A41">
            <w:pPr>
              <w:keepNext w:val="0"/>
              <w:keepLines w:val="0"/>
              <w:pageBreakBefore w:val="0"/>
              <w:kinsoku/>
              <w:wordWrap/>
              <w:topLinePunct w:val="0"/>
              <w:bidi w:val="0"/>
              <w:adjustRightInd w:val="0"/>
              <w:snapToGrid w:val="0"/>
              <w:jc w:val="center"/>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建设性质</w:t>
            </w:r>
          </w:p>
        </w:tc>
        <w:tc>
          <w:tcPr>
            <w:tcW w:w="2009" w:type="dxa"/>
            <w:tcBorders>
              <w:tl2br w:val="nil"/>
              <w:tr2bl w:val="nil"/>
            </w:tcBorders>
            <w:vAlign w:val="center"/>
          </w:tcPr>
          <w:p w14:paraId="0DEFDFF8">
            <w:pPr>
              <w:keepNext w:val="0"/>
              <w:keepLines w:val="0"/>
              <w:pageBreakBefore w:val="0"/>
              <w:kinsoku/>
              <w:wordWrap/>
              <w:topLinePunct w:val="0"/>
              <w:bidi w:val="0"/>
              <w:snapToGrid w:val="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sym w:font="Wingdings 2" w:char="0052"/>
            </w:r>
            <w:r>
              <w:rPr>
                <w:rFonts w:hint="default" w:ascii="Times New Roman" w:hAnsi="Times New Roman" w:eastAsia="宋体" w:cs="Times New Roman"/>
                <w:color w:val="auto"/>
                <w:sz w:val="24"/>
                <w:highlight w:val="none"/>
              </w:rPr>
              <w:t>新建（迁建）</w:t>
            </w:r>
          </w:p>
          <w:p w14:paraId="5239AB00">
            <w:pPr>
              <w:keepNext w:val="0"/>
              <w:keepLines w:val="0"/>
              <w:pageBreakBefore w:val="0"/>
              <w:kinsoku/>
              <w:wordWrap/>
              <w:topLinePunct w:val="0"/>
              <w:bidi w:val="0"/>
              <w:snapToGrid w:val="0"/>
              <w:jc w:val="left"/>
              <w:textAlignment w:val="auto"/>
              <w:rPr>
                <w:rFonts w:hint="default" w:ascii="Times New Roman" w:hAnsi="Times New Roman" w:eastAsia="宋体" w:cs="Times New Roman"/>
                <w:color w:val="auto"/>
                <w:sz w:val="24"/>
                <w:highlight w:val="none"/>
              </w:rPr>
            </w:pP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改建</w:t>
            </w:r>
          </w:p>
          <w:p w14:paraId="0E9623F0">
            <w:pPr>
              <w:keepNext w:val="0"/>
              <w:keepLines w:val="0"/>
              <w:pageBreakBefore w:val="0"/>
              <w:kinsoku/>
              <w:wordWrap/>
              <w:topLinePunct w:val="0"/>
              <w:bidi w:val="0"/>
              <w:snapToGrid w:val="0"/>
              <w:jc w:val="left"/>
              <w:textAlignment w:val="auto"/>
              <w:rPr>
                <w:rFonts w:hint="default" w:ascii="Times New Roman" w:hAnsi="Times New Roman" w:eastAsia="宋体" w:cs="Times New Roman"/>
                <w:color w:val="auto"/>
                <w:sz w:val="24"/>
                <w:highlight w:val="none"/>
              </w:rPr>
            </w:pP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扩建</w:t>
            </w:r>
          </w:p>
          <w:p w14:paraId="29F32DD8">
            <w:pPr>
              <w:keepNext w:val="0"/>
              <w:keepLines w:val="0"/>
              <w:pageBreakBefore w:val="0"/>
              <w:kinsoku/>
              <w:wordWrap/>
              <w:topLinePunct w:val="0"/>
              <w:bidi w:val="0"/>
              <w:snapToGrid w:val="0"/>
              <w:jc w:val="left"/>
              <w:textAlignment w:val="auto"/>
              <w:rPr>
                <w:rFonts w:hint="default" w:ascii="Times New Roman" w:hAnsi="Times New Roman" w:eastAsia="宋体" w:cs="Times New Roman"/>
                <w:color w:val="auto"/>
                <w:sz w:val="24"/>
                <w:highlight w:val="none"/>
              </w:rPr>
            </w:pP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技术改造</w:t>
            </w:r>
          </w:p>
        </w:tc>
        <w:tc>
          <w:tcPr>
            <w:tcW w:w="1912" w:type="dxa"/>
            <w:tcBorders>
              <w:tl2br w:val="nil"/>
              <w:tr2bl w:val="nil"/>
            </w:tcBorders>
            <w:vAlign w:val="center"/>
          </w:tcPr>
          <w:p w14:paraId="09447C1B">
            <w:pPr>
              <w:keepNext w:val="0"/>
              <w:keepLines w:val="0"/>
              <w:pageBreakBefore w:val="0"/>
              <w:kinsoku/>
              <w:wordWrap/>
              <w:topLinePunct w:val="0"/>
              <w:bidi w:val="0"/>
              <w:adjustRightInd w:val="0"/>
              <w:snapToGrid w:val="0"/>
              <w:jc w:val="center"/>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建设项目</w:t>
            </w:r>
          </w:p>
          <w:p w14:paraId="30813CF1">
            <w:pPr>
              <w:keepNext w:val="0"/>
              <w:keepLines w:val="0"/>
              <w:pageBreakBefore w:val="0"/>
              <w:kinsoku/>
              <w:wordWrap/>
              <w:topLinePunct w:val="0"/>
              <w:bidi w:val="0"/>
              <w:adjustRightInd w:val="0"/>
              <w:snapToGrid w:val="0"/>
              <w:jc w:val="center"/>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申报情形</w:t>
            </w:r>
          </w:p>
        </w:tc>
        <w:tc>
          <w:tcPr>
            <w:tcW w:w="3228" w:type="dxa"/>
            <w:tcBorders>
              <w:tl2br w:val="nil"/>
              <w:tr2bl w:val="nil"/>
            </w:tcBorders>
            <w:vAlign w:val="center"/>
          </w:tcPr>
          <w:p w14:paraId="405FB11D">
            <w:pPr>
              <w:keepNext w:val="0"/>
              <w:keepLines w:val="0"/>
              <w:pageBreakBefore w:val="0"/>
              <w:kinsoku/>
              <w:wordWrap/>
              <w:topLinePunct w:val="0"/>
              <w:bidi w:val="0"/>
              <w:snapToGrid w:val="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sym w:font="Wingdings 2" w:char="0052"/>
            </w:r>
            <w:r>
              <w:rPr>
                <w:rFonts w:hint="default" w:ascii="Times New Roman" w:hAnsi="Times New Roman" w:eastAsia="宋体" w:cs="Times New Roman"/>
                <w:color w:val="auto"/>
                <w:sz w:val="24"/>
                <w:highlight w:val="none"/>
              </w:rPr>
              <w:t xml:space="preserve">首次申报项目             </w:t>
            </w:r>
          </w:p>
          <w:p w14:paraId="3DC2D923">
            <w:pPr>
              <w:keepNext w:val="0"/>
              <w:keepLines w:val="0"/>
              <w:pageBreakBefore w:val="0"/>
              <w:kinsoku/>
              <w:wordWrap/>
              <w:topLinePunct w:val="0"/>
              <w:bidi w:val="0"/>
              <w:snapToGrid w:val="0"/>
              <w:jc w:val="left"/>
              <w:textAlignment w:val="auto"/>
              <w:rPr>
                <w:rFonts w:hint="default" w:ascii="Times New Roman" w:hAnsi="Times New Roman" w:eastAsia="宋体" w:cs="Times New Roman"/>
                <w:color w:val="auto"/>
                <w:sz w:val="24"/>
                <w:highlight w:val="none"/>
              </w:rPr>
            </w:pP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不予批准后再次申报项目</w:t>
            </w:r>
          </w:p>
          <w:p w14:paraId="19365672">
            <w:pPr>
              <w:keepNext w:val="0"/>
              <w:keepLines w:val="0"/>
              <w:pageBreakBefore w:val="0"/>
              <w:kinsoku/>
              <w:wordWrap/>
              <w:topLinePunct w:val="0"/>
              <w:bidi w:val="0"/>
              <w:snapToGrid w:val="0"/>
              <w:jc w:val="left"/>
              <w:textAlignment w:val="auto"/>
              <w:rPr>
                <w:rFonts w:hint="default" w:ascii="Times New Roman" w:hAnsi="Times New Roman" w:eastAsia="宋体" w:cs="Times New Roman"/>
                <w:color w:val="auto"/>
                <w:sz w:val="24"/>
                <w:highlight w:val="none"/>
              </w:rPr>
            </w:pP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 xml:space="preserve">超五年重新审核项目     </w:t>
            </w:r>
          </w:p>
          <w:p w14:paraId="180015FB">
            <w:pPr>
              <w:keepNext w:val="0"/>
              <w:keepLines w:val="0"/>
              <w:pageBreakBefore w:val="0"/>
              <w:kinsoku/>
              <w:wordWrap/>
              <w:topLinePunct w:val="0"/>
              <w:bidi w:val="0"/>
              <w:snapToGrid w:val="0"/>
              <w:jc w:val="left"/>
              <w:textAlignment w:val="auto"/>
              <w:rPr>
                <w:rFonts w:hint="default" w:ascii="Times New Roman" w:hAnsi="Times New Roman" w:eastAsia="宋体" w:cs="Times New Roman"/>
                <w:color w:val="auto"/>
                <w:sz w:val="24"/>
                <w:highlight w:val="none"/>
              </w:rPr>
            </w:pP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重大变动重新报批项目</w:t>
            </w:r>
          </w:p>
        </w:tc>
      </w:tr>
      <w:tr w14:paraId="216E5D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859" w:type="dxa"/>
            <w:gridSpan w:val="2"/>
            <w:tcBorders>
              <w:tl2br w:val="nil"/>
              <w:tr2bl w:val="nil"/>
            </w:tcBorders>
            <w:tcMar>
              <w:top w:w="16" w:type="dxa"/>
              <w:left w:w="16" w:type="dxa"/>
              <w:right w:w="16" w:type="dxa"/>
            </w:tcMar>
            <w:vAlign w:val="center"/>
          </w:tcPr>
          <w:p w14:paraId="3F0F7E35">
            <w:pPr>
              <w:keepNext w:val="0"/>
              <w:keepLines w:val="0"/>
              <w:pageBreakBefore w:val="0"/>
              <w:kinsoku/>
              <w:wordWrap/>
              <w:topLinePunct w:val="0"/>
              <w:bidi w:val="0"/>
              <w:adjustRightInd w:val="0"/>
              <w:snapToGrid w:val="0"/>
              <w:jc w:val="center"/>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项目审批部门</w:t>
            </w:r>
          </w:p>
        </w:tc>
        <w:tc>
          <w:tcPr>
            <w:tcW w:w="2009" w:type="dxa"/>
            <w:tcBorders>
              <w:tl2br w:val="nil"/>
              <w:tr2bl w:val="nil"/>
            </w:tcBorders>
            <w:vAlign w:val="center"/>
          </w:tcPr>
          <w:p w14:paraId="7FBB71A2">
            <w:pPr>
              <w:keepNext w:val="0"/>
              <w:keepLines w:val="0"/>
              <w:pageBreakBefore w:val="0"/>
              <w:kinsoku/>
              <w:wordWrap/>
              <w:topLinePunct w:val="0"/>
              <w:bidi w:val="0"/>
              <w:adjustRightInd w:val="0"/>
              <w:snapToGrid w:val="0"/>
              <w:jc w:val="center"/>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中卫市沙坡头区发展和改革局</w:t>
            </w:r>
          </w:p>
        </w:tc>
        <w:tc>
          <w:tcPr>
            <w:tcW w:w="1912" w:type="dxa"/>
            <w:tcBorders>
              <w:tl2br w:val="nil"/>
              <w:tr2bl w:val="nil"/>
            </w:tcBorders>
            <w:vAlign w:val="center"/>
          </w:tcPr>
          <w:p w14:paraId="5EA32FB3">
            <w:pPr>
              <w:keepNext w:val="0"/>
              <w:keepLines w:val="0"/>
              <w:pageBreakBefore w:val="0"/>
              <w:kinsoku/>
              <w:wordWrap/>
              <w:topLinePunct w:val="0"/>
              <w:bidi w:val="0"/>
              <w:adjustRightInd w:val="0"/>
              <w:snapToGrid w:val="0"/>
              <w:jc w:val="center"/>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项目审批文号</w:t>
            </w:r>
          </w:p>
        </w:tc>
        <w:tc>
          <w:tcPr>
            <w:tcW w:w="3228" w:type="dxa"/>
            <w:tcBorders>
              <w:tl2br w:val="nil"/>
              <w:tr2bl w:val="nil"/>
            </w:tcBorders>
            <w:vAlign w:val="center"/>
          </w:tcPr>
          <w:p w14:paraId="7FBA3E29">
            <w:pPr>
              <w:keepNext w:val="0"/>
              <w:keepLines w:val="0"/>
              <w:pageBreakBefore w:val="0"/>
              <w:kinsoku/>
              <w:wordWrap/>
              <w:topLinePunct w:val="0"/>
              <w:bidi w:val="0"/>
              <w:adjustRightInd w:val="0"/>
              <w:snapToGrid w:val="0"/>
              <w:jc w:val="center"/>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卫沙发改（审批）发</w:t>
            </w:r>
            <w:r>
              <w:rPr>
                <w:rFonts w:hint="eastAsia" w:cs="Times New Roman"/>
                <w:color w:val="auto"/>
                <w:sz w:val="24"/>
                <w:highlight w:val="none"/>
                <w:lang w:val="en-US" w:eastAsia="zh-CN"/>
              </w:rPr>
              <w:t>〔2025〕38号</w:t>
            </w:r>
          </w:p>
        </w:tc>
      </w:tr>
      <w:tr w14:paraId="3B8D7F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859" w:type="dxa"/>
            <w:gridSpan w:val="2"/>
            <w:tcBorders>
              <w:tl2br w:val="nil"/>
              <w:tr2bl w:val="nil"/>
            </w:tcBorders>
            <w:tcMar>
              <w:top w:w="16" w:type="dxa"/>
              <w:left w:w="16" w:type="dxa"/>
              <w:right w:w="16" w:type="dxa"/>
            </w:tcMar>
            <w:vAlign w:val="center"/>
          </w:tcPr>
          <w:p w14:paraId="60B0ACDD">
            <w:pPr>
              <w:keepNext w:val="0"/>
              <w:keepLines w:val="0"/>
              <w:pageBreakBefore w:val="0"/>
              <w:kinsoku/>
              <w:wordWrap/>
              <w:topLinePunct w:val="0"/>
              <w:bidi w:val="0"/>
              <w:adjustRightInd w:val="0"/>
              <w:snapToGrid w:val="0"/>
              <w:jc w:val="center"/>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总投资（万元）</w:t>
            </w:r>
          </w:p>
        </w:tc>
        <w:tc>
          <w:tcPr>
            <w:tcW w:w="2009" w:type="dxa"/>
            <w:tcBorders>
              <w:tl2br w:val="nil"/>
              <w:tr2bl w:val="nil"/>
            </w:tcBorders>
            <w:vAlign w:val="center"/>
          </w:tcPr>
          <w:p w14:paraId="236C33F6">
            <w:pPr>
              <w:keepNext w:val="0"/>
              <w:keepLines w:val="0"/>
              <w:pageBreakBefore w:val="0"/>
              <w:kinsoku/>
              <w:wordWrap/>
              <w:topLinePunct w:val="0"/>
              <w:bidi w:val="0"/>
              <w:adjustRightInd w:val="0"/>
              <w:snapToGrid w:val="0"/>
              <w:jc w:val="center"/>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7781.24</w:t>
            </w:r>
          </w:p>
        </w:tc>
        <w:tc>
          <w:tcPr>
            <w:tcW w:w="1912" w:type="dxa"/>
            <w:tcBorders>
              <w:tl2br w:val="nil"/>
              <w:tr2bl w:val="nil"/>
            </w:tcBorders>
            <w:tcMar>
              <w:top w:w="16" w:type="dxa"/>
              <w:left w:w="16" w:type="dxa"/>
              <w:right w:w="16" w:type="dxa"/>
            </w:tcMar>
            <w:vAlign w:val="center"/>
          </w:tcPr>
          <w:p w14:paraId="5311F8B6">
            <w:pPr>
              <w:keepNext w:val="0"/>
              <w:keepLines w:val="0"/>
              <w:pageBreakBefore w:val="0"/>
              <w:kinsoku/>
              <w:wordWrap/>
              <w:topLinePunct w:val="0"/>
              <w:bidi w:val="0"/>
              <w:adjustRightInd w:val="0"/>
              <w:snapToGrid w:val="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sz w:val="24"/>
                <w:highlight w:val="none"/>
              </w:rPr>
              <w:t>环保投资（万元）</w:t>
            </w:r>
          </w:p>
        </w:tc>
        <w:tc>
          <w:tcPr>
            <w:tcW w:w="3228" w:type="dxa"/>
            <w:tcBorders>
              <w:tl2br w:val="nil"/>
              <w:tr2bl w:val="nil"/>
            </w:tcBorders>
            <w:vAlign w:val="center"/>
          </w:tcPr>
          <w:p w14:paraId="6D92067F">
            <w:pPr>
              <w:keepNext w:val="0"/>
              <w:keepLines w:val="0"/>
              <w:pageBreakBefore w:val="0"/>
              <w:kinsoku/>
              <w:wordWrap/>
              <w:topLinePunct w:val="0"/>
              <w:bidi w:val="0"/>
              <w:adjustRightInd w:val="0"/>
              <w:snapToGrid w:val="0"/>
              <w:jc w:val="center"/>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640.23</w:t>
            </w:r>
          </w:p>
        </w:tc>
      </w:tr>
      <w:tr w14:paraId="2CBB8D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3" w:hRule="atLeast"/>
          <w:jc w:val="center"/>
        </w:trPr>
        <w:tc>
          <w:tcPr>
            <w:tcW w:w="1859" w:type="dxa"/>
            <w:gridSpan w:val="2"/>
            <w:tcBorders>
              <w:tl2br w:val="nil"/>
              <w:tr2bl w:val="nil"/>
            </w:tcBorders>
            <w:tcMar>
              <w:top w:w="16" w:type="dxa"/>
              <w:left w:w="16" w:type="dxa"/>
              <w:right w:w="16" w:type="dxa"/>
            </w:tcMar>
            <w:vAlign w:val="center"/>
          </w:tcPr>
          <w:p w14:paraId="6ACC2545">
            <w:pPr>
              <w:keepNext w:val="0"/>
              <w:keepLines w:val="0"/>
              <w:pageBreakBefore w:val="0"/>
              <w:kinsoku/>
              <w:wordWrap/>
              <w:topLinePunct w:val="0"/>
              <w:bidi w:val="0"/>
              <w:adjustRightInd w:val="0"/>
              <w:snapToGrid w:val="0"/>
              <w:jc w:val="center"/>
              <w:textAlignment w:val="auto"/>
              <w:rPr>
                <w:rFonts w:hint="default" w:ascii="Times New Roman" w:hAnsi="Times New Roman" w:cs="Times New Roman"/>
                <w:color w:val="auto"/>
                <w:highlight w:val="none"/>
              </w:rPr>
            </w:pPr>
            <w:r>
              <w:rPr>
                <w:rFonts w:hint="default" w:ascii="Times New Roman" w:hAnsi="Times New Roman" w:cs="Times New Roman"/>
                <w:b/>
                <w:bCs/>
                <w:color w:val="auto"/>
                <w:sz w:val="24"/>
                <w:highlight w:val="none"/>
              </w:rPr>
              <w:t>环保投资占比（%）</w:t>
            </w:r>
          </w:p>
        </w:tc>
        <w:tc>
          <w:tcPr>
            <w:tcW w:w="2009" w:type="dxa"/>
            <w:tcBorders>
              <w:tl2br w:val="nil"/>
              <w:tr2bl w:val="nil"/>
            </w:tcBorders>
            <w:vAlign w:val="center"/>
          </w:tcPr>
          <w:p w14:paraId="71F557ED">
            <w:pPr>
              <w:keepNext w:val="0"/>
              <w:keepLines w:val="0"/>
              <w:pageBreakBefore w:val="0"/>
              <w:kinsoku/>
              <w:wordWrap/>
              <w:topLinePunct w:val="0"/>
              <w:bidi w:val="0"/>
              <w:adjustRightInd w:val="0"/>
              <w:snapToGrid w:val="0"/>
              <w:jc w:val="center"/>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8.23</w:t>
            </w:r>
            <w:r>
              <w:rPr>
                <w:rFonts w:hint="default" w:ascii="Times New Roman" w:hAnsi="Times New Roman" w:cs="Times New Roman"/>
                <w:color w:val="auto"/>
                <w:sz w:val="24"/>
                <w:highlight w:val="none"/>
                <w:lang w:val="en-US" w:eastAsia="zh-CN"/>
              </w:rPr>
              <w:t>%</w:t>
            </w:r>
          </w:p>
        </w:tc>
        <w:tc>
          <w:tcPr>
            <w:tcW w:w="1912" w:type="dxa"/>
            <w:tcBorders>
              <w:tl2br w:val="nil"/>
              <w:tr2bl w:val="nil"/>
            </w:tcBorders>
            <w:tcMar>
              <w:top w:w="16" w:type="dxa"/>
              <w:left w:w="16" w:type="dxa"/>
              <w:right w:w="16" w:type="dxa"/>
            </w:tcMar>
            <w:vAlign w:val="center"/>
          </w:tcPr>
          <w:p w14:paraId="44B9057D">
            <w:pPr>
              <w:keepNext w:val="0"/>
              <w:keepLines w:val="0"/>
              <w:pageBreakBefore w:val="0"/>
              <w:kinsoku/>
              <w:wordWrap/>
              <w:topLinePunct w:val="0"/>
              <w:bidi w:val="0"/>
              <w:adjustRightInd w:val="0"/>
              <w:snapToGrid w:val="0"/>
              <w:jc w:val="center"/>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施工工期</w:t>
            </w:r>
          </w:p>
        </w:tc>
        <w:tc>
          <w:tcPr>
            <w:tcW w:w="3228" w:type="dxa"/>
            <w:tcBorders>
              <w:tl2br w:val="nil"/>
              <w:tr2bl w:val="nil"/>
            </w:tcBorders>
            <w:vAlign w:val="center"/>
          </w:tcPr>
          <w:p w14:paraId="67864FD7">
            <w:pPr>
              <w:keepNext w:val="0"/>
              <w:keepLines w:val="0"/>
              <w:pageBreakBefore w:val="0"/>
              <w:kinsoku/>
              <w:wordWrap/>
              <w:topLinePunct w:val="0"/>
              <w:bidi w:val="0"/>
              <w:adjustRightInd w:val="0"/>
              <w:snapToGrid w:val="0"/>
              <w:jc w:val="center"/>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17</w:t>
            </w:r>
            <w:r>
              <w:rPr>
                <w:rFonts w:hint="default" w:ascii="Times New Roman" w:hAnsi="Times New Roman" w:eastAsia="宋体" w:cs="Times New Roman"/>
                <w:color w:val="auto"/>
                <w:sz w:val="24"/>
                <w:highlight w:val="none"/>
                <w:lang w:val="en-US" w:eastAsia="zh-CN"/>
              </w:rPr>
              <w:t>个月</w:t>
            </w:r>
          </w:p>
        </w:tc>
      </w:tr>
      <w:tr w14:paraId="5D62F5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859" w:type="dxa"/>
            <w:gridSpan w:val="2"/>
            <w:tcBorders>
              <w:tl2br w:val="nil"/>
              <w:tr2bl w:val="nil"/>
            </w:tcBorders>
            <w:tcMar>
              <w:top w:w="16" w:type="dxa"/>
              <w:left w:w="16" w:type="dxa"/>
              <w:right w:w="16" w:type="dxa"/>
            </w:tcMar>
            <w:vAlign w:val="center"/>
          </w:tcPr>
          <w:p w14:paraId="0395224F">
            <w:pPr>
              <w:keepNext w:val="0"/>
              <w:keepLines w:val="0"/>
              <w:pageBreakBefore w:val="0"/>
              <w:kinsoku/>
              <w:wordWrap/>
              <w:topLinePunct w:val="0"/>
              <w:bidi w:val="0"/>
              <w:adjustRightInd w:val="0"/>
              <w:snapToGrid w:val="0"/>
              <w:jc w:val="center"/>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是否开工建设</w:t>
            </w:r>
          </w:p>
        </w:tc>
        <w:tc>
          <w:tcPr>
            <w:tcW w:w="7149" w:type="dxa"/>
            <w:gridSpan w:val="3"/>
            <w:tcBorders>
              <w:tl2br w:val="nil"/>
              <w:tr2bl w:val="nil"/>
            </w:tcBorders>
            <w:vAlign w:val="center"/>
          </w:tcPr>
          <w:p w14:paraId="5E1FA1BC">
            <w:pPr>
              <w:keepNext w:val="0"/>
              <w:keepLines w:val="0"/>
              <w:pageBreakBefore w:val="0"/>
              <w:kinsoku/>
              <w:wordWrap/>
              <w:topLinePunct w:val="0"/>
              <w:bidi w:val="0"/>
              <w:adjustRightInd w:val="0"/>
              <w:snapToGrid w:val="0"/>
              <w:ind w:firstLine="240" w:firstLineChars="1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sym w:font="Wingdings 2" w:char="0052"/>
            </w:r>
            <w:r>
              <w:rPr>
                <w:rFonts w:hint="default" w:ascii="Times New Roman" w:hAnsi="Times New Roman" w:eastAsia="宋体" w:cs="Times New Roman"/>
                <w:color w:val="auto"/>
                <w:sz w:val="24"/>
                <w:highlight w:val="none"/>
              </w:rPr>
              <w:t>否</w:t>
            </w:r>
          </w:p>
          <w:p w14:paraId="6698C5A8">
            <w:pPr>
              <w:pStyle w:val="24"/>
              <w:keepNext w:val="0"/>
              <w:keepLines w:val="0"/>
              <w:pageBreakBefore w:val="0"/>
              <w:kinsoku/>
              <w:wordWrap/>
              <w:topLinePunct w:val="0"/>
              <w:bidi w:val="0"/>
              <w:textAlignment w:val="auto"/>
              <w:rPr>
                <w:rFonts w:hint="default" w:ascii="Times New Roman" w:hAnsi="Times New Roman" w:eastAsia="宋体" w:cs="Times New Roman"/>
                <w:b/>
                <w:bCs/>
                <w:color w:val="auto"/>
                <w:highlight w:val="none"/>
                <w:u w:val="none"/>
                <w:lang w:val="en-US" w:eastAsia="zh-CN"/>
              </w:rPr>
            </w:pPr>
            <w:r>
              <w:rPr>
                <w:rFonts w:hint="default"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是：</w:t>
            </w:r>
            <w:r>
              <w:rPr>
                <w:rFonts w:hint="default" w:ascii="Times New Roman" w:hAnsi="Times New Roman" w:eastAsia="宋体" w:cs="Times New Roman"/>
                <w:color w:val="auto"/>
                <w:sz w:val="24"/>
                <w:highlight w:val="none"/>
                <w:u w:val="single"/>
                <w:lang w:val="en-US" w:eastAsia="zh-CN"/>
              </w:rPr>
              <w:t xml:space="preserve">                                               </w:t>
            </w:r>
          </w:p>
        </w:tc>
      </w:tr>
      <w:tr w14:paraId="6FE719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5" w:type="dxa"/>
            <w:tcBorders>
              <w:tl2br w:val="nil"/>
              <w:tr2bl w:val="nil"/>
            </w:tcBorders>
            <w:vAlign w:val="center"/>
          </w:tcPr>
          <w:p w14:paraId="513B5B0D">
            <w:pPr>
              <w:keepNext w:val="0"/>
              <w:keepLines w:val="0"/>
              <w:pageBreakBefore w:val="0"/>
              <w:kinsoku/>
              <w:wordWrap/>
              <w:topLinePunct w:val="0"/>
              <w:autoSpaceDE w:val="0"/>
              <w:autoSpaceDN w:val="0"/>
              <w:bidi w:val="0"/>
              <w:adjustRightInd w:val="0"/>
              <w:snapToGrid w:val="0"/>
              <w:jc w:val="center"/>
              <w:textAlignment w:val="auto"/>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专项评价设置情况</w:t>
            </w:r>
          </w:p>
        </w:tc>
        <w:tc>
          <w:tcPr>
            <w:tcW w:w="8563" w:type="dxa"/>
            <w:gridSpan w:val="4"/>
            <w:tcBorders>
              <w:tl2br w:val="nil"/>
              <w:tr2bl w:val="nil"/>
            </w:tcBorders>
            <w:vAlign w:val="center"/>
          </w:tcPr>
          <w:p w14:paraId="26AFE8B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rPr>
            </w:pPr>
            <w:r>
              <w:rPr>
                <w:rFonts w:hint="default" w:ascii="Times New Roman" w:hAnsi="Times New Roman" w:eastAsia="宋体" w:cs="Times New Roman"/>
                <w:color w:val="auto"/>
                <w:kern w:val="0"/>
                <w:sz w:val="24"/>
                <w:highlight w:val="none"/>
                <w:lang w:val="en-US" w:eastAsia="zh-CN"/>
              </w:rPr>
              <w:t>根据《建设项目环境影响报告表编制技术指南 （生态影响类）（试行）》，河湖整治：涉及清淤且底泥存在重金属污染的项目需设置地表水专项评价，本项目为</w:t>
            </w:r>
            <w:r>
              <w:rPr>
                <w:rFonts w:hint="eastAsia" w:cs="Times New Roman"/>
                <w:color w:val="auto"/>
                <w:kern w:val="0"/>
                <w:sz w:val="24"/>
                <w:highlight w:val="none"/>
                <w:lang w:val="en-US" w:eastAsia="zh-CN"/>
              </w:rPr>
              <w:t>高崖沟岸坡砌护及沟道清淤</w:t>
            </w:r>
            <w:r>
              <w:rPr>
                <w:rFonts w:hint="default" w:ascii="Times New Roman" w:hAnsi="Times New Roman" w:eastAsia="宋体" w:cs="Times New Roman"/>
                <w:color w:val="auto"/>
                <w:kern w:val="0"/>
                <w:sz w:val="24"/>
                <w:highlight w:val="none"/>
                <w:lang w:val="en-US" w:eastAsia="zh-CN"/>
              </w:rPr>
              <w:t>，</w:t>
            </w:r>
            <w:r>
              <w:rPr>
                <w:rFonts w:hint="eastAsia" w:cs="Times New Roman"/>
                <w:color w:val="auto"/>
                <w:kern w:val="0"/>
                <w:sz w:val="24"/>
                <w:highlight w:val="none"/>
                <w:lang w:val="en-US" w:eastAsia="zh-CN"/>
              </w:rPr>
              <w:t>共计涉及清淤沟道3段，</w:t>
            </w:r>
            <w:r>
              <w:rPr>
                <w:rFonts w:hint="default" w:ascii="Times New Roman" w:hAnsi="Times New Roman" w:eastAsia="宋体" w:cs="Times New Roman"/>
                <w:color w:val="auto"/>
                <w:kern w:val="0"/>
                <w:sz w:val="24"/>
                <w:highlight w:val="none"/>
                <w:lang w:val="en-US" w:eastAsia="zh-CN"/>
              </w:rPr>
              <w:t>本次委托甘肃亿源环境检测科技有限公司202</w:t>
            </w:r>
            <w:r>
              <w:rPr>
                <w:rFonts w:hint="default" w:ascii="Times New Roman" w:hAnsi="Times New Roman" w:cs="Times New Roman"/>
                <w:color w:val="auto"/>
                <w:kern w:val="0"/>
                <w:sz w:val="24"/>
                <w:highlight w:val="none"/>
                <w:lang w:val="en-US" w:eastAsia="zh-CN"/>
              </w:rPr>
              <w:t>6</w:t>
            </w:r>
            <w:r>
              <w:rPr>
                <w:rFonts w:hint="default" w:ascii="Times New Roman" w:hAnsi="Times New Roman" w:eastAsia="宋体" w:cs="Times New Roman"/>
                <w:color w:val="auto"/>
                <w:kern w:val="0"/>
                <w:sz w:val="24"/>
                <w:highlight w:val="none"/>
                <w:lang w:val="en-US" w:eastAsia="zh-CN"/>
              </w:rPr>
              <w:t>年</w:t>
            </w:r>
            <w:r>
              <w:rPr>
                <w:rFonts w:hint="default" w:ascii="Times New Roman" w:hAnsi="Times New Roman" w:cs="Times New Roman"/>
                <w:color w:val="auto"/>
                <w:kern w:val="0"/>
                <w:sz w:val="24"/>
                <w:highlight w:val="none"/>
                <w:lang w:val="en-US" w:eastAsia="zh-CN"/>
              </w:rPr>
              <w:t>3</w:t>
            </w:r>
            <w:r>
              <w:rPr>
                <w:rFonts w:hint="default" w:ascii="Times New Roman" w:hAnsi="Times New Roman" w:eastAsia="宋体" w:cs="Times New Roman"/>
                <w:color w:val="auto"/>
                <w:kern w:val="0"/>
                <w:sz w:val="24"/>
                <w:highlight w:val="none"/>
                <w:lang w:val="en-US" w:eastAsia="zh-CN"/>
              </w:rPr>
              <w:t>月</w:t>
            </w:r>
            <w:r>
              <w:rPr>
                <w:rFonts w:hint="default" w:ascii="Times New Roman" w:hAnsi="Times New Roman" w:cs="Times New Roman"/>
                <w:color w:val="auto"/>
                <w:kern w:val="0"/>
                <w:sz w:val="24"/>
                <w:highlight w:val="none"/>
                <w:lang w:val="en-US" w:eastAsia="zh-CN"/>
              </w:rPr>
              <w:t>12</w:t>
            </w:r>
            <w:r>
              <w:rPr>
                <w:rFonts w:hint="default" w:ascii="Times New Roman" w:hAnsi="Times New Roman" w:eastAsia="宋体" w:cs="Times New Roman"/>
                <w:color w:val="auto"/>
                <w:kern w:val="0"/>
                <w:sz w:val="24"/>
                <w:highlight w:val="none"/>
                <w:lang w:val="en-US" w:eastAsia="zh-CN"/>
              </w:rPr>
              <w:t>日</w:t>
            </w:r>
            <w:r>
              <w:rPr>
                <w:rFonts w:hint="eastAsia" w:cs="Times New Roman"/>
                <w:color w:val="auto"/>
                <w:kern w:val="0"/>
                <w:sz w:val="24"/>
                <w:highlight w:val="none"/>
                <w:lang w:val="en-US" w:eastAsia="zh-CN"/>
              </w:rPr>
              <w:t>分别</w:t>
            </w:r>
            <w:r>
              <w:rPr>
                <w:rFonts w:hint="default" w:ascii="Times New Roman" w:hAnsi="Times New Roman" w:eastAsia="宋体" w:cs="Times New Roman"/>
                <w:color w:val="auto"/>
                <w:kern w:val="0"/>
                <w:sz w:val="24"/>
                <w:highlight w:val="none"/>
                <w:lang w:val="en-US" w:eastAsia="zh-CN"/>
              </w:rPr>
              <w:t>对本项目</w:t>
            </w:r>
            <w:r>
              <w:rPr>
                <w:rFonts w:hint="eastAsia" w:cs="Times New Roman"/>
                <w:color w:val="auto"/>
                <w:kern w:val="0"/>
                <w:sz w:val="24"/>
                <w:highlight w:val="none"/>
                <w:lang w:val="en-US" w:eastAsia="zh-CN"/>
              </w:rPr>
              <w:t>三段</w:t>
            </w:r>
            <w:r>
              <w:rPr>
                <w:rFonts w:hint="default" w:ascii="Times New Roman" w:hAnsi="Times New Roman" w:cs="Times New Roman"/>
                <w:color w:val="auto"/>
                <w:kern w:val="0"/>
                <w:sz w:val="24"/>
                <w:highlight w:val="none"/>
                <w:lang w:val="en-US" w:eastAsia="zh-CN"/>
              </w:rPr>
              <w:t>沟道</w:t>
            </w:r>
            <w:r>
              <w:rPr>
                <w:rFonts w:hint="eastAsia" w:cs="Times New Roman"/>
                <w:color w:val="auto"/>
                <w:kern w:val="0"/>
                <w:sz w:val="24"/>
                <w:highlight w:val="none"/>
                <w:lang w:val="en-US" w:eastAsia="zh-CN"/>
              </w:rPr>
              <w:t>进行了</w:t>
            </w:r>
            <w:r>
              <w:rPr>
                <w:rFonts w:hint="default" w:ascii="Times New Roman" w:hAnsi="Times New Roman" w:eastAsia="宋体" w:cs="Times New Roman"/>
                <w:color w:val="auto"/>
                <w:kern w:val="0"/>
                <w:sz w:val="24"/>
                <w:highlight w:val="none"/>
                <w:lang w:val="en-US" w:eastAsia="zh-CN"/>
              </w:rPr>
              <w:t>底泥监测分析，根据分析结果，本项目沟道内底泥各项重金属污染物均满足《土壤环境质量 农用地土壤污染风险管控标准（试行）》（GB15618-2018）标准，因此项目不存在重金属污染情况，无需开展地表水专项评价内容。</w:t>
            </w:r>
          </w:p>
        </w:tc>
      </w:tr>
      <w:tr w14:paraId="71F5CD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5" w:type="dxa"/>
            <w:tcBorders>
              <w:tl2br w:val="nil"/>
              <w:tr2bl w:val="nil"/>
            </w:tcBorders>
            <w:vAlign w:val="center"/>
          </w:tcPr>
          <w:p w14:paraId="77E28152">
            <w:pPr>
              <w:keepNext w:val="0"/>
              <w:keepLines w:val="0"/>
              <w:pageBreakBefore w:val="0"/>
              <w:kinsoku/>
              <w:wordWrap/>
              <w:topLinePunct w:val="0"/>
              <w:autoSpaceDE w:val="0"/>
              <w:autoSpaceDN w:val="0"/>
              <w:bidi w:val="0"/>
              <w:adjustRightInd w:val="0"/>
              <w:snapToGrid w:val="0"/>
              <w:jc w:val="center"/>
              <w:textAlignment w:val="auto"/>
              <w:rPr>
                <w:rFonts w:hint="default" w:ascii="Times New Roman" w:hAnsi="Times New Roman" w:eastAsia="宋体" w:cs="Times New Roman"/>
                <w:b/>
                <w:bCs/>
                <w:color w:val="auto"/>
                <w:kern w:val="0"/>
                <w:sz w:val="24"/>
                <w:highlight w:val="none"/>
                <w:lang w:eastAsia="zh-CN"/>
              </w:rPr>
            </w:pPr>
            <w:r>
              <w:rPr>
                <w:rFonts w:hint="default" w:ascii="Times New Roman" w:hAnsi="Times New Roman" w:cs="Times New Roman"/>
                <w:b/>
                <w:bCs/>
                <w:color w:val="auto"/>
                <w:kern w:val="0"/>
                <w:sz w:val="24"/>
                <w:highlight w:val="none"/>
                <w:lang w:eastAsia="zh-CN"/>
              </w:rPr>
              <w:t>规划情况</w:t>
            </w:r>
          </w:p>
        </w:tc>
        <w:tc>
          <w:tcPr>
            <w:tcW w:w="8563" w:type="dxa"/>
            <w:gridSpan w:val="4"/>
            <w:tcBorders>
              <w:tl2br w:val="nil"/>
              <w:tr2bl w:val="nil"/>
            </w:tcBorders>
            <w:vAlign w:val="center"/>
          </w:tcPr>
          <w:p w14:paraId="1A6B0DD6">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imes New Roman" w:hAnsi="Times New Roman" w:eastAsia="宋体" w:cs="Times New Roman"/>
                <w:color w:val="auto"/>
                <w:kern w:val="16"/>
                <w:sz w:val="24"/>
                <w:szCs w:val="24"/>
                <w:highlight w:val="none"/>
                <w:lang w:val="en-US" w:eastAsia="zh-CN" w:bidi="ar-SA"/>
              </w:rPr>
            </w:pPr>
            <w:r>
              <w:rPr>
                <w:rFonts w:hint="default" w:ascii="Times New Roman" w:hAnsi="Times New Roman" w:eastAsia="宋体" w:cs="Times New Roman"/>
                <w:b/>
                <w:bCs/>
                <w:color w:val="auto"/>
                <w:kern w:val="16"/>
                <w:sz w:val="24"/>
                <w:szCs w:val="24"/>
                <w:highlight w:val="none"/>
                <w:lang w:val="en-US" w:eastAsia="zh-CN" w:bidi="ar-SA"/>
              </w:rPr>
              <w:t>规划名称：</w:t>
            </w:r>
            <w:r>
              <w:rPr>
                <w:rFonts w:hint="default" w:ascii="Times New Roman" w:hAnsi="Times New Roman" w:eastAsia="宋体" w:cs="Times New Roman"/>
                <w:color w:val="auto"/>
                <w:kern w:val="16"/>
                <w:sz w:val="24"/>
                <w:szCs w:val="24"/>
                <w:highlight w:val="none"/>
                <w:lang w:val="en-US" w:eastAsia="zh-CN" w:bidi="ar-SA"/>
              </w:rPr>
              <w:t>《宁夏</w:t>
            </w:r>
            <w:r>
              <w:rPr>
                <w:rFonts w:hint="default" w:ascii="Times New Roman" w:hAnsi="Times New Roman" w:cs="Times New Roman"/>
                <w:color w:val="auto"/>
                <w:kern w:val="16"/>
                <w:sz w:val="24"/>
                <w:szCs w:val="24"/>
                <w:highlight w:val="none"/>
                <w:lang w:val="en-US" w:eastAsia="zh-CN" w:bidi="ar-SA"/>
              </w:rPr>
              <w:t>回族自治区</w:t>
            </w:r>
            <w:r>
              <w:rPr>
                <w:rFonts w:hint="default" w:ascii="Times New Roman" w:hAnsi="Times New Roman" w:eastAsia="宋体" w:cs="Times New Roman"/>
                <w:color w:val="auto"/>
                <w:kern w:val="16"/>
                <w:sz w:val="24"/>
                <w:szCs w:val="24"/>
                <w:highlight w:val="none"/>
                <w:lang w:val="en-US" w:eastAsia="zh-CN" w:bidi="ar-SA"/>
              </w:rPr>
              <w:t>水安全保障“十四五”规划》</w:t>
            </w:r>
          </w:p>
          <w:p w14:paraId="79CB8673">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imes New Roman" w:hAnsi="Times New Roman" w:eastAsia="宋体" w:cs="Times New Roman"/>
                <w:color w:val="auto"/>
                <w:kern w:val="16"/>
                <w:sz w:val="24"/>
                <w:szCs w:val="24"/>
                <w:highlight w:val="none"/>
                <w:lang w:val="en-US" w:eastAsia="zh-CN" w:bidi="ar-SA"/>
              </w:rPr>
            </w:pPr>
            <w:r>
              <w:rPr>
                <w:rFonts w:hint="default" w:ascii="Times New Roman" w:hAnsi="Times New Roman" w:eastAsia="宋体" w:cs="Times New Roman"/>
                <w:b/>
                <w:bCs/>
                <w:color w:val="auto"/>
                <w:kern w:val="16"/>
                <w:sz w:val="24"/>
                <w:szCs w:val="24"/>
                <w:highlight w:val="none"/>
                <w:lang w:val="en-US" w:eastAsia="zh-CN" w:bidi="ar-SA"/>
              </w:rPr>
              <w:t>审批机关：</w:t>
            </w:r>
            <w:r>
              <w:rPr>
                <w:rFonts w:hint="default" w:ascii="Times New Roman" w:hAnsi="Times New Roman" w:cs="Times New Roman"/>
                <w:color w:val="auto"/>
                <w:kern w:val="16"/>
                <w:sz w:val="24"/>
                <w:szCs w:val="24"/>
                <w:highlight w:val="none"/>
                <w:lang w:val="en-US" w:eastAsia="zh-CN" w:bidi="ar-SA"/>
              </w:rPr>
              <w:t>宁夏回族自治区人民政府办公厅</w:t>
            </w:r>
          </w:p>
          <w:p w14:paraId="4D72E0BB">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b/>
                <w:bCs/>
                <w:color w:val="auto"/>
                <w:kern w:val="16"/>
                <w:sz w:val="24"/>
                <w:szCs w:val="24"/>
                <w:highlight w:val="none"/>
                <w:lang w:val="en-US" w:eastAsia="zh-CN" w:bidi="ar-SA"/>
              </w:rPr>
              <w:t>审批机关：</w:t>
            </w:r>
            <w:r>
              <w:rPr>
                <w:rFonts w:hint="default" w:ascii="Times New Roman" w:hAnsi="Times New Roman" w:eastAsia="宋体" w:cs="Times New Roman"/>
                <w:color w:val="auto"/>
                <w:kern w:val="16"/>
                <w:sz w:val="24"/>
                <w:szCs w:val="24"/>
                <w:highlight w:val="none"/>
                <w:lang w:val="en-US" w:eastAsia="zh-CN" w:bidi="ar-SA"/>
              </w:rPr>
              <w:t>自治区人民政府办公厅《关于印发宁夏回族自治区水安全保障“十四五”规划的通知》（宁政办发〔2021〕82号）</w:t>
            </w:r>
          </w:p>
        </w:tc>
      </w:tr>
      <w:tr w14:paraId="3601CD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5" w:type="dxa"/>
            <w:tcBorders>
              <w:tl2br w:val="nil"/>
              <w:tr2bl w:val="nil"/>
            </w:tcBorders>
            <w:vAlign w:val="center"/>
          </w:tcPr>
          <w:p w14:paraId="61524CF8">
            <w:pPr>
              <w:keepNext w:val="0"/>
              <w:keepLines w:val="0"/>
              <w:pageBreakBefore w:val="0"/>
              <w:kinsoku/>
              <w:wordWrap/>
              <w:topLinePunct w:val="0"/>
              <w:autoSpaceDE w:val="0"/>
              <w:autoSpaceDN w:val="0"/>
              <w:bidi w:val="0"/>
              <w:adjustRightInd w:val="0"/>
              <w:snapToGrid w:val="0"/>
              <w:jc w:val="center"/>
              <w:textAlignment w:val="auto"/>
              <w:rPr>
                <w:rFonts w:hint="default" w:ascii="Times New Roman" w:hAnsi="Times New Roman" w:eastAsia="宋体" w:cs="Times New Roman"/>
                <w:b/>
                <w:bCs/>
                <w:color w:val="auto"/>
                <w:kern w:val="0"/>
                <w:sz w:val="24"/>
                <w:highlight w:val="none"/>
                <w:lang w:eastAsia="zh-CN"/>
              </w:rPr>
            </w:pPr>
            <w:r>
              <w:rPr>
                <w:rFonts w:hint="default" w:ascii="Times New Roman" w:hAnsi="Times New Roman" w:cs="Times New Roman"/>
                <w:b/>
                <w:bCs/>
                <w:color w:val="auto"/>
                <w:kern w:val="0"/>
                <w:sz w:val="24"/>
                <w:highlight w:val="none"/>
                <w:lang w:eastAsia="zh-CN"/>
              </w:rPr>
              <w:t>规划环境影响评价情况</w:t>
            </w:r>
          </w:p>
        </w:tc>
        <w:tc>
          <w:tcPr>
            <w:tcW w:w="8563" w:type="dxa"/>
            <w:gridSpan w:val="4"/>
            <w:tcBorders>
              <w:tl2br w:val="nil"/>
              <w:tr2bl w:val="nil"/>
            </w:tcBorders>
            <w:vAlign w:val="center"/>
          </w:tcPr>
          <w:p w14:paraId="3B23A97A">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宋体" w:cs="Times New Roman"/>
                <w:color w:val="auto"/>
                <w:kern w:val="16"/>
                <w:sz w:val="24"/>
                <w:szCs w:val="24"/>
                <w:highlight w:val="none"/>
                <w:lang w:val="en-US" w:eastAsia="zh-CN" w:bidi="ar-SA"/>
              </w:rPr>
            </w:pPr>
            <w:r>
              <w:rPr>
                <w:rFonts w:hint="default" w:ascii="Times New Roman" w:hAnsi="Times New Roman" w:eastAsia="宋体" w:cs="Times New Roman"/>
                <w:color w:val="auto"/>
                <w:spacing w:val="-6"/>
                <w:kern w:val="16"/>
                <w:sz w:val="24"/>
                <w:szCs w:val="24"/>
                <w:highlight w:val="none"/>
                <w:lang w:val="en-US" w:eastAsia="zh-CN" w:bidi="ar-SA"/>
              </w:rPr>
              <w:t>规划环</w:t>
            </w:r>
            <w:r>
              <w:rPr>
                <w:rFonts w:hint="default" w:ascii="Times New Roman" w:hAnsi="Times New Roman" w:eastAsia="宋体" w:cs="Times New Roman"/>
                <w:color w:val="auto"/>
                <w:kern w:val="16"/>
                <w:sz w:val="24"/>
                <w:szCs w:val="24"/>
                <w:highlight w:val="none"/>
                <w:lang w:val="en-US" w:eastAsia="zh-CN" w:bidi="ar-SA"/>
              </w:rPr>
              <w:t>境影响评价文件名称：《宁夏水安全保障“十四五”规划环境影响报告书》</w:t>
            </w:r>
          </w:p>
          <w:p w14:paraId="2A214188">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16"/>
                <w:sz w:val="24"/>
                <w:szCs w:val="24"/>
                <w:highlight w:val="none"/>
                <w:lang w:val="en-US" w:eastAsia="zh-CN" w:bidi="ar-SA"/>
              </w:rPr>
            </w:pPr>
            <w:r>
              <w:rPr>
                <w:rFonts w:hint="default" w:ascii="Times New Roman" w:hAnsi="Times New Roman" w:eastAsia="宋体" w:cs="Times New Roman"/>
                <w:color w:val="auto"/>
                <w:kern w:val="16"/>
                <w:sz w:val="24"/>
                <w:szCs w:val="24"/>
                <w:highlight w:val="none"/>
                <w:lang w:val="en-US" w:eastAsia="zh-CN" w:bidi="ar-SA"/>
              </w:rPr>
              <w:t>审查机关：自治区生态环境厅</w:t>
            </w:r>
          </w:p>
          <w:p w14:paraId="716196C2">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highlight w:val="none"/>
                <w:lang w:eastAsia="zh-CN"/>
              </w:rPr>
            </w:pPr>
            <w:r>
              <w:rPr>
                <w:rFonts w:hint="default" w:ascii="Times New Roman" w:hAnsi="Times New Roman" w:eastAsia="宋体" w:cs="Times New Roman"/>
                <w:color w:val="auto"/>
                <w:kern w:val="16"/>
                <w:sz w:val="24"/>
                <w:szCs w:val="24"/>
                <w:highlight w:val="none"/>
                <w:lang w:val="en-US" w:eastAsia="zh-CN" w:bidi="ar-SA"/>
              </w:rPr>
              <w:t>审查文件名称及文号：自治区生态环境厅关于《宁夏水安全保障“十四五”规划环境影响报告书》审查意见的函（宁环函〔2021〕721号）</w:t>
            </w:r>
          </w:p>
        </w:tc>
      </w:tr>
      <w:tr w14:paraId="491081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5" w:type="dxa"/>
            <w:tcBorders>
              <w:tl2br w:val="nil"/>
              <w:tr2bl w:val="nil"/>
            </w:tcBorders>
            <w:vAlign w:val="center"/>
          </w:tcPr>
          <w:p w14:paraId="1CD6779B">
            <w:pPr>
              <w:keepNext w:val="0"/>
              <w:keepLines w:val="0"/>
              <w:pageBreakBefore w:val="0"/>
              <w:kinsoku/>
              <w:wordWrap/>
              <w:topLinePunct w:val="0"/>
              <w:autoSpaceDE w:val="0"/>
              <w:autoSpaceDN w:val="0"/>
              <w:bidi w:val="0"/>
              <w:adjustRightInd w:val="0"/>
              <w:snapToGrid w:val="0"/>
              <w:jc w:val="center"/>
              <w:textAlignment w:val="auto"/>
              <w:rPr>
                <w:rFonts w:hint="default" w:ascii="Times New Roman" w:hAnsi="Times New Roman" w:eastAsia="宋体" w:cs="Times New Roman"/>
                <w:b/>
                <w:bCs/>
                <w:color w:val="auto"/>
                <w:kern w:val="0"/>
                <w:sz w:val="24"/>
                <w:highlight w:val="none"/>
                <w:lang w:eastAsia="zh-CN"/>
              </w:rPr>
            </w:pPr>
            <w:r>
              <w:rPr>
                <w:rFonts w:hint="default" w:ascii="Times New Roman" w:hAnsi="Times New Roman" w:cs="Times New Roman"/>
                <w:b/>
                <w:bCs/>
                <w:color w:val="auto"/>
                <w:kern w:val="0"/>
                <w:sz w:val="24"/>
                <w:highlight w:val="none"/>
                <w:lang w:eastAsia="zh-CN"/>
              </w:rPr>
              <w:t>规划及规划环境影响评价符合性分析</w:t>
            </w:r>
          </w:p>
          <w:p w14:paraId="41162D90">
            <w:pPr>
              <w:keepNext w:val="0"/>
              <w:keepLines w:val="0"/>
              <w:pageBreakBefore w:val="0"/>
              <w:kinsoku/>
              <w:wordWrap/>
              <w:topLinePunct w:val="0"/>
              <w:bidi w:val="0"/>
              <w:textAlignment w:val="auto"/>
              <w:rPr>
                <w:rFonts w:hint="default" w:ascii="Times New Roman" w:hAnsi="Times New Roman" w:cs="Times New Roman"/>
                <w:color w:val="auto"/>
                <w:highlight w:val="none"/>
              </w:rPr>
            </w:pPr>
          </w:p>
        </w:tc>
        <w:tc>
          <w:tcPr>
            <w:tcW w:w="8563" w:type="dxa"/>
            <w:gridSpan w:val="4"/>
            <w:tcBorders>
              <w:tl2br w:val="nil"/>
              <w:tr2bl w:val="nil"/>
            </w:tcBorders>
            <w:vAlign w:val="center"/>
          </w:tcPr>
          <w:p w14:paraId="590FD58C">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宋体" w:cs="Times New Roman"/>
                <w:b/>
                <w:bCs/>
                <w:color w:val="auto"/>
                <w:spacing w:val="-6"/>
                <w:kern w:val="16"/>
                <w:sz w:val="24"/>
                <w:szCs w:val="24"/>
                <w:highlight w:val="none"/>
                <w:lang w:val="en-US" w:eastAsia="zh-CN" w:bidi="ar-SA"/>
              </w:rPr>
            </w:pPr>
            <w:r>
              <w:rPr>
                <w:rFonts w:hint="default" w:ascii="Times New Roman" w:hAnsi="Times New Roman" w:eastAsia="黑体" w:cs="Times New Roman"/>
                <w:b w:val="0"/>
                <w:bCs w:val="0"/>
                <w:color w:val="auto"/>
                <w:spacing w:val="-6"/>
                <w:kern w:val="16"/>
                <w:sz w:val="24"/>
                <w:szCs w:val="24"/>
                <w:highlight w:val="none"/>
                <w:lang w:val="en-US" w:eastAsia="zh-CN" w:bidi="ar-SA"/>
              </w:rPr>
              <w:t>1、与《宁夏水安全保障“十四五”规划》的符合性</w:t>
            </w:r>
          </w:p>
          <w:p w14:paraId="4F7C9ADD">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宋体" w:cs="Times New Roman"/>
                <w:color w:val="auto"/>
                <w:spacing w:val="-6"/>
                <w:kern w:val="16"/>
                <w:sz w:val="24"/>
                <w:szCs w:val="24"/>
                <w:highlight w:val="none"/>
                <w:lang w:val="en-US" w:eastAsia="zh-CN" w:bidi="ar-SA"/>
              </w:rPr>
            </w:pPr>
            <w:r>
              <w:rPr>
                <w:rFonts w:hint="default" w:ascii="Times New Roman" w:hAnsi="Times New Roman" w:eastAsia="宋体" w:cs="Times New Roman"/>
                <w:color w:val="auto"/>
                <w:spacing w:val="-6"/>
                <w:kern w:val="16"/>
                <w:sz w:val="24"/>
                <w:szCs w:val="24"/>
                <w:highlight w:val="none"/>
                <w:lang w:val="en-US" w:eastAsia="zh-CN" w:bidi="ar-SA"/>
              </w:rPr>
              <w:t>根据《宁夏水安全保障“十四五”规划》第</w:t>
            </w:r>
            <w:r>
              <w:rPr>
                <w:rFonts w:hint="default" w:ascii="Times New Roman" w:hAnsi="Times New Roman" w:cs="Times New Roman"/>
                <w:color w:val="auto"/>
                <w:spacing w:val="-6"/>
                <w:kern w:val="16"/>
                <w:sz w:val="24"/>
                <w:szCs w:val="24"/>
                <w:highlight w:val="none"/>
                <w:lang w:val="en-US" w:eastAsia="zh-CN" w:bidi="ar-SA"/>
              </w:rPr>
              <w:t>五</w:t>
            </w:r>
            <w:r>
              <w:rPr>
                <w:rFonts w:hint="default" w:ascii="Times New Roman" w:hAnsi="Times New Roman" w:eastAsia="宋体" w:cs="Times New Roman"/>
                <w:color w:val="auto"/>
                <w:spacing w:val="-6"/>
                <w:kern w:val="16"/>
                <w:sz w:val="24"/>
                <w:szCs w:val="24"/>
                <w:highlight w:val="none"/>
                <w:lang w:val="en-US" w:eastAsia="zh-CN" w:bidi="ar-SA"/>
              </w:rPr>
              <w:t>章第</w:t>
            </w:r>
            <w:r>
              <w:rPr>
                <w:rFonts w:hint="default" w:ascii="Times New Roman" w:hAnsi="Times New Roman" w:cs="Times New Roman"/>
                <w:color w:val="auto"/>
                <w:spacing w:val="-6"/>
                <w:kern w:val="16"/>
                <w:sz w:val="24"/>
                <w:szCs w:val="24"/>
                <w:highlight w:val="none"/>
                <w:lang w:val="en-US" w:eastAsia="zh-CN" w:bidi="ar-SA"/>
              </w:rPr>
              <w:t>一</w:t>
            </w:r>
            <w:r>
              <w:rPr>
                <w:rFonts w:hint="default" w:ascii="Times New Roman" w:hAnsi="Times New Roman" w:eastAsia="宋体" w:cs="Times New Roman"/>
                <w:color w:val="auto"/>
                <w:spacing w:val="-6"/>
                <w:kern w:val="16"/>
                <w:sz w:val="24"/>
                <w:szCs w:val="24"/>
                <w:highlight w:val="none"/>
                <w:lang w:val="en-US" w:eastAsia="zh-CN" w:bidi="ar-SA"/>
              </w:rPr>
              <w:t>节：完善河道控导。坚持疏导结合，加强黄河薄弱堤岸和隐患河段治理，提升主槽排洪输沙功能，有效控制游荡性河段河势。实施河道整治工程，新建及加固坝垛、护岸工程，进一步归顺中水流路，减少主流摆动范围，改善不利河势，消除防洪隐患。</w:t>
            </w:r>
          </w:p>
          <w:p w14:paraId="53F8297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6"/>
                <w:kern w:val="16"/>
                <w:sz w:val="24"/>
                <w:szCs w:val="24"/>
                <w:highlight w:val="none"/>
                <w:lang w:val="en-US" w:eastAsia="zh-CN" w:bidi="ar-SA"/>
              </w:rPr>
            </w:pPr>
            <w:r>
              <w:rPr>
                <w:rFonts w:hint="default" w:ascii="Times New Roman" w:hAnsi="Times New Roman" w:eastAsia="宋体" w:cs="Times New Roman"/>
                <w:color w:val="auto"/>
                <w:kern w:val="16"/>
                <w:sz w:val="24"/>
                <w:szCs w:val="24"/>
                <w:highlight w:val="none"/>
                <w:lang w:val="en-US" w:eastAsia="zh-CN" w:bidi="ar-SA"/>
              </w:rPr>
              <w:t>本项目主要</w:t>
            </w:r>
            <w:r>
              <w:rPr>
                <w:rFonts w:hint="default" w:ascii="Times New Roman" w:hAnsi="Times New Roman" w:cs="Times New Roman"/>
                <w:color w:val="auto"/>
                <w:kern w:val="16"/>
                <w:sz w:val="24"/>
                <w:szCs w:val="24"/>
                <w:highlight w:val="none"/>
                <w:lang w:val="en-US" w:eastAsia="zh-CN" w:bidi="ar-SA"/>
              </w:rPr>
              <w:t>为中卫市沙坡头区高崖沟综合治理工程，新建</w:t>
            </w:r>
            <w:r>
              <w:rPr>
                <w:rFonts w:hint="default" w:ascii="Times New Roman" w:hAnsi="Times New Roman" w:cs="Times New Roman"/>
                <w:color w:val="auto"/>
                <w:sz w:val="24"/>
                <w:highlight w:val="none"/>
                <w:lang w:val="en-US" w:eastAsia="zh-CN"/>
              </w:rPr>
              <w:t>护岸22.6km；河道清淤疏浚6km；新建巡护道路20.2km</w:t>
            </w:r>
            <w:r>
              <w:rPr>
                <w:rFonts w:hint="eastAsia" w:cs="Times New Roman"/>
                <w:color w:val="auto"/>
                <w:sz w:val="24"/>
                <w:highlight w:val="none"/>
                <w:lang w:val="en-US" w:eastAsia="zh-CN"/>
              </w:rPr>
              <w:t>，布设自动雨量站8座，视频水位一体化监测站5座，河道水情监测站4座。</w:t>
            </w:r>
            <w:r>
              <w:rPr>
                <w:rFonts w:hint="default" w:ascii="Times New Roman" w:hAnsi="Times New Roman" w:cs="Times New Roman"/>
                <w:color w:val="auto"/>
                <w:sz w:val="24"/>
                <w:highlight w:val="none"/>
                <w:lang w:val="en-US" w:eastAsia="zh-CN"/>
              </w:rPr>
              <w:t>项目实施后现状河道将更加顺直</w:t>
            </w:r>
            <w:r>
              <w:rPr>
                <w:rFonts w:hint="eastAsia" w:cs="Times New Roman"/>
                <w:color w:val="auto"/>
                <w:sz w:val="24"/>
                <w:highlight w:val="none"/>
                <w:lang w:val="en-US" w:eastAsia="zh-CN"/>
              </w:rPr>
              <w:t>且护</w:t>
            </w:r>
            <w:r>
              <w:rPr>
                <w:rFonts w:hint="default" w:ascii="Times New Roman" w:hAnsi="Times New Roman" w:cs="Times New Roman"/>
                <w:color w:val="auto"/>
                <w:sz w:val="24"/>
                <w:highlight w:val="none"/>
                <w:lang w:val="en-US" w:eastAsia="zh-CN"/>
              </w:rPr>
              <w:t>岸更加稳固，</w:t>
            </w:r>
            <w:r>
              <w:rPr>
                <w:rFonts w:hint="default" w:ascii="Times New Roman" w:hAnsi="Times New Roman" w:cs="Times New Roman"/>
                <w:color w:val="auto"/>
                <w:kern w:val="16"/>
                <w:sz w:val="24"/>
                <w:szCs w:val="24"/>
                <w:highlight w:val="none"/>
                <w:lang w:val="en-US" w:eastAsia="zh-CN" w:bidi="ar-SA"/>
              </w:rPr>
              <w:t>增加沟道行洪能力的同时</w:t>
            </w:r>
            <w:r>
              <w:rPr>
                <w:rFonts w:hint="default" w:ascii="Times New Roman" w:hAnsi="Times New Roman" w:eastAsia="宋体" w:cs="Times New Roman"/>
                <w:color w:val="auto"/>
                <w:kern w:val="16"/>
                <w:sz w:val="24"/>
                <w:szCs w:val="24"/>
                <w:highlight w:val="none"/>
                <w:lang w:val="en-US" w:eastAsia="zh-CN" w:bidi="ar-SA"/>
              </w:rPr>
              <w:t>消除了洪水翻堤威胁，保护两岸耕地安全，符合《宁夏水安全保障“十四五”规划》</w:t>
            </w:r>
            <w:r>
              <w:rPr>
                <w:rFonts w:hint="default" w:ascii="Times New Roman" w:hAnsi="Times New Roman" w:cs="Times New Roman"/>
                <w:color w:val="auto"/>
                <w:kern w:val="16"/>
                <w:sz w:val="24"/>
                <w:szCs w:val="24"/>
                <w:highlight w:val="none"/>
                <w:lang w:val="en-US" w:eastAsia="zh-CN" w:bidi="ar-SA"/>
              </w:rPr>
              <w:t>相关要求</w:t>
            </w:r>
            <w:r>
              <w:rPr>
                <w:rFonts w:hint="default" w:ascii="Times New Roman" w:hAnsi="Times New Roman" w:eastAsia="宋体" w:cs="Times New Roman"/>
                <w:color w:val="auto"/>
                <w:spacing w:val="-6"/>
                <w:kern w:val="16"/>
                <w:sz w:val="24"/>
                <w:szCs w:val="24"/>
                <w:highlight w:val="none"/>
                <w:lang w:val="en-US" w:eastAsia="zh-CN" w:bidi="ar-SA"/>
              </w:rPr>
              <w:t>。</w:t>
            </w:r>
          </w:p>
          <w:p w14:paraId="18CB4B68">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黑体" w:cs="Times New Roman"/>
                <w:b w:val="0"/>
                <w:bCs w:val="0"/>
                <w:color w:val="auto"/>
                <w:spacing w:val="-6"/>
                <w:kern w:val="16"/>
                <w:sz w:val="24"/>
                <w:szCs w:val="24"/>
                <w:highlight w:val="none"/>
                <w:lang w:val="en-US" w:eastAsia="zh-CN" w:bidi="ar-SA"/>
              </w:rPr>
            </w:pPr>
            <w:r>
              <w:rPr>
                <w:rFonts w:hint="default" w:ascii="Times New Roman" w:hAnsi="Times New Roman" w:eastAsia="黑体" w:cs="Times New Roman"/>
                <w:b w:val="0"/>
                <w:bCs w:val="0"/>
                <w:color w:val="auto"/>
                <w:spacing w:val="-6"/>
                <w:kern w:val="16"/>
                <w:sz w:val="24"/>
                <w:szCs w:val="24"/>
                <w:highlight w:val="none"/>
                <w:lang w:val="en-US" w:eastAsia="zh-CN" w:bidi="ar-SA"/>
              </w:rPr>
              <w:t>2、与《宁夏水安全保障“十四五”规划环境影响报告书》及审查意见符合性分析</w:t>
            </w:r>
          </w:p>
          <w:p w14:paraId="7E794C9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16"/>
                <w:sz w:val="24"/>
                <w:szCs w:val="24"/>
                <w:highlight w:val="none"/>
                <w:lang w:val="en-US" w:eastAsia="zh-CN" w:bidi="ar-SA"/>
              </w:rPr>
            </w:pPr>
            <w:r>
              <w:rPr>
                <w:rFonts w:hint="default" w:ascii="Times New Roman" w:hAnsi="Times New Roman" w:eastAsia="宋体" w:cs="Times New Roman"/>
                <w:color w:val="auto"/>
                <w:kern w:val="16"/>
                <w:sz w:val="24"/>
                <w:szCs w:val="24"/>
                <w:highlight w:val="none"/>
                <w:lang w:val="en-US" w:eastAsia="zh-CN" w:bidi="ar-SA"/>
              </w:rPr>
              <w:t>本项目与《宁夏水安全保障“十四五”规划环境影响报告书》符合性分析详见表</w:t>
            </w:r>
            <w:r>
              <w:rPr>
                <w:rFonts w:hint="default" w:ascii="Times New Roman" w:hAnsi="Times New Roman" w:cs="Times New Roman"/>
                <w:color w:val="auto"/>
                <w:kern w:val="16"/>
                <w:sz w:val="24"/>
                <w:szCs w:val="24"/>
                <w:highlight w:val="none"/>
                <w:lang w:val="en-US" w:eastAsia="zh-CN" w:bidi="ar-SA"/>
              </w:rPr>
              <w:t>1-</w:t>
            </w:r>
            <w:r>
              <w:rPr>
                <w:rFonts w:hint="default" w:ascii="Times New Roman" w:hAnsi="Times New Roman" w:eastAsia="宋体" w:cs="Times New Roman"/>
                <w:color w:val="auto"/>
                <w:kern w:val="16"/>
                <w:sz w:val="24"/>
                <w:szCs w:val="24"/>
                <w:highlight w:val="none"/>
                <w:lang w:val="en-US" w:eastAsia="zh-CN" w:bidi="ar-SA"/>
              </w:rPr>
              <w:t>1。与《宁夏水安全保障“十四五”规划环境影响报告书》审查意见的符合性分析详见表</w:t>
            </w:r>
            <w:r>
              <w:rPr>
                <w:rFonts w:hint="default" w:ascii="Times New Roman" w:hAnsi="Times New Roman" w:cs="Times New Roman"/>
                <w:color w:val="auto"/>
                <w:kern w:val="16"/>
                <w:sz w:val="24"/>
                <w:szCs w:val="24"/>
                <w:highlight w:val="none"/>
                <w:lang w:val="en-US" w:eastAsia="zh-CN" w:bidi="ar-SA"/>
              </w:rPr>
              <w:t>1-</w:t>
            </w:r>
            <w:r>
              <w:rPr>
                <w:rFonts w:hint="default" w:ascii="Times New Roman" w:hAnsi="Times New Roman" w:eastAsia="宋体" w:cs="Times New Roman"/>
                <w:color w:val="auto"/>
                <w:kern w:val="16"/>
                <w:sz w:val="24"/>
                <w:szCs w:val="24"/>
                <w:highlight w:val="none"/>
                <w:lang w:val="en-US" w:eastAsia="zh-CN" w:bidi="ar-SA"/>
              </w:rPr>
              <w:t>2。</w:t>
            </w:r>
          </w:p>
          <w:p w14:paraId="7AC5F90C">
            <w:pPr>
              <w:pStyle w:val="9"/>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黑体" w:cs="Times New Roman"/>
                <w:bCs/>
                <w:color w:val="auto"/>
                <w:kern w:val="2"/>
                <w:sz w:val="24"/>
                <w:szCs w:val="24"/>
                <w:highlight w:val="none"/>
                <w:lang w:val="en-US" w:eastAsia="zh-CN" w:bidi="ar-SA"/>
              </w:rPr>
            </w:pPr>
            <w:bookmarkStart w:id="1" w:name="_Ref42843957"/>
            <w:r>
              <w:rPr>
                <w:rFonts w:hint="default" w:ascii="Times New Roman" w:hAnsi="Times New Roman" w:eastAsia="黑体" w:cs="Times New Roman"/>
                <w:bCs/>
                <w:color w:val="auto"/>
                <w:kern w:val="2"/>
                <w:sz w:val="24"/>
                <w:szCs w:val="24"/>
                <w:highlight w:val="none"/>
                <w:lang w:val="en-US" w:eastAsia="zh-CN" w:bidi="ar-SA"/>
              </w:rPr>
              <w:t>表</w:t>
            </w:r>
            <w:bookmarkEnd w:id="1"/>
            <w:r>
              <w:rPr>
                <w:rFonts w:hint="default" w:ascii="Times New Roman" w:hAnsi="Times New Roman" w:cs="Times New Roman"/>
                <w:bCs/>
                <w:color w:val="auto"/>
                <w:kern w:val="2"/>
                <w:sz w:val="24"/>
                <w:szCs w:val="24"/>
                <w:highlight w:val="none"/>
                <w:lang w:val="en-US" w:eastAsia="zh-CN" w:bidi="ar-SA"/>
              </w:rPr>
              <w:t xml:space="preserve">1-1  </w:t>
            </w:r>
            <w:r>
              <w:rPr>
                <w:rFonts w:hint="default" w:ascii="Times New Roman" w:hAnsi="Times New Roman" w:eastAsia="黑体" w:cs="Times New Roman"/>
                <w:bCs/>
                <w:color w:val="auto"/>
                <w:kern w:val="2"/>
                <w:sz w:val="24"/>
                <w:szCs w:val="24"/>
                <w:highlight w:val="none"/>
                <w:lang w:val="en-US" w:eastAsia="zh-CN" w:bidi="ar-SA"/>
              </w:rPr>
              <w:t>本</w:t>
            </w:r>
            <w:r>
              <w:rPr>
                <w:rFonts w:hint="default" w:ascii="Times New Roman" w:hAnsi="Times New Roman" w:cs="Times New Roman"/>
                <w:bCs/>
                <w:color w:val="auto"/>
                <w:kern w:val="2"/>
                <w:sz w:val="24"/>
                <w:szCs w:val="24"/>
                <w:highlight w:val="none"/>
                <w:lang w:val="en-US" w:eastAsia="zh-CN" w:bidi="ar-SA"/>
              </w:rPr>
              <w:t>项目</w:t>
            </w:r>
            <w:r>
              <w:rPr>
                <w:rFonts w:hint="default" w:ascii="Times New Roman" w:hAnsi="Times New Roman" w:eastAsia="黑体" w:cs="Times New Roman"/>
                <w:bCs/>
                <w:color w:val="auto"/>
                <w:kern w:val="2"/>
                <w:sz w:val="24"/>
                <w:szCs w:val="24"/>
                <w:highlight w:val="none"/>
                <w:lang w:val="en-US" w:eastAsia="zh-CN" w:bidi="ar-SA"/>
              </w:rPr>
              <w:t>与《宁夏水安全保障“十四五”规划环境影响报告书》的符合性</w:t>
            </w:r>
            <w:r>
              <w:rPr>
                <w:rFonts w:hint="default" w:ascii="Times New Roman" w:hAnsi="Times New Roman" w:cs="Times New Roman"/>
                <w:bCs/>
                <w:color w:val="auto"/>
                <w:kern w:val="2"/>
                <w:sz w:val="24"/>
                <w:szCs w:val="24"/>
                <w:highlight w:val="none"/>
                <w:lang w:val="en-US" w:eastAsia="zh-CN" w:bidi="ar-SA"/>
              </w:rPr>
              <w:t>分析一览表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1"/>
              <w:gridCol w:w="4407"/>
              <w:gridCol w:w="2811"/>
              <w:gridCol w:w="658"/>
            </w:tblGrid>
            <w:tr w14:paraId="2D3AEA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82" w:type="pct"/>
                  <w:tcBorders>
                    <w:tl2br w:val="nil"/>
                    <w:tr2bl w:val="nil"/>
                  </w:tcBorders>
                  <w:noWrap w:val="0"/>
                  <w:vAlign w:val="center"/>
                </w:tcPr>
                <w:p w14:paraId="474D29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2639" w:type="pct"/>
                  <w:tcBorders>
                    <w:tl2br w:val="nil"/>
                    <w:tr2bl w:val="nil"/>
                  </w:tcBorders>
                  <w:noWrap w:val="0"/>
                  <w:vAlign w:val="center"/>
                </w:tcPr>
                <w:p w14:paraId="754391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规划环评要求</w:t>
                  </w:r>
                </w:p>
              </w:tc>
              <w:tc>
                <w:tcPr>
                  <w:tcW w:w="1683" w:type="pct"/>
                  <w:tcBorders>
                    <w:tl2br w:val="nil"/>
                    <w:tr2bl w:val="nil"/>
                  </w:tcBorders>
                  <w:noWrap w:val="0"/>
                  <w:vAlign w:val="center"/>
                </w:tcPr>
                <w:p w14:paraId="6917D0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本工程具体情况</w:t>
                  </w:r>
                </w:p>
              </w:tc>
              <w:tc>
                <w:tcPr>
                  <w:tcW w:w="394" w:type="pct"/>
                  <w:tcBorders>
                    <w:tl2br w:val="nil"/>
                    <w:tr2bl w:val="nil"/>
                  </w:tcBorders>
                  <w:noWrap w:val="0"/>
                  <w:vAlign w:val="center"/>
                </w:tcPr>
                <w:p w14:paraId="78702B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是否符合</w:t>
                  </w:r>
                </w:p>
              </w:tc>
            </w:tr>
            <w:tr w14:paraId="52397A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2" w:type="pct"/>
                  <w:tcBorders>
                    <w:tl2br w:val="nil"/>
                    <w:tr2bl w:val="nil"/>
                  </w:tcBorders>
                  <w:noWrap w:val="0"/>
                  <w:vAlign w:val="center"/>
                </w:tcPr>
                <w:p w14:paraId="6FADA8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1</w:t>
                  </w:r>
                </w:p>
              </w:tc>
              <w:tc>
                <w:tcPr>
                  <w:tcW w:w="2639" w:type="pct"/>
                  <w:tcBorders>
                    <w:tl2br w:val="nil"/>
                    <w:tr2bl w:val="nil"/>
                  </w:tcBorders>
                  <w:noWrap w:val="0"/>
                  <w:vAlign w:val="center"/>
                </w:tcPr>
                <w:p w14:paraId="592E02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空间布局约束：</w:t>
                  </w:r>
                </w:p>
                <w:p w14:paraId="5781C723">
                  <w:pPr>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项目的永久、临时占地（包括水库淹没区）原则上不占用生态保护红线、自然保护地、饮用水水源保护区、水产种质资源保护区等各类环境敏感区。</w:t>
                  </w:r>
                </w:p>
                <w:p w14:paraId="016A5491">
                  <w:pPr>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确实无法避让、需占用环境敏感区的，应符合相关法律法规要求，并采取有效的恢复和补偿措施。</w:t>
                  </w:r>
                </w:p>
                <w:p w14:paraId="5C508C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lang w:val="en-US" w:eastAsia="zh-CN"/>
                    </w:rPr>
                    <w:t>3.项目占用耕地、林地等应符合相关法律法规、规划、政策要求，并采取必要的补偿措施。</w:t>
                  </w:r>
                </w:p>
              </w:tc>
              <w:tc>
                <w:tcPr>
                  <w:tcW w:w="1683" w:type="pct"/>
                  <w:tcBorders>
                    <w:tl2br w:val="nil"/>
                    <w:tr2bl w:val="nil"/>
                  </w:tcBorders>
                  <w:noWrap w:val="0"/>
                  <w:vAlign w:val="center"/>
                </w:tcPr>
                <w:p w14:paraId="454AF2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w:t>
                  </w:r>
                  <w:r>
                    <w:rPr>
                      <w:rFonts w:hint="default" w:ascii="Times New Roman" w:hAnsi="Times New Roman" w:cs="Times New Roman"/>
                      <w:color w:val="auto"/>
                      <w:sz w:val="21"/>
                      <w:szCs w:val="21"/>
                      <w:highlight w:val="none"/>
                      <w:lang w:val="en-US" w:eastAsia="zh-CN"/>
                    </w:rPr>
                    <w:t>项目</w:t>
                  </w:r>
                  <w:r>
                    <w:rPr>
                      <w:rFonts w:hint="default" w:ascii="Times New Roman" w:hAnsi="Times New Roman" w:eastAsia="宋体" w:cs="Times New Roman"/>
                      <w:color w:val="auto"/>
                      <w:sz w:val="21"/>
                      <w:szCs w:val="21"/>
                      <w:highlight w:val="none"/>
                      <w:lang w:val="en-US" w:eastAsia="zh-CN"/>
                    </w:rPr>
                    <w:t>占地不涉及生态保护红线、自然保护地、饮用水水源保护区、水产种质资源保护区等各类环境敏感区。本次沟道治理工程</w:t>
                  </w:r>
                  <w:r>
                    <w:rPr>
                      <w:rFonts w:hint="default" w:ascii="Times New Roman" w:hAnsi="Times New Roman" w:cs="Times New Roman"/>
                      <w:color w:val="auto"/>
                      <w:sz w:val="21"/>
                      <w:szCs w:val="21"/>
                      <w:highlight w:val="none"/>
                      <w:lang w:val="en-US" w:eastAsia="zh-CN"/>
                    </w:rPr>
                    <w:t>及巡护道路均</w:t>
                  </w:r>
                  <w:r>
                    <w:rPr>
                      <w:rFonts w:hint="default" w:ascii="Times New Roman" w:hAnsi="Times New Roman" w:eastAsia="宋体" w:cs="Times New Roman"/>
                      <w:color w:val="auto"/>
                      <w:sz w:val="21"/>
                      <w:szCs w:val="21"/>
                      <w:highlight w:val="none"/>
                      <w:lang w:val="en-US" w:eastAsia="zh-CN"/>
                    </w:rPr>
                    <w:t>利用原有沟道</w:t>
                  </w:r>
                  <w:r>
                    <w:rPr>
                      <w:rFonts w:hint="eastAsia" w:cs="Times New Roman"/>
                      <w:color w:val="auto"/>
                      <w:sz w:val="21"/>
                      <w:szCs w:val="21"/>
                      <w:highlight w:val="none"/>
                      <w:lang w:val="en-US" w:eastAsia="zh-CN"/>
                    </w:rPr>
                    <w:t>及沟拜</w:t>
                  </w: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新增雨量站。水位站、水情站等均布设于现有高崖沟沟拜上，占地位于现有沟道占地管理范围内，</w:t>
                  </w:r>
                  <w:r>
                    <w:rPr>
                      <w:rFonts w:hint="default" w:ascii="Times New Roman" w:hAnsi="Times New Roman" w:eastAsia="宋体" w:cs="Times New Roman"/>
                      <w:color w:val="auto"/>
                      <w:sz w:val="21"/>
                      <w:szCs w:val="21"/>
                      <w:highlight w:val="none"/>
                      <w:lang w:val="en-US" w:eastAsia="zh-CN"/>
                    </w:rPr>
                    <w:t>故不增加占地</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临时占地共</w:t>
                  </w:r>
                  <w:r>
                    <w:rPr>
                      <w:rFonts w:hint="default" w:ascii="Times New Roman" w:hAnsi="Times New Roman" w:cs="Times New Roman"/>
                      <w:color w:val="auto"/>
                      <w:sz w:val="21"/>
                      <w:szCs w:val="21"/>
                      <w:highlight w:val="none"/>
                      <w:lang w:val="en-US" w:eastAsia="zh-CN"/>
                    </w:rPr>
                    <w:t>22800m²</w:t>
                  </w:r>
                  <w:r>
                    <w:rPr>
                      <w:rFonts w:hint="default" w:ascii="Times New Roman" w:hAnsi="Times New Roman" w:eastAsia="宋体" w:cs="Times New Roman"/>
                      <w:color w:val="auto"/>
                      <w:sz w:val="21"/>
                      <w:szCs w:val="21"/>
                      <w:highlight w:val="none"/>
                      <w:lang w:val="en-US" w:eastAsia="zh-CN"/>
                    </w:rPr>
                    <w:t>，主要为临时</w:t>
                  </w:r>
                  <w:r>
                    <w:rPr>
                      <w:rFonts w:hint="eastAsia" w:cs="Times New Roman"/>
                      <w:color w:val="auto"/>
                      <w:sz w:val="21"/>
                      <w:szCs w:val="21"/>
                      <w:highlight w:val="none"/>
                      <w:lang w:val="en-US" w:eastAsia="zh-CN"/>
                    </w:rPr>
                    <w:t>施工</w:t>
                  </w:r>
                  <w:r>
                    <w:rPr>
                      <w:rFonts w:hint="default" w:ascii="Times New Roman" w:hAnsi="Times New Roman" w:eastAsia="宋体" w:cs="Times New Roman"/>
                      <w:color w:val="auto"/>
                      <w:sz w:val="21"/>
                      <w:szCs w:val="21"/>
                      <w:highlight w:val="none"/>
                      <w:lang w:val="en-US" w:eastAsia="zh-CN"/>
                    </w:rPr>
                    <w:t>营地，均在沟道一侧管理范围内的空地处，占地类型</w:t>
                  </w:r>
                  <w:r>
                    <w:rPr>
                      <w:rFonts w:hint="eastAsia" w:cs="Times New Roman"/>
                      <w:color w:val="auto"/>
                      <w:sz w:val="21"/>
                      <w:szCs w:val="21"/>
                      <w:highlight w:val="none"/>
                      <w:lang w:val="en-US" w:eastAsia="zh-CN"/>
                    </w:rPr>
                    <w:t>主要包括草地及荒地</w:t>
                  </w:r>
                  <w:r>
                    <w:rPr>
                      <w:rFonts w:hint="default" w:ascii="Times New Roman" w:hAnsi="Times New Roman" w:eastAsia="宋体" w:cs="Times New Roman"/>
                      <w:color w:val="auto"/>
                      <w:sz w:val="21"/>
                      <w:szCs w:val="21"/>
                      <w:highlight w:val="none"/>
                      <w:lang w:val="en-US" w:eastAsia="zh-CN"/>
                    </w:rPr>
                    <w:t>。本项目施工结束后</w:t>
                  </w:r>
                  <w:r>
                    <w:rPr>
                      <w:rFonts w:hint="eastAsia" w:cs="Times New Roman"/>
                      <w:color w:val="auto"/>
                      <w:sz w:val="21"/>
                      <w:szCs w:val="21"/>
                      <w:highlight w:val="none"/>
                      <w:lang w:val="en-US" w:eastAsia="zh-CN"/>
                    </w:rPr>
                    <w:t>通过撒播种草恢复</w:t>
                  </w:r>
                  <w:r>
                    <w:rPr>
                      <w:rFonts w:hint="default" w:ascii="Times New Roman" w:hAnsi="Times New Roman" w:eastAsia="宋体" w:cs="Times New Roman"/>
                      <w:color w:val="auto"/>
                      <w:sz w:val="21"/>
                      <w:szCs w:val="21"/>
                      <w:highlight w:val="none"/>
                      <w:lang w:val="en-US" w:eastAsia="zh-CN"/>
                    </w:rPr>
                    <w:t>生态</w:t>
                  </w:r>
                  <w:r>
                    <w:rPr>
                      <w:rFonts w:hint="default" w:ascii="Times New Roman" w:hAnsi="Times New Roman" w:cs="Times New Roman"/>
                      <w:color w:val="auto"/>
                      <w:sz w:val="21"/>
                      <w:szCs w:val="21"/>
                      <w:highlight w:val="none"/>
                      <w:lang w:val="en-US" w:eastAsia="zh-CN"/>
                    </w:rPr>
                    <w:t>。</w:t>
                  </w:r>
                </w:p>
              </w:tc>
              <w:tc>
                <w:tcPr>
                  <w:tcW w:w="394" w:type="pct"/>
                  <w:tcBorders>
                    <w:tl2br w:val="nil"/>
                    <w:tr2bl w:val="nil"/>
                  </w:tcBorders>
                  <w:noWrap w:val="0"/>
                  <w:vAlign w:val="center"/>
                </w:tcPr>
                <w:p w14:paraId="45490E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符合</w:t>
                  </w:r>
                </w:p>
              </w:tc>
            </w:tr>
            <w:tr w14:paraId="20BA5A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82" w:type="pct"/>
                  <w:tcBorders>
                    <w:tl2br w:val="nil"/>
                    <w:tr2bl w:val="nil"/>
                  </w:tcBorders>
                  <w:noWrap w:val="0"/>
                  <w:vAlign w:val="center"/>
                </w:tcPr>
                <w:p w14:paraId="43062B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2</w:t>
                  </w:r>
                </w:p>
              </w:tc>
              <w:tc>
                <w:tcPr>
                  <w:tcW w:w="2639" w:type="pct"/>
                  <w:tcBorders>
                    <w:tl2br w:val="nil"/>
                    <w:tr2bl w:val="nil"/>
                  </w:tcBorders>
                  <w:noWrap w:val="0"/>
                  <w:vAlign w:val="center"/>
                </w:tcPr>
                <w:p w14:paraId="6A5CA1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污染物排放管控：</w:t>
                  </w:r>
                </w:p>
                <w:p w14:paraId="022FAF39">
                  <w:pPr>
                    <w:keepNext w:val="0"/>
                    <w:keepLines w:val="0"/>
                    <w:pageBreakBefore w:val="0"/>
                    <w:widowControl w:val="0"/>
                    <w:numPr>
                      <w:ilvl w:val="0"/>
                      <w:numId w:val="2"/>
                    </w:numPr>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项目的建设运行不新增主要水污染物排放，或主要水污染物排放量在相关河段或流域的水环境承载能力范围内。</w:t>
                  </w:r>
                </w:p>
                <w:p w14:paraId="589057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 因水资源开发和配置造成河段水量减少、对水污染物稀释扩散能力减弱的，应确保相关河段水质满足环境质量底线和水功能区要求。</w:t>
                  </w:r>
                </w:p>
              </w:tc>
              <w:tc>
                <w:tcPr>
                  <w:tcW w:w="1683" w:type="pct"/>
                  <w:tcBorders>
                    <w:tl2br w:val="nil"/>
                    <w:tr2bl w:val="nil"/>
                  </w:tcBorders>
                  <w:noWrap w:val="0"/>
                  <w:vAlign w:val="center"/>
                </w:tcPr>
                <w:p w14:paraId="557B85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本项目不新增水污染物排放，不新增取水口，满足环境质量底线和水功能区的要求</w:t>
                  </w:r>
                  <w:r>
                    <w:rPr>
                      <w:rFonts w:hint="default" w:ascii="Times New Roman" w:hAnsi="Times New Roman" w:eastAsia="宋体" w:cs="Times New Roman"/>
                      <w:color w:val="auto"/>
                      <w:sz w:val="21"/>
                      <w:szCs w:val="21"/>
                      <w:highlight w:val="none"/>
                      <w:lang w:val="en-US" w:eastAsia="zh-CN"/>
                    </w:rPr>
                    <w:t>。</w:t>
                  </w:r>
                </w:p>
              </w:tc>
              <w:tc>
                <w:tcPr>
                  <w:tcW w:w="394" w:type="pct"/>
                  <w:tcBorders>
                    <w:tl2br w:val="nil"/>
                    <w:tr2bl w:val="nil"/>
                  </w:tcBorders>
                  <w:noWrap w:val="0"/>
                  <w:vAlign w:val="center"/>
                </w:tcPr>
                <w:p w14:paraId="53FC15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292701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41" w:hRule="atLeast"/>
                <w:jc w:val="center"/>
              </w:trPr>
              <w:tc>
                <w:tcPr>
                  <w:tcW w:w="282" w:type="pct"/>
                  <w:tcBorders>
                    <w:tl2br w:val="nil"/>
                    <w:tr2bl w:val="nil"/>
                  </w:tcBorders>
                  <w:noWrap w:val="0"/>
                  <w:vAlign w:val="center"/>
                </w:tcPr>
                <w:p w14:paraId="6BC053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3</w:t>
                  </w:r>
                </w:p>
              </w:tc>
              <w:tc>
                <w:tcPr>
                  <w:tcW w:w="2639" w:type="pct"/>
                  <w:tcBorders>
                    <w:tl2br w:val="nil"/>
                    <w:tr2bl w:val="nil"/>
                  </w:tcBorders>
                  <w:noWrap w:val="0"/>
                  <w:vAlign w:val="center"/>
                </w:tcPr>
                <w:p w14:paraId="085BBD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bCs/>
                      <w:color w:val="auto"/>
                      <w:highlight w:val="none"/>
                      <w:lang w:val="en-US" w:eastAsia="zh-CN"/>
                    </w:rPr>
                    <w:t>资源利用效率要求：</w:t>
                  </w:r>
                </w:p>
                <w:p w14:paraId="0CAEE3B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 xml:space="preserve">1. </w:t>
                  </w:r>
                  <w:r>
                    <w:rPr>
                      <w:rFonts w:hint="default" w:ascii="Times New Roman" w:hAnsi="Times New Roman" w:eastAsia="宋体" w:cs="Times New Roman"/>
                      <w:color w:val="auto"/>
                      <w:highlight w:val="none"/>
                      <w:lang w:val="en-US" w:eastAsia="zh-CN"/>
                    </w:rPr>
                    <w:t>项目取水量须满足区域水资源利用上线和相关河湖基本生态水量控制要求。</w:t>
                  </w:r>
                </w:p>
                <w:p w14:paraId="738DF5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 坚持“以水定城、以水定地、以水定人、以水定产”的原则，在优先保障人居用水和生态环境用水的基础上，合理确定供水规模。</w:t>
                  </w:r>
                </w:p>
              </w:tc>
              <w:tc>
                <w:tcPr>
                  <w:tcW w:w="1683" w:type="pct"/>
                  <w:tcBorders>
                    <w:tl2br w:val="nil"/>
                    <w:tr2bl w:val="nil"/>
                  </w:tcBorders>
                  <w:noWrap w:val="0"/>
                  <w:vAlign w:val="center"/>
                </w:tcPr>
                <w:p w14:paraId="084BC9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sz w:val="21"/>
                      <w:szCs w:val="21"/>
                      <w:highlight w:val="none"/>
                      <w:lang w:val="en-US" w:eastAsia="zh-CN"/>
                    </w:rPr>
                    <w:t>本项目</w:t>
                  </w:r>
                  <w:r>
                    <w:rPr>
                      <w:rFonts w:hint="default" w:ascii="Times New Roman" w:hAnsi="Times New Roman" w:cs="Times New Roman"/>
                      <w:color w:val="auto"/>
                      <w:highlight w:val="none"/>
                      <w:lang w:val="en-US" w:eastAsia="zh-CN"/>
                    </w:rPr>
                    <w:t>施工人员住宿租用民房，生活用水由市政供水管网提供，施工用水由附近村庄拉运</w:t>
                  </w:r>
                  <w:r>
                    <w:rPr>
                      <w:rFonts w:hint="default" w:ascii="Times New Roman" w:hAnsi="Times New Roman" w:eastAsia="宋体" w:cs="Times New Roman"/>
                      <w:color w:val="auto"/>
                      <w:highlight w:val="none"/>
                      <w:lang w:val="en-US" w:eastAsia="zh-CN"/>
                    </w:rPr>
                    <w:t>。</w:t>
                  </w:r>
                </w:p>
              </w:tc>
              <w:tc>
                <w:tcPr>
                  <w:tcW w:w="394" w:type="pct"/>
                  <w:tcBorders>
                    <w:tl2br w:val="nil"/>
                    <w:tr2bl w:val="nil"/>
                  </w:tcBorders>
                  <w:noWrap w:val="0"/>
                  <w:vAlign w:val="center"/>
                </w:tcPr>
                <w:p w14:paraId="20E3B7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7AEFE3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82" w:type="pct"/>
                  <w:tcBorders>
                    <w:tl2br w:val="nil"/>
                    <w:tr2bl w:val="nil"/>
                  </w:tcBorders>
                  <w:noWrap w:val="0"/>
                  <w:vAlign w:val="center"/>
                </w:tcPr>
                <w:p w14:paraId="2D1AF0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4</w:t>
                  </w:r>
                </w:p>
              </w:tc>
              <w:tc>
                <w:tcPr>
                  <w:tcW w:w="2639" w:type="pct"/>
                  <w:tcBorders>
                    <w:tl2br w:val="nil"/>
                    <w:tr2bl w:val="nil"/>
                  </w:tcBorders>
                  <w:noWrap w:val="0"/>
                  <w:vAlign w:val="center"/>
                </w:tcPr>
                <w:p w14:paraId="0D1F23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环境风险防控：</w:t>
                  </w:r>
                </w:p>
                <w:p w14:paraId="2094DF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 项目建设不会影响现有饮用水水源地的供水能力和水质。</w:t>
                  </w:r>
                </w:p>
                <w:p w14:paraId="631263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 新建水源或取水口应采取有效的水污染风险防控措施。</w:t>
                  </w:r>
                </w:p>
              </w:tc>
              <w:tc>
                <w:tcPr>
                  <w:tcW w:w="1683" w:type="pct"/>
                  <w:tcBorders>
                    <w:tl2br w:val="nil"/>
                    <w:tr2bl w:val="nil"/>
                  </w:tcBorders>
                  <w:noWrap w:val="0"/>
                  <w:vAlign w:val="center"/>
                </w:tcPr>
                <w:p w14:paraId="61FEA8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lang w:val="en-US" w:eastAsia="zh-CN"/>
                    </w:rPr>
                    <w:t>不涉及饮用水水源地。</w:t>
                  </w:r>
                </w:p>
              </w:tc>
              <w:tc>
                <w:tcPr>
                  <w:tcW w:w="394" w:type="pct"/>
                  <w:tcBorders>
                    <w:tl2br w:val="nil"/>
                    <w:tr2bl w:val="nil"/>
                  </w:tcBorders>
                  <w:noWrap w:val="0"/>
                  <w:vAlign w:val="center"/>
                </w:tcPr>
                <w:p w14:paraId="00258C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583941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82" w:type="pct"/>
                  <w:tcBorders>
                    <w:tl2br w:val="nil"/>
                    <w:tr2bl w:val="nil"/>
                  </w:tcBorders>
                  <w:noWrap w:val="0"/>
                  <w:vAlign w:val="center"/>
                </w:tcPr>
                <w:p w14:paraId="2E33DB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5</w:t>
                  </w:r>
                </w:p>
              </w:tc>
              <w:tc>
                <w:tcPr>
                  <w:tcW w:w="2639" w:type="pct"/>
                  <w:tcBorders>
                    <w:tl2br w:val="nil"/>
                    <w:tr2bl w:val="nil"/>
                  </w:tcBorders>
                  <w:noWrap w:val="0"/>
                  <w:vAlign w:val="center"/>
                </w:tcPr>
                <w:p w14:paraId="382F76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建设项目环境影响评价阶段，应重点调查受保护的国家级和省级保护物种、珍稀濒危物种、地方特有物种和古树名木的类型、级别、分布、数量、保护状况等进行详细调查，明确影响性质与影响程度，尽量通过优化工程设计避让影响；对通过优化工程设计无法避让影响的，采取迁地保护措施进行保护。</w:t>
                  </w:r>
                </w:p>
              </w:tc>
              <w:tc>
                <w:tcPr>
                  <w:tcW w:w="1683" w:type="pct"/>
                  <w:tcBorders>
                    <w:tl2br w:val="nil"/>
                    <w:tr2bl w:val="nil"/>
                  </w:tcBorders>
                  <w:noWrap w:val="0"/>
                  <w:vAlign w:val="center"/>
                </w:tcPr>
                <w:p w14:paraId="11B084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本工程</w:t>
                  </w:r>
                  <w:r>
                    <w:rPr>
                      <w:rFonts w:hint="default" w:ascii="Times New Roman" w:hAnsi="Times New Roman" w:eastAsia="宋体" w:cs="Times New Roman"/>
                      <w:color w:val="auto"/>
                      <w:sz w:val="21"/>
                      <w:szCs w:val="21"/>
                      <w:highlight w:val="none"/>
                    </w:rPr>
                    <w:t>环评阶段通过资料查阅、实地踏勘、走访调查当地居民等，未发现拟建工程选址涉及国家级和省级保护物种、珍稀濒危物种、地方特有物种和古树名木。</w:t>
                  </w:r>
                </w:p>
              </w:tc>
              <w:tc>
                <w:tcPr>
                  <w:tcW w:w="394" w:type="pct"/>
                  <w:tcBorders>
                    <w:tl2br w:val="nil"/>
                    <w:tr2bl w:val="nil"/>
                  </w:tcBorders>
                  <w:noWrap w:val="0"/>
                  <w:vAlign w:val="center"/>
                </w:tcPr>
                <w:p w14:paraId="270D85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3B17CD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6" w:hRule="atLeast"/>
                <w:jc w:val="center"/>
              </w:trPr>
              <w:tc>
                <w:tcPr>
                  <w:tcW w:w="282" w:type="pct"/>
                  <w:tcBorders>
                    <w:tl2br w:val="nil"/>
                    <w:tr2bl w:val="nil"/>
                  </w:tcBorders>
                  <w:noWrap w:val="0"/>
                  <w:vAlign w:val="center"/>
                </w:tcPr>
                <w:p w14:paraId="2BA1CB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6</w:t>
                  </w:r>
                </w:p>
              </w:tc>
              <w:tc>
                <w:tcPr>
                  <w:tcW w:w="2639" w:type="pct"/>
                  <w:tcBorders>
                    <w:tl2br w:val="nil"/>
                    <w:tr2bl w:val="nil"/>
                  </w:tcBorders>
                  <w:noWrap w:val="0"/>
                  <w:vAlign w:val="center"/>
                </w:tcPr>
                <w:p w14:paraId="5E349C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 xml:space="preserve">施工阶段，应注意优化施工方案、采用先进施工工艺，尽量减小开挖、取料对地表的扰动，减少资源消耗；合理布置和规划施工场地及其他临时用地，临时堆料做到不占耕地，不影响河道行洪；采取工程措施和植物措施相结合的水土保持综合措施，以工程措施控制水土流失，必要时增加临时防护措施，以减少施工扰动产生的新增水土流失，并为植物措施的实施创造条件，对施工迹地进行绿化恢复；土石弃渣的堆放应遵循“先挡后弃”的原则，同时以植物措施与工程措施配套，提高水保效果，减少工程施工带来的新增水土流失量，恢复原有植被；对于涉及自然保护区、水土流失重点防治区、风景名胜区、湿地公园、水源地保护区等重要生态敏感区的施工区域，应保证施工效率和施工质量，做到施工快，效果好，临时占地少的原则。 </w:t>
                  </w:r>
                </w:p>
              </w:tc>
              <w:tc>
                <w:tcPr>
                  <w:tcW w:w="1683" w:type="pct"/>
                  <w:tcBorders>
                    <w:tl2br w:val="nil"/>
                    <w:tr2bl w:val="nil"/>
                  </w:tcBorders>
                  <w:noWrap w:val="0"/>
                  <w:vAlign w:val="center"/>
                </w:tcPr>
                <w:p w14:paraId="5DD784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对施工期提出优化施工方案，采用先进施工工艺，尽量减小开挖、取料对地表的扰动，合理布置和规划</w:t>
                  </w:r>
                  <w:r>
                    <w:rPr>
                      <w:rFonts w:hint="eastAsia" w:cs="Times New Roman"/>
                      <w:color w:val="auto"/>
                      <w:sz w:val="21"/>
                      <w:szCs w:val="21"/>
                      <w:highlight w:val="none"/>
                      <w:lang w:val="en-US" w:eastAsia="zh-CN"/>
                    </w:rPr>
                    <w:t>临时施工区</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尽可能避免占用耕地及草地，同时优化施工区内部布置，尽量少占地</w:t>
                  </w:r>
                  <w:r>
                    <w:rPr>
                      <w:rFonts w:hint="default" w:ascii="Times New Roman" w:hAnsi="Times New Roman" w:eastAsia="宋体" w:cs="Times New Roman"/>
                      <w:color w:val="auto"/>
                      <w:sz w:val="21"/>
                      <w:szCs w:val="21"/>
                      <w:highlight w:val="none"/>
                    </w:rPr>
                    <w:t>；采取工程措施、</w:t>
                  </w:r>
                  <w:r>
                    <w:rPr>
                      <w:rFonts w:hint="eastAsia" w:cs="Times New Roman"/>
                      <w:color w:val="auto"/>
                      <w:sz w:val="21"/>
                      <w:szCs w:val="21"/>
                      <w:highlight w:val="none"/>
                      <w:lang w:val="en-US" w:eastAsia="zh-CN"/>
                    </w:rPr>
                    <w:t>生态恢复</w:t>
                  </w:r>
                  <w:r>
                    <w:rPr>
                      <w:rFonts w:hint="default" w:ascii="Times New Roman" w:hAnsi="Times New Roman" w:eastAsia="宋体" w:cs="Times New Roman"/>
                      <w:color w:val="auto"/>
                      <w:sz w:val="21"/>
                      <w:szCs w:val="21"/>
                      <w:highlight w:val="none"/>
                    </w:rPr>
                    <w:t>措施、临时措施等相结合的水土保持综合措施，减少施工扰动产生的新增水土流失，对</w:t>
                  </w:r>
                  <w:r>
                    <w:rPr>
                      <w:rFonts w:hint="eastAsia" w:cs="Times New Roman"/>
                      <w:color w:val="auto"/>
                      <w:sz w:val="21"/>
                      <w:szCs w:val="21"/>
                      <w:highlight w:val="none"/>
                      <w:lang w:val="en-US" w:eastAsia="zh-CN"/>
                    </w:rPr>
                    <w:t>临时施工区施工结束后</w:t>
                  </w:r>
                  <w:r>
                    <w:rPr>
                      <w:rFonts w:hint="default" w:ascii="Times New Roman" w:hAnsi="Times New Roman" w:eastAsia="宋体" w:cs="Times New Roman"/>
                      <w:color w:val="auto"/>
                      <w:sz w:val="21"/>
                      <w:szCs w:val="21"/>
                      <w:highlight w:val="none"/>
                    </w:rPr>
                    <w:t>进行</w:t>
                  </w:r>
                  <w:r>
                    <w:rPr>
                      <w:rFonts w:hint="eastAsia" w:cs="Times New Roman"/>
                      <w:color w:val="auto"/>
                      <w:sz w:val="21"/>
                      <w:szCs w:val="21"/>
                      <w:highlight w:val="none"/>
                      <w:lang w:val="en-US" w:eastAsia="zh-CN"/>
                    </w:rPr>
                    <w:t>撒播种草生态</w:t>
                  </w:r>
                  <w:r>
                    <w:rPr>
                      <w:rFonts w:hint="default" w:ascii="Times New Roman" w:hAnsi="Times New Roman" w:eastAsia="宋体" w:cs="Times New Roman"/>
                      <w:color w:val="auto"/>
                      <w:sz w:val="21"/>
                      <w:szCs w:val="21"/>
                      <w:highlight w:val="none"/>
                    </w:rPr>
                    <w:t>恢复。</w:t>
                  </w:r>
                </w:p>
              </w:tc>
              <w:tc>
                <w:tcPr>
                  <w:tcW w:w="394" w:type="pct"/>
                  <w:tcBorders>
                    <w:tl2br w:val="nil"/>
                    <w:tr2bl w:val="nil"/>
                  </w:tcBorders>
                  <w:noWrap w:val="0"/>
                  <w:vAlign w:val="center"/>
                </w:tcPr>
                <w:p w14:paraId="74DAC8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14:paraId="02A69614">
            <w:pPr>
              <w:pStyle w:val="9"/>
              <w:keepNext w:val="0"/>
              <w:keepLines w:val="0"/>
              <w:pageBreakBefore w:val="0"/>
              <w:widowControl w:val="0"/>
              <w:kinsoku/>
              <w:wordWrap/>
              <w:overflowPunct/>
              <w:topLinePunct w:val="0"/>
              <w:autoSpaceDE/>
              <w:autoSpaceDN/>
              <w:bidi w:val="0"/>
              <w:adjustRightInd/>
              <w:snapToGrid/>
              <w:spacing w:before="0" w:after="0" w:line="400" w:lineRule="exact"/>
              <w:jc w:val="center"/>
              <w:textAlignment w:val="auto"/>
              <w:rPr>
                <w:rFonts w:hint="default" w:ascii="Times New Roman" w:hAnsi="Times New Roman" w:eastAsia="黑体" w:cs="Times New Roman"/>
                <w:bCs/>
                <w:color w:val="auto"/>
                <w:kern w:val="2"/>
                <w:sz w:val="24"/>
                <w:szCs w:val="24"/>
                <w:highlight w:val="none"/>
                <w:lang w:val="en-US" w:eastAsia="zh-CN" w:bidi="ar-SA"/>
              </w:rPr>
            </w:pPr>
            <w:r>
              <w:rPr>
                <w:rFonts w:hint="default" w:ascii="Times New Roman" w:hAnsi="Times New Roman" w:eastAsia="黑体" w:cs="Times New Roman"/>
                <w:bCs/>
                <w:color w:val="auto"/>
                <w:kern w:val="2"/>
                <w:sz w:val="24"/>
                <w:szCs w:val="24"/>
                <w:highlight w:val="none"/>
                <w:lang w:val="en-US" w:eastAsia="zh-CN" w:bidi="ar-SA"/>
              </w:rPr>
              <w:t>表</w:t>
            </w:r>
            <w:r>
              <w:rPr>
                <w:rFonts w:hint="default" w:ascii="Times New Roman" w:hAnsi="Times New Roman" w:cs="Times New Roman"/>
                <w:bCs/>
                <w:color w:val="auto"/>
                <w:kern w:val="2"/>
                <w:sz w:val="24"/>
                <w:szCs w:val="24"/>
                <w:highlight w:val="none"/>
                <w:lang w:val="en-US" w:eastAsia="zh-CN" w:bidi="ar-SA"/>
              </w:rPr>
              <w:t xml:space="preserve">1-2  </w:t>
            </w:r>
            <w:r>
              <w:rPr>
                <w:rFonts w:hint="default" w:ascii="Times New Roman" w:hAnsi="Times New Roman" w:eastAsia="黑体" w:cs="Times New Roman"/>
                <w:bCs/>
                <w:color w:val="auto"/>
                <w:kern w:val="2"/>
                <w:sz w:val="24"/>
                <w:szCs w:val="24"/>
                <w:highlight w:val="none"/>
                <w:lang w:val="en-US" w:eastAsia="zh-CN" w:bidi="ar-SA"/>
              </w:rPr>
              <w:t>本</w:t>
            </w:r>
            <w:r>
              <w:rPr>
                <w:rFonts w:hint="default" w:ascii="Times New Roman" w:hAnsi="Times New Roman" w:cs="Times New Roman"/>
                <w:bCs/>
                <w:color w:val="auto"/>
                <w:kern w:val="2"/>
                <w:sz w:val="24"/>
                <w:szCs w:val="24"/>
                <w:highlight w:val="none"/>
                <w:lang w:val="en-US" w:eastAsia="zh-CN" w:bidi="ar-SA"/>
              </w:rPr>
              <w:t>项目</w:t>
            </w:r>
            <w:r>
              <w:rPr>
                <w:rFonts w:hint="default" w:ascii="Times New Roman" w:hAnsi="Times New Roman" w:eastAsia="黑体" w:cs="Times New Roman"/>
                <w:bCs/>
                <w:color w:val="auto"/>
                <w:kern w:val="2"/>
                <w:sz w:val="24"/>
                <w:szCs w:val="24"/>
                <w:highlight w:val="none"/>
                <w:lang w:val="en-US" w:eastAsia="zh-CN" w:bidi="ar-SA"/>
              </w:rPr>
              <w:t>与《宁夏水安全保障“十四五”规划环境影响报告书》审查意见的符合性</w:t>
            </w:r>
            <w:r>
              <w:rPr>
                <w:rFonts w:hint="default" w:ascii="Times New Roman" w:hAnsi="Times New Roman" w:cs="Times New Roman"/>
                <w:bCs/>
                <w:color w:val="auto"/>
                <w:kern w:val="2"/>
                <w:sz w:val="24"/>
                <w:szCs w:val="24"/>
                <w:highlight w:val="none"/>
                <w:lang w:val="en-US" w:eastAsia="zh-CN" w:bidi="ar-SA"/>
              </w:rPr>
              <w:t>分析一览表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9"/>
              <w:gridCol w:w="3539"/>
              <w:gridCol w:w="3689"/>
              <w:gridCol w:w="690"/>
            </w:tblGrid>
            <w:tr w14:paraId="6E5CA5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57" w:type="pct"/>
                  <w:tcBorders>
                    <w:tl2br w:val="nil"/>
                    <w:tr2bl w:val="nil"/>
                  </w:tcBorders>
                  <w:noWrap w:val="0"/>
                  <w:vAlign w:val="center"/>
                </w:tcPr>
                <w:p w14:paraId="178D11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2119" w:type="pct"/>
                  <w:tcBorders>
                    <w:tl2br w:val="nil"/>
                    <w:tr2bl w:val="nil"/>
                  </w:tcBorders>
                  <w:noWrap w:val="0"/>
                  <w:vAlign w:val="center"/>
                </w:tcPr>
                <w:p w14:paraId="0F5323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规划环评要求</w:t>
                  </w:r>
                </w:p>
              </w:tc>
              <w:tc>
                <w:tcPr>
                  <w:tcW w:w="2209" w:type="pct"/>
                  <w:tcBorders>
                    <w:tl2br w:val="nil"/>
                    <w:tr2bl w:val="nil"/>
                  </w:tcBorders>
                  <w:noWrap w:val="0"/>
                  <w:vAlign w:val="center"/>
                </w:tcPr>
                <w:p w14:paraId="0B0085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本工程具体情况</w:t>
                  </w:r>
                </w:p>
              </w:tc>
              <w:tc>
                <w:tcPr>
                  <w:tcW w:w="413" w:type="pct"/>
                  <w:tcBorders>
                    <w:tl2br w:val="nil"/>
                    <w:tr2bl w:val="nil"/>
                  </w:tcBorders>
                  <w:noWrap w:val="0"/>
                  <w:vAlign w:val="center"/>
                </w:tcPr>
                <w:p w14:paraId="7404D4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是否符合</w:t>
                  </w:r>
                </w:p>
              </w:tc>
            </w:tr>
            <w:tr w14:paraId="506768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57" w:type="pct"/>
                  <w:tcBorders>
                    <w:tl2br w:val="nil"/>
                    <w:tr2bl w:val="nil"/>
                  </w:tcBorders>
                  <w:noWrap w:val="0"/>
                  <w:vAlign w:val="center"/>
                </w:tcPr>
                <w:p w14:paraId="401C43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1</w:t>
                  </w:r>
                </w:p>
              </w:tc>
              <w:tc>
                <w:tcPr>
                  <w:tcW w:w="2119" w:type="pct"/>
                  <w:tcBorders>
                    <w:tl2br w:val="nil"/>
                    <w:tr2bl w:val="nil"/>
                  </w:tcBorders>
                  <w:noWrap w:val="0"/>
                  <w:vAlign w:val="center"/>
                </w:tcPr>
                <w:p w14:paraId="4CC734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严守</w:t>
                  </w:r>
                  <w:r>
                    <w:rPr>
                      <w:rFonts w:hint="eastAsia" w:cs="Times New Roman"/>
                      <w:color w:val="auto"/>
                      <w:sz w:val="21"/>
                      <w:szCs w:val="21"/>
                      <w:highlight w:val="none"/>
                      <w:lang w:val="en-US" w:eastAsia="zh-CN"/>
                    </w:rPr>
                    <w:t>生态保护红线</w:t>
                  </w:r>
                  <w:r>
                    <w:rPr>
                      <w:rFonts w:hint="default" w:ascii="Times New Roman" w:hAnsi="Times New Roman" w:eastAsia="宋体" w:cs="Times New Roman"/>
                      <w:color w:val="auto"/>
                      <w:sz w:val="21"/>
                      <w:szCs w:val="21"/>
                      <w:highlight w:val="none"/>
                      <w:lang w:val="en-US" w:eastAsia="zh-CN"/>
                    </w:rPr>
                    <w:t>，加强空间管控。将生态保护红线作为保障和维护区域生态安全的底线，依法实施严格保护，对所涉及的水利工程设施，严格执行各项生态环境保护要求。</w:t>
                  </w:r>
                </w:p>
              </w:tc>
              <w:tc>
                <w:tcPr>
                  <w:tcW w:w="2209" w:type="pct"/>
                  <w:tcBorders>
                    <w:tl2br w:val="nil"/>
                    <w:tr2bl w:val="nil"/>
                  </w:tcBorders>
                  <w:noWrap w:val="0"/>
                  <w:vAlign w:val="center"/>
                </w:tcPr>
                <w:p w14:paraId="2B01D8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lang w:val="en-US" w:eastAsia="zh-CN"/>
                    </w:rPr>
                    <w:t>不涉及生态保护红线、自然保护地、饮用水水源保护区等区域，不属于依法禁止或限制大规模、高强度的开发建设活动，通过严格落实生态恢复措施的实施，确保</w:t>
                  </w:r>
                  <w:r>
                    <w:rPr>
                      <w:rFonts w:hint="default" w:ascii="Times New Roman" w:hAnsi="Times New Roman" w:cs="Times New Roman"/>
                      <w:color w:val="auto"/>
                      <w:sz w:val="21"/>
                      <w:szCs w:val="21"/>
                      <w:highlight w:val="none"/>
                      <w:lang w:val="en-US" w:eastAsia="zh-CN"/>
                    </w:rPr>
                    <w:t>工程</w:t>
                  </w:r>
                  <w:r>
                    <w:rPr>
                      <w:rFonts w:hint="default" w:ascii="Times New Roman" w:hAnsi="Times New Roman" w:eastAsia="宋体" w:cs="Times New Roman"/>
                      <w:color w:val="auto"/>
                      <w:sz w:val="21"/>
                      <w:szCs w:val="21"/>
                      <w:highlight w:val="none"/>
                      <w:lang w:val="en-US" w:eastAsia="zh-CN"/>
                    </w:rPr>
                    <w:t>占地生态环境的恢复。</w:t>
                  </w:r>
                </w:p>
              </w:tc>
              <w:tc>
                <w:tcPr>
                  <w:tcW w:w="413" w:type="pct"/>
                  <w:tcBorders>
                    <w:tl2br w:val="nil"/>
                    <w:tr2bl w:val="nil"/>
                  </w:tcBorders>
                  <w:noWrap w:val="0"/>
                  <w:vAlign w:val="center"/>
                </w:tcPr>
                <w:p w14:paraId="3B438F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符合</w:t>
                  </w:r>
                </w:p>
              </w:tc>
            </w:tr>
            <w:tr w14:paraId="14071A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57" w:type="pct"/>
                  <w:tcBorders>
                    <w:tl2br w:val="nil"/>
                    <w:tr2bl w:val="nil"/>
                  </w:tcBorders>
                  <w:noWrap w:val="0"/>
                  <w:vAlign w:val="center"/>
                </w:tcPr>
                <w:p w14:paraId="469333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2</w:t>
                  </w:r>
                </w:p>
              </w:tc>
              <w:tc>
                <w:tcPr>
                  <w:tcW w:w="2119" w:type="pct"/>
                  <w:tcBorders>
                    <w:tl2br w:val="nil"/>
                    <w:tr2bl w:val="nil"/>
                  </w:tcBorders>
                  <w:noWrap w:val="0"/>
                  <w:vAlign w:val="center"/>
                </w:tcPr>
                <w:p w14:paraId="450092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严守环境质量底线，推进区域环境质量持续改善。坚持生态优先、绿色发展、协调发展理念，《规划》的环境目标应立足于生态环境的稳定和环境质量的改善，明确规划期重点工程、开发区域的生态环境质量底线，作为《规划》实施的硬约束</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同步实现环境质量改善目标与水资源开发目标。</w:t>
                  </w:r>
                </w:p>
              </w:tc>
              <w:tc>
                <w:tcPr>
                  <w:tcW w:w="2209" w:type="pct"/>
                  <w:tcBorders>
                    <w:tl2br w:val="nil"/>
                    <w:tr2bl w:val="nil"/>
                  </w:tcBorders>
                  <w:noWrap w:val="0"/>
                  <w:vAlign w:val="center"/>
                </w:tcPr>
                <w:p w14:paraId="09FE15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本项目为</w:t>
                  </w:r>
                  <w:r>
                    <w:rPr>
                      <w:rFonts w:hint="default" w:ascii="Times New Roman" w:hAnsi="Times New Roman" w:cs="Times New Roman"/>
                      <w:color w:val="auto"/>
                      <w:sz w:val="21"/>
                      <w:szCs w:val="21"/>
                      <w:highlight w:val="none"/>
                      <w:lang w:val="en-US" w:eastAsia="zh-CN"/>
                    </w:rPr>
                    <w:t>沟</w:t>
                  </w:r>
                  <w:r>
                    <w:rPr>
                      <w:rFonts w:hint="default" w:ascii="Times New Roman" w:hAnsi="Times New Roman" w:eastAsia="宋体" w:cs="Times New Roman"/>
                      <w:color w:val="auto"/>
                      <w:sz w:val="21"/>
                      <w:szCs w:val="21"/>
                      <w:highlight w:val="none"/>
                      <w:lang w:val="en-US" w:eastAsia="zh-CN"/>
                    </w:rPr>
                    <w:t>道治理项目，不涉及环境质量底线和资源利用上线，不触及环境质量底线和资源利用上线。</w:t>
                  </w:r>
                </w:p>
              </w:tc>
              <w:tc>
                <w:tcPr>
                  <w:tcW w:w="413" w:type="pct"/>
                  <w:tcBorders>
                    <w:tl2br w:val="nil"/>
                    <w:tr2bl w:val="nil"/>
                  </w:tcBorders>
                  <w:noWrap w:val="0"/>
                  <w:vAlign w:val="center"/>
                </w:tcPr>
                <w:p w14:paraId="27AB12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184917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57" w:type="pct"/>
                  <w:tcBorders>
                    <w:tl2br w:val="nil"/>
                    <w:tr2bl w:val="nil"/>
                  </w:tcBorders>
                  <w:noWrap w:val="0"/>
                  <w:vAlign w:val="center"/>
                </w:tcPr>
                <w:p w14:paraId="2181BC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3</w:t>
                  </w:r>
                </w:p>
              </w:tc>
              <w:tc>
                <w:tcPr>
                  <w:tcW w:w="2119" w:type="pct"/>
                  <w:tcBorders>
                    <w:tl2br w:val="nil"/>
                    <w:tr2bl w:val="nil"/>
                  </w:tcBorders>
                  <w:noWrap w:val="0"/>
                  <w:vAlign w:val="center"/>
                </w:tcPr>
                <w:p w14:paraId="5EF31C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严格水利工程建设的环境准入条件。严格水利工程准入要求，从源头上避免对区域水环境质量及水生态造成影响。加强水资源综合利用，提高资源节约集约利用水平。</w:t>
                  </w:r>
                </w:p>
              </w:tc>
              <w:tc>
                <w:tcPr>
                  <w:tcW w:w="2209" w:type="pct"/>
                  <w:tcBorders>
                    <w:tl2br w:val="nil"/>
                    <w:tr2bl w:val="nil"/>
                  </w:tcBorders>
                  <w:noWrap w:val="0"/>
                  <w:vAlign w:val="center"/>
                </w:tcPr>
                <w:p w14:paraId="4611D7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rPr>
                    <w:t>本项目</w:t>
                  </w:r>
                  <w:r>
                    <w:rPr>
                      <w:rFonts w:hint="default" w:ascii="Times New Roman" w:hAnsi="Times New Roman" w:cs="Times New Roman"/>
                      <w:color w:val="auto"/>
                      <w:highlight w:val="none"/>
                      <w:lang w:eastAsia="zh-CN"/>
                    </w:rPr>
                    <w:t>为</w:t>
                  </w:r>
                  <w:r>
                    <w:rPr>
                      <w:rFonts w:hint="default" w:ascii="Times New Roman" w:hAnsi="Times New Roman" w:cs="Times New Roman"/>
                      <w:color w:val="auto"/>
                      <w:highlight w:val="none"/>
                      <w:lang w:val="en-US" w:eastAsia="zh-CN"/>
                    </w:rPr>
                    <w:t>沟道治理项目，</w:t>
                  </w:r>
                  <w:r>
                    <w:rPr>
                      <w:rFonts w:hint="eastAsia" w:cs="Times New Roman"/>
                      <w:color w:val="auto"/>
                      <w:highlight w:val="none"/>
                      <w:lang w:val="en-US" w:eastAsia="zh-CN"/>
                    </w:rPr>
                    <w:t>项目实施后，将进一步减少高崖沟沟道淤积现象，使得沟道行洪更为流畅，清淤后增加水体流动及自净，对高崖沟丰水期沟道水环境质量有正向作用</w:t>
                  </w:r>
                  <w:r>
                    <w:rPr>
                      <w:rFonts w:hint="default" w:ascii="Times New Roman" w:hAnsi="Times New Roman" w:eastAsia="宋体" w:cs="Times New Roman"/>
                      <w:color w:val="auto"/>
                      <w:sz w:val="21"/>
                      <w:szCs w:val="21"/>
                      <w:highlight w:val="none"/>
                      <w:lang w:val="en-US" w:eastAsia="zh-CN"/>
                    </w:rPr>
                    <w:t>。同时，通过本工程的实施，可进一步提高输水效率，提高水资源节约集约利用水平。</w:t>
                  </w:r>
                </w:p>
              </w:tc>
              <w:tc>
                <w:tcPr>
                  <w:tcW w:w="413" w:type="pct"/>
                  <w:tcBorders>
                    <w:tl2br w:val="nil"/>
                    <w:tr2bl w:val="nil"/>
                  </w:tcBorders>
                  <w:noWrap w:val="0"/>
                  <w:vAlign w:val="center"/>
                </w:tcPr>
                <w:p w14:paraId="5C1428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4F585C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57" w:type="pct"/>
                  <w:tcBorders>
                    <w:tl2br w:val="nil"/>
                    <w:tr2bl w:val="nil"/>
                  </w:tcBorders>
                  <w:noWrap w:val="0"/>
                  <w:vAlign w:val="center"/>
                </w:tcPr>
                <w:p w14:paraId="7392FE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4</w:t>
                  </w:r>
                </w:p>
              </w:tc>
              <w:tc>
                <w:tcPr>
                  <w:tcW w:w="2119" w:type="pct"/>
                  <w:tcBorders>
                    <w:tl2br w:val="nil"/>
                    <w:tr2bl w:val="nil"/>
                  </w:tcBorders>
                  <w:noWrap w:val="0"/>
                  <w:vAlign w:val="center"/>
                </w:tcPr>
                <w:p w14:paraId="3B7D8F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加强水生态修复和水环境治理。统筹流域、区域，通过水土流失综合治理、重点河湖生态修复、水系连通和水美乡村建设、盐碱地改良和地下水超采区治理，推进水环境质量持续稳定改善、维护水生态系统安全，助力黄河流域生态保护和高质量发展先行区建设。</w:t>
                  </w:r>
                </w:p>
              </w:tc>
              <w:tc>
                <w:tcPr>
                  <w:tcW w:w="2209" w:type="pct"/>
                  <w:tcBorders>
                    <w:tl2br w:val="nil"/>
                    <w:tr2bl w:val="nil"/>
                  </w:tcBorders>
                  <w:noWrap w:val="0"/>
                  <w:vAlign w:val="center"/>
                </w:tcPr>
                <w:p w14:paraId="255783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污水经配套设置的临时化粪池处理后由粪污车拉运至距离较近的乡镇生活污水处理设施处理。施工废水经施工现场配套沉淀池沉淀处理后回用于施工现场洒水抑尘，不外排；运营期无废水排放，对区域水环境影响较小。</w:t>
                  </w:r>
                </w:p>
              </w:tc>
              <w:tc>
                <w:tcPr>
                  <w:tcW w:w="413" w:type="pct"/>
                  <w:tcBorders>
                    <w:tl2br w:val="nil"/>
                    <w:tr2bl w:val="nil"/>
                  </w:tcBorders>
                  <w:noWrap w:val="0"/>
                  <w:vAlign w:val="center"/>
                </w:tcPr>
                <w:p w14:paraId="23E593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14:paraId="0691B128">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kern w:val="0"/>
                <w:sz w:val="24"/>
                <w:highlight w:val="none"/>
                <w:lang w:val="en-US" w:eastAsia="zh-CN"/>
              </w:rPr>
              <w:t>综上所述，本项目符合《宁夏水安全保障“十四五”规划环境影响报告书》及审查意见相关要求。</w:t>
            </w:r>
          </w:p>
        </w:tc>
      </w:tr>
      <w:tr w14:paraId="0AE220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5" w:type="dxa"/>
            <w:tcBorders>
              <w:tl2br w:val="nil"/>
              <w:tr2bl w:val="nil"/>
            </w:tcBorders>
            <w:vAlign w:val="center"/>
          </w:tcPr>
          <w:p w14:paraId="568F4EF1">
            <w:pPr>
              <w:keepNext w:val="0"/>
              <w:keepLines w:val="0"/>
              <w:pageBreakBefore w:val="0"/>
              <w:kinsoku/>
              <w:wordWrap/>
              <w:topLinePunct w:val="0"/>
              <w:autoSpaceDE w:val="0"/>
              <w:autoSpaceDN w:val="0"/>
              <w:bidi w:val="0"/>
              <w:adjustRightInd w:val="0"/>
              <w:snapToGrid w:val="0"/>
              <w:jc w:val="center"/>
              <w:textAlignment w:val="auto"/>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其他符合性分析</w:t>
            </w:r>
          </w:p>
        </w:tc>
        <w:tc>
          <w:tcPr>
            <w:tcW w:w="8563" w:type="dxa"/>
            <w:gridSpan w:val="4"/>
            <w:tcBorders>
              <w:tl2br w:val="nil"/>
              <w:tr2bl w:val="nil"/>
            </w:tcBorders>
          </w:tcPr>
          <w:p w14:paraId="75D5F610">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eastAsia="黑体" w:cs="Times New Roman"/>
                <w:b w:val="0"/>
                <w:bCs w:val="0"/>
                <w:color w:val="auto"/>
                <w:sz w:val="24"/>
                <w:szCs w:val="20"/>
                <w:highlight w:val="none"/>
                <w:lang w:bidi="en-US"/>
              </w:rPr>
            </w:pPr>
            <w:r>
              <w:rPr>
                <w:rFonts w:hint="default" w:ascii="Times New Roman" w:hAnsi="Times New Roman" w:eastAsia="黑体" w:cs="Times New Roman"/>
                <w:b w:val="0"/>
                <w:bCs w:val="0"/>
                <w:color w:val="auto"/>
                <w:sz w:val="24"/>
                <w:szCs w:val="20"/>
                <w:highlight w:val="none"/>
                <w:lang w:val="en-US" w:eastAsia="zh-CN" w:bidi="en-US"/>
              </w:rPr>
              <w:t>1</w:t>
            </w:r>
            <w:r>
              <w:rPr>
                <w:rFonts w:hint="default" w:ascii="Times New Roman" w:hAnsi="Times New Roman" w:eastAsia="黑体" w:cs="Times New Roman"/>
                <w:b w:val="0"/>
                <w:bCs w:val="0"/>
                <w:color w:val="auto"/>
                <w:sz w:val="24"/>
                <w:szCs w:val="20"/>
                <w:highlight w:val="none"/>
                <w:lang w:bidi="en-US"/>
              </w:rPr>
              <w:t>、项目产业政策符合性分析</w:t>
            </w:r>
          </w:p>
          <w:p w14:paraId="08E45F36">
            <w:pPr>
              <w:pStyle w:val="11"/>
              <w:spacing w:before="0" w:after="0" w:line="360" w:lineRule="auto"/>
              <w:ind w:right="0"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eastAsia="宋体" w:cs="Times New Roman"/>
                <w:color w:val="auto"/>
                <w:sz w:val="24"/>
                <w:szCs w:val="24"/>
                <w:highlight w:val="none"/>
                <w:lang w:eastAsia="zh-CN"/>
              </w:rPr>
              <w:t>本项目属于</w:t>
            </w:r>
            <w:r>
              <w:rPr>
                <w:rFonts w:hint="default" w:ascii="Times New Roman" w:hAnsi="Times New Roman" w:eastAsia="宋体" w:cs="Times New Roman"/>
                <w:color w:val="auto"/>
                <w:kern w:val="0"/>
                <w:sz w:val="24"/>
                <w:szCs w:val="24"/>
                <w:highlight w:val="none"/>
                <w:lang w:val="en-US" w:eastAsia="zh-CN" w:bidi="ar-SA"/>
              </w:rPr>
              <w:t>河道治理</w:t>
            </w:r>
            <w:r>
              <w:rPr>
                <w:rFonts w:hint="default" w:ascii="Times New Roman" w:hAnsi="Times New Roman" w:eastAsia="宋体" w:cs="Times New Roman"/>
                <w:color w:val="auto"/>
                <w:sz w:val="24"/>
                <w:szCs w:val="24"/>
                <w:highlight w:val="none"/>
                <w:lang w:eastAsia="zh-CN"/>
              </w:rPr>
              <w:t>项目，</w:t>
            </w:r>
            <w:r>
              <w:rPr>
                <w:rFonts w:hint="default" w:ascii="Times New Roman" w:hAnsi="Times New Roman" w:eastAsia="宋体" w:cs="Times New Roman"/>
                <w:bCs/>
                <w:color w:val="auto"/>
                <w:kern w:val="2"/>
                <w:sz w:val="24"/>
                <w:szCs w:val="24"/>
                <w:highlight w:val="none"/>
                <w:lang w:val="en-US" w:eastAsia="zh-CN"/>
              </w:rPr>
              <w:t>根据</w:t>
            </w:r>
            <w:r>
              <w:rPr>
                <w:rFonts w:hint="default" w:ascii="Times New Roman" w:hAnsi="Times New Roman" w:cs="Times New Roman"/>
                <w:bCs/>
                <w:color w:val="auto"/>
                <w:kern w:val="2"/>
                <w:sz w:val="24"/>
                <w:szCs w:val="24"/>
                <w:highlight w:val="none"/>
              </w:rPr>
              <w:t>《产业结构调整指导目录（2024年本）》，</w:t>
            </w:r>
            <w:r>
              <w:rPr>
                <w:rFonts w:hint="default" w:ascii="Times New Roman" w:hAnsi="Times New Roman" w:eastAsia="宋体" w:cs="Times New Roman"/>
                <w:color w:val="auto"/>
                <w:sz w:val="24"/>
                <w:szCs w:val="24"/>
                <w:highlight w:val="none"/>
                <w:lang w:val="en-US" w:eastAsia="zh-CN"/>
              </w:rPr>
              <w:t>本项目属于</w:t>
            </w:r>
            <w:r>
              <w:rPr>
                <w:rFonts w:hint="default" w:ascii="Times New Roman" w:hAnsi="Times New Roman" w:eastAsia="宋体" w:cs="Times New Roman"/>
                <w:color w:val="auto"/>
                <w:sz w:val="24"/>
                <w:szCs w:val="24"/>
                <w:highlight w:val="none"/>
                <w:lang w:eastAsia="zh-CN"/>
              </w:rPr>
              <w:t>鼓励类</w:t>
            </w:r>
            <w:r>
              <w:rPr>
                <w:rFonts w:hint="eastAsia" w:cs="Times New Roman"/>
                <w:color w:val="auto"/>
                <w:sz w:val="24"/>
                <w:szCs w:val="24"/>
                <w:highlight w:val="none"/>
                <w:lang w:val="en-US" w:eastAsia="zh-CN"/>
              </w:rPr>
              <w:t>--</w:t>
            </w:r>
            <w:r>
              <w:rPr>
                <w:rFonts w:hint="default" w:ascii="Times New Roman" w:hAnsi="Times New Roman" w:cs="Times New Roman" w:eastAsiaTheme="minorEastAsia"/>
                <w:color w:val="auto"/>
                <w:sz w:val="24"/>
                <w:szCs w:val="20"/>
                <w:highlight w:val="none"/>
                <w:lang w:val="en-US" w:eastAsia="zh-CN" w:bidi="en-US"/>
              </w:rPr>
              <w:t>第二项、水利类：第4条“江河湖海堤防建设及河道治理工程</w:t>
            </w:r>
            <w:r>
              <w:rPr>
                <w:rFonts w:hint="default" w:ascii="Times New Roman" w:hAnsi="Times New Roman" w:eastAsia="宋体" w:cs="Times New Roman"/>
                <w:color w:val="auto"/>
                <w:sz w:val="24"/>
                <w:szCs w:val="24"/>
                <w:highlight w:val="none"/>
                <w:lang w:eastAsia="zh-CN"/>
              </w:rPr>
              <w:t>”，同时对照《市场准入负面清单(2025年版)》，本项目不在市场准入负面清单内。</w:t>
            </w:r>
            <w:r>
              <w:rPr>
                <w:rFonts w:hint="default" w:ascii="Times New Roman" w:hAnsi="Times New Roman" w:eastAsia="宋体" w:cs="Times New Roman"/>
                <w:color w:val="auto"/>
                <w:sz w:val="24"/>
                <w:szCs w:val="24"/>
                <w:highlight w:val="none"/>
                <w:lang w:val="en-US" w:eastAsia="zh-CN"/>
              </w:rPr>
              <w:t>且项目已于</w:t>
            </w:r>
            <w:r>
              <w:rPr>
                <w:rFonts w:hint="default" w:ascii="Times New Roman" w:hAnsi="Times New Roman" w:cs="Times New Roman"/>
                <w:color w:val="auto"/>
                <w:sz w:val="24"/>
                <w:highlight w:val="none"/>
                <w:lang w:val="en-US" w:eastAsia="zh-CN"/>
              </w:rPr>
              <w:t>2025</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lang w:val="en-US" w:eastAsia="zh-CN"/>
              </w:rPr>
              <w:t>27</w:t>
            </w:r>
            <w:r>
              <w:rPr>
                <w:rFonts w:hint="default" w:ascii="Times New Roman" w:hAnsi="Times New Roman" w:cs="Times New Roman"/>
                <w:color w:val="auto"/>
                <w:sz w:val="24"/>
                <w:highlight w:val="none"/>
              </w:rPr>
              <w:t>日取得《</w:t>
            </w:r>
            <w:r>
              <w:rPr>
                <w:rFonts w:hint="default" w:ascii="Times New Roman" w:hAnsi="Times New Roman" w:cs="Times New Roman"/>
                <w:color w:val="auto"/>
                <w:sz w:val="24"/>
                <w:highlight w:val="none"/>
                <w:lang w:val="en-US" w:eastAsia="zh-CN"/>
              </w:rPr>
              <w:t>中卫市沙坡头区</w:t>
            </w:r>
            <w:r>
              <w:rPr>
                <w:rFonts w:hint="eastAsia" w:ascii="Times New Roman" w:hAnsi="Times New Roman" w:cs="Times New Roman"/>
                <w:color w:val="auto"/>
                <w:sz w:val="24"/>
                <w:highlight w:val="none"/>
                <w:lang w:val="en-US" w:eastAsia="zh-CN"/>
              </w:rPr>
              <w:t>发展和改革局</w:t>
            </w:r>
            <w:r>
              <w:rPr>
                <w:rFonts w:hint="default" w:ascii="Times New Roman" w:hAnsi="Times New Roman" w:cs="Times New Roman"/>
                <w:color w:val="auto"/>
                <w:sz w:val="24"/>
                <w:highlight w:val="none"/>
                <w:lang w:val="en-US" w:eastAsia="zh-CN"/>
              </w:rPr>
              <w:t>关于中卫市沙坡头区高崖沟治理工程初步设计的批复</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卫沙发改（审批）发</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2025</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38</w:t>
            </w:r>
            <w:r>
              <w:rPr>
                <w:rFonts w:hint="default" w:ascii="Times New Roman" w:hAnsi="Times New Roman" w:cs="Times New Roman"/>
                <w:color w:val="auto"/>
                <w:sz w:val="24"/>
                <w:highlight w:val="none"/>
              </w:rPr>
              <w:t>号），项目代码：</w:t>
            </w:r>
            <w:r>
              <w:rPr>
                <w:rFonts w:hint="default" w:ascii="Times New Roman" w:hAnsi="Times New Roman" w:cs="Times New Roman"/>
                <w:color w:val="auto"/>
                <w:sz w:val="24"/>
                <w:highlight w:val="none"/>
                <w:lang w:val="en-US" w:eastAsia="zh-CN"/>
              </w:rPr>
              <w:t>2503-640500-19-01-623238。因此本项目符合国家及地方产业政策要求。</w:t>
            </w:r>
          </w:p>
          <w:p w14:paraId="53E80E0E">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eastAsia="黑体" w:cs="Times New Roman"/>
                <w:b w:val="0"/>
                <w:bCs w:val="0"/>
                <w:color w:val="auto"/>
                <w:kern w:val="0"/>
                <w:sz w:val="24"/>
                <w:highlight w:val="none"/>
                <w:lang w:val="zh-CN"/>
              </w:rPr>
            </w:pPr>
            <w:r>
              <w:rPr>
                <w:rFonts w:hint="eastAsia" w:eastAsia="黑体" w:cs="Times New Roman"/>
                <w:b w:val="0"/>
                <w:bCs w:val="0"/>
                <w:color w:val="auto"/>
                <w:kern w:val="0"/>
                <w:sz w:val="24"/>
                <w:highlight w:val="none"/>
                <w:lang w:val="en-US" w:eastAsia="zh-CN"/>
              </w:rPr>
              <w:t>2.</w:t>
            </w:r>
            <w:r>
              <w:rPr>
                <w:rFonts w:hint="default" w:ascii="Times New Roman" w:hAnsi="Times New Roman" w:eastAsia="黑体" w:cs="Times New Roman"/>
                <w:b w:val="0"/>
                <w:bCs w:val="0"/>
                <w:color w:val="auto"/>
                <w:kern w:val="0"/>
                <w:sz w:val="24"/>
                <w:highlight w:val="none"/>
                <w:lang w:val="en-US" w:eastAsia="zh-CN"/>
              </w:rPr>
              <w:t>本项目与中卫市生态环境分区管控符合性分析</w:t>
            </w:r>
          </w:p>
          <w:p w14:paraId="1B30790B">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eastAsia="黑体" w:cs="Times New Roman"/>
                <w:b w:val="0"/>
                <w:bCs w:val="0"/>
                <w:color w:val="auto"/>
                <w:kern w:val="0"/>
                <w:sz w:val="24"/>
                <w:highlight w:val="none"/>
                <w:lang w:val="en-US" w:eastAsia="zh-CN"/>
              </w:rPr>
            </w:pPr>
            <w:r>
              <w:rPr>
                <w:rFonts w:hint="default" w:ascii="Times New Roman" w:hAnsi="Times New Roman" w:eastAsia="黑体" w:cs="Times New Roman"/>
                <w:b w:val="0"/>
                <w:bCs w:val="0"/>
                <w:color w:val="auto"/>
                <w:kern w:val="0"/>
                <w:sz w:val="24"/>
                <w:highlight w:val="none"/>
                <w:lang w:val="en-US" w:eastAsia="zh-CN"/>
              </w:rPr>
              <w:t>（1）生态保护红线及生态分区管控</w:t>
            </w:r>
          </w:p>
          <w:p w14:paraId="12E61EE4">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eastAsia="仿宋_GB2312" w:cs="Times New Roman"/>
                <w:color w:val="auto"/>
                <w:kern w:val="0"/>
                <w:sz w:val="24"/>
                <w:highlight w:val="none"/>
                <w:lang w:val="en-US"/>
              </w:rPr>
            </w:pPr>
            <w:r>
              <w:rPr>
                <w:rFonts w:hint="default" w:ascii="Times New Roman" w:hAnsi="Times New Roman" w:cs="Times New Roman"/>
                <w:color w:val="auto"/>
                <w:kern w:val="0"/>
                <w:sz w:val="24"/>
                <w:highlight w:val="none"/>
                <w:lang w:val="zh-CN"/>
              </w:rPr>
              <w:t>根据2024年8月发布的《中卫市生态环境分区管控动态更新成果》(卫政办法发〔2024〕33号)。本项目位于沙坡头区兴仁镇及香山乡</w:t>
            </w:r>
            <w:r>
              <w:rPr>
                <w:rFonts w:hint="eastAsia" w:cs="Times New Roman"/>
                <w:color w:val="auto"/>
                <w:kern w:val="0"/>
                <w:sz w:val="24"/>
                <w:highlight w:val="none"/>
                <w:lang w:val="zh-CN"/>
              </w:rPr>
              <w:t>，</w:t>
            </w:r>
            <w:r>
              <w:rPr>
                <w:rFonts w:hint="eastAsia" w:cs="Times New Roman"/>
                <w:color w:val="auto"/>
                <w:kern w:val="0"/>
                <w:sz w:val="24"/>
                <w:highlight w:val="none"/>
                <w:lang w:val="en-US" w:eastAsia="zh-CN"/>
              </w:rPr>
              <w:t>具体坐标详见“一、建设项目基本情况--地理坐标信息表”，</w:t>
            </w:r>
            <w:r>
              <w:rPr>
                <w:rFonts w:hint="default" w:ascii="Times New Roman" w:hAnsi="Times New Roman" w:cs="Times New Roman"/>
                <w:color w:val="auto"/>
                <w:kern w:val="0"/>
                <w:sz w:val="24"/>
                <w:highlight w:val="none"/>
                <w:lang w:val="zh-CN"/>
              </w:rPr>
              <w:t>对照中卫市生态空间分布图，本工程不涉及生态保护红线。</w:t>
            </w:r>
            <w:r>
              <w:rPr>
                <w:rFonts w:hint="default" w:ascii="Times New Roman" w:hAnsi="Times New Roman" w:cs="Times New Roman"/>
                <w:color w:val="auto"/>
                <w:kern w:val="0"/>
                <w:sz w:val="24"/>
                <w:highlight w:val="none"/>
                <w:lang w:val="en-US" w:eastAsia="zh-CN"/>
              </w:rPr>
              <w:t>符合中卫市生态红线相关要求</w:t>
            </w:r>
            <w:r>
              <w:rPr>
                <w:rFonts w:hint="default" w:ascii="Times New Roman" w:hAnsi="Times New Roman" w:cs="Times New Roman"/>
                <w:color w:val="auto"/>
                <w:kern w:val="0"/>
                <w:sz w:val="24"/>
                <w:highlight w:val="none"/>
                <w:lang w:val="zh-CN"/>
              </w:rPr>
              <w:t>。项目与中卫市生态保护红线位置关系见图</w:t>
            </w:r>
            <w:r>
              <w:rPr>
                <w:rFonts w:hint="default" w:ascii="Times New Roman" w:hAnsi="Times New Roman" w:cs="Times New Roman"/>
                <w:color w:val="auto"/>
                <w:kern w:val="0"/>
                <w:sz w:val="24"/>
                <w:highlight w:val="none"/>
                <w:lang w:val="en-US" w:eastAsia="zh-CN"/>
              </w:rPr>
              <w:t>1-</w:t>
            </w:r>
            <w:r>
              <w:rPr>
                <w:rFonts w:hint="default" w:ascii="Times New Roman" w:hAnsi="Times New Roman" w:cs="Times New Roman"/>
                <w:color w:val="auto"/>
                <w:kern w:val="0"/>
                <w:sz w:val="24"/>
                <w:highlight w:val="none"/>
                <w:lang w:val="zh-CN"/>
              </w:rPr>
              <w:t>1、与中卫市生态空间分布位置关系见图</w:t>
            </w:r>
            <w:r>
              <w:rPr>
                <w:rFonts w:hint="default" w:ascii="Times New Roman" w:hAnsi="Times New Roman" w:cs="Times New Roman"/>
                <w:color w:val="auto"/>
                <w:kern w:val="0"/>
                <w:sz w:val="24"/>
                <w:highlight w:val="none"/>
                <w:lang w:val="en-US" w:eastAsia="zh-CN"/>
              </w:rPr>
              <w:t>1-</w:t>
            </w:r>
            <w:r>
              <w:rPr>
                <w:rFonts w:hint="default" w:ascii="Times New Roman" w:hAnsi="Times New Roman" w:cs="Times New Roman"/>
                <w:color w:val="auto"/>
                <w:kern w:val="0"/>
                <w:sz w:val="24"/>
                <w:highlight w:val="none"/>
                <w:lang w:val="zh-CN"/>
              </w:rPr>
              <w:t>2。</w:t>
            </w:r>
          </w:p>
          <w:p w14:paraId="434CEF12">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eastAsia="黑体" w:cs="Times New Roman"/>
                <w:b w:val="0"/>
                <w:bCs w:val="0"/>
                <w:color w:val="auto"/>
                <w:kern w:val="0"/>
                <w:sz w:val="24"/>
                <w:highlight w:val="none"/>
                <w:lang w:val="en-US" w:eastAsia="zh-CN"/>
              </w:rPr>
            </w:pPr>
            <w:r>
              <w:rPr>
                <w:rFonts w:hint="default" w:ascii="Times New Roman" w:hAnsi="Times New Roman" w:eastAsia="黑体" w:cs="Times New Roman"/>
                <w:b w:val="0"/>
                <w:bCs w:val="0"/>
                <w:color w:val="auto"/>
                <w:kern w:val="0"/>
                <w:sz w:val="24"/>
                <w:highlight w:val="none"/>
                <w:lang w:val="en-US" w:eastAsia="zh-CN"/>
              </w:rPr>
              <w:t>（2）环境质量底线及分区管控</w:t>
            </w:r>
          </w:p>
          <w:p w14:paraId="6EC9A40E">
            <w:pPr>
              <w:adjustRightInd w:val="0"/>
              <w:snapToGrid w:val="0"/>
              <w:spacing w:after="0" w:line="360" w:lineRule="auto"/>
              <w:ind w:firstLine="480" w:firstLineChars="200"/>
              <w:rPr>
                <w:rFonts w:hint="default" w:ascii="Times New Roman" w:hAnsi="Times New Roman" w:eastAsia="宋体" w:cs="Times New Roman"/>
                <w:color w:val="auto"/>
                <w:kern w:val="0"/>
                <w:sz w:val="24"/>
                <w:szCs w:val="24"/>
                <w:highlight w:val="none"/>
                <w:lang w:val="zh-CN" w:eastAsia="zh-CN" w:bidi="ar-SA"/>
              </w:rPr>
            </w:pPr>
            <w:r>
              <w:rPr>
                <w:rFonts w:hint="default" w:ascii="Times New Roman" w:hAnsi="Times New Roman" w:eastAsia="宋体" w:cs="Times New Roman"/>
                <w:color w:val="auto"/>
                <w:kern w:val="0"/>
                <w:sz w:val="24"/>
                <w:szCs w:val="24"/>
                <w:highlight w:val="none"/>
                <w:lang w:val="zh-CN" w:eastAsia="zh-CN" w:bidi="ar-SA"/>
              </w:rPr>
              <w:t>①水环境质量底线及分区管控要求</w:t>
            </w:r>
          </w:p>
          <w:p w14:paraId="1AB49DA7">
            <w:pPr>
              <w:autoSpaceDE w:val="0"/>
              <w:autoSpaceDN w:val="0"/>
              <w:adjustRightInd w:val="0"/>
              <w:snapToGrid w:val="0"/>
              <w:spacing w:after="0" w:line="360" w:lineRule="auto"/>
              <w:ind w:firstLine="480" w:firstLineChars="200"/>
              <w:rPr>
                <w:rFonts w:hint="default" w:ascii="Times New Roman" w:hAnsi="Times New Roman" w:eastAsia="宋体" w:cs="Times New Roman"/>
                <w:color w:val="auto"/>
                <w:kern w:val="0"/>
                <w:sz w:val="24"/>
                <w:szCs w:val="24"/>
                <w:highlight w:val="none"/>
                <w:lang w:val="zh-CN" w:eastAsia="zh-CN" w:bidi="ar-SA"/>
              </w:rPr>
            </w:pPr>
            <w:r>
              <w:rPr>
                <w:rFonts w:hint="default" w:ascii="Times New Roman" w:hAnsi="Times New Roman" w:eastAsia="宋体" w:cs="Times New Roman"/>
                <w:color w:val="auto"/>
                <w:kern w:val="0"/>
                <w:sz w:val="24"/>
                <w:szCs w:val="24"/>
                <w:highlight w:val="none"/>
                <w:lang w:val="zh-CN" w:eastAsia="zh-CN" w:bidi="ar-SA"/>
              </w:rPr>
              <w:t>中卫市水环境管控分区共分为三大类：水环境优先保护区、水环境重点管控区（含水环境工业污染源重点管控区、水环境农业污染源重点管控区、水环境城镇生活污染源重点管控区）和水环境一般管控区。</w:t>
            </w:r>
          </w:p>
          <w:p w14:paraId="77EE4ADF">
            <w:pPr>
              <w:autoSpaceDE w:val="0"/>
              <w:autoSpaceDN w:val="0"/>
              <w:adjustRightInd w:val="0"/>
              <w:snapToGrid w:val="0"/>
              <w:spacing w:after="0" w:line="360" w:lineRule="auto"/>
              <w:ind w:firstLine="480" w:firstLineChars="200"/>
              <w:rPr>
                <w:rFonts w:hint="default" w:ascii="Times New Roman" w:hAnsi="Times New Roman" w:eastAsia="宋体" w:cs="Times New Roman"/>
                <w:color w:val="auto"/>
                <w:kern w:val="0"/>
                <w:sz w:val="24"/>
                <w:szCs w:val="24"/>
                <w:highlight w:val="none"/>
                <w:lang w:val="zh-CN" w:eastAsia="zh-CN" w:bidi="ar-SA"/>
              </w:rPr>
            </w:pPr>
            <w:r>
              <w:rPr>
                <w:rFonts w:hint="default" w:ascii="Times New Roman" w:hAnsi="Times New Roman" w:eastAsia="宋体" w:cs="Times New Roman"/>
                <w:color w:val="auto"/>
                <w:kern w:val="0"/>
                <w:sz w:val="24"/>
                <w:szCs w:val="24"/>
                <w:highlight w:val="none"/>
                <w:lang w:val="zh-CN" w:eastAsia="zh-CN" w:bidi="ar-SA"/>
              </w:rPr>
              <w:t>本项目位于</w:t>
            </w:r>
            <w:r>
              <w:rPr>
                <w:rFonts w:hint="default" w:ascii="Times New Roman" w:hAnsi="Times New Roman" w:cs="Times New Roman"/>
                <w:color w:val="auto"/>
                <w:kern w:val="0"/>
                <w:sz w:val="24"/>
                <w:highlight w:val="none"/>
                <w:lang w:val="zh-CN"/>
              </w:rPr>
              <w:t>沙坡头区兴仁镇及香山乡</w:t>
            </w:r>
            <w:r>
              <w:rPr>
                <w:rFonts w:hint="default" w:ascii="Times New Roman" w:hAnsi="Times New Roman" w:eastAsia="宋体" w:cs="Times New Roman"/>
                <w:color w:val="auto"/>
                <w:kern w:val="0"/>
                <w:sz w:val="24"/>
                <w:szCs w:val="24"/>
                <w:highlight w:val="none"/>
                <w:lang w:val="zh-CN" w:eastAsia="zh-CN" w:bidi="ar-SA"/>
              </w:rPr>
              <w:t>，</w:t>
            </w:r>
            <w:r>
              <w:rPr>
                <w:rFonts w:hint="default" w:ascii="Times New Roman" w:hAnsi="Times New Roman" w:eastAsia="宋体" w:cs="Times New Roman"/>
                <w:color w:val="auto"/>
                <w:kern w:val="0"/>
                <w:sz w:val="24"/>
                <w:szCs w:val="24"/>
                <w:highlight w:val="none"/>
                <w:lang w:val="en-US" w:eastAsia="zh-CN" w:bidi="ar-SA"/>
              </w:rPr>
              <w:t>属于</w:t>
            </w:r>
            <w:r>
              <w:rPr>
                <w:rFonts w:hint="default" w:ascii="Times New Roman" w:hAnsi="Times New Roman" w:eastAsia="宋体" w:cs="Times New Roman"/>
                <w:color w:val="auto"/>
                <w:kern w:val="0"/>
                <w:sz w:val="24"/>
                <w:szCs w:val="24"/>
                <w:highlight w:val="none"/>
                <w:lang w:val="zh-CN" w:eastAsia="zh-CN" w:bidi="ar-SA"/>
              </w:rPr>
              <w:t>中卫市水环境管控分区中的一般管控区，本项目与中卫市水环境分区管控位置关系见图</w:t>
            </w:r>
            <w:r>
              <w:rPr>
                <w:rFonts w:hint="default" w:ascii="Times New Roman" w:hAnsi="Times New Roman" w:eastAsia="宋体" w:cs="Times New Roman"/>
                <w:color w:val="auto"/>
                <w:kern w:val="0"/>
                <w:sz w:val="24"/>
                <w:szCs w:val="24"/>
                <w:highlight w:val="none"/>
                <w:lang w:val="en-US" w:eastAsia="zh-CN" w:bidi="ar-SA"/>
              </w:rPr>
              <w:t>1-</w:t>
            </w:r>
            <w:r>
              <w:rPr>
                <w:rFonts w:hint="default" w:ascii="Times New Roman" w:hAnsi="Times New Roman" w:eastAsia="宋体" w:cs="Times New Roman"/>
                <w:color w:val="auto"/>
                <w:kern w:val="0"/>
                <w:sz w:val="24"/>
                <w:szCs w:val="24"/>
                <w:highlight w:val="none"/>
                <w:lang w:val="zh-CN" w:eastAsia="zh-CN" w:bidi="ar-SA"/>
              </w:rPr>
              <w:t>3。</w:t>
            </w:r>
          </w:p>
          <w:p w14:paraId="427B641A">
            <w:pPr>
              <w:autoSpaceDE w:val="0"/>
              <w:autoSpaceDN w:val="0"/>
              <w:adjustRightInd w:val="0"/>
              <w:snapToGrid w:val="0"/>
              <w:spacing w:after="0" w:line="360" w:lineRule="auto"/>
              <w:ind w:firstLine="480" w:firstLineChars="200"/>
              <w:rPr>
                <w:rFonts w:hint="default" w:ascii="Times New Roman" w:hAnsi="Times New Roman" w:eastAsia="宋体" w:cs="Times New Roman"/>
                <w:color w:val="auto"/>
                <w:kern w:val="0"/>
                <w:sz w:val="24"/>
                <w:szCs w:val="24"/>
                <w:highlight w:val="none"/>
                <w:lang w:val="zh-CN" w:eastAsia="zh-CN" w:bidi="ar-SA"/>
              </w:rPr>
            </w:pPr>
            <w:r>
              <w:rPr>
                <w:rFonts w:hint="default" w:ascii="Times New Roman" w:hAnsi="Times New Roman" w:eastAsia="宋体" w:cs="Times New Roman"/>
                <w:color w:val="auto"/>
                <w:kern w:val="0"/>
                <w:sz w:val="24"/>
                <w:szCs w:val="24"/>
                <w:highlight w:val="none"/>
                <w:lang w:val="zh-CN" w:eastAsia="zh-CN" w:bidi="ar-SA"/>
              </w:rPr>
              <w:t>一般管控区要求：应落实《中华人民共和国水污染防治法》等相关法律法规的总体要求，加强水资源节约和保护，积极推动水生态修复治理，持续深入推进水污染防治，改善水环境质量。</w:t>
            </w:r>
          </w:p>
          <w:p w14:paraId="788EDE78">
            <w:pPr>
              <w:pStyle w:val="67"/>
              <w:keepNext w:val="0"/>
              <w:keepLines w:val="0"/>
              <w:pageBreakBefore w:val="0"/>
              <w:suppressLineNumbers w:val="0"/>
              <w:kinsoku/>
              <w:wordWrap/>
              <w:topLinePunct w:val="0"/>
              <w:bidi w:val="0"/>
              <w:spacing w:before="0" w:beforeAutospacing="0" w:after="0" w:afterAutospacing="0"/>
              <w:ind w:left="0" w:right="0"/>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本项目位于沙坡头区兴仁镇及香山乡</w:t>
            </w:r>
            <w:r>
              <w:rPr>
                <w:rFonts w:hint="default" w:ascii="Times New Roman" w:hAnsi="Times New Roman" w:eastAsia="宋体" w:cs="Times New Roman"/>
                <w:color w:val="auto"/>
                <w:kern w:val="0"/>
                <w:sz w:val="24"/>
                <w:szCs w:val="24"/>
                <w:highlight w:val="none"/>
                <w:lang w:val="zh-CN" w:eastAsia="zh-CN" w:bidi="ar-SA"/>
              </w:rPr>
              <w:t>，</w:t>
            </w:r>
            <w:r>
              <w:rPr>
                <w:rFonts w:hint="default" w:ascii="Times New Roman" w:hAnsi="Times New Roman" w:eastAsia="宋体" w:cs="Times New Roman"/>
                <w:color w:val="auto"/>
                <w:kern w:val="0"/>
                <w:sz w:val="24"/>
                <w:szCs w:val="24"/>
                <w:highlight w:val="none"/>
                <w:lang w:val="en-US" w:eastAsia="zh-CN" w:bidi="ar-SA"/>
              </w:rPr>
              <w:t>项目属于河道治理项目，建成后无废水产生，且运营期无人值守，无生活污水及生产废水产生，故无废水外排，对周边水环境影响较小</w:t>
            </w:r>
            <w:r>
              <w:rPr>
                <w:rFonts w:hint="default" w:ascii="Times New Roman" w:hAnsi="Times New Roman" w:eastAsia="宋体" w:cs="Times New Roman"/>
                <w:color w:val="auto"/>
                <w:kern w:val="0"/>
                <w:sz w:val="24"/>
                <w:szCs w:val="24"/>
                <w:highlight w:val="none"/>
                <w:lang w:val="zh-CN" w:eastAsia="zh-CN" w:bidi="ar-SA"/>
              </w:rPr>
              <w:t>。</w:t>
            </w:r>
            <w:r>
              <w:rPr>
                <w:rFonts w:hint="eastAsia" w:ascii="Times New Roman" w:hAnsi="Times New Roman" w:eastAsia="宋体" w:cs="Times New Roman"/>
                <w:color w:val="auto"/>
                <w:kern w:val="0"/>
                <w:sz w:val="24"/>
                <w:szCs w:val="24"/>
                <w:highlight w:val="none"/>
                <w:lang w:val="en-US" w:eastAsia="zh-CN" w:bidi="ar-SA"/>
              </w:rPr>
              <w:t>同时项目实施后，将进一步减少高崖沟沟道淤积现象，使得沟道行洪更为流畅，清淤后增加水体流动及自净，对高崖沟丰水期沟道水环境质量有正向作用</w:t>
            </w:r>
            <w:r>
              <w:rPr>
                <w:rFonts w:hint="default" w:ascii="Times New Roman" w:hAnsi="Times New Roman" w:eastAsia="宋体"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zh-CN" w:eastAsia="zh-CN" w:bidi="ar-SA"/>
              </w:rPr>
              <w:t>因此，本</w:t>
            </w:r>
            <w:r>
              <w:rPr>
                <w:rFonts w:hint="default" w:ascii="Times New Roman" w:hAnsi="Times New Roman" w:eastAsia="宋体" w:cs="Times New Roman"/>
                <w:color w:val="auto"/>
                <w:kern w:val="0"/>
                <w:sz w:val="24"/>
                <w:szCs w:val="24"/>
                <w:highlight w:val="none"/>
                <w:lang w:val="en-US" w:eastAsia="zh-CN" w:bidi="ar-SA"/>
              </w:rPr>
              <w:t>项目</w:t>
            </w:r>
            <w:r>
              <w:rPr>
                <w:rFonts w:hint="default" w:ascii="Times New Roman" w:hAnsi="Times New Roman" w:eastAsia="宋体" w:cs="Times New Roman"/>
                <w:color w:val="auto"/>
                <w:kern w:val="0"/>
                <w:sz w:val="24"/>
                <w:szCs w:val="24"/>
                <w:highlight w:val="none"/>
                <w:lang w:val="zh-CN" w:eastAsia="zh-CN" w:bidi="ar-SA"/>
              </w:rPr>
              <w:t>建设符合水环境一般管控区</w:t>
            </w:r>
            <w:r>
              <w:rPr>
                <w:rFonts w:hint="default" w:ascii="Times New Roman" w:hAnsi="Times New Roman" w:eastAsia="宋体" w:cs="Times New Roman"/>
                <w:color w:val="auto"/>
                <w:kern w:val="0"/>
                <w:sz w:val="24"/>
                <w:szCs w:val="24"/>
                <w:highlight w:val="none"/>
                <w:lang w:val="en-US" w:eastAsia="zh-CN" w:bidi="ar-SA"/>
              </w:rPr>
              <w:t>管控</w:t>
            </w:r>
            <w:r>
              <w:rPr>
                <w:rFonts w:hint="default" w:ascii="Times New Roman" w:hAnsi="Times New Roman" w:eastAsia="宋体" w:cs="Times New Roman"/>
                <w:color w:val="auto"/>
                <w:kern w:val="0"/>
                <w:sz w:val="24"/>
                <w:szCs w:val="24"/>
                <w:highlight w:val="none"/>
                <w:lang w:val="zh-CN" w:eastAsia="zh-CN" w:bidi="ar-SA"/>
              </w:rPr>
              <w:t>要求。</w:t>
            </w:r>
          </w:p>
          <w:p w14:paraId="0C66F4F7">
            <w:pPr>
              <w:pStyle w:val="67"/>
              <w:keepNext w:val="0"/>
              <w:keepLines w:val="0"/>
              <w:pageBreakBefore w:val="0"/>
              <w:suppressLineNumbers w:val="0"/>
              <w:kinsoku/>
              <w:wordWrap/>
              <w:topLinePunct w:val="0"/>
              <w:bidi w:val="0"/>
              <w:spacing w:before="0" w:beforeAutospacing="0" w:after="0" w:afterAutospacing="0"/>
              <w:ind w:left="0" w:right="0"/>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②大气环境质量底线及分区管控要求</w:t>
            </w:r>
          </w:p>
          <w:p w14:paraId="2E8C0A07">
            <w:pPr>
              <w:pStyle w:val="67"/>
              <w:keepNext w:val="0"/>
              <w:keepLines w:val="0"/>
              <w:pageBreakBefore w:val="0"/>
              <w:suppressLineNumbers w:val="0"/>
              <w:kinsoku/>
              <w:wordWrap/>
              <w:topLinePunct w:val="0"/>
              <w:bidi w:val="0"/>
              <w:spacing w:before="0" w:beforeAutospacing="0" w:after="0" w:afterAutospacing="0"/>
              <w:ind w:left="0" w:right="0"/>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基于大气环境脆弱性、敏感性、重要性评价结果，考虑大气污染传输规律和城市用地特征，识别网格单元主导属性，将中卫市划分为大气环境优先保护区、大气环境重点管控区和大气环境一般管控区。</w:t>
            </w:r>
          </w:p>
          <w:p w14:paraId="41F7725A">
            <w:pPr>
              <w:pStyle w:val="67"/>
              <w:keepNext w:val="0"/>
              <w:keepLines w:val="0"/>
              <w:pageBreakBefore w:val="0"/>
              <w:suppressLineNumbers w:val="0"/>
              <w:kinsoku/>
              <w:wordWrap/>
              <w:topLinePunct w:val="0"/>
              <w:bidi w:val="0"/>
              <w:spacing w:before="0" w:beforeAutospacing="0" w:after="0" w:afterAutospacing="0"/>
              <w:ind w:left="0" w:right="0"/>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本项目位于沙坡头区兴仁镇及香山乡，属于大气环境一般管控区，本项目与中卫市大气环境分区管控位置关系见图1-4。</w:t>
            </w:r>
          </w:p>
          <w:p w14:paraId="6FE1DF69">
            <w:pPr>
              <w:pStyle w:val="67"/>
              <w:keepNext w:val="0"/>
              <w:keepLines w:val="0"/>
              <w:pageBreakBefore w:val="0"/>
              <w:suppressLineNumbers w:val="0"/>
              <w:kinsoku/>
              <w:wordWrap/>
              <w:topLinePunct w:val="0"/>
              <w:bidi w:val="0"/>
              <w:spacing w:before="0" w:beforeAutospacing="0" w:after="0" w:afterAutospacing="0"/>
              <w:ind w:left="0" w:right="0"/>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大气环境一般管控区要求：落实《中华人民共和国大气污染防治法》等相关法律法规的一般要求，在满足区域基本污染物排放标准和污染防治要求基础上，进一步采用更清洁的生产方式和更有效的污染治理措施，推动区域环境空气质量持续改善。毗邻大气环境优先保护区的新建项目，还应特别注意污染物排放对优先保护区的影响，应优化选址方案或采取有效的污染防治措施，避免对一类区空气质量造成不利影响。</w:t>
            </w:r>
          </w:p>
          <w:p w14:paraId="4B980285">
            <w:pPr>
              <w:pStyle w:val="67"/>
              <w:keepNext w:val="0"/>
              <w:keepLines w:val="0"/>
              <w:pageBreakBefore w:val="0"/>
              <w:suppressLineNumbers w:val="0"/>
              <w:kinsoku/>
              <w:wordWrap/>
              <w:topLinePunct w:val="0"/>
              <w:bidi w:val="0"/>
              <w:spacing w:before="0" w:beforeAutospacing="0" w:after="0" w:afterAutospacing="0"/>
              <w:ind w:left="0" w:right="0"/>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本项目位于沙坡头区兴仁镇及香山乡，为河道治理项目，项目运营期不产生废气，对周边大气环境影响较小，因此符合大气环境一般管控区要求。</w:t>
            </w:r>
          </w:p>
          <w:p w14:paraId="47BD1B75">
            <w:pPr>
              <w:pStyle w:val="67"/>
              <w:keepNext w:val="0"/>
              <w:keepLines w:val="0"/>
              <w:pageBreakBefore w:val="0"/>
              <w:suppressLineNumbers w:val="0"/>
              <w:kinsoku/>
              <w:wordWrap/>
              <w:topLinePunct w:val="0"/>
              <w:bidi w:val="0"/>
              <w:spacing w:before="0" w:beforeAutospacing="0" w:after="0" w:afterAutospacing="0"/>
              <w:ind w:left="0" w:right="0"/>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③土壤污染风险防控底线及分区管控要求</w:t>
            </w:r>
          </w:p>
          <w:p w14:paraId="6C83E5C8">
            <w:pPr>
              <w:pStyle w:val="67"/>
              <w:keepNext w:val="0"/>
              <w:keepLines w:val="0"/>
              <w:pageBreakBefore w:val="0"/>
              <w:suppressLineNumbers w:val="0"/>
              <w:kinsoku/>
              <w:wordWrap/>
              <w:topLinePunct w:val="0"/>
              <w:bidi w:val="0"/>
              <w:spacing w:before="0" w:beforeAutospacing="0" w:after="0" w:afterAutospacing="0"/>
              <w:ind w:left="0" w:right="0"/>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根据土壤环境质量现状、土地利用现状，综合考虑全市农用地土壤污染状况详查和重点行业企业用地详查结果，衔接现有污染地块名录、土壤环境重点监管企业清单等，将中卫市划分为农用地优先保护区、建设用地污染风险重点管控区和土壤环境一般管控区。</w:t>
            </w:r>
          </w:p>
          <w:p w14:paraId="1F310095">
            <w:pPr>
              <w:pStyle w:val="67"/>
              <w:keepNext w:val="0"/>
              <w:keepLines w:val="0"/>
              <w:pageBreakBefore w:val="0"/>
              <w:suppressLineNumbers w:val="0"/>
              <w:kinsoku/>
              <w:wordWrap/>
              <w:topLinePunct w:val="0"/>
              <w:bidi w:val="0"/>
              <w:spacing w:before="0" w:beforeAutospacing="0" w:after="0" w:afterAutospacing="0"/>
              <w:ind w:left="0" w:right="0"/>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本项目位于沙坡头区兴仁镇及香山乡，属于中卫市土壤环境一般管控区域</w:t>
            </w:r>
            <w:r>
              <w:rPr>
                <w:rFonts w:hint="eastAsia" w:eastAsia="宋体"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本项目与中卫市土壤污染风险分区管控位置关系见图1-5。</w:t>
            </w:r>
          </w:p>
          <w:p w14:paraId="54460C37">
            <w:pPr>
              <w:pStyle w:val="67"/>
              <w:keepNext w:val="0"/>
              <w:keepLines w:val="0"/>
              <w:pageBreakBefore w:val="0"/>
              <w:suppressLineNumbers w:val="0"/>
              <w:kinsoku/>
              <w:wordWrap/>
              <w:topLinePunct w:val="0"/>
              <w:bidi w:val="0"/>
              <w:spacing w:before="0" w:beforeAutospacing="0" w:after="0" w:afterAutospacing="0"/>
              <w:ind w:left="0" w:right="0"/>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一般管控区要求：在编制国土空间规划等相关规划时，应充分考虑污染地块的环境风险，合理确定土地用途。禁止在居民区、学校、医疗和养老机构等周边新建有色金属冶炼、焦化等行业企业。排放重点污染物的建设项目，在开展环境影响评价时，要增加对土壤环境影响的评价内容，并提出防范突发污染的具体措施；需要建设的土壤污染防治设施，要与主体工程同时设计、同时施工、同时投产使用。</w:t>
            </w:r>
          </w:p>
          <w:p w14:paraId="151EB2C0">
            <w:pPr>
              <w:pStyle w:val="67"/>
              <w:keepNext w:val="0"/>
              <w:keepLines w:val="0"/>
              <w:pageBreakBefore w:val="0"/>
              <w:suppressLineNumbers w:val="0"/>
              <w:kinsoku/>
              <w:wordWrap/>
              <w:topLinePunct w:val="0"/>
              <w:bidi w:val="0"/>
              <w:spacing w:before="0" w:beforeAutospacing="0" w:after="0" w:afterAutospacing="0"/>
              <w:ind w:left="0" w:right="0"/>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本项目位于沙坡头区兴仁镇及香山乡，为河道治理项目，不新增永久占地，临时占地类型</w:t>
            </w:r>
            <w:r>
              <w:rPr>
                <w:rFonts w:hint="eastAsia" w:eastAsia="宋体" w:cs="Times New Roman"/>
                <w:color w:val="auto"/>
                <w:kern w:val="0"/>
                <w:sz w:val="24"/>
                <w:szCs w:val="24"/>
                <w:highlight w:val="none"/>
                <w:lang w:val="en-US" w:eastAsia="zh-CN" w:bidi="ar-SA"/>
              </w:rPr>
              <w:t>主要包括草地及荒地</w:t>
            </w:r>
            <w:r>
              <w:rPr>
                <w:rFonts w:hint="default" w:ascii="Times New Roman" w:hAnsi="Times New Roman" w:eastAsia="宋体" w:cs="Times New Roman"/>
                <w:color w:val="auto"/>
                <w:kern w:val="0"/>
                <w:sz w:val="24"/>
                <w:szCs w:val="24"/>
                <w:highlight w:val="none"/>
                <w:lang w:val="en-US" w:eastAsia="zh-CN" w:bidi="ar-SA"/>
              </w:rPr>
              <w:t>，项目运营期不产生固体废物，巡检人员生活垃圾自行带走，运营期不产生废水，不会导致土壤环境质量下降，符合一般管控区要求。</w:t>
            </w:r>
          </w:p>
          <w:p w14:paraId="1A02B3B9">
            <w:pPr>
              <w:pStyle w:val="11"/>
              <w:spacing w:before="0" w:after="0" w:line="360" w:lineRule="auto"/>
              <w:ind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3)资源利用上线</w:t>
            </w:r>
          </w:p>
          <w:p w14:paraId="74D3609A">
            <w:pPr>
              <w:pStyle w:val="11"/>
              <w:spacing w:before="0" w:after="0" w:line="360" w:lineRule="auto"/>
              <w:ind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①能源利用上线</w:t>
            </w:r>
          </w:p>
          <w:p w14:paraId="11002C38">
            <w:pPr>
              <w:pStyle w:val="11"/>
              <w:spacing w:before="0" w:after="0" w:line="360" w:lineRule="auto"/>
              <w:ind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本项目为</w:t>
            </w:r>
            <w:r>
              <w:rPr>
                <w:rFonts w:hint="default" w:ascii="Times New Roman" w:hAnsi="Times New Roman" w:cs="Times New Roman"/>
                <w:color w:val="auto"/>
                <w:sz w:val="24"/>
                <w:highlight w:val="none"/>
                <w:lang w:val="en-US" w:eastAsia="zh-CN"/>
              </w:rPr>
              <w:t>河道治理项目</w:t>
            </w:r>
            <w:r>
              <w:rPr>
                <w:rFonts w:hint="default" w:ascii="Times New Roman" w:hAnsi="Times New Roman" w:cs="Times New Roman"/>
                <w:color w:val="auto"/>
                <w:kern w:val="16"/>
                <w:sz w:val="24"/>
                <w:highlight w:val="none"/>
              </w:rPr>
              <w:t>，项目运营过程中不消耗煤炭及天然气资源，不会减少区域水、煤炭、天然气等资源总量。根据中卫市高污染燃料禁燃区划分，项目不位于高污染燃料禁燃区内。</w:t>
            </w:r>
          </w:p>
          <w:p w14:paraId="203250BA">
            <w:pPr>
              <w:pStyle w:val="11"/>
              <w:spacing w:before="0" w:after="0" w:line="360" w:lineRule="auto"/>
              <w:ind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②水资源利用上线</w:t>
            </w:r>
          </w:p>
          <w:p w14:paraId="11408C61">
            <w:pPr>
              <w:pStyle w:val="11"/>
              <w:spacing w:before="0" w:after="0" w:line="360" w:lineRule="auto"/>
              <w:ind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认真贯彻落实《宁夏回族自治区水资源管理条例》、《宁夏回族自治区关于实施最严格水资源管理制度的意见》以及《中共宁夏回族自治区委员会关于建设黄河流域生态保护和高质量发展先行区的实施意见》。坚持节约优先、推动全面节水。坚持严控总量、优化结构，管控用途。把水资源作为最大的刚性约束，坚持“以水定城、以水定地、以水定人、以水定产”。统筹优化生产、生活、生态用水。实行用水总量控制和定额管理，严格执行水资源开发利用控制红线，建设节水型社会。坚持节水优先，还水于河，实施河道和滩区综合提升治理工程，全面实施深度节水控水行动等，推进水资源节约集约利用。</w:t>
            </w:r>
          </w:p>
          <w:p w14:paraId="48542C4E">
            <w:pPr>
              <w:pStyle w:val="11"/>
              <w:spacing w:before="0" w:after="0" w:line="360" w:lineRule="auto"/>
              <w:ind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本项目运营期无用水环节，</w:t>
            </w:r>
            <w:r>
              <w:rPr>
                <w:rFonts w:hint="default" w:ascii="Times New Roman" w:hAnsi="Times New Roman" w:cs="Times New Roman"/>
                <w:color w:val="auto"/>
                <w:sz w:val="24"/>
                <w:highlight w:val="none"/>
              </w:rPr>
              <w:t>无废水产生，对周围地表水体无影响。</w:t>
            </w:r>
            <w:r>
              <w:rPr>
                <w:rFonts w:hint="eastAsia" w:ascii="Times New Roman" w:hAnsi="Times New Roman" w:eastAsia="宋体" w:cs="Times New Roman"/>
                <w:color w:val="auto"/>
                <w:kern w:val="0"/>
                <w:sz w:val="24"/>
                <w:szCs w:val="24"/>
                <w:highlight w:val="none"/>
                <w:lang w:val="en-US" w:eastAsia="zh-CN" w:bidi="ar-SA"/>
              </w:rPr>
              <w:t>同时项目实施后，将进一步减少高崖沟沟道淤积现象，使得沟道行洪更为流畅，清淤后增加水体流动及自净，对高崖沟丰水期沟道水环境质量有正向作用</w:t>
            </w:r>
            <w:r>
              <w:rPr>
                <w:rFonts w:hint="default" w:ascii="Times New Roman" w:hAnsi="Times New Roman" w:eastAsia="宋体" w:cs="Times New Roman"/>
                <w:color w:val="auto"/>
                <w:kern w:val="0"/>
                <w:sz w:val="24"/>
                <w:szCs w:val="24"/>
                <w:highlight w:val="none"/>
                <w:lang w:val="en-US" w:eastAsia="zh-CN" w:bidi="ar-SA"/>
              </w:rPr>
              <w:t>。</w:t>
            </w:r>
            <w:r>
              <w:rPr>
                <w:rFonts w:hint="default" w:ascii="Times New Roman" w:hAnsi="Times New Roman" w:cs="Times New Roman"/>
                <w:color w:val="auto"/>
                <w:sz w:val="24"/>
                <w:highlight w:val="none"/>
              </w:rPr>
              <w:t>因此，项目建设符合水资源利用上线要求。</w:t>
            </w:r>
          </w:p>
          <w:p w14:paraId="1BD78F17">
            <w:pPr>
              <w:pStyle w:val="11"/>
              <w:spacing w:before="0" w:after="0" w:line="360" w:lineRule="auto"/>
              <w:ind w:right="0" w:firstLine="480" w:firstLineChars="200"/>
              <w:rPr>
                <w:rFonts w:hint="default" w:ascii="Times New Roman" w:hAnsi="Times New Roman" w:cs="Times New Roman"/>
                <w:color w:val="auto"/>
                <w:kern w:val="2"/>
                <w:sz w:val="24"/>
                <w:szCs w:val="24"/>
                <w:highlight w:val="none"/>
              </w:rPr>
            </w:pPr>
            <w:r>
              <w:rPr>
                <w:rFonts w:hint="default" w:ascii="Times New Roman" w:hAnsi="Times New Roman" w:cs="Times New Roman"/>
                <w:color w:val="auto"/>
                <w:kern w:val="2"/>
                <w:sz w:val="24"/>
                <w:szCs w:val="24"/>
                <w:highlight w:val="none"/>
              </w:rPr>
              <w:t>③土地资源</w:t>
            </w:r>
          </w:p>
          <w:p w14:paraId="2E01ED8E">
            <w:pPr>
              <w:pStyle w:val="11"/>
              <w:spacing w:before="0" w:after="0" w:line="360" w:lineRule="auto"/>
              <w:ind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kern w:val="2"/>
                <w:sz w:val="24"/>
                <w:szCs w:val="24"/>
                <w:highlight w:val="none"/>
              </w:rPr>
              <w:t>本项目为</w:t>
            </w:r>
            <w:r>
              <w:rPr>
                <w:rFonts w:hint="default" w:ascii="Times New Roman" w:hAnsi="Times New Roman" w:cs="Times New Roman"/>
                <w:color w:val="auto"/>
                <w:kern w:val="2"/>
                <w:sz w:val="24"/>
                <w:szCs w:val="24"/>
                <w:highlight w:val="none"/>
                <w:lang w:val="en-US" w:eastAsia="zh-CN"/>
              </w:rPr>
              <w:t>河道治理项目</w:t>
            </w:r>
            <w:r>
              <w:rPr>
                <w:rFonts w:hint="default" w:ascii="Times New Roman" w:hAnsi="Times New Roman" w:cs="Times New Roman"/>
                <w:color w:val="auto"/>
                <w:kern w:val="2"/>
                <w:sz w:val="24"/>
                <w:szCs w:val="24"/>
                <w:highlight w:val="none"/>
              </w:rPr>
              <w:t>，</w:t>
            </w:r>
            <w:r>
              <w:rPr>
                <w:rFonts w:hint="default" w:ascii="Times New Roman" w:hAnsi="Times New Roman" w:cs="Times New Roman"/>
                <w:color w:val="auto"/>
                <w:kern w:val="2"/>
                <w:sz w:val="24"/>
                <w:szCs w:val="24"/>
                <w:highlight w:val="none"/>
                <w:lang w:val="en-US" w:eastAsia="zh-CN"/>
              </w:rPr>
              <w:t>新增</w:t>
            </w:r>
            <w:r>
              <w:rPr>
                <w:rFonts w:hint="default" w:ascii="Times New Roman" w:hAnsi="Times New Roman" w:cs="Times New Roman"/>
                <w:color w:val="auto"/>
                <w:kern w:val="2"/>
                <w:sz w:val="24"/>
                <w:szCs w:val="24"/>
                <w:highlight w:val="none"/>
              </w:rPr>
              <w:t>占地面积为</w:t>
            </w:r>
            <w:r>
              <w:rPr>
                <w:rFonts w:hint="default" w:ascii="Times New Roman" w:hAnsi="Times New Roman" w:cs="Times New Roman"/>
                <w:color w:val="auto"/>
                <w:kern w:val="2"/>
                <w:sz w:val="24"/>
                <w:szCs w:val="24"/>
                <w:highlight w:val="none"/>
                <w:lang w:val="en-US" w:eastAsia="zh-CN"/>
              </w:rPr>
              <w:t>22800</w:t>
            </w:r>
            <w:r>
              <w:rPr>
                <w:rFonts w:hint="default" w:ascii="Times New Roman" w:hAnsi="Times New Roman" w:cs="Times New Roman"/>
                <w:color w:val="auto"/>
                <w:kern w:val="2"/>
                <w:sz w:val="24"/>
                <w:szCs w:val="24"/>
                <w:highlight w:val="none"/>
                <w:lang w:eastAsia="zh-CN"/>
              </w:rPr>
              <w:t>m²</w:t>
            </w:r>
            <w:r>
              <w:rPr>
                <w:rFonts w:hint="default" w:ascii="Times New Roman" w:hAnsi="Times New Roman" w:cs="Times New Roman"/>
                <w:color w:val="auto"/>
                <w:kern w:val="2"/>
                <w:sz w:val="24"/>
                <w:szCs w:val="24"/>
                <w:highlight w:val="none"/>
              </w:rPr>
              <w:t>，</w:t>
            </w:r>
            <w:r>
              <w:rPr>
                <w:rFonts w:hint="default" w:ascii="Times New Roman" w:hAnsi="Times New Roman" w:cs="Times New Roman"/>
                <w:color w:val="auto"/>
                <w:kern w:val="2"/>
                <w:sz w:val="24"/>
                <w:szCs w:val="24"/>
                <w:highlight w:val="none"/>
                <w:lang w:val="en-US" w:eastAsia="zh-CN"/>
              </w:rPr>
              <w:t>均为施工营地临时占地</w:t>
            </w:r>
            <w:r>
              <w:rPr>
                <w:rFonts w:hint="default" w:ascii="Times New Roman" w:hAnsi="Times New Roman" w:cs="Times New Roman"/>
                <w:color w:val="auto"/>
                <w:kern w:val="2"/>
                <w:sz w:val="24"/>
                <w:szCs w:val="24"/>
                <w:highlight w:val="none"/>
              </w:rPr>
              <w:t>，占地类型</w:t>
            </w:r>
            <w:r>
              <w:rPr>
                <w:rFonts w:hint="eastAsia" w:cs="Times New Roman"/>
                <w:color w:val="auto"/>
                <w:kern w:val="2"/>
                <w:sz w:val="24"/>
                <w:szCs w:val="24"/>
                <w:highlight w:val="none"/>
                <w:lang w:eastAsia="zh-CN"/>
              </w:rPr>
              <w:t>主要包括草地及荒地</w:t>
            </w:r>
            <w:r>
              <w:rPr>
                <w:rFonts w:hint="default" w:ascii="Times New Roman" w:hAnsi="Times New Roman" w:cs="Times New Roman"/>
                <w:color w:val="auto"/>
                <w:kern w:val="2"/>
                <w:sz w:val="24"/>
                <w:szCs w:val="24"/>
                <w:highlight w:val="none"/>
                <w:lang w:eastAsia="zh-CN"/>
              </w:rPr>
              <w:t>，</w:t>
            </w:r>
            <w:r>
              <w:rPr>
                <w:rFonts w:hint="default" w:ascii="Times New Roman" w:hAnsi="Times New Roman" w:cs="Times New Roman"/>
                <w:color w:val="auto"/>
                <w:kern w:val="2"/>
                <w:sz w:val="24"/>
                <w:szCs w:val="24"/>
                <w:highlight w:val="none"/>
              </w:rPr>
              <w:t>施工结束后对临时占地进行生态恢复，不会超过区域土地资源利用上</w:t>
            </w:r>
            <w:r>
              <w:rPr>
                <w:rFonts w:hint="default" w:ascii="Times New Roman" w:hAnsi="Times New Roman" w:cs="Times New Roman"/>
                <w:color w:val="auto"/>
                <w:kern w:val="2"/>
                <w:sz w:val="24"/>
                <w:szCs w:val="24"/>
                <w:highlight w:val="none"/>
                <w:lang w:val="en-US" w:eastAsia="zh-CN"/>
              </w:rPr>
              <w:t>限</w:t>
            </w:r>
            <w:r>
              <w:rPr>
                <w:rFonts w:hint="default" w:ascii="Times New Roman" w:hAnsi="Times New Roman" w:cs="Times New Roman"/>
                <w:color w:val="auto"/>
                <w:kern w:val="2"/>
                <w:sz w:val="24"/>
                <w:szCs w:val="24"/>
                <w:highlight w:val="none"/>
              </w:rPr>
              <w:t>要求。因此，本项目建设不会超过区域土地资源利用上限要求</w:t>
            </w:r>
            <w:r>
              <w:rPr>
                <w:rFonts w:hint="default" w:ascii="Times New Roman" w:hAnsi="Times New Roman" w:cs="Times New Roman"/>
                <w:color w:val="auto"/>
                <w:sz w:val="24"/>
                <w:highlight w:val="none"/>
              </w:rPr>
              <w:t>。</w:t>
            </w:r>
          </w:p>
          <w:p w14:paraId="589ABCF1">
            <w:pPr>
              <w:adjustRightInd w:val="0"/>
              <w:snapToGrid w:val="0"/>
              <w:spacing w:after="0" w:line="360" w:lineRule="auto"/>
              <w:ind w:firstLine="480" w:firstLineChars="200"/>
              <w:rPr>
                <w:rFonts w:hint="default" w:ascii="Times New Roman" w:hAnsi="Times New Roman" w:eastAsia="黑体" w:cs="Times New Roman"/>
                <w:b w:val="0"/>
                <w:bCs w:val="0"/>
                <w:color w:val="auto"/>
                <w:sz w:val="24"/>
                <w:highlight w:val="none"/>
              </w:rPr>
            </w:pPr>
            <w:r>
              <w:rPr>
                <w:rFonts w:hint="default" w:ascii="Times New Roman" w:hAnsi="Times New Roman" w:eastAsia="黑体" w:cs="Times New Roman"/>
                <w:b w:val="0"/>
                <w:bCs w:val="0"/>
                <w:color w:val="auto"/>
                <w:sz w:val="24"/>
                <w:highlight w:val="none"/>
              </w:rPr>
              <w:t>(4)</w:t>
            </w:r>
            <w:r>
              <w:rPr>
                <w:rFonts w:hint="default" w:ascii="Times New Roman" w:hAnsi="Times New Roman" w:eastAsia="黑体" w:cs="Times New Roman"/>
                <w:b w:val="0"/>
                <w:bCs w:val="0"/>
                <w:color w:val="auto"/>
                <w:sz w:val="24"/>
                <w:highlight w:val="none"/>
                <w:lang w:val="en-US" w:eastAsia="zh-CN"/>
              </w:rPr>
              <w:t>环境管控单元与</w:t>
            </w:r>
            <w:r>
              <w:rPr>
                <w:rFonts w:hint="default" w:ascii="Times New Roman" w:hAnsi="Times New Roman" w:eastAsia="黑体" w:cs="Times New Roman"/>
                <w:b w:val="0"/>
                <w:bCs w:val="0"/>
                <w:color w:val="auto"/>
                <w:sz w:val="24"/>
                <w:highlight w:val="none"/>
              </w:rPr>
              <w:t>准入清单</w:t>
            </w:r>
          </w:p>
          <w:p w14:paraId="61C78444">
            <w:pPr>
              <w:pStyle w:val="56"/>
              <w:spacing w:before="0" w:after="0" w:line="360" w:lineRule="auto"/>
              <w:ind w:firstLine="480" w:firstLineChars="200"/>
              <w:jc w:val="both"/>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rPr>
              <w:t>本项目位于</w:t>
            </w:r>
            <w:r>
              <w:rPr>
                <w:rFonts w:hint="default" w:ascii="Times New Roman" w:hAnsi="Times New Roman" w:eastAsia="宋体" w:cs="Times New Roman"/>
                <w:color w:val="auto"/>
                <w:kern w:val="0"/>
                <w:sz w:val="24"/>
                <w:szCs w:val="24"/>
                <w:highlight w:val="none"/>
                <w:lang w:val="en-US" w:eastAsia="zh-CN" w:bidi="ar-SA"/>
              </w:rPr>
              <w:t>沙坡头区兴仁镇及香山乡</w:t>
            </w:r>
            <w:r>
              <w:rPr>
                <w:rFonts w:hint="default" w:ascii="Times New Roman" w:hAnsi="Times New Roman" w:cs="Times New Roman"/>
                <w:color w:val="auto"/>
                <w:sz w:val="24"/>
                <w:highlight w:val="none"/>
              </w:rPr>
              <w:t>。</w:t>
            </w:r>
            <w:r>
              <w:rPr>
                <w:rFonts w:hint="eastAsia" w:eastAsia="宋体" w:cs="Times New Roman"/>
                <w:color w:val="auto"/>
                <w:sz w:val="24"/>
                <w:highlight w:val="none"/>
                <w:lang w:val="en-US" w:eastAsia="zh-CN"/>
              </w:rPr>
              <w:t>其中兴仁镇段及香山段上游段</w:t>
            </w:r>
            <w:r>
              <w:rPr>
                <w:rFonts w:hint="default" w:ascii="Times New Roman" w:hAnsi="Times New Roman" w:cs="Times New Roman"/>
                <w:color w:val="auto"/>
                <w:sz w:val="24"/>
                <w:highlight w:val="none"/>
                <w:lang w:val="en-US" w:eastAsia="zh-CN"/>
              </w:rPr>
              <w:t>位于沙坡头一般管控单元1</w:t>
            </w:r>
            <w:r>
              <w:rPr>
                <w:rFonts w:hint="eastAsia"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ZH6405023001</w:t>
            </w:r>
            <w:r>
              <w:rPr>
                <w:rFonts w:hint="eastAsia"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香山段下游位于沙坡头区优先保护单元3（ZH64050210005），</w:t>
            </w:r>
            <w:r>
              <w:rPr>
                <w:rFonts w:hint="default" w:ascii="Times New Roman" w:hAnsi="Times New Roman" w:cs="Times New Roman"/>
                <w:color w:val="auto"/>
                <w:sz w:val="24"/>
                <w:highlight w:val="none"/>
                <w:lang w:val="en-US" w:eastAsia="zh-CN"/>
              </w:rPr>
              <w:t>项目与中卫市环境管控单元位置关系见图1-6。</w:t>
            </w:r>
          </w:p>
          <w:p w14:paraId="01711392">
            <w:pPr>
              <w:pStyle w:val="56"/>
              <w:spacing w:before="0" w:after="0" w:line="360" w:lineRule="auto"/>
              <w:ind w:firstLine="480" w:firstLineChars="200"/>
              <w:jc w:val="both"/>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rPr>
              <w:t>项目与中卫市生态环境准入清单总体要求符合性</w:t>
            </w:r>
            <w:r>
              <w:rPr>
                <w:rFonts w:hint="default" w:ascii="Times New Roman" w:hAnsi="Times New Roman" w:cs="Times New Roman"/>
                <w:color w:val="auto"/>
                <w:sz w:val="24"/>
                <w:highlight w:val="none"/>
                <w:lang w:val="en-US" w:eastAsia="zh-CN"/>
              </w:rPr>
              <w:t>分析</w:t>
            </w:r>
            <w:r>
              <w:rPr>
                <w:rFonts w:hint="default" w:ascii="Times New Roman" w:hAnsi="Times New Roman" w:cs="Times New Roman"/>
                <w:color w:val="auto"/>
                <w:sz w:val="24"/>
                <w:highlight w:val="none"/>
              </w:rPr>
              <w:t>见表1-</w:t>
            </w:r>
            <w:r>
              <w:rPr>
                <w:rFonts w:hint="default" w:ascii="Times New Roman" w:hAnsi="Times New Roman" w:eastAsia="宋体" w:cs="Times New Roman"/>
                <w:color w:val="auto"/>
                <w:sz w:val="24"/>
                <w:highlight w:val="none"/>
                <w:lang w:val="en-US" w:eastAsia="zh-CN"/>
              </w:rPr>
              <w:t>3</w:t>
            </w:r>
            <w:r>
              <w:rPr>
                <w:rFonts w:hint="default" w:ascii="Times New Roman" w:hAnsi="Times New Roman" w:cs="Times New Roman"/>
                <w:color w:val="auto"/>
                <w:sz w:val="24"/>
                <w:highlight w:val="none"/>
              </w:rPr>
              <w:t>、项目与“中卫市环境管控单元生态环境准入清单”相符性</w:t>
            </w:r>
            <w:r>
              <w:rPr>
                <w:rFonts w:hint="default" w:ascii="Times New Roman" w:hAnsi="Times New Roman" w:cs="Times New Roman"/>
                <w:color w:val="auto"/>
                <w:sz w:val="24"/>
                <w:highlight w:val="none"/>
                <w:lang w:val="en-US" w:eastAsia="zh-CN"/>
              </w:rPr>
              <w:t>分析</w:t>
            </w:r>
            <w:r>
              <w:rPr>
                <w:rFonts w:hint="default" w:ascii="Times New Roman" w:hAnsi="Times New Roman" w:cs="Times New Roman"/>
                <w:color w:val="auto"/>
                <w:sz w:val="24"/>
                <w:highlight w:val="none"/>
              </w:rPr>
              <w:t>见表1-</w:t>
            </w:r>
            <w:r>
              <w:rPr>
                <w:rFonts w:hint="default" w:ascii="Times New Roman" w:hAnsi="Times New Roman" w:eastAsia="宋体" w:cs="Times New Roman"/>
                <w:color w:val="auto"/>
                <w:sz w:val="24"/>
                <w:highlight w:val="none"/>
                <w:lang w:val="en-US" w:eastAsia="zh-CN"/>
              </w:rPr>
              <w:t>4</w:t>
            </w:r>
            <w:r>
              <w:rPr>
                <w:rFonts w:hint="default" w:ascii="Times New Roman" w:hAnsi="Times New Roman" w:cs="Times New Roman"/>
                <w:color w:val="auto"/>
                <w:sz w:val="24"/>
                <w:highlight w:val="none"/>
              </w:rPr>
              <w:t>。</w:t>
            </w:r>
            <w:r>
              <w:rPr>
                <w:rFonts w:hint="eastAsia" w:eastAsia="宋体" w:cs="Times New Roman"/>
                <w:color w:val="auto"/>
                <w:sz w:val="24"/>
                <w:highlight w:val="none"/>
                <w:lang w:val="en-US" w:eastAsia="zh-CN"/>
              </w:rPr>
              <w:t>由表</w:t>
            </w:r>
            <w:r>
              <w:rPr>
                <w:rFonts w:hint="default" w:ascii="Times New Roman" w:hAnsi="Times New Roman" w:cs="Times New Roman"/>
                <w:color w:val="auto"/>
                <w:sz w:val="24"/>
                <w:highlight w:val="none"/>
              </w:rPr>
              <w:t>1-</w:t>
            </w:r>
            <w:r>
              <w:rPr>
                <w:rFonts w:hint="default" w:ascii="Times New Roman" w:hAnsi="Times New Roman" w:eastAsia="宋体" w:cs="Times New Roman"/>
                <w:color w:val="auto"/>
                <w:sz w:val="24"/>
                <w:highlight w:val="none"/>
                <w:lang w:val="en-US" w:eastAsia="zh-CN"/>
              </w:rPr>
              <w:t>3</w:t>
            </w:r>
            <w:r>
              <w:rPr>
                <w:rFonts w:hint="default" w:ascii="Times New Roman" w:hAnsi="Times New Roman" w:cs="Times New Roman"/>
                <w:color w:val="auto"/>
                <w:sz w:val="24"/>
                <w:highlight w:val="none"/>
              </w:rPr>
              <w:t>、表1-</w:t>
            </w:r>
            <w:r>
              <w:rPr>
                <w:rFonts w:hint="default" w:ascii="Times New Roman" w:hAnsi="Times New Roman" w:eastAsia="宋体" w:cs="Times New Roman"/>
                <w:color w:val="auto"/>
                <w:sz w:val="24"/>
                <w:highlight w:val="none"/>
                <w:lang w:val="en-US" w:eastAsia="zh-CN"/>
              </w:rPr>
              <w:t>4</w:t>
            </w:r>
            <w:r>
              <w:rPr>
                <w:rFonts w:hint="eastAsia" w:eastAsia="宋体" w:cs="Times New Roman"/>
                <w:color w:val="auto"/>
                <w:sz w:val="24"/>
                <w:highlight w:val="none"/>
                <w:lang w:val="en-US" w:eastAsia="zh-CN"/>
              </w:rPr>
              <w:t>分析可知，本项目建设符合环境管控单元与准入清单相关要求。</w:t>
            </w:r>
          </w:p>
          <w:p w14:paraId="133155F4">
            <w:pPr>
              <w:pStyle w:val="22"/>
              <w:keepNext w:val="0"/>
              <w:keepLines w:val="0"/>
              <w:pageBreakBefore w:val="0"/>
              <w:widowControl/>
              <w:kinsoku/>
              <w:wordWrap/>
              <w:overflowPunct/>
              <w:topLinePunct w:val="0"/>
              <w:autoSpaceDE/>
              <w:autoSpaceDN/>
              <w:bidi w:val="0"/>
              <w:adjustRightInd/>
              <w:snapToGrid w:val="0"/>
              <w:spacing w:before="0" w:beforeAutospacing="0" w:after="0" w:afterAutospacing="0" w:line="240" w:lineRule="auto"/>
              <w:ind w:firstLine="0" w:firstLineChars="0"/>
              <w:jc w:val="center"/>
              <w:textAlignment w:val="auto"/>
              <w:rPr>
                <w:rFonts w:hint="default" w:ascii="Times New Roman" w:hAnsi="Times New Roman" w:eastAsia="黑体" w:cs="Times New Roman"/>
                <w:b w:val="0"/>
                <w:bCs w:val="0"/>
                <w:color w:val="auto"/>
                <w:sz w:val="24"/>
                <w:szCs w:val="24"/>
                <w:highlight w:val="none"/>
              </w:rPr>
            </w:pPr>
            <w:r>
              <w:rPr>
                <w:rFonts w:hint="default" w:ascii="Times New Roman" w:hAnsi="Times New Roman" w:eastAsia="黑体" w:cs="Times New Roman"/>
                <w:b w:val="0"/>
                <w:bCs w:val="0"/>
                <w:color w:val="auto"/>
                <w:sz w:val="24"/>
                <w:szCs w:val="24"/>
                <w:highlight w:val="none"/>
                <w:lang w:bidi="ar"/>
              </w:rPr>
              <w:t>表1-</w:t>
            </w:r>
            <w:r>
              <w:rPr>
                <w:rFonts w:hint="default" w:ascii="Times New Roman" w:hAnsi="Times New Roman" w:eastAsia="黑体" w:cs="Times New Roman"/>
                <w:b w:val="0"/>
                <w:bCs w:val="0"/>
                <w:color w:val="auto"/>
                <w:sz w:val="24"/>
                <w:szCs w:val="24"/>
                <w:highlight w:val="none"/>
                <w:lang w:val="en-US" w:eastAsia="zh-CN" w:bidi="ar"/>
              </w:rPr>
              <w:t xml:space="preserve">3 </w:t>
            </w:r>
            <w:r>
              <w:rPr>
                <w:rFonts w:hint="default" w:ascii="Times New Roman" w:hAnsi="Times New Roman" w:eastAsia="黑体" w:cs="Times New Roman"/>
                <w:b w:val="0"/>
                <w:bCs w:val="0"/>
                <w:color w:val="auto"/>
                <w:sz w:val="24"/>
                <w:szCs w:val="24"/>
                <w:highlight w:val="none"/>
                <w:lang w:bidi="ar"/>
              </w:rPr>
              <w:t xml:space="preserve"> 中卫市生态环境总体准入要求</w:t>
            </w:r>
          </w:p>
          <w:tbl>
            <w:tblPr>
              <w:tblStyle w:val="26"/>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04"/>
              <w:gridCol w:w="798"/>
              <w:gridCol w:w="3817"/>
              <w:gridCol w:w="2291"/>
              <w:gridCol w:w="837"/>
            </w:tblGrid>
            <w:tr w14:paraId="13510D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442" w:type="dxa"/>
                  <w:gridSpan w:val="2"/>
                  <w:tcBorders>
                    <w:tl2br w:val="nil"/>
                    <w:tr2bl w:val="nil"/>
                  </w:tcBorders>
                  <w:noWrap w:val="0"/>
                  <w:vAlign w:val="center"/>
                </w:tcPr>
                <w:p w14:paraId="12A835F2">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b/>
                      <w:bCs/>
                      <w:color w:val="auto"/>
                      <w:kern w:val="2"/>
                      <w:sz w:val="21"/>
                      <w:szCs w:val="21"/>
                      <w:highlight w:val="none"/>
                    </w:rPr>
                  </w:pPr>
                  <w:r>
                    <w:rPr>
                      <w:rFonts w:hint="default" w:ascii="Times New Roman" w:hAnsi="Times New Roman" w:cs="Times New Roman"/>
                      <w:b/>
                      <w:bCs/>
                      <w:color w:val="auto"/>
                      <w:kern w:val="2"/>
                      <w:sz w:val="21"/>
                      <w:szCs w:val="21"/>
                      <w:highlight w:val="none"/>
                      <w:lang w:bidi="ar"/>
                    </w:rPr>
                    <w:t>管控维度</w:t>
                  </w:r>
                </w:p>
              </w:tc>
              <w:tc>
                <w:tcPr>
                  <w:tcW w:w="3926" w:type="dxa"/>
                  <w:tcBorders>
                    <w:tl2br w:val="nil"/>
                    <w:tr2bl w:val="nil"/>
                  </w:tcBorders>
                  <w:noWrap w:val="0"/>
                  <w:vAlign w:val="center"/>
                </w:tcPr>
                <w:p w14:paraId="7EF2D9BF">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b/>
                      <w:bCs/>
                      <w:color w:val="auto"/>
                      <w:kern w:val="2"/>
                      <w:sz w:val="21"/>
                      <w:szCs w:val="21"/>
                      <w:highlight w:val="none"/>
                    </w:rPr>
                  </w:pPr>
                  <w:r>
                    <w:rPr>
                      <w:rFonts w:hint="default" w:ascii="Times New Roman" w:hAnsi="Times New Roman" w:cs="Times New Roman"/>
                      <w:b/>
                      <w:bCs/>
                      <w:color w:val="auto"/>
                      <w:kern w:val="2"/>
                      <w:sz w:val="21"/>
                      <w:szCs w:val="21"/>
                      <w:highlight w:val="none"/>
                      <w:lang w:bidi="ar"/>
                    </w:rPr>
                    <w:t>管控要求</w:t>
                  </w:r>
                </w:p>
              </w:tc>
              <w:tc>
                <w:tcPr>
                  <w:tcW w:w="2356" w:type="dxa"/>
                  <w:tcBorders>
                    <w:tl2br w:val="nil"/>
                    <w:tr2bl w:val="nil"/>
                  </w:tcBorders>
                  <w:noWrap w:val="0"/>
                  <w:vAlign w:val="center"/>
                </w:tcPr>
                <w:p w14:paraId="0C5A48D2">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b/>
                      <w:bCs/>
                      <w:color w:val="auto"/>
                      <w:kern w:val="2"/>
                      <w:sz w:val="21"/>
                      <w:szCs w:val="21"/>
                      <w:highlight w:val="none"/>
                    </w:rPr>
                  </w:pPr>
                  <w:r>
                    <w:rPr>
                      <w:rFonts w:hint="default" w:ascii="Times New Roman" w:hAnsi="Times New Roman" w:cs="Times New Roman"/>
                      <w:b/>
                      <w:bCs/>
                      <w:color w:val="auto"/>
                      <w:kern w:val="2"/>
                      <w:sz w:val="21"/>
                      <w:szCs w:val="21"/>
                      <w:highlight w:val="none"/>
                      <w:lang w:bidi="ar"/>
                    </w:rPr>
                    <w:t>符合性分析</w:t>
                  </w:r>
                </w:p>
              </w:tc>
              <w:tc>
                <w:tcPr>
                  <w:tcW w:w="861" w:type="dxa"/>
                  <w:tcBorders>
                    <w:tl2br w:val="nil"/>
                    <w:tr2bl w:val="nil"/>
                  </w:tcBorders>
                  <w:noWrap w:val="0"/>
                  <w:vAlign w:val="center"/>
                </w:tcPr>
                <w:p w14:paraId="2D58F139">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b/>
                      <w:bCs/>
                      <w:color w:val="auto"/>
                      <w:kern w:val="2"/>
                      <w:sz w:val="21"/>
                      <w:szCs w:val="21"/>
                      <w:highlight w:val="none"/>
                    </w:rPr>
                  </w:pPr>
                  <w:r>
                    <w:rPr>
                      <w:rFonts w:hint="default" w:ascii="Times New Roman" w:hAnsi="Times New Roman" w:cs="Times New Roman"/>
                      <w:b/>
                      <w:bCs/>
                      <w:color w:val="auto"/>
                      <w:kern w:val="2"/>
                      <w:sz w:val="21"/>
                      <w:szCs w:val="21"/>
                      <w:highlight w:val="none"/>
                      <w:lang w:bidi="ar"/>
                    </w:rPr>
                    <w:t>是否</w:t>
                  </w:r>
                </w:p>
                <w:p w14:paraId="356646D5">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b/>
                      <w:bCs/>
                      <w:color w:val="auto"/>
                      <w:kern w:val="2"/>
                      <w:sz w:val="21"/>
                      <w:szCs w:val="21"/>
                      <w:highlight w:val="none"/>
                    </w:rPr>
                  </w:pPr>
                  <w:r>
                    <w:rPr>
                      <w:rFonts w:hint="default" w:ascii="Times New Roman" w:hAnsi="Times New Roman" w:cs="Times New Roman"/>
                      <w:b/>
                      <w:bCs/>
                      <w:color w:val="auto"/>
                      <w:kern w:val="2"/>
                      <w:sz w:val="21"/>
                      <w:szCs w:val="21"/>
                      <w:highlight w:val="none"/>
                      <w:lang w:bidi="ar"/>
                    </w:rPr>
                    <w:t>符合</w:t>
                  </w:r>
                </w:p>
              </w:tc>
            </w:tr>
            <w:tr w14:paraId="5332BB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22" w:type="dxa"/>
                  <w:vMerge w:val="restart"/>
                  <w:tcBorders>
                    <w:tl2br w:val="nil"/>
                    <w:tr2bl w:val="nil"/>
                  </w:tcBorders>
                  <w:noWrap w:val="0"/>
                  <w:vAlign w:val="center"/>
                </w:tcPr>
                <w:p w14:paraId="78526842">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bidi="ar"/>
                    </w:rPr>
                    <w:t>A1</w:t>
                  </w:r>
                </w:p>
                <w:p w14:paraId="5B3D5825">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spacing w:val="-1"/>
                      <w:kern w:val="2"/>
                      <w:sz w:val="21"/>
                      <w:szCs w:val="21"/>
                      <w:highlight w:val="none"/>
                      <w:lang w:bidi="ar"/>
                    </w:rPr>
                    <w:t>空间</w:t>
                  </w:r>
                </w:p>
                <w:p w14:paraId="683A668D">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1"/>
                      <w:kern w:val="2"/>
                      <w:sz w:val="21"/>
                      <w:szCs w:val="21"/>
                      <w:highlight w:val="none"/>
                    </w:rPr>
                  </w:pPr>
                  <w:r>
                    <w:rPr>
                      <w:rFonts w:hint="default" w:ascii="Times New Roman" w:hAnsi="Times New Roman" w:cs="Times New Roman"/>
                      <w:color w:val="auto"/>
                      <w:spacing w:val="-1"/>
                      <w:kern w:val="2"/>
                      <w:sz w:val="21"/>
                      <w:szCs w:val="21"/>
                      <w:highlight w:val="none"/>
                      <w:lang w:bidi="ar"/>
                    </w:rPr>
                    <w:t>布局</w:t>
                  </w:r>
                </w:p>
                <w:p w14:paraId="2E3FC039">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bidi="ar"/>
                    </w:rPr>
                    <w:t>约束</w:t>
                  </w:r>
                </w:p>
              </w:tc>
              <w:tc>
                <w:tcPr>
                  <w:tcW w:w="820" w:type="dxa"/>
                  <w:vMerge w:val="restart"/>
                  <w:tcBorders>
                    <w:tl2br w:val="nil"/>
                    <w:tr2bl w:val="nil"/>
                  </w:tcBorders>
                  <w:noWrap w:val="0"/>
                  <w:vAlign w:val="center"/>
                </w:tcPr>
                <w:p w14:paraId="027095C8">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2"/>
                      <w:kern w:val="2"/>
                      <w:sz w:val="21"/>
                      <w:szCs w:val="21"/>
                      <w:highlight w:val="none"/>
                    </w:rPr>
                  </w:pPr>
                  <w:r>
                    <w:rPr>
                      <w:rFonts w:hint="default" w:ascii="Times New Roman" w:hAnsi="Times New Roman" w:cs="Times New Roman"/>
                      <w:color w:val="auto"/>
                      <w:spacing w:val="-2"/>
                      <w:kern w:val="2"/>
                      <w:sz w:val="21"/>
                      <w:szCs w:val="21"/>
                      <w:highlight w:val="none"/>
                      <w:lang w:bidi="ar"/>
                    </w:rPr>
                    <w:t>A1.1</w:t>
                  </w:r>
                </w:p>
                <w:p w14:paraId="02999F66">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2"/>
                      <w:kern w:val="2"/>
                      <w:sz w:val="21"/>
                      <w:szCs w:val="21"/>
                      <w:highlight w:val="none"/>
                    </w:rPr>
                  </w:pPr>
                  <w:r>
                    <w:rPr>
                      <w:rFonts w:hint="default" w:ascii="Times New Roman" w:hAnsi="Times New Roman" w:cs="Times New Roman"/>
                      <w:color w:val="auto"/>
                      <w:spacing w:val="-2"/>
                      <w:kern w:val="2"/>
                      <w:sz w:val="21"/>
                      <w:szCs w:val="21"/>
                      <w:highlight w:val="none"/>
                      <w:lang w:bidi="ar"/>
                    </w:rPr>
                    <w:t>禁止开发建设活动的要求</w:t>
                  </w:r>
                </w:p>
              </w:tc>
              <w:tc>
                <w:tcPr>
                  <w:tcW w:w="3926" w:type="dxa"/>
                  <w:tcBorders>
                    <w:tl2br w:val="nil"/>
                    <w:tr2bl w:val="nil"/>
                  </w:tcBorders>
                  <w:noWrap w:val="0"/>
                  <w:vAlign w:val="center"/>
                </w:tcPr>
                <w:p w14:paraId="691BCB2E">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both"/>
                    <w:textAlignment w:val="auto"/>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严禁在黄河干流及主要支流临岸一定范围内新建“两高一资”项目和产业园区。</w:t>
                  </w:r>
                </w:p>
              </w:tc>
              <w:tc>
                <w:tcPr>
                  <w:tcW w:w="2356" w:type="dxa"/>
                  <w:tcBorders>
                    <w:tl2br w:val="nil"/>
                    <w:tr2bl w:val="nil"/>
                  </w:tcBorders>
                  <w:noWrap w:val="0"/>
                  <w:vAlign w:val="center"/>
                </w:tcPr>
                <w:p w14:paraId="17495075">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left"/>
                    <w:textAlignment w:val="auto"/>
                    <w:rPr>
                      <w:rFonts w:hint="default" w:ascii="Times New Roman" w:hAnsi="Times New Roman" w:cs="Times New Roman"/>
                      <w:color w:val="auto"/>
                      <w:kern w:val="2"/>
                      <w:sz w:val="21"/>
                      <w:szCs w:val="21"/>
                      <w:highlight w:val="none"/>
                    </w:rPr>
                  </w:pPr>
                  <w:bookmarkStart w:id="2" w:name="OLE_LINK2"/>
                  <w:r>
                    <w:rPr>
                      <w:rFonts w:hint="default" w:ascii="Times New Roman" w:hAnsi="Times New Roman" w:cs="Times New Roman"/>
                      <w:color w:val="auto"/>
                      <w:kern w:val="2"/>
                      <w:sz w:val="21"/>
                      <w:szCs w:val="21"/>
                      <w:highlight w:val="none"/>
                    </w:rPr>
                    <w:t>本项目为</w:t>
                  </w:r>
                  <w:bookmarkEnd w:id="2"/>
                  <w:r>
                    <w:rPr>
                      <w:rFonts w:hint="default" w:ascii="Times New Roman" w:hAnsi="Times New Roman" w:cs="Times New Roman"/>
                      <w:color w:val="auto"/>
                      <w:kern w:val="2"/>
                      <w:sz w:val="21"/>
                      <w:szCs w:val="21"/>
                      <w:highlight w:val="none"/>
                      <w:lang w:val="en-US" w:eastAsia="zh-CN"/>
                    </w:rPr>
                    <w:t>河道治理项目</w:t>
                  </w:r>
                  <w:r>
                    <w:rPr>
                      <w:rFonts w:hint="default" w:ascii="Times New Roman" w:hAnsi="Times New Roman" w:cs="Times New Roman"/>
                      <w:color w:val="auto"/>
                      <w:kern w:val="2"/>
                      <w:sz w:val="21"/>
                      <w:szCs w:val="21"/>
                      <w:highlight w:val="none"/>
                    </w:rPr>
                    <w:t>，不属于“两高一资”项目</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color w:val="auto"/>
                      <w:kern w:val="2"/>
                      <w:sz w:val="21"/>
                      <w:szCs w:val="21"/>
                      <w:highlight w:val="none"/>
                      <w:lang w:val="en-US" w:eastAsia="zh-CN"/>
                    </w:rPr>
                    <w:t>不在黄河临岸范围内</w:t>
                  </w:r>
                  <w:r>
                    <w:rPr>
                      <w:rFonts w:hint="default" w:ascii="Times New Roman" w:hAnsi="Times New Roman" w:cs="Times New Roman"/>
                      <w:color w:val="auto"/>
                      <w:kern w:val="2"/>
                      <w:sz w:val="21"/>
                      <w:szCs w:val="21"/>
                      <w:highlight w:val="none"/>
                    </w:rPr>
                    <w:t>。</w:t>
                  </w:r>
                </w:p>
              </w:tc>
              <w:tc>
                <w:tcPr>
                  <w:tcW w:w="861" w:type="dxa"/>
                  <w:tcBorders>
                    <w:tl2br w:val="nil"/>
                    <w:tr2bl w:val="nil"/>
                  </w:tcBorders>
                  <w:noWrap w:val="0"/>
                  <w:vAlign w:val="center"/>
                </w:tcPr>
                <w:p w14:paraId="0F491CFF">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符合</w:t>
                  </w:r>
                </w:p>
              </w:tc>
            </w:tr>
            <w:tr w14:paraId="7150C3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22" w:type="dxa"/>
                  <w:vMerge w:val="continue"/>
                  <w:tcBorders>
                    <w:tl2br w:val="nil"/>
                    <w:tr2bl w:val="nil"/>
                  </w:tcBorders>
                  <w:noWrap w:val="0"/>
                  <w:vAlign w:val="center"/>
                </w:tcPr>
                <w:p w14:paraId="6A8E6677">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kern w:val="2"/>
                      <w:sz w:val="21"/>
                      <w:szCs w:val="21"/>
                      <w:highlight w:val="none"/>
                      <w:lang w:bidi="ar"/>
                    </w:rPr>
                  </w:pPr>
                </w:p>
              </w:tc>
              <w:tc>
                <w:tcPr>
                  <w:tcW w:w="820" w:type="dxa"/>
                  <w:vMerge w:val="continue"/>
                  <w:tcBorders>
                    <w:tl2br w:val="nil"/>
                    <w:tr2bl w:val="nil"/>
                  </w:tcBorders>
                  <w:noWrap w:val="0"/>
                  <w:vAlign w:val="center"/>
                </w:tcPr>
                <w:p w14:paraId="2F83868C">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2"/>
                      <w:kern w:val="2"/>
                      <w:sz w:val="21"/>
                      <w:szCs w:val="21"/>
                      <w:highlight w:val="none"/>
                      <w:lang w:bidi="ar"/>
                    </w:rPr>
                  </w:pPr>
                </w:p>
              </w:tc>
              <w:tc>
                <w:tcPr>
                  <w:tcW w:w="3926" w:type="dxa"/>
                  <w:tcBorders>
                    <w:tl2br w:val="nil"/>
                    <w:tr2bl w:val="nil"/>
                  </w:tcBorders>
                  <w:noWrap w:val="0"/>
                  <w:vAlign w:val="center"/>
                </w:tcPr>
                <w:p w14:paraId="48FA7BE2">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cs="Times New Roman"/>
                      <w:color w:val="auto"/>
                      <w:spacing w:val="-2"/>
                      <w:kern w:val="2"/>
                      <w:sz w:val="21"/>
                      <w:szCs w:val="21"/>
                      <w:highlight w:val="none"/>
                      <w:lang w:bidi="ar"/>
                    </w:rPr>
                  </w:pPr>
                  <w:r>
                    <w:rPr>
                      <w:rFonts w:hint="default" w:ascii="Times New Roman" w:hAnsi="Times New Roman" w:cs="Times New Roman"/>
                      <w:color w:val="auto"/>
                      <w:spacing w:val="-2"/>
                      <w:kern w:val="2"/>
                      <w:sz w:val="21"/>
                      <w:szCs w:val="21"/>
                      <w:highlight w:val="none"/>
                      <w:lang w:bidi="ar"/>
                    </w:rPr>
                    <w:t>黄河沿线两岸3公里范围内不再新建养殖场。</w:t>
                  </w:r>
                </w:p>
              </w:tc>
              <w:tc>
                <w:tcPr>
                  <w:tcW w:w="2356" w:type="dxa"/>
                  <w:tcBorders>
                    <w:tl2br w:val="nil"/>
                    <w:tr2bl w:val="nil"/>
                  </w:tcBorders>
                  <w:noWrap w:val="0"/>
                  <w:vAlign w:val="center"/>
                </w:tcPr>
                <w:p w14:paraId="06BE907B">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left"/>
                    <w:textAlignment w:val="auto"/>
                    <w:rPr>
                      <w:rFonts w:hint="default" w:ascii="Times New Roman" w:hAnsi="Times New Roman" w:eastAsia="宋体" w:cs="Times New Roman"/>
                      <w:color w:val="auto"/>
                      <w:spacing w:val="-2"/>
                      <w:kern w:val="2"/>
                      <w:sz w:val="21"/>
                      <w:szCs w:val="21"/>
                      <w:highlight w:val="none"/>
                      <w:lang w:val="en-US" w:eastAsia="zh-CN" w:bidi="ar"/>
                    </w:rPr>
                  </w:pPr>
                  <w:r>
                    <w:rPr>
                      <w:rFonts w:hint="default" w:ascii="Times New Roman" w:hAnsi="Times New Roman" w:cs="Times New Roman"/>
                      <w:color w:val="auto"/>
                      <w:kern w:val="2"/>
                      <w:sz w:val="21"/>
                      <w:szCs w:val="21"/>
                      <w:highlight w:val="none"/>
                    </w:rPr>
                    <w:t>本项目为</w:t>
                  </w:r>
                  <w:r>
                    <w:rPr>
                      <w:rFonts w:hint="default" w:ascii="Times New Roman" w:hAnsi="Times New Roman" w:cs="Times New Roman"/>
                      <w:color w:val="auto"/>
                      <w:kern w:val="2"/>
                      <w:sz w:val="21"/>
                      <w:szCs w:val="21"/>
                      <w:highlight w:val="none"/>
                      <w:lang w:val="en-US" w:eastAsia="zh-CN"/>
                    </w:rPr>
                    <w:t>河道治理项目</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color w:val="auto"/>
                      <w:kern w:val="2"/>
                      <w:sz w:val="21"/>
                      <w:szCs w:val="21"/>
                      <w:highlight w:val="none"/>
                      <w:lang w:val="en-US" w:eastAsia="zh-CN"/>
                    </w:rPr>
                    <w:t>不属于养殖场项目。</w:t>
                  </w:r>
                </w:p>
              </w:tc>
              <w:tc>
                <w:tcPr>
                  <w:tcW w:w="861" w:type="dxa"/>
                  <w:tcBorders>
                    <w:tl2br w:val="nil"/>
                    <w:tr2bl w:val="nil"/>
                  </w:tcBorders>
                  <w:noWrap w:val="0"/>
                  <w:vAlign w:val="center"/>
                </w:tcPr>
                <w:p w14:paraId="0006922F">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2"/>
                      <w:kern w:val="2"/>
                      <w:sz w:val="21"/>
                      <w:szCs w:val="21"/>
                      <w:highlight w:val="none"/>
                      <w:lang w:bidi="ar"/>
                    </w:rPr>
                  </w:pPr>
                  <w:r>
                    <w:rPr>
                      <w:rFonts w:hint="default" w:ascii="Times New Roman" w:hAnsi="Times New Roman" w:cs="Times New Roman"/>
                      <w:color w:val="auto"/>
                      <w:spacing w:val="-2"/>
                      <w:kern w:val="2"/>
                      <w:sz w:val="21"/>
                      <w:szCs w:val="21"/>
                      <w:highlight w:val="none"/>
                      <w:lang w:bidi="ar"/>
                    </w:rPr>
                    <w:t>符合</w:t>
                  </w:r>
                </w:p>
              </w:tc>
            </w:tr>
            <w:tr w14:paraId="5CFE89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22" w:type="dxa"/>
                  <w:vMerge w:val="continue"/>
                  <w:tcBorders>
                    <w:tl2br w:val="nil"/>
                    <w:tr2bl w:val="nil"/>
                  </w:tcBorders>
                  <w:noWrap w:val="0"/>
                  <w:vAlign w:val="center"/>
                </w:tcPr>
                <w:p w14:paraId="5C19DAE6">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kern w:val="2"/>
                      <w:sz w:val="21"/>
                      <w:szCs w:val="21"/>
                      <w:highlight w:val="none"/>
                      <w:lang w:bidi="ar"/>
                    </w:rPr>
                  </w:pPr>
                </w:p>
              </w:tc>
              <w:tc>
                <w:tcPr>
                  <w:tcW w:w="820" w:type="dxa"/>
                  <w:vMerge w:val="continue"/>
                  <w:tcBorders>
                    <w:tl2br w:val="nil"/>
                    <w:tr2bl w:val="nil"/>
                  </w:tcBorders>
                  <w:noWrap w:val="0"/>
                  <w:vAlign w:val="center"/>
                </w:tcPr>
                <w:p w14:paraId="5851E4BC">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2"/>
                      <w:kern w:val="2"/>
                      <w:sz w:val="21"/>
                      <w:szCs w:val="21"/>
                      <w:highlight w:val="none"/>
                      <w:lang w:bidi="ar"/>
                    </w:rPr>
                  </w:pPr>
                </w:p>
              </w:tc>
              <w:tc>
                <w:tcPr>
                  <w:tcW w:w="3926" w:type="dxa"/>
                  <w:tcBorders>
                    <w:tl2br w:val="nil"/>
                    <w:tr2bl w:val="nil"/>
                  </w:tcBorders>
                  <w:noWrap w:val="0"/>
                  <w:vAlign w:val="center"/>
                </w:tcPr>
                <w:p w14:paraId="3C6AEDFA">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cs="Times New Roman"/>
                      <w:color w:val="auto"/>
                      <w:spacing w:val="-2"/>
                      <w:kern w:val="2"/>
                      <w:sz w:val="21"/>
                      <w:szCs w:val="21"/>
                      <w:highlight w:val="none"/>
                      <w:lang w:bidi="ar"/>
                    </w:rPr>
                  </w:pPr>
                  <w:r>
                    <w:rPr>
                      <w:rFonts w:hint="default" w:ascii="Times New Roman" w:hAnsi="Times New Roman" w:cs="Times New Roman"/>
                      <w:color w:val="auto"/>
                      <w:spacing w:val="-2"/>
                      <w:kern w:val="2"/>
                      <w:sz w:val="21"/>
                      <w:szCs w:val="21"/>
                      <w:highlight w:val="none"/>
                      <w:lang w:bidi="ar"/>
                    </w:rPr>
                    <w:t>所有工业企业原则上一律入园，工业园区（集聚区）以外不再新建、扩建工业项目。</w:t>
                  </w:r>
                </w:p>
              </w:tc>
              <w:tc>
                <w:tcPr>
                  <w:tcW w:w="2356" w:type="dxa"/>
                  <w:tcBorders>
                    <w:tl2br w:val="nil"/>
                    <w:tr2bl w:val="nil"/>
                  </w:tcBorders>
                  <w:noWrap w:val="0"/>
                  <w:vAlign w:val="center"/>
                </w:tcPr>
                <w:p w14:paraId="34AD13A7">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left"/>
                    <w:textAlignment w:val="auto"/>
                    <w:rPr>
                      <w:rFonts w:hint="default" w:ascii="Times New Roman" w:hAnsi="Times New Roman" w:cs="Times New Roman"/>
                      <w:color w:val="auto"/>
                      <w:spacing w:val="-2"/>
                      <w:kern w:val="2"/>
                      <w:sz w:val="21"/>
                      <w:szCs w:val="21"/>
                      <w:highlight w:val="none"/>
                      <w:lang w:bidi="ar"/>
                    </w:rPr>
                  </w:pPr>
                  <w:r>
                    <w:rPr>
                      <w:rFonts w:hint="default" w:ascii="Times New Roman" w:hAnsi="Times New Roman" w:cs="Times New Roman"/>
                      <w:color w:val="auto"/>
                      <w:spacing w:val="-2"/>
                      <w:kern w:val="2"/>
                      <w:sz w:val="21"/>
                      <w:szCs w:val="21"/>
                      <w:highlight w:val="none"/>
                      <w:lang w:bidi="ar"/>
                    </w:rPr>
                    <w:t>本项目</w:t>
                  </w:r>
                  <w:r>
                    <w:rPr>
                      <w:rFonts w:hint="default" w:ascii="Times New Roman" w:hAnsi="Times New Roman" w:cs="Times New Roman"/>
                      <w:color w:val="auto"/>
                      <w:spacing w:val="-2"/>
                      <w:kern w:val="2"/>
                      <w:sz w:val="21"/>
                      <w:szCs w:val="21"/>
                      <w:highlight w:val="none"/>
                      <w:lang w:val="en-US" w:eastAsia="zh-CN" w:bidi="ar"/>
                    </w:rPr>
                    <w:t>为河道治理项目</w:t>
                  </w:r>
                  <w:r>
                    <w:rPr>
                      <w:rFonts w:hint="default" w:ascii="Times New Roman" w:hAnsi="Times New Roman" w:cs="Times New Roman"/>
                      <w:color w:val="auto"/>
                      <w:spacing w:val="-2"/>
                      <w:kern w:val="2"/>
                      <w:sz w:val="21"/>
                      <w:szCs w:val="21"/>
                      <w:highlight w:val="none"/>
                      <w:lang w:bidi="ar"/>
                    </w:rPr>
                    <w:t>，</w:t>
                  </w:r>
                  <w:r>
                    <w:rPr>
                      <w:rFonts w:hint="eastAsia" w:ascii="Times New Roman" w:hAnsi="Times New Roman" w:cs="Times New Roman"/>
                      <w:color w:val="auto"/>
                      <w:spacing w:val="-2"/>
                      <w:kern w:val="2"/>
                      <w:sz w:val="21"/>
                      <w:szCs w:val="21"/>
                      <w:highlight w:val="none"/>
                      <w:lang w:val="en-US" w:eastAsia="zh-CN" w:bidi="ar"/>
                    </w:rPr>
                    <w:t>不属于</w:t>
                  </w:r>
                  <w:r>
                    <w:rPr>
                      <w:rFonts w:hint="default" w:ascii="Times New Roman" w:hAnsi="Times New Roman" w:cs="Times New Roman"/>
                      <w:color w:val="auto"/>
                      <w:spacing w:val="-2"/>
                      <w:kern w:val="2"/>
                      <w:sz w:val="21"/>
                      <w:szCs w:val="21"/>
                      <w:highlight w:val="none"/>
                      <w:lang w:bidi="ar"/>
                    </w:rPr>
                    <w:t>工业项目。</w:t>
                  </w:r>
                </w:p>
              </w:tc>
              <w:tc>
                <w:tcPr>
                  <w:tcW w:w="861" w:type="dxa"/>
                  <w:tcBorders>
                    <w:tl2br w:val="nil"/>
                    <w:tr2bl w:val="nil"/>
                  </w:tcBorders>
                  <w:noWrap w:val="0"/>
                  <w:vAlign w:val="center"/>
                </w:tcPr>
                <w:p w14:paraId="7C81D0DE">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2"/>
                      <w:kern w:val="2"/>
                      <w:sz w:val="21"/>
                      <w:szCs w:val="21"/>
                      <w:highlight w:val="none"/>
                      <w:lang w:bidi="ar"/>
                    </w:rPr>
                  </w:pPr>
                  <w:r>
                    <w:rPr>
                      <w:rFonts w:hint="default" w:ascii="Times New Roman" w:hAnsi="Times New Roman" w:cs="Times New Roman"/>
                      <w:color w:val="auto"/>
                      <w:spacing w:val="-2"/>
                      <w:kern w:val="2"/>
                      <w:sz w:val="21"/>
                      <w:szCs w:val="21"/>
                      <w:highlight w:val="none"/>
                      <w:lang w:bidi="ar"/>
                    </w:rPr>
                    <w:t>符合</w:t>
                  </w:r>
                </w:p>
              </w:tc>
            </w:tr>
            <w:tr w14:paraId="29FF39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22" w:type="dxa"/>
                  <w:vMerge w:val="continue"/>
                  <w:tcBorders>
                    <w:tl2br w:val="nil"/>
                    <w:tr2bl w:val="nil"/>
                  </w:tcBorders>
                  <w:noWrap w:val="0"/>
                  <w:vAlign w:val="center"/>
                </w:tcPr>
                <w:p w14:paraId="1BDB1B4E">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kern w:val="2"/>
                      <w:sz w:val="21"/>
                      <w:szCs w:val="21"/>
                      <w:highlight w:val="none"/>
                      <w:lang w:bidi="ar"/>
                    </w:rPr>
                  </w:pPr>
                </w:p>
              </w:tc>
              <w:tc>
                <w:tcPr>
                  <w:tcW w:w="820" w:type="dxa"/>
                  <w:vMerge w:val="continue"/>
                  <w:tcBorders>
                    <w:tl2br w:val="nil"/>
                    <w:tr2bl w:val="nil"/>
                  </w:tcBorders>
                  <w:noWrap w:val="0"/>
                  <w:vAlign w:val="center"/>
                </w:tcPr>
                <w:p w14:paraId="418EE3E6">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2"/>
                      <w:kern w:val="2"/>
                      <w:sz w:val="21"/>
                      <w:szCs w:val="21"/>
                      <w:highlight w:val="none"/>
                      <w:lang w:bidi="ar"/>
                    </w:rPr>
                  </w:pPr>
                </w:p>
              </w:tc>
              <w:tc>
                <w:tcPr>
                  <w:tcW w:w="3926" w:type="dxa"/>
                  <w:tcBorders>
                    <w:tl2br w:val="nil"/>
                    <w:tr2bl w:val="nil"/>
                  </w:tcBorders>
                  <w:noWrap w:val="0"/>
                  <w:vAlign w:val="center"/>
                </w:tcPr>
                <w:p w14:paraId="13C6C190">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cs="Times New Roman"/>
                      <w:color w:val="auto"/>
                      <w:spacing w:val="-2"/>
                      <w:kern w:val="2"/>
                      <w:sz w:val="21"/>
                      <w:szCs w:val="21"/>
                      <w:highlight w:val="none"/>
                      <w:lang w:bidi="ar"/>
                    </w:rPr>
                  </w:pPr>
                  <w:r>
                    <w:rPr>
                      <w:rFonts w:hint="default" w:ascii="Times New Roman" w:hAnsi="Times New Roman" w:cs="Times New Roman"/>
                      <w:color w:val="auto"/>
                      <w:spacing w:val="-2"/>
                      <w:kern w:val="2"/>
                      <w:sz w:val="21"/>
                      <w:szCs w:val="21"/>
                      <w:highlight w:val="none"/>
                      <w:lang w:bidi="ar"/>
                    </w:rPr>
                    <w:t>禁止露天焚烧产生有毒有害烟尘和恶臭气体的物质或将其用作燃料。</w:t>
                  </w:r>
                </w:p>
              </w:tc>
              <w:tc>
                <w:tcPr>
                  <w:tcW w:w="2356" w:type="dxa"/>
                  <w:tcBorders>
                    <w:tl2br w:val="nil"/>
                    <w:tr2bl w:val="nil"/>
                  </w:tcBorders>
                  <w:noWrap w:val="0"/>
                  <w:vAlign w:val="center"/>
                </w:tcPr>
                <w:p w14:paraId="26829FEF">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eastAsia="宋体" w:cs="Times New Roman"/>
                      <w:color w:val="auto"/>
                      <w:spacing w:val="-2"/>
                      <w:kern w:val="2"/>
                      <w:sz w:val="21"/>
                      <w:szCs w:val="21"/>
                      <w:highlight w:val="none"/>
                      <w:lang w:eastAsia="zh-CN" w:bidi="ar"/>
                    </w:rPr>
                  </w:pPr>
                  <w:r>
                    <w:rPr>
                      <w:rFonts w:hint="default" w:ascii="Times New Roman" w:hAnsi="Times New Roman" w:cs="Times New Roman"/>
                      <w:color w:val="auto"/>
                      <w:spacing w:val="-2"/>
                      <w:kern w:val="2"/>
                      <w:sz w:val="21"/>
                      <w:szCs w:val="21"/>
                      <w:highlight w:val="none"/>
                      <w:lang w:bidi="ar"/>
                    </w:rPr>
                    <w:t>本项目不</w:t>
                  </w:r>
                  <w:r>
                    <w:rPr>
                      <w:rFonts w:hint="default" w:ascii="Times New Roman" w:hAnsi="Times New Roman" w:cs="Times New Roman"/>
                      <w:color w:val="auto"/>
                      <w:spacing w:val="-2"/>
                      <w:kern w:val="2"/>
                      <w:sz w:val="21"/>
                      <w:szCs w:val="21"/>
                      <w:highlight w:val="none"/>
                      <w:lang w:val="en-US" w:eastAsia="zh-CN" w:bidi="ar"/>
                    </w:rPr>
                    <w:t>涉及。</w:t>
                  </w:r>
                </w:p>
              </w:tc>
              <w:tc>
                <w:tcPr>
                  <w:tcW w:w="861" w:type="dxa"/>
                  <w:tcBorders>
                    <w:tl2br w:val="nil"/>
                    <w:tr2bl w:val="nil"/>
                  </w:tcBorders>
                  <w:noWrap w:val="0"/>
                  <w:vAlign w:val="center"/>
                </w:tcPr>
                <w:p w14:paraId="431D44EA">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2"/>
                      <w:kern w:val="2"/>
                      <w:sz w:val="21"/>
                      <w:szCs w:val="21"/>
                      <w:highlight w:val="none"/>
                      <w:lang w:bidi="ar"/>
                    </w:rPr>
                  </w:pPr>
                  <w:r>
                    <w:rPr>
                      <w:rFonts w:hint="default" w:ascii="Times New Roman" w:hAnsi="Times New Roman" w:cs="Times New Roman"/>
                      <w:color w:val="auto"/>
                      <w:spacing w:val="-2"/>
                      <w:kern w:val="2"/>
                      <w:sz w:val="21"/>
                      <w:szCs w:val="21"/>
                      <w:highlight w:val="none"/>
                      <w:lang w:bidi="ar"/>
                    </w:rPr>
                    <w:t>符合</w:t>
                  </w:r>
                </w:p>
              </w:tc>
            </w:tr>
            <w:tr w14:paraId="722546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22" w:hRule="atLeast"/>
                <w:jc w:val="center"/>
              </w:trPr>
              <w:tc>
                <w:tcPr>
                  <w:tcW w:w="622" w:type="dxa"/>
                  <w:vMerge w:val="continue"/>
                  <w:tcBorders>
                    <w:tl2br w:val="nil"/>
                    <w:tr2bl w:val="nil"/>
                  </w:tcBorders>
                  <w:noWrap w:val="0"/>
                  <w:vAlign w:val="center"/>
                </w:tcPr>
                <w:p w14:paraId="15ACFC20">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kern w:val="2"/>
                      <w:sz w:val="21"/>
                      <w:szCs w:val="21"/>
                      <w:highlight w:val="none"/>
                      <w:lang w:bidi="ar"/>
                    </w:rPr>
                  </w:pPr>
                </w:p>
              </w:tc>
              <w:tc>
                <w:tcPr>
                  <w:tcW w:w="820" w:type="dxa"/>
                  <w:vMerge w:val="continue"/>
                  <w:tcBorders>
                    <w:tl2br w:val="nil"/>
                    <w:tr2bl w:val="nil"/>
                  </w:tcBorders>
                  <w:noWrap w:val="0"/>
                  <w:vAlign w:val="center"/>
                </w:tcPr>
                <w:p w14:paraId="796F6D2B">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2"/>
                      <w:kern w:val="2"/>
                      <w:sz w:val="21"/>
                      <w:szCs w:val="21"/>
                      <w:highlight w:val="none"/>
                      <w:lang w:bidi="ar"/>
                    </w:rPr>
                  </w:pPr>
                </w:p>
              </w:tc>
              <w:tc>
                <w:tcPr>
                  <w:tcW w:w="3926" w:type="dxa"/>
                  <w:tcBorders>
                    <w:tl2br w:val="nil"/>
                    <w:tr2bl w:val="nil"/>
                  </w:tcBorders>
                  <w:noWrap w:val="0"/>
                  <w:vAlign w:val="center"/>
                </w:tcPr>
                <w:p w14:paraId="306C5A3C">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cs="Times New Roman"/>
                      <w:color w:val="auto"/>
                      <w:spacing w:val="-2"/>
                      <w:kern w:val="2"/>
                      <w:sz w:val="21"/>
                      <w:szCs w:val="21"/>
                      <w:highlight w:val="none"/>
                      <w:lang w:bidi="ar"/>
                    </w:rPr>
                  </w:pPr>
                  <w:r>
                    <w:rPr>
                      <w:rFonts w:hint="default" w:ascii="Times New Roman" w:hAnsi="Times New Roman" w:cs="Times New Roman"/>
                      <w:color w:val="auto"/>
                      <w:spacing w:val="-2"/>
                      <w:kern w:val="2"/>
                      <w:sz w:val="21"/>
                      <w:szCs w:val="21"/>
                      <w:highlight w:val="none"/>
                      <w:lang w:bidi="ar"/>
                    </w:rPr>
                    <w:t>除已列入计划内项目，“十四五”期间不再新增燃煤自备电厂（区域背压式供热机组除外）。</w:t>
                  </w:r>
                </w:p>
              </w:tc>
              <w:tc>
                <w:tcPr>
                  <w:tcW w:w="2356" w:type="dxa"/>
                  <w:tcBorders>
                    <w:tl2br w:val="nil"/>
                    <w:tr2bl w:val="nil"/>
                  </w:tcBorders>
                  <w:noWrap w:val="0"/>
                  <w:vAlign w:val="center"/>
                </w:tcPr>
                <w:p w14:paraId="5821C595">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
                    </w:rPr>
                  </w:pPr>
                  <w:r>
                    <w:rPr>
                      <w:rFonts w:hint="default" w:ascii="Times New Roman" w:hAnsi="Times New Roman" w:cs="Times New Roman"/>
                      <w:color w:val="auto"/>
                      <w:spacing w:val="-2"/>
                      <w:kern w:val="2"/>
                      <w:sz w:val="21"/>
                      <w:szCs w:val="21"/>
                      <w:highlight w:val="none"/>
                      <w:lang w:val="en-US" w:eastAsia="zh-CN" w:bidi="ar"/>
                    </w:rPr>
                    <w:t>本项目不涉及。</w:t>
                  </w:r>
                </w:p>
              </w:tc>
              <w:tc>
                <w:tcPr>
                  <w:tcW w:w="861" w:type="dxa"/>
                  <w:tcBorders>
                    <w:tl2br w:val="nil"/>
                    <w:tr2bl w:val="nil"/>
                  </w:tcBorders>
                  <w:noWrap w:val="0"/>
                  <w:vAlign w:val="center"/>
                </w:tcPr>
                <w:p w14:paraId="41B83D37">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2"/>
                      <w:kern w:val="2"/>
                      <w:sz w:val="21"/>
                      <w:szCs w:val="21"/>
                      <w:highlight w:val="none"/>
                      <w:lang w:bidi="ar"/>
                    </w:rPr>
                  </w:pPr>
                  <w:r>
                    <w:rPr>
                      <w:rFonts w:hint="default" w:ascii="Times New Roman" w:hAnsi="Times New Roman" w:cs="Times New Roman"/>
                      <w:color w:val="auto"/>
                      <w:spacing w:val="-2"/>
                      <w:kern w:val="2"/>
                      <w:sz w:val="21"/>
                      <w:szCs w:val="21"/>
                      <w:highlight w:val="none"/>
                      <w:lang w:bidi="ar"/>
                    </w:rPr>
                    <w:t>符合</w:t>
                  </w:r>
                </w:p>
              </w:tc>
            </w:tr>
            <w:tr w14:paraId="42A82E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22" w:type="dxa"/>
                  <w:vMerge w:val="continue"/>
                  <w:tcBorders>
                    <w:tl2br w:val="nil"/>
                    <w:tr2bl w:val="nil"/>
                  </w:tcBorders>
                  <w:noWrap w:val="0"/>
                  <w:vAlign w:val="center"/>
                </w:tcPr>
                <w:p w14:paraId="3CEDA607">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kern w:val="2"/>
                      <w:sz w:val="21"/>
                      <w:szCs w:val="21"/>
                      <w:highlight w:val="none"/>
                      <w:lang w:bidi="ar"/>
                    </w:rPr>
                  </w:pPr>
                </w:p>
              </w:tc>
              <w:tc>
                <w:tcPr>
                  <w:tcW w:w="820" w:type="dxa"/>
                  <w:vMerge w:val="continue"/>
                  <w:tcBorders>
                    <w:tl2br w:val="nil"/>
                    <w:tr2bl w:val="nil"/>
                  </w:tcBorders>
                  <w:noWrap w:val="0"/>
                  <w:vAlign w:val="center"/>
                </w:tcPr>
                <w:p w14:paraId="30CCE9CC">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2"/>
                      <w:kern w:val="2"/>
                      <w:sz w:val="21"/>
                      <w:szCs w:val="21"/>
                      <w:highlight w:val="none"/>
                      <w:lang w:bidi="ar"/>
                    </w:rPr>
                  </w:pPr>
                </w:p>
              </w:tc>
              <w:tc>
                <w:tcPr>
                  <w:tcW w:w="3926" w:type="dxa"/>
                  <w:tcBorders>
                    <w:tl2br w:val="nil"/>
                    <w:tr2bl w:val="nil"/>
                  </w:tcBorders>
                  <w:noWrap w:val="0"/>
                  <w:vAlign w:val="center"/>
                </w:tcPr>
                <w:p w14:paraId="691C8A07">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cs="Times New Roman"/>
                      <w:color w:val="auto"/>
                      <w:spacing w:val="-2"/>
                      <w:kern w:val="2"/>
                      <w:sz w:val="21"/>
                      <w:szCs w:val="21"/>
                      <w:highlight w:val="none"/>
                      <w:lang w:bidi="ar"/>
                    </w:rPr>
                  </w:pPr>
                  <w:r>
                    <w:rPr>
                      <w:rFonts w:hint="default" w:ascii="Times New Roman" w:hAnsi="Times New Roman" w:cs="Times New Roman"/>
                      <w:color w:val="auto"/>
                      <w:spacing w:val="-2"/>
                      <w:kern w:val="2"/>
                      <w:sz w:val="21"/>
                      <w:szCs w:val="21"/>
                      <w:highlight w:val="none"/>
                      <w:lang w:bidi="ar"/>
                    </w:rPr>
                    <w:t>严禁在优先保护类耕地集中区域新建污染土壤的行业企业。</w:t>
                  </w:r>
                </w:p>
              </w:tc>
              <w:tc>
                <w:tcPr>
                  <w:tcW w:w="2356" w:type="dxa"/>
                  <w:tcBorders>
                    <w:tl2br w:val="nil"/>
                    <w:tr2bl w:val="nil"/>
                  </w:tcBorders>
                  <w:noWrap w:val="0"/>
                  <w:vAlign w:val="center"/>
                </w:tcPr>
                <w:p w14:paraId="42F7EA02">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both"/>
                    <w:textAlignment w:val="auto"/>
                    <w:rPr>
                      <w:rFonts w:hint="default" w:ascii="Times New Roman" w:hAnsi="Times New Roman" w:cs="Times New Roman"/>
                      <w:color w:val="auto"/>
                      <w:spacing w:val="-2"/>
                      <w:kern w:val="2"/>
                      <w:sz w:val="21"/>
                      <w:szCs w:val="21"/>
                      <w:highlight w:val="none"/>
                      <w:lang w:bidi="ar"/>
                    </w:rPr>
                  </w:pPr>
                  <w:r>
                    <w:rPr>
                      <w:rFonts w:hint="default" w:ascii="Times New Roman" w:hAnsi="Times New Roman" w:cs="Times New Roman"/>
                      <w:color w:val="auto"/>
                      <w:spacing w:val="-2"/>
                      <w:kern w:val="2"/>
                      <w:sz w:val="21"/>
                      <w:szCs w:val="21"/>
                      <w:highlight w:val="none"/>
                      <w:lang w:bidi="ar"/>
                    </w:rPr>
                    <w:t>本项目</w:t>
                  </w:r>
                  <w:r>
                    <w:rPr>
                      <w:rFonts w:hint="default" w:ascii="Times New Roman" w:hAnsi="Times New Roman" w:cs="Times New Roman"/>
                      <w:color w:val="auto"/>
                      <w:spacing w:val="-2"/>
                      <w:kern w:val="2"/>
                      <w:sz w:val="21"/>
                      <w:szCs w:val="21"/>
                      <w:highlight w:val="none"/>
                      <w:lang w:eastAsia="zh-CN" w:bidi="ar"/>
                    </w:rPr>
                    <w:t>为</w:t>
                  </w:r>
                  <w:r>
                    <w:rPr>
                      <w:rFonts w:hint="default" w:ascii="Times New Roman" w:hAnsi="Times New Roman" w:cs="Times New Roman"/>
                      <w:color w:val="auto"/>
                      <w:spacing w:val="-2"/>
                      <w:kern w:val="2"/>
                      <w:sz w:val="21"/>
                      <w:szCs w:val="21"/>
                      <w:highlight w:val="none"/>
                      <w:lang w:val="en-US" w:eastAsia="zh-CN" w:bidi="ar"/>
                    </w:rPr>
                    <w:t>河道治理项目，占地类型</w:t>
                  </w:r>
                  <w:r>
                    <w:rPr>
                      <w:rFonts w:hint="eastAsia" w:ascii="Times New Roman" w:hAnsi="Times New Roman" w:cs="Times New Roman"/>
                      <w:color w:val="auto"/>
                      <w:spacing w:val="-2"/>
                      <w:kern w:val="2"/>
                      <w:sz w:val="21"/>
                      <w:szCs w:val="21"/>
                      <w:highlight w:val="none"/>
                      <w:lang w:val="en-US" w:eastAsia="zh-CN" w:bidi="ar"/>
                    </w:rPr>
                    <w:t>主要包括草地及荒地</w:t>
                  </w:r>
                  <w:r>
                    <w:rPr>
                      <w:rFonts w:hint="default" w:ascii="Times New Roman" w:hAnsi="Times New Roman" w:cs="Times New Roman"/>
                      <w:color w:val="auto"/>
                      <w:spacing w:val="-2"/>
                      <w:kern w:val="2"/>
                      <w:sz w:val="21"/>
                      <w:szCs w:val="21"/>
                      <w:highlight w:val="none"/>
                      <w:lang w:val="en-US" w:eastAsia="zh-CN" w:bidi="ar"/>
                    </w:rPr>
                    <w:t>，</w:t>
                  </w:r>
                  <w:r>
                    <w:rPr>
                      <w:rFonts w:hint="default" w:ascii="Times New Roman" w:hAnsi="Times New Roman" w:cs="Times New Roman"/>
                      <w:color w:val="auto"/>
                      <w:spacing w:val="-2"/>
                      <w:kern w:val="2"/>
                      <w:sz w:val="21"/>
                      <w:szCs w:val="21"/>
                      <w:highlight w:val="none"/>
                      <w:lang w:eastAsia="zh-CN" w:bidi="ar"/>
                    </w:rPr>
                    <w:t>主要</w:t>
                  </w:r>
                  <w:r>
                    <w:rPr>
                      <w:rFonts w:hint="default" w:ascii="Times New Roman" w:hAnsi="Times New Roman" w:cs="Times New Roman"/>
                      <w:color w:val="auto"/>
                      <w:spacing w:val="-2"/>
                      <w:kern w:val="2"/>
                      <w:sz w:val="21"/>
                      <w:szCs w:val="21"/>
                      <w:highlight w:val="none"/>
                      <w:lang w:val="en-US" w:eastAsia="zh-CN" w:bidi="ar"/>
                    </w:rPr>
                    <w:t>对现有沟道进行清淤，运营期不会对周边土壤产生影响</w:t>
                  </w:r>
                  <w:r>
                    <w:rPr>
                      <w:rFonts w:hint="default" w:ascii="Times New Roman" w:hAnsi="Times New Roman" w:cs="Times New Roman"/>
                      <w:color w:val="auto"/>
                      <w:spacing w:val="-2"/>
                      <w:kern w:val="2"/>
                      <w:sz w:val="21"/>
                      <w:szCs w:val="21"/>
                      <w:highlight w:val="none"/>
                      <w:lang w:bidi="ar"/>
                    </w:rPr>
                    <w:t>。</w:t>
                  </w:r>
                </w:p>
              </w:tc>
              <w:tc>
                <w:tcPr>
                  <w:tcW w:w="861" w:type="dxa"/>
                  <w:tcBorders>
                    <w:tl2br w:val="nil"/>
                    <w:tr2bl w:val="nil"/>
                  </w:tcBorders>
                  <w:noWrap w:val="0"/>
                  <w:vAlign w:val="center"/>
                </w:tcPr>
                <w:p w14:paraId="77E71AB0">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2"/>
                      <w:kern w:val="2"/>
                      <w:sz w:val="21"/>
                      <w:szCs w:val="21"/>
                      <w:highlight w:val="none"/>
                      <w:lang w:bidi="ar"/>
                    </w:rPr>
                  </w:pPr>
                  <w:r>
                    <w:rPr>
                      <w:rFonts w:hint="default" w:ascii="Times New Roman" w:hAnsi="Times New Roman" w:cs="Times New Roman"/>
                      <w:color w:val="auto"/>
                      <w:spacing w:val="-2"/>
                      <w:kern w:val="2"/>
                      <w:sz w:val="21"/>
                      <w:szCs w:val="21"/>
                      <w:highlight w:val="none"/>
                      <w:lang w:bidi="ar"/>
                    </w:rPr>
                    <w:t>符合</w:t>
                  </w:r>
                </w:p>
              </w:tc>
            </w:tr>
            <w:tr w14:paraId="2720CB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22" w:type="dxa"/>
                  <w:vMerge w:val="continue"/>
                  <w:tcBorders>
                    <w:tl2br w:val="nil"/>
                    <w:tr2bl w:val="nil"/>
                  </w:tcBorders>
                  <w:noWrap w:val="0"/>
                  <w:vAlign w:val="center"/>
                </w:tcPr>
                <w:p w14:paraId="5AD4AA68">
                  <w:pPr>
                    <w:keepNext w:val="0"/>
                    <w:keepLines w:val="0"/>
                    <w:pageBreakBefore w:val="0"/>
                    <w:kinsoku/>
                    <w:wordWrap/>
                    <w:overflowPunct/>
                    <w:topLinePunct w:val="0"/>
                    <w:bidi w:val="0"/>
                    <w:adjustRightInd w:val="0"/>
                    <w:snapToGrid w:val="0"/>
                    <w:spacing w:after="0" w:afterAutospacing="0" w:line="240" w:lineRule="auto"/>
                    <w:ind w:firstLine="0" w:firstLineChars="0"/>
                    <w:textAlignment w:val="auto"/>
                    <w:rPr>
                      <w:rFonts w:hint="default" w:ascii="Times New Roman" w:hAnsi="Times New Roman" w:cs="Times New Roman"/>
                      <w:color w:val="auto"/>
                      <w:sz w:val="21"/>
                      <w:szCs w:val="21"/>
                      <w:highlight w:val="none"/>
                    </w:rPr>
                  </w:pPr>
                </w:p>
              </w:tc>
              <w:tc>
                <w:tcPr>
                  <w:tcW w:w="820" w:type="dxa"/>
                  <w:tcBorders>
                    <w:tl2br w:val="nil"/>
                    <w:tr2bl w:val="nil"/>
                  </w:tcBorders>
                  <w:noWrap w:val="0"/>
                  <w:vAlign w:val="center"/>
                </w:tcPr>
                <w:p w14:paraId="461BDB82">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2"/>
                      <w:kern w:val="2"/>
                      <w:sz w:val="21"/>
                      <w:szCs w:val="21"/>
                      <w:highlight w:val="none"/>
                    </w:rPr>
                  </w:pPr>
                  <w:r>
                    <w:rPr>
                      <w:rFonts w:hint="default" w:ascii="Times New Roman" w:hAnsi="Times New Roman" w:cs="Times New Roman"/>
                      <w:color w:val="auto"/>
                      <w:spacing w:val="-2"/>
                      <w:kern w:val="2"/>
                      <w:sz w:val="21"/>
                      <w:szCs w:val="21"/>
                      <w:highlight w:val="none"/>
                      <w:lang w:bidi="ar"/>
                    </w:rPr>
                    <w:t>A1.2</w:t>
                  </w:r>
                </w:p>
                <w:p w14:paraId="5413540A">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2"/>
                      <w:kern w:val="2"/>
                      <w:sz w:val="21"/>
                      <w:szCs w:val="21"/>
                      <w:highlight w:val="none"/>
                    </w:rPr>
                  </w:pPr>
                  <w:r>
                    <w:rPr>
                      <w:rFonts w:hint="default" w:ascii="Times New Roman" w:hAnsi="Times New Roman" w:cs="Times New Roman"/>
                      <w:color w:val="auto"/>
                      <w:spacing w:val="-2"/>
                      <w:kern w:val="2"/>
                      <w:sz w:val="21"/>
                      <w:szCs w:val="21"/>
                      <w:highlight w:val="none"/>
                      <w:lang w:bidi="ar"/>
                    </w:rPr>
                    <w:t>限制开发建设活动的要求</w:t>
                  </w:r>
                </w:p>
              </w:tc>
              <w:tc>
                <w:tcPr>
                  <w:tcW w:w="3926" w:type="dxa"/>
                  <w:tcBorders>
                    <w:tl2br w:val="nil"/>
                    <w:tr2bl w:val="nil"/>
                  </w:tcBorders>
                  <w:noWrap w:val="0"/>
                  <w:vAlign w:val="center"/>
                </w:tcPr>
                <w:p w14:paraId="6FDD695F">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eastAsia="宋体" w:cs="Times New Roman"/>
                      <w:color w:val="auto"/>
                      <w:spacing w:val="-2"/>
                      <w:kern w:val="2"/>
                      <w:sz w:val="21"/>
                      <w:szCs w:val="21"/>
                      <w:highlight w:val="none"/>
                      <w:lang w:eastAsia="zh-CN"/>
                    </w:rPr>
                  </w:pPr>
                  <w:r>
                    <w:rPr>
                      <w:rFonts w:hint="default" w:ascii="Times New Roman" w:hAnsi="Times New Roman" w:cs="Times New Roman"/>
                      <w:color w:val="auto"/>
                      <w:spacing w:val="-2"/>
                      <w:kern w:val="2"/>
                      <w:sz w:val="21"/>
                      <w:szCs w:val="21"/>
                      <w:highlight w:val="none"/>
                    </w:rPr>
                    <w:t>严格产业准入标准，建立联合审查机制，对新建项目进行综合评价，对不符合产业规划、产业政策、“三线一单”、规划环评、产能置换、污染物排放区域削减等要求的项目不予办理相关审批手续。严格“两高”项目节能审查，对纳入目录的落后产能过剩行业原则上不再新增产能，对经过评估论证确有必要建设的“两高”项目，必须符合国家、自治区产业政策和产能及能耗等量减量置换要求</w:t>
                  </w:r>
                  <w:r>
                    <w:rPr>
                      <w:rFonts w:hint="default" w:ascii="Times New Roman" w:hAnsi="Times New Roman" w:cs="Times New Roman"/>
                      <w:color w:val="auto"/>
                      <w:spacing w:val="-2"/>
                      <w:kern w:val="2"/>
                      <w:sz w:val="21"/>
                      <w:szCs w:val="21"/>
                      <w:highlight w:val="none"/>
                      <w:lang w:eastAsia="zh-CN"/>
                    </w:rPr>
                    <w:t>。</w:t>
                  </w:r>
                </w:p>
              </w:tc>
              <w:tc>
                <w:tcPr>
                  <w:tcW w:w="2356" w:type="dxa"/>
                  <w:tcBorders>
                    <w:tl2br w:val="nil"/>
                    <w:tr2bl w:val="nil"/>
                  </w:tcBorders>
                  <w:noWrap w:val="0"/>
                  <w:vAlign w:val="center"/>
                </w:tcPr>
                <w:p w14:paraId="49DB9EA6">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jc w:val="both"/>
                    <w:textAlignment w:val="auto"/>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spacing w:val="-2"/>
                      <w:kern w:val="2"/>
                      <w:sz w:val="21"/>
                      <w:szCs w:val="21"/>
                      <w:highlight w:val="none"/>
                      <w:lang w:bidi="ar"/>
                    </w:rPr>
                    <w:t>本项目为</w:t>
                  </w:r>
                  <w:r>
                    <w:rPr>
                      <w:rFonts w:hint="default" w:ascii="Times New Roman" w:hAnsi="Times New Roman" w:cs="Times New Roman"/>
                      <w:color w:val="auto"/>
                      <w:spacing w:val="-2"/>
                      <w:kern w:val="2"/>
                      <w:sz w:val="21"/>
                      <w:szCs w:val="21"/>
                      <w:highlight w:val="none"/>
                      <w:lang w:val="en-US" w:eastAsia="zh-CN" w:bidi="ar"/>
                    </w:rPr>
                    <w:t>河道治理项目</w:t>
                  </w:r>
                  <w:r>
                    <w:rPr>
                      <w:rFonts w:hint="default" w:ascii="Times New Roman" w:hAnsi="Times New Roman" w:cs="Times New Roman"/>
                      <w:color w:val="auto"/>
                      <w:spacing w:val="-2"/>
                      <w:kern w:val="2"/>
                      <w:sz w:val="21"/>
                      <w:szCs w:val="21"/>
                      <w:highlight w:val="none"/>
                      <w:lang w:bidi="ar"/>
                    </w:rPr>
                    <w:t>，符合产业政策</w:t>
                  </w:r>
                  <w:r>
                    <w:rPr>
                      <w:rFonts w:hint="default" w:ascii="Times New Roman" w:hAnsi="Times New Roman" w:cs="Times New Roman"/>
                      <w:color w:val="auto"/>
                      <w:spacing w:val="-2"/>
                      <w:kern w:val="2"/>
                      <w:sz w:val="21"/>
                      <w:szCs w:val="21"/>
                      <w:highlight w:val="none"/>
                      <w:lang w:val="en-US" w:eastAsia="zh-CN" w:bidi="ar"/>
                    </w:rPr>
                    <w:t>及</w:t>
                  </w:r>
                  <w:r>
                    <w:rPr>
                      <w:rFonts w:hint="default" w:ascii="Times New Roman" w:hAnsi="Times New Roman" w:cs="Times New Roman"/>
                      <w:color w:val="auto"/>
                      <w:spacing w:val="-2"/>
                      <w:kern w:val="2"/>
                      <w:sz w:val="21"/>
                      <w:szCs w:val="21"/>
                      <w:highlight w:val="none"/>
                      <w:lang w:bidi="ar"/>
                    </w:rPr>
                    <w:t>“三线一单”</w:t>
                  </w:r>
                  <w:r>
                    <w:rPr>
                      <w:rFonts w:hint="default" w:ascii="Times New Roman" w:hAnsi="Times New Roman" w:cs="Times New Roman"/>
                      <w:color w:val="auto"/>
                      <w:spacing w:val="-2"/>
                      <w:kern w:val="2"/>
                      <w:sz w:val="21"/>
                      <w:szCs w:val="21"/>
                      <w:highlight w:val="none"/>
                      <w:lang w:val="en-US" w:eastAsia="zh-CN" w:bidi="ar"/>
                    </w:rPr>
                    <w:t>相关要求</w:t>
                  </w:r>
                  <w:r>
                    <w:rPr>
                      <w:rFonts w:hint="default" w:ascii="Times New Roman" w:hAnsi="Times New Roman" w:cs="Times New Roman"/>
                      <w:color w:val="auto"/>
                      <w:spacing w:val="-2"/>
                      <w:kern w:val="2"/>
                      <w:sz w:val="21"/>
                      <w:szCs w:val="21"/>
                      <w:highlight w:val="none"/>
                      <w:lang w:bidi="ar"/>
                    </w:rPr>
                    <w:t>，不属于“两高”项目。</w:t>
                  </w:r>
                </w:p>
              </w:tc>
              <w:tc>
                <w:tcPr>
                  <w:tcW w:w="861" w:type="dxa"/>
                  <w:tcBorders>
                    <w:tl2br w:val="nil"/>
                    <w:tr2bl w:val="nil"/>
                  </w:tcBorders>
                  <w:noWrap w:val="0"/>
                  <w:vAlign w:val="center"/>
                </w:tcPr>
                <w:p w14:paraId="70A4D955">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11"/>
                      <w:kern w:val="2"/>
                      <w:sz w:val="21"/>
                      <w:szCs w:val="21"/>
                      <w:highlight w:val="none"/>
                    </w:rPr>
                  </w:pPr>
                  <w:r>
                    <w:rPr>
                      <w:rFonts w:hint="default" w:ascii="Times New Roman" w:hAnsi="Times New Roman" w:cs="Times New Roman"/>
                      <w:color w:val="auto"/>
                      <w:spacing w:val="11"/>
                      <w:kern w:val="2"/>
                      <w:sz w:val="21"/>
                      <w:szCs w:val="21"/>
                      <w:highlight w:val="none"/>
                    </w:rPr>
                    <w:t>符合</w:t>
                  </w:r>
                </w:p>
              </w:tc>
            </w:tr>
            <w:tr w14:paraId="28FF26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22" w:type="dxa"/>
                  <w:vMerge w:val="continue"/>
                  <w:tcBorders>
                    <w:tl2br w:val="nil"/>
                    <w:tr2bl w:val="nil"/>
                  </w:tcBorders>
                  <w:noWrap w:val="0"/>
                  <w:vAlign w:val="center"/>
                </w:tcPr>
                <w:p w14:paraId="3FC79942">
                  <w:pPr>
                    <w:keepNext w:val="0"/>
                    <w:keepLines w:val="0"/>
                    <w:pageBreakBefore w:val="0"/>
                    <w:kinsoku/>
                    <w:wordWrap/>
                    <w:overflowPunct/>
                    <w:topLinePunct w:val="0"/>
                    <w:bidi w:val="0"/>
                    <w:adjustRightInd w:val="0"/>
                    <w:snapToGrid w:val="0"/>
                    <w:spacing w:after="0" w:afterAutospacing="0" w:line="240" w:lineRule="auto"/>
                    <w:ind w:firstLine="0" w:firstLineChars="0"/>
                    <w:textAlignment w:val="auto"/>
                    <w:rPr>
                      <w:rFonts w:hint="default" w:ascii="Times New Roman" w:hAnsi="Times New Roman" w:cs="Times New Roman"/>
                      <w:color w:val="auto"/>
                      <w:sz w:val="21"/>
                      <w:szCs w:val="21"/>
                      <w:highlight w:val="none"/>
                    </w:rPr>
                  </w:pPr>
                </w:p>
              </w:tc>
              <w:tc>
                <w:tcPr>
                  <w:tcW w:w="820" w:type="dxa"/>
                  <w:vMerge w:val="restart"/>
                  <w:tcBorders>
                    <w:tl2br w:val="nil"/>
                    <w:tr2bl w:val="nil"/>
                  </w:tcBorders>
                  <w:noWrap w:val="0"/>
                  <w:vAlign w:val="center"/>
                </w:tcPr>
                <w:p w14:paraId="6CADC370">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2"/>
                      <w:kern w:val="2"/>
                      <w:sz w:val="21"/>
                      <w:szCs w:val="21"/>
                      <w:highlight w:val="none"/>
                    </w:rPr>
                  </w:pPr>
                  <w:r>
                    <w:rPr>
                      <w:rFonts w:hint="default" w:ascii="Times New Roman" w:hAnsi="Times New Roman" w:cs="Times New Roman"/>
                      <w:color w:val="auto"/>
                      <w:spacing w:val="-2"/>
                      <w:kern w:val="2"/>
                      <w:sz w:val="21"/>
                      <w:szCs w:val="21"/>
                      <w:highlight w:val="none"/>
                      <w:lang w:bidi="ar"/>
                    </w:rPr>
                    <w:t>A1.3</w:t>
                  </w:r>
                </w:p>
                <w:p w14:paraId="4E5C6261">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2"/>
                      <w:kern w:val="2"/>
                      <w:sz w:val="21"/>
                      <w:szCs w:val="21"/>
                      <w:highlight w:val="none"/>
                    </w:rPr>
                  </w:pPr>
                  <w:r>
                    <w:rPr>
                      <w:rFonts w:hint="default" w:ascii="Times New Roman" w:hAnsi="Times New Roman" w:cs="Times New Roman"/>
                      <w:color w:val="auto"/>
                      <w:spacing w:val="-2"/>
                      <w:kern w:val="2"/>
                      <w:sz w:val="21"/>
                      <w:szCs w:val="21"/>
                      <w:highlight w:val="none"/>
                      <w:lang w:bidi="ar"/>
                    </w:rPr>
                    <w:t>不符合空间布局要求的活动的退出要求</w:t>
                  </w:r>
                </w:p>
              </w:tc>
              <w:tc>
                <w:tcPr>
                  <w:tcW w:w="3926" w:type="dxa"/>
                  <w:tcBorders>
                    <w:tl2br w:val="nil"/>
                    <w:tr2bl w:val="nil"/>
                  </w:tcBorders>
                  <w:noWrap w:val="0"/>
                  <w:vAlign w:val="center"/>
                </w:tcPr>
                <w:p w14:paraId="406CF3A0">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both"/>
                    <w:textAlignment w:val="auto"/>
                    <w:rPr>
                      <w:rFonts w:hint="default" w:ascii="Times New Roman" w:hAnsi="Times New Roman" w:cs="Times New Roman"/>
                      <w:color w:val="auto"/>
                      <w:spacing w:val="-2"/>
                      <w:kern w:val="2"/>
                      <w:sz w:val="21"/>
                      <w:szCs w:val="21"/>
                      <w:highlight w:val="none"/>
                    </w:rPr>
                  </w:pPr>
                  <w:r>
                    <w:rPr>
                      <w:rFonts w:hint="default" w:ascii="Times New Roman" w:hAnsi="Times New Roman" w:cs="Times New Roman"/>
                      <w:color w:val="auto"/>
                      <w:spacing w:val="-2"/>
                      <w:kern w:val="2"/>
                      <w:sz w:val="21"/>
                      <w:szCs w:val="21"/>
                      <w:highlight w:val="none"/>
                    </w:rPr>
                    <w:t>对列入建设用地土壤污染风险管控和修复名录需要实施修复的地块，土壤污染责任人应当按照规定编制修复方案，报所在地生态环境主管部门备案并实施。</w:t>
                  </w:r>
                </w:p>
              </w:tc>
              <w:tc>
                <w:tcPr>
                  <w:tcW w:w="2356" w:type="dxa"/>
                  <w:tcBorders>
                    <w:tl2br w:val="nil"/>
                    <w:tr2bl w:val="nil"/>
                  </w:tcBorders>
                  <w:noWrap w:val="0"/>
                  <w:vAlign w:val="center"/>
                </w:tcPr>
                <w:p w14:paraId="71201F60">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11"/>
                      <w:kern w:val="2"/>
                      <w:sz w:val="21"/>
                      <w:szCs w:val="21"/>
                      <w:highlight w:val="none"/>
                    </w:rPr>
                  </w:pPr>
                  <w:r>
                    <w:rPr>
                      <w:rFonts w:hint="default" w:ascii="Times New Roman" w:hAnsi="Times New Roman" w:cs="Times New Roman"/>
                      <w:color w:val="auto"/>
                      <w:spacing w:val="11"/>
                      <w:kern w:val="2"/>
                      <w:sz w:val="21"/>
                      <w:szCs w:val="21"/>
                      <w:highlight w:val="none"/>
                    </w:rPr>
                    <w:t>本项目不涉及。</w:t>
                  </w:r>
                </w:p>
              </w:tc>
              <w:tc>
                <w:tcPr>
                  <w:tcW w:w="861" w:type="dxa"/>
                  <w:tcBorders>
                    <w:tl2br w:val="nil"/>
                    <w:tr2bl w:val="nil"/>
                  </w:tcBorders>
                  <w:noWrap w:val="0"/>
                  <w:vAlign w:val="center"/>
                </w:tcPr>
                <w:p w14:paraId="2BFD39F3">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spacing w:val="11"/>
                      <w:kern w:val="2"/>
                      <w:sz w:val="21"/>
                      <w:szCs w:val="21"/>
                      <w:highlight w:val="none"/>
                      <w:lang w:bidi="ar"/>
                    </w:rPr>
                    <w:t>符合</w:t>
                  </w:r>
                </w:p>
              </w:tc>
            </w:tr>
            <w:tr w14:paraId="7BFF45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22" w:type="dxa"/>
                  <w:vMerge w:val="continue"/>
                  <w:tcBorders>
                    <w:tl2br w:val="nil"/>
                    <w:tr2bl w:val="nil"/>
                  </w:tcBorders>
                  <w:noWrap w:val="0"/>
                  <w:vAlign w:val="center"/>
                </w:tcPr>
                <w:p w14:paraId="78CD16AB">
                  <w:pPr>
                    <w:keepNext w:val="0"/>
                    <w:keepLines w:val="0"/>
                    <w:pageBreakBefore w:val="0"/>
                    <w:kinsoku/>
                    <w:wordWrap/>
                    <w:overflowPunct/>
                    <w:topLinePunct w:val="0"/>
                    <w:bidi w:val="0"/>
                    <w:adjustRightInd w:val="0"/>
                    <w:snapToGrid w:val="0"/>
                    <w:spacing w:after="0" w:afterAutospacing="0" w:line="240" w:lineRule="auto"/>
                    <w:ind w:firstLine="0" w:firstLineChars="0"/>
                    <w:textAlignment w:val="auto"/>
                    <w:rPr>
                      <w:rFonts w:hint="default" w:ascii="Times New Roman" w:hAnsi="Times New Roman" w:cs="Times New Roman"/>
                      <w:color w:val="auto"/>
                      <w:sz w:val="21"/>
                      <w:szCs w:val="21"/>
                      <w:highlight w:val="none"/>
                    </w:rPr>
                  </w:pPr>
                </w:p>
              </w:tc>
              <w:tc>
                <w:tcPr>
                  <w:tcW w:w="820" w:type="dxa"/>
                  <w:vMerge w:val="continue"/>
                  <w:tcBorders>
                    <w:tl2br w:val="nil"/>
                    <w:tr2bl w:val="nil"/>
                  </w:tcBorders>
                  <w:noWrap w:val="0"/>
                  <w:vAlign w:val="center"/>
                </w:tcPr>
                <w:p w14:paraId="2531BAC1">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2"/>
                      <w:kern w:val="2"/>
                      <w:sz w:val="21"/>
                      <w:szCs w:val="21"/>
                      <w:highlight w:val="none"/>
                      <w:lang w:bidi="ar"/>
                    </w:rPr>
                  </w:pPr>
                </w:p>
              </w:tc>
              <w:tc>
                <w:tcPr>
                  <w:tcW w:w="3926" w:type="dxa"/>
                  <w:tcBorders>
                    <w:tl2br w:val="nil"/>
                    <w:tr2bl w:val="nil"/>
                  </w:tcBorders>
                  <w:noWrap w:val="0"/>
                  <w:vAlign w:val="center"/>
                </w:tcPr>
                <w:p w14:paraId="2EFDC6F4">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cs="Times New Roman"/>
                      <w:color w:val="auto"/>
                      <w:spacing w:val="-2"/>
                      <w:kern w:val="2"/>
                      <w:sz w:val="21"/>
                      <w:szCs w:val="21"/>
                      <w:highlight w:val="none"/>
                    </w:rPr>
                  </w:pPr>
                  <w:r>
                    <w:rPr>
                      <w:rFonts w:hint="default" w:ascii="Times New Roman" w:hAnsi="Times New Roman" w:cs="Times New Roman"/>
                      <w:color w:val="auto"/>
                      <w:spacing w:val="-2"/>
                      <w:kern w:val="2"/>
                      <w:sz w:val="21"/>
                      <w:szCs w:val="21"/>
                      <w:highlight w:val="none"/>
                    </w:rPr>
                    <w:t>严格管控自然保护地范围内非生态活动，稳妥推进核心区内居民、耕地、矿权有序退出。</w:t>
                  </w:r>
                </w:p>
              </w:tc>
              <w:tc>
                <w:tcPr>
                  <w:tcW w:w="2356" w:type="dxa"/>
                  <w:tcBorders>
                    <w:tl2br w:val="nil"/>
                    <w:tr2bl w:val="nil"/>
                  </w:tcBorders>
                  <w:noWrap w:val="0"/>
                  <w:vAlign w:val="center"/>
                </w:tcPr>
                <w:p w14:paraId="4E11FCEA">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11"/>
                      <w:kern w:val="2"/>
                      <w:sz w:val="21"/>
                      <w:szCs w:val="21"/>
                      <w:highlight w:val="none"/>
                    </w:rPr>
                  </w:pPr>
                  <w:r>
                    <w:rPr>
                      <w:rFonts w:hint="default" w:ascii="Times New Roman" w:hAnsi="Times New Roman" w:cs="Times New Roman"/>
                      <w:color w:val="auto"/>
                      <w:spacing w:val="11"/>
                      <w:kern w:val="2"/>
                      <w:sz w:val="21"/>
                      <w:szCs w:val="21"/>
                      <w:highlight w:val="none"/>
                    </w:rPr>
                    <w:t>本项目不位于自然保护区。</w:t>
                  </w:r>
                </w:p>
              </w:tc>
              <w:tc>
                <w:tcPr>
                  <w:tcW w:w="861" w:type="dxa"/>
                  <w:tcBorders>
                    <w:tl2br w:val="nil"/>
                    <w:tr2bl w:val="nil"/>
                  </w:tcBorders>
                  <w:noWrap w:val="0"/>
                  <w:vAlign w:val="center"/>
                </w:tcPr>
                <w:p w14:paraId="2495F9D7">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11"/>
                      <w:kern w:val="2"/>
                      <w:sz w:val="21"/>
                      <w:szCs w:val="21"/>
                      <w:highlight w:val="none"/>
                      <w:lang w:bidi="ar"/>
                    </w:rPr>
                  </w:pPr>
                  <w:r>
                    <w:rPr>
                      <w:rFonts w:hint="default" w:ascii="Times New Roman" w:hAnsi="Times New Roman" w:cs="Times New Roman"/>
                      <w:color w:val="auto"/>
                      <w:spacing w:val="11"/>
                      <w:kern w:val="2"/>
                      <w:sz w:val="21"/>
                      <w:szCs w:val="21"/>
                      <w:highlight w:val="none"/>
                      <w:lang w:bidi="ar"/>
                    </w:rPr>
                    <w:t>符合</w:t>
                  </w:r>
                </w:p>
              </w:tc>
            </w:tr>
            <w:tr w14:paraId="5EF280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22" w:type="dxa"/>
                  <w:vMerge w:val="continue"/>
                  <w:tcBorders>
                    <w:tl2br w:val="nil"/>
                    <w:tr2bl w:val="nil"/>
                  </w:tcBorders>
                  <w:noWrap w:val="0"/>
                  <w:vAlign w:val="center"/>
                </w:tcPr>
                <w:p w14:paraId="4A8E27EE">
                  <w:pPr>
                    <w:keepNext w:val="0"/>
                    <w:keepLines w:val="0"/>
                    <w:pageBreakBefore w:val="0"/>
                    <w:kinsoku/>
                    <w:wordWrap/>
                    <w:overflowPunct/>
                    <w:topLinePunct w:val="0"/>
                    <w:bidi w:val="0"/>
                    <w:adjustRightInd w:val="0"/>
                    <w:snapToGrid w:val="0"/>
                    <w:spacing w:after="0" w:afterAutospacing="0" w:line="240" w:lineRule="auto"/>
                    <w:ind w:firstLine="0" w:firstLineChars="0"/>
                    <w:textAlignment w:val="auto"/>
                    <w:rPr>
                      <w:rFonts w:hint="default" w:ascii="Times New Roman" w:hAnsi="Times New Roman" w:cs="Times New Roman"/>
                      <w:color w:val="auto"/>
                      <w:sz w:val="21"/>
                      <w:szCs w:val="21"/>
                      <w:highlight w:val="none"/>
                    </w:rPr>
                  </w:pPr>
                </w:p>
              </w:tc>
              <w:tc>
                <w:tcPr>
                  <w:tcW w:w="820" w:type="dxa"/>
                  <w:vMerge w:val="continue"/>
                  <w:tcBorders>
                    <w:tl2br w:val="nil"/>
                    <w:tr2bl w:val="nil"/>
                  </w:tcBorders>
                  <w:noWrap w:val="0"/>
                  <w:vAlign w:val="center"/>
                </w:tcPr>
                <w:p w14:paraId="428C75CF">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2"/>
                      <w:kern w:val="2"/>
                      <w:sz w:val="21"/>
                      <w:szCs w:val="21"/>
                      <w:highlight w:val="none"/>
                      <w:lang w:bidi="ar"/>
                    </w:rPr>
                  </w:pPr>
                </w:p>
              </w:tc>
              <w:tc>
                <w:tcPr>
                  <w:tcW w:w="3926" w:type="dxa"/>
                  <w:tcBorders>
                    <w:tl2br w:val="nil"/>
                    <w:tr2bl w:val="nil"/>
                  </w:tcBorders>
                  <w:noWrap w:val="0"/>
                  <w:vAlign w:val="center"/>
                </w:tcPr>
                <w:p w14:paraId="7AA22D02">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both"/>
                    <w:textAlignment w:val="auto"/>
                    <w:rPr>
                      <w:rFonts w:hint="default" w:ascii="Times New Roman" w:hAnsi="Times New Roman" w:cs="Times New Roman"/>
                      <w:color w:val="auto"/>
                      <w:spacing w:val="-2"/>
                      <w:kern w:val="2"/>
                      <w:sz w:val="21"/>
                      <w:szCs w:val="21"/>
                      <w:highlight w:val="none"/>
                    </w:rPr>
                  </w:pPr>
                  <w:r>
                    <w:rPr>
                      <w:rFonts w:hint="default" w:ascii="Times New Roman" w:hAnsi="Times New Roman" w:cs="Times New Roman"/>
                      <w:color w:val="auto"/>
                      <w:spacing w:val="-2"/>
                      <w:kern w:val="2"/>
                      <w:sz w:val="21"/>
                      <w:szCs w:val="21"/>
                      <w:highlight w:val="none"/>
                    </w:rPr>
                    <w:t>对所有现状不达标的养殖场，明确治理时限和治理措施，在规定时间内不能完成污染治理的养殖场，要按照有关规定实施严肃处罚。</w:t>
                  </w:r>
                </w:p>
              </w:tc>
              <w:tc>
                <w:tcPr>
                  <w:tcW w:w="2356" w:type="dxa"/>
                  <w:tcBorders>
                    <w:tl2br w:val="nil"/>
                    <w:tr2bl w:val="nil"/>
                  </w:tcBorders>
                  <w:noWrap w:val="0"/>
                  <w:vAlign w:val="center"/>
                </w:tcPr>
                <w:p w14:paraId="3FD17E50">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11"/>
                      <w:kern w:val="2"/>
                      <w:sz w:val="21"/>
                      <w:szCs w:val="21"/>
                      <w:highlight w:val="none"/>
                    </w:rPr>
                  </w:pPr>
                  <w:r>
                    <w:rPr>
                      <w:rFonts w:hint="default" w:ascii="Times New Roman" w:hAnsi="Times New Roman" w:cs="Times New Roman"/>
                      <w:color w:val="auto"/>
                      <w:spacing w:val="11"/>
                      <w:kern w:val="2"/>
                      <w:sz w:val="21"/>
                      <w:szCs w:val="21"/>
                      <w:highlight w:val="none"/>
                    </w:rPr>
                    <w:t>本项目不涉及。</w:t>
                  </w:r>
                </w:p>
              </w:tc>
              <w:tc>
                <w:tcPr>
                  <w:tcW w:w="861" w:type="dxa"/>
                  <w:tcBorders>
                    <w:tl2br w:val="nil"/>
                    <w:tr2bl w:val="nil"/>
                  </w:tcBorders>
                  <w:noWrap w:val="0"/>
                  <w:vAlign w:val="center"/>
                </w:tcPr>
                <w:p w14:paraId="25E1E1FB">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11"/>
                      <w:kern w:val="2"/>
                      <w:sz w:val="21"/>
                      <w:szCs w:val="21"/>
                      <w:highlight w:val="none"/>
                      <w:lang w:bidi="ar"/>
                    </w:rPr>
                  </w:pPr>
                  <w:r>
                    <w:rPr>
                      <w:rFonts w:hint="default" w:ascii="Times New Roman" w:hAnsi="Times New Roman" w:cs="Times New Roman"/>
                      <w:color w:val="auto"/>
                      <w:spacing w:val="11"/>
                      <w:kern w:val="2"/>
                      <w:sz w:val="21"/>
                      <w:szCs w:val="21"/>
                      <w:highlight w:val="none"/>
                      <w:lang w:bidi="ar"/>
                    </w:rPr>
                    <w:t>符合</w:t>
                  </w:r>
                </w:p>
              </w:tc>
            </w:tr>
            <w:tr w14:paraId="00D8FD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22" w:type="dxa"/>
                  <w:vMerge w:val="continue"/>
                  <w:tcBorders>
                    <w:tl2br w:val="nil"/>
                    <w:tr2bl w:val="nil"/>
                  </w:tcBorders>
                  <w:noWrap w:val="0"/>
                  <w:vAlign w:val="center"/>
                </w:tcPr>
                <w:p w14:paraId="0BDB4D5C">
                  <w:pPr>
                    <w:keepNext w:val="0"/>
                    <w:keepLines w:val="0"/>
                    <w:pageBreakBefore w:val="0"/>
                    <w:kinsoku/>
                    <w:wordWrap/>
                    <w:overflowPunct/>
                    <w:topLinePunct w:val="0"/>
                    <w:bidi w:val="0"/>
                    <w:adjustRightInd w:val="0"/>
                    <w:snapToGrid w:val="0"/>
                    <w:spacing w:after="0" w:afterAutospacing="0" w:line="240" w:lineRule="auto"/>
                    <w:ind w:firstLine="0" w:firstLineChars="0"/>
                    <w:textAlignment w:val="auto"/>
                    <w:rPr>
                      <w:rFonts w:hint="default" w:ascii="Times New Roman" w:hAnsi="Times New Roman" w:cs="Times New Roman"/>
                      <w:color w:val="auto"/>
                      <w:sz w:val="21"/>
                      <w:szCs w:val="21"/>
                      <w:highlight w:val="none"/>
                    </w:rPr>
                  </w:pPr>
                </w:p>
              </w:tc>
              <w:tc>
                <w:tcPr>
                  <w:tcW w:w="820" w:type="dxa"/>
                  <w:vMerge w:val="continue"/>
                  <w:tcBorders>
                    <w:tl2br w:val="nil"/>
                    <w:tr2bl w:val="nil"/>
                  </w:tcBorders>
                  <w:noWrap w:val="0"/>
                  <w:vAlign w:val="center"/>
                </w:tcPr>
                <w:p w14:paraId="6ECB6D90">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2"/>
                      <w:kern w:val="2"/>
                      <w:sz w:val="21"/>
                      <w:szCs w:val="21"/>
                      <w:highlight w:val="none"/>
                      <w:lang w:bidi="ar"/>
                    </w:rPr>
                  </w:pPr>
                </w:p>
              </w:tc>
              <w:tc>
                <w:tcPr>
                  <w:tcW w:w="3926" w:type="dxa"/>
                  <w:tcBorders>
                    <w:tl2br w:val="nil"/>
                    <w:tr2bl w:val="nil"/>
                  </w:tcBorders>
                  <w:noWrap w:val="0"/>
                  <w:vAlign w:val="center"/>
                </w:tcPr>
                <w:p w14:paraId="27EC6BD9">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both"/>
                    <w:textAlignment w:val="auto"/>
                    <w:rPr>
                      <w:rFonts w:hint="default" w:ascii="Times New Roman" w:hAnsi="Times New Roman" w:cs="Times New Roman"/>
                      <w:color w:val="auto"/>
                      <w:spacing w:val="-2"/>
                      <w:kern w:val="2"/>
                      <w:sz w:val="21"/>
                      <w:szCs w:val="21"/>
                      <w:highlight w:val="none"/>
                    </w:rPr>
                  </w:pPr>
                  <w:r>
                    <w:rPr>
                      <w:rFonts w:hint="default" w:ascii="Times New Roman" w:hAnsi="Times New Roman" w:cs="Times New Roman"/>
                      <w:color w:val="auto"/>
                      <w:spacing w:val="-2"/>
                      <w:kern w:val="2"/>
                      <w:sz w:val="21"/>
                      <w:szCs w:val="21"/>
                      <w:highlight w:val="none"/>
                    </w:rPr>
                    <w:t>按照“一园区一热源”原则，全面淘汰工业园区（产业集聚区）内35蒸吨/小时及以下燃煤锅炉。城市建成区、集中供热覆盖区及天然气管网覆盖区一律禁止新建燃煤锅炉，逐步淘汰35蒸吨/小时及以下燃煤锅炉，保留及新建锅炉需达到特别排放限值要求。</w:t>
                  </w:r>
                </w:p>
              </w:tc>
              <w:tc>
                <w:tcPr>
                  <w:tcW w:w="2356" w:type="dxa"/>
                  <w:tcBorders>
                    <w:tl2br w:val="nil"/>
                    <w:tr2bl w:val="nil"/>
                  </w:tcBorders>
                  <w:noWrap w:val="0"/>
                  <w:vAlign w:val="center"/>
                </w:tcPr>
                <w:p w14:paraId="1D07D14F">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11"/>
                      <w:kern w:val="2"/>
                      <w:sz w:val="21"/>
                      <w:szCs w:val="21"/>
                      <w:highlight w:val="none"/>
                    </w:rPr>
                  </w:pPr>
                  <w:r>
                    <w:rPr>
                      <w:rFonts w:hint="default" w:ascii="Times New Roman" w:hAnsi="Times New Roman" w:cs="Times New Roman"/>
                      <w:color w:val="auto"/>
                      <w:spacing w:val="11"/>
                      <w:kern w:val="2"/>
                      <w:sz w:val="21"/>
                      <w:szCs w:val="21"/>
                      <w:highlight w:val="none"/>
                    </w:rPr>
                    <w:t>本项目不涉及。</w:t>
                  </w:r>
                </w:p>
              </w:tc>
              <w:tc>
                <w:tcPr>
                  <w:tcW w:w="861" w:type="dxa"/>
                  <w:tcBorders>
                    <w:tl2br w:val="nil"/>
                    <w:tr2bl w:val="nil"/>
                  </w:tcBorders>
                  <w:noWrap w:val="0"/>
                  <w:vAlign w:val="center"/>
                </w:tcPr>
                <w:p w14:paraId="37FF4602">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11"/>
                      <w:kern w:val="2"/>
                      <w:sz w:val="21"/>
                      <w:szCs w:val="21"/>
                      <w:highlight w:val="none"/>
                      <w:lang w:bidi="ar"/>
                    </w:rPr>
                  </w:pPr>
                  <w:r>
                    <w:rPr>
                      <w:rFonts w:hint="default" w:ascii="Times New Roman" w:hAnsi="Times New Roman" w:cs="Times New Roman"/>
                      <w:color w:val="auto"/>
                      <w:spacing w:val="11"/>
                      <w:kern w:val="2"/>
                      <w:sz w:val="21"/>
                      <w:szCs w:val="21"/>
                      <w:highlight w:val="none"/>
                      <w:lang w:bidi="ar"/>
                    </w:rPr>
                    <w:t>符合</w:t>
                  </w:r>
                </w:p>
              </w:tc>
            </w:tr>
            <w:tr w14:paraId="142C89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22" w:type="dxa"/>
                  <w:vMerge w:val="restart"/>
                  <w:tcBorders>
                    <w:tl2br w:val="nil"/>
                    <w:tr2bl w:val="nil"/>
                  </w:tcBorders>
                  <w:noWrap w:val="0"/>
                  <w:vAlign w:val="center"/>
                </w:tcPr>
                <w:p w14:paraId="59A4AEAB">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color w:val="auto"/>
                      <w:spacing w:val="-6"/>
                      <w:kern w:val="2"/>
                      <w:sz w:val="21"/>
                      <w:szCs w:val="21"/>
                      <w:highlight w:val="none"/>
                    </w:rPr>
                  </w:pPr>
                  <w:r>
                    <w:rPr>
                      <w:rFonts w:hint="default" w:ascii="Times New Roman" w:hAnsi="Times New Roman" w:cs="Times New Roman"/>
                      <w:color w:val="auto"/>
                      <w:spacing w:val="-6"/>
                      <w:kern w:val="2"/>
                      <w:sz w:val="21"/>
                      <w:szCs w:val="21"/>
                      <w:highlight w:val="none"/>
                      <w:lang w:bidi="ar"/>
                    </w:rPr>
                    <w:t>A2</w:t>
                  </w:r>
                </w:p>
                <w:p w14:paraId="277D0D2C">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color w:val="auto"/>
                      <w:spacing w:val="-6"/>
                      <w:kern w:val="2"/>
                      <w:sz w:val="21"/>
                      <w:szCs w:val="21"/>
                      <w:highlight w:val="none"/>
                    </w:rPr>
                  </w:pPr>
                  <w:r>
                    <w:rPr>
                      <w:rFonts w:hint="default" w:ascii="Times New Roman" w:hAnsi="Times New Roman" w:cs="Times New Roman"/>
                      <w:color w:val="auto"/>
                      <w:spacing w:val="-6"/>
                      <w:kern w:val="2"/>
                      <w:sz w:val="21"/>
                      <w:szCs w:val="21"/>
                      <w:highlight w:val="none"/>
                      <w:lang w:bidi="ar"/>
                    </w:rPr>
                    <w:t>污染</w:t>
                  </w:r>
                </w:p>
                <w:p w14:paraId="67128AF8">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color w:val="auto"/>
                      <w:spacing w:val="-6"/>
                      <w:kern w:val="2"/>
                      <w:sz w:val="21"/>
                      <w:szCs w:val="21"/>
                      <w:highlight w:val="none"/>
                    </w:rPr>
                  </w:pPr>
                  <w:r>
                    <w:rPr>
                      <w:rFonts w:hint="default" w:ascii="Times New Roman" w:hAnsi="Times New Roman" w:cs="Times New Roman"/>
                      <w:color w:val="auto"/>
                      <w:spacing w:val="-6"/>
                      <w:kern w:val="2"/>
                      <w:sz w:val="21"/>
                      <w:szCs w:val="21"/>
                      <w:highlight w:val="none"/>
                      <w:lang w:bidi="ar"/>
                    </w:rPr>
                    <w:t>物排</w:t>
                  </w:r>
                </w:p>
                <w:p w14:paraId="0C72A4E9">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color w:val="auto"/>
                      <w:spacing w:val="-6"/>
                      <w:kern w:val="2"/>
                      <w:sz w:val="21"/>
                      <w:szCs w:val="21"/>
                      <w:highlight w:val="none"/>
                    </w:rPr>
                  </w:pPr>
                  <w:r>
                    <w:rPr>
                      <w:rFonts w:hint="default" w:ascii="Times New Roman" w:hAnsi="Times New Roman" w:cs="Times New Roman"/>
                      <w:color w:val="auto"/>
                      <w:spacing w:val="-6"/>
                      <w:kern w:val="2"/>
                      <w:sz w:val="21"/>
                      <w:szCs w:val="21"/>
                      <w:highlight w:val="none"/>
                      <w:lang w:bidi="ar"/>
                    </w:rPr>
                    <w:t>放管</w:t>
                  </w:r>
                </w:p>
                <w:p w14:paraId="687A832B">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color w:val="auto"/>
                      <w:spacing w:val="-6"/>
                      <w:kern w:val="2"/>
                      <w:sz w:val="21"/>
                      <w:szCs w:val="21"/>
                      <w:highlight w:val="none"/>
                    </w:rPr>
                  </w:pPr>
                  <w:r>
                    <w:rPr>
                      <w:rFonts w:hint="default" w:ascii="Times New Roman" w:hAnsi="Times New Roman" w:cs="Times New Roman"/>
                      <w:color w:val="auto"/>
                      <w:spacing w:val="-6"/>
                      <w:kern w:val="2"/>
                      <w:sz w:val="21"/>
                      <w:szCs w:val="21"/>
                      <w:highlight w:val="none"/>
                      <w:lang w:bidi="ar"/>
                    </w:rPr>
                    <w:t>控</w:t>
                  </w:r>
                </w:p>
              </w:tc>
              <w:tc>
                <w:tcPr>
                  <w:tcW w:w="820" w:type="dxa"/>
                  <w:vMerge w:val="restart"/>
                  <w:tcBorders>
                    <w:tl2br w:val="nil"/>
                    <w:tr2bl w:val="nil"/>
                  </w:tcBorders>
                  <w:noWrap w:val="0"/>
                  <w:vAlign w:val="center"/>
                </w:tcPr>
                <w:p w14:paraId="74A5CE7C">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6"/>
                      <w:kern w:val="2"/>
                      <w:sz w:val="21"/>
                      <w:szCs w:val="21"/>
                      <w:highlight w:val="none"/>
                      <w:lang w:bidi="ar"/>
                    </w:rPr>
                  </w:pPr>
                  <w:r>
                    <w:rPr>
                      <w:rFonts w:hint="default" w:ascii="Times New Roman" w:hAnsi="Times New Roman" w:cs="Times New Roman"/>
                      <w:color w:val="auto"/>
                      <w:spacing w:val="-6"/>
                      <w:kern w:val="2"/>
                      <w:sz w:val="21"/>
                      <w:szCs w:val="21"/>
                      <w:highlight w:val="none"/>
                      <w:lang w:bidi="ar"/>
                    </w:rPr>
                    <w:t>A2.1</w:t>
                  </w:r>
                </w:p>
                <w:p w14:paraId="21B75115">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6"/>
                      <w:kern w:val="2"/>
                      <w:sz w:val="21"/>
                      <w:szCs w:val="21"/>
                      <w:highlight w:val="none"/>
                    </w:rPr>
                  </w:pPr>
                  <w:r>
                    <w:rPr>
                      <w:rFonts w:hint="default" w:ascii="Times New Roman" w:hAnsi="Times New Roman" w:cs="Times New Roman"/>
                      <w:color w:val="auto"/>
                      <w:spacing w:val="-6"/>
                      <w:kern w:val="2"/>
                      <w:sz w:val="21"/>
                      <w:szCs w:val="21"/>
                      <w:highlight w:val="none"/>
                      <w:lang w:bidi="ar"/>
                    </w:rPr>
                    <w:t>允许排放量要求</w:t>
                  </w:r>
                </w:p>
              </w:tc>
              <w:tc>
                <w:tcPr>
                  <w:tcW w:w="3926" w:type="dxa"/>
                  <w:tcBorders>
                    <w:tl2br w:val="nil"/>
                    <w:tr2bl w:val="nil"/>
                  </w:tcBorders>
                  <w:noWrap w:val="0"/>
                  <w:vAlign w:val="center"/>
                </w:tcPr>
                <w:p w14:paraId="5D8E1AB4">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cs="Times New Roman"/>
                      <w:color w:val="auto"/>
                      <w:spacing w:val="-2"/>
                      <w:kern w:val="2"/>
                      <w:sz w:val="21"/>
                      <w:szCs w:val="21"/>
                      <w:highlight w:val="none"/>
                    </w:rPr>
                  </w:pPr>
                  <w:r>
                    <w:rPr>
                      <w:rFonts w:hint="default" w:ascii="Times New Roman" w:hAnsi="Times New Roman" w:cs="Times New Roman"/>
                      <w:color w:val="auto"/>
                      <w:spacing w:val="-2"/>
                      <w:kern w:val="2"/>
                      <w:sz w:val="21"/>
                      <w:szCs w:val="21"/>
                      <w:highlight w:val="none"/>
                    </w:rPr>
                    <w:t>化学需氧量、氨氮、氮氧化物和挥发性有机物排放总量完成自治区下达任务。</w:t>
                  </w:r>
                </w:p>
              </w:tc>
              <w:tc>
                <w:tcPr>
                  <w:tcW w:w="2356" w:type="dxa"/>
                  <w:tcBorders>
                    <w:tl2br w:val="nil"/>
                    <w:tr2bl w:val="nil"/>
                  </w:tcBorders>
                  <w:noWrap w:val="0"/>
                  <w:vAlign w:val="center"/>
                </w:tcPr>
                <w:p w14:paraId="1A157903">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both"/>
                    <w:textAlignment w:val="auto"/>
                    <w:rPr>
                      <w:rFonts w:hint="default" w:ascii="Times New Roman" w:hAnsi="Times New Roman" w:cs="Times New Roman"/>
                      <w:color w:val="auto"/>
                      <w:spacing w:val="-2"/>
                      <w:kern w:val="2"/>
                      <w:sz w:val="21"/>
                      <w:szCs w:val="21"/>
                      <w:highlight w:val="none"/>
                    </w:rPr>
                  </w:pPr>
                  <w:r>
                    <w:rPr>
                      <w:rFonts w:hint="default" w:ascii="Times New Roman" w:hAnsi="Times New Roman" w:cs="Times New Roman"/>
                      <w:color w:val="auto"/>
                      <w:spacing w:val="-2"/>
                      <w:kern w:val="2"/>
                      <w:sz w:val="21"/>
                      <w:szCs w:val="21"/>
                      <w:highlight w:val="none"/>
                    </w:rPr>
                    <w:t>本项目运营期</w:t>
                  </w:r>
                  <w:r>
                    <w:rPr>
                      <w:rFonts w:hint="default" w:ascii="Times New Roman" w:hAnsi="Times New Roman" w:cs="Times New Roman"/>
                      <w:color w:val="auto"/>
                      <w:spacing w:val="-2"/>
                      <w:kern w:val="2"/>
                      <w:sz w:val="21"/>
                      <w:szCs w:val="21"/>
                      <w:highlight w:val="none"/>
                      <w:lang w:val="en-US" w:eastAsia="zh-CN"/>
                    </w:rPr>
                    <w:t>不产生废气，对周边大气环境影响较小</w:t>
                  </w:r>
                  <w:r>
                    <w:rPr>
                      <w:rFonts w:hint="default" w:ascii="Times New Roman" w:hAnsi="Times New Roman" w:cs="Times New Roman"/>
                      <w:color w:val="auto"/>
                      <w:spacing w:val="-2"/>
                      <w:kern w:val="2"/>
                      <w:sz w:val="21"/>
                      <w:szCs w:val="21"/>
                      <w:highlight w:val="none"/>
                    </w:rPr>
                    <w:t>。</w:t>
                  </w:r>
                </w:p>
              </w:tc>
              <w:tc>
                <w:tcPr>
                  <w:tcW w:w="861" w:type="dxa"/>
                  <w:tcBorders>
                    <w:tl2br w:val="nil"/>
                    <w:tr2bl w:val="nil"/>
                  </w:tcBorders>
                  <w:noWrap w:val="0"/>
                  <w:vAlign w:val="center"/>
                </w:tcPr>
                <w:p w14:paraId="297A5A4F">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2"/>
                      <w:kern w:val="2"/>
                      <w:sz w:val="21"/>
                      <w:szCs w:val="21"/>
                      <w:highlight w:val="none"/>
                    </w:rPr>
                  </w:pPr>
                  <w:r>
                    <w:rPr>
                      <w:rFonts w:hint="default" w:ascii="Times New Roman" w:hAnsi="Times New Roman" w:cs="Times New Roman"/>
                      <w:color w:val="auto"/>
                      <w:spacing w:val="-2"/>
                      <w:kern w:val="2"/>
                      <w:sz w:val="21"/>
                      <w:szCs w:val="21"/>
                      <w:highlight w:val="none"/>
                      <w:lang w:bidi="ar"/>
                    </w:rPr>
                    <w:t>符合</w:t>
                  </w:r>
                </w:p>
              </w:tc>
            </w:tr>
            <w:tr w14:paraId="7E32FA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22" w:type="dxa"/>
                  <w:vMerge w:val="continue"/>
                  <w:tcBorders>
                    <w:tl2br w:val="nil"/>
                    <w:tr2bl w:val="nil"/>
                  </w:tcBorders>
                  <w:noWrap w:val="0"/>
                  <w:vAlign w:val="center"/>
                </w:tcPr>
                <w:p w14:paraId="556224C3">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6"/>
                      <w:kern w:val="2"/>
                      <w:sz w:val="21"/>
                      <w:szCs w:val="21"/>
                      <w:highlight w:val="none"/>
                      <w:lang w:bidi="ar"/>
                    </w:rPr>
                  </w:pPr>
                </w:p>
              </w:tc>
              <w:tc>
                <w:tcPr>
                  <w:tcW w:w="820" w:type="dxa"/>
                  <w:vMerge w:val="continue"/>
                  <w:tcBorders>
                    <w:tl2br w:val="nil"/>
                    <w:tr2bl w:val="nil"/>
                  </w:tcBorders>
                  <w:noWrap w:val="0"/>
                  <w:vAlign w:val="center"/>
                </w:tcPr>
                <w:p w14:paraId="3A23E82E">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6"/>
                      <w:kern w:val="2"/>
                      <w:sz w:val="21"/>
                      <w:szCs w:val="21"/>
                      <w:highlight w:val="none"/>
                      <w:lang w:bidi="ar"/>
                    </w:rPr>
                  </w:pPr>
                </w:p>
              </w:tc>
              <w:tc>
                <w:tcPr>
                  <w:tcW w:w="3926" w:type="dxa"/>
                  <w:tcBorders>
                    <w:tl2br w:val="nil"/>
                    <w:tr2bl w:val="nil"/>
                  </w:tcBorders>
                  <w:noWrap w:val="0"/>
                  <w:vAlign w:val="center"/>
                </w:tcPr>
                <w:p w14:paraId="2C74FE54">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cs="Times New Roman"/>
                      <w:color w:val="auto"/>
                      <w:spacing w:val="-6"/>
                      <w:kern w:val="2"/>
                      <w:sz w:val="21"/>
                      <w:szCs w:val="21"/>
                      <w:highlight w:val="none"/>
                      <w:lang w:bidi="ar"/>
                    </w:rPr>
                  </w:pPr>
                  <w:r>
                    <w:rPr>
                      <w:rFonts w:hint="default" w:ascii="Times New Roman" w:hAnsi="Times New Roman" w:cs="Times New Roman"/>
                      <w:color w:val="auto"/>
                      <w:spacing w:val="-6"/>
                      <w:kern w:val="2"/>
                      <w:sz w:val="21"/>
                      <w:szCs w:val="21"/>
                      <w:highlight w:val="none"/>
                      <w:lang w:bidi="ar"/>
                    </w:rPr>
                    <w:t>P</w:t>
                  </w:r>
                  <w:r>
                    <w:rPr>
                      <w:rFonts w:hint="default" w:ascii="Times New Roman" w:hAnsi="Times New Roman" w:cs="Times New Roman"/>
                      <w:color w:val="auto"/>
                      <w:spacing w:val="-6"/>
                      <w:kern w:val="2"/>
                      <w:sz w:val="21"/>
                      <w:szCs w:val="21"/>
                      <w:highlight w:val="none"/>
                      <w:lang w:eastAsia="zh-CN" w:bidi="ar"/>
                    </w:rPr>
                    <w:t>m²</w:t>
                  </w:r>
                  <w:r>
                    <w:rPr>
                      <w:rFonts w:hint="default" w:ascii="Times New Roman" w:hAnsi="Times New Roman" w:cs="Times New Roman"/>
                      <w:color w:val="auto"/>
                      <w:spacing w:val="-6"/>
                      <w:kern w:val="2"/>
                      <w:sz w:val="21"/>
                      <w:szCs w:val="21"/>
                      <w:highlight w:val="none"/>
                      <w:vertAlign w:val="subscript"/>
                      <w:lang w:bidi="ar"/>
                    </w:rPr>
                    <w:t>.5</w:t>
                  </w:r>
                  <w:r>
                    <w:rPr>
                      <w:rFonts w:hint="default" w:ascii="Times New Roman" w:hAnsi="Times New Roman" w:cs="Times New Roman"/>
                      <w:color w:val="auto"/>
                      <w:spacing w:val="-6"/>
                      <w:kern w:val="2"/>
                      <w:sz w:val="21"/>
                      <w:szCs w:val="21"/>
                      <w:highlight w:val="none"/>
                      <w:lang w:bidi="ar"/>
                    </w:rPr>
                    <w:t>和O</w:t>
                  </w:r>
                  <w:r>
                    <w:rPr>
                      <w:rFonts w:hint="default" w:ascii="Times New Roman" w:hAnsi="Times New Roman" w:cs="Times New Roman"/>
                      <w:color w:val="auto"/>
                      <w:spacing w:val="-6"/>
                      <w:kern w:val="2"/>
                      <w:sz w:val="21"/>
                      <w:szCs w:val="21"/>
                      <w:highlight w:val="none"/>
                      <w:vertAlign w:val="subscript"/>
                      <w:lang w:bidi="ar"/>
                    </w:rPr>
                    <w:t>3</w:t>
                  </w:r>
                  <w:r>
                    <w:rPr>
                      <w:rFonts w:hint="default" w:ascii="Times New Roman" w:hAnsi="Times New Roman" w:cs="Times New Roman"/>
                      <w:color w:val="auto"/>
                      <w:spacing w:val="-6"/>
                      <w:kern w:val="2"/>
                      <w:sz w:val="21"/>
                      <w:szCs w:val="21"/>
                      <w:highlight w:val="none"/>
                      <w:lang w:bidi="ar"/>
                    </w:rPr>
                    <w:t>未达标城市，新、改、扩建项目实施更严格的污染物排放总量控制要求，所需二氧化硫、NOx、VOCs排放量指标要进行减量替代。</w:t>
                  </w:r>
                </w:p>
              </w:tc>
              <w:tc>
                <w:tcPr>
                  <w:tcW w:w="2356" w:type="dxa"/>
                  <w:tcBorders>
                    <w:tl2br w:val="nil"/>
                    <w:tr2bl w:val="nil"/>
                  </w:tcBorders>
                  <w:noWrap w:val="0"/>
                  <w:vAlign w:val="center"/>
                </w:tcPr>
                <w:p w14:paraId="7976F525">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both"/>
                    <w:textAlignment w:val="auto"/>
                    <w:rPr>
                      <w:rFonts w:hint="default" w:ascii="Times New Roman" w:hAnsi="Times New Roman" w:cs="Times New Roman"/>
                      <w:color w:val="auto"/>
                      <w:kern w:val="2"/>
                      <w:sz w:val="21"/>
                      <w:szCs w:val="21"/>
                      <w:highlight w:val="none"/>
                      <w:lang w:bidi="ar"/>
                    </w:rPr>
                  </w:pPr>
                  <w:r>
                    <w:rPr>
                      <w:rFonts w:hint="default" w:ascii="Times New Roman" w:hAnsi="Times New Roman" w:cs="Times New Roman"/>
                      <w:color w:val="auto"/>
                      <w:spacing w:val="-2"/>
                      <w:kern w:val="2"/>
                      <w:sz w:val="21"/>
                      <w:szCs w:val="21"/>
                      <w:highlight w:val="none"/>
                    </w:rPr>
                    <w:t>本项目运营期</w:t>
                  </w:r>
                  <w:r>
                    <w:rPr>
                      <w:rFonts w:hint="default" w:ascii="Times New Roman" w:hAnsi="Times New Roman" w:cs="Times New Roman"/>
                      <w:color w:val="auto"/>
                      <w:spacing w:val="-2"/>
                      <w:kern w:val="2"/>
                      <w:sz w:val="21"/>
                      <w:szCs w:val="21"/>
                      <w:highlight w:val="none"/>
                      <w:lang w:val="en-US" w:eastAsia="zh-CN"/>
                    </w:rPr>
                    <w:t>不产生废气，对周边大气环境影响较小</w:t>
                  </w:r>
                  <w:r>
                    <w:rPr>
                      <w:rFonts w:hint="default" w:ascii="Times New Roman" w:hAnsi="Times New Roman" w:cs="Times New Roman"/>
                      <w:color w:val="auto"/>
                      <w:spacing w:val="-2"/>
                      <w:kern w:val="2"/>
                      <w:sz w:val="21"/>
                      <w:szCs w:val="21"/>
                      <w:highlight w:val="none"/>
                    </w:rPr>
                    <w:t>。</w:t>
                  </w:r>
                </w:p>
              </w:tc>
              <w:tc>
                <w:tcPr>
                  <w:tcW w:w="861" w:type="dxa"/>
                  <w:tcBorders>
                    <w:tl2br w:val="nil"/>
                    <w:tr2bl w:val="nil"/>
                  </w:tcBorders>
                  <w:noWrap w:val="0"/>
                  <w:vAlign w:val="center"/>
                </w:tcPr>
                <w:p w14:paraId="1F312DFC">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2"/>
                      <w:kern w:val="2"/>
                      <w:sz w:val="21"/>
                      <w:szCs w:val="21"/>
                      <w:highlight w:val="none"/>
                      <w:lang w:bidi="ar"/>
                    </w:rPr>
                  </w:pPr>
                  <w:r>
                    <w:rPr>
                      <w:rFonts w:hint="default" w:ascii="Times New Roman" w:hAnsi="Times New Roman" w:cs="Times New Roman"/>
                      <w:color w:val="auto"/>
                      <w:spacing w:val="-2"/>
                      <w:kern w:val="2"/>
                      <w:sz w:val="21"/>
                      <w:szCs w:val="21"/>
                      <w:highlight w:val="none"/>
                      <w:lang w:bidi="ar"/>
                    </w:rPr>
                    <w:t>符合</w:t>
                  </w:r>
                </w:p>
              </w:tc>
            </w:tr>
            <w:tr w14:paraId="66E1C6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22" w:type="dxa"/>
                  <w:vMerge w:val="continue"/>
                  <w:tcBorders>
                    <w:tl2br w:val="nil"/>
                    <w:tr2bl w:val="nil"/>
                  </w:tcBorders>
                  <w:noWrap w:val="0"/>
                  <w:vAlign w:val="center"/>
                </w:tcPr>
                <w:p w14:paraId="2AF53C9F">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6"/>
                      <w:kern w:val="2"/>
                      <w:sz w:val="21"/>
                      <w:szCs w:val="21"/>
                      <w:highlight w:val="none"/>
                      <w:lang w:bidi="ar"/>
                    </w:rPr>
                  </w:pPr>
                </w:p>
              </w:tc>
              <w:tc>
                <w:tcPr>
                  <w:tcW w:w="820" w:type="dxa"/>
                  <w:vMerge w:val="continue"/>
                  <w:tcBorders>
                    <w:tl2br w:val="nil"/>
                    <w:tr2bl w:val="nil"/>
                  </w:tcBorders>
                  <w:noWrap w:val="0"/>
                  <w:vAlign w:val="center"/>
                </w:tcPr>
                <w:p w14:paraId="3DD140E5">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6"/>
                      <w:kern w:val="2"/>
                      <w:sz w:val="21"/>
                      <w:szCs w:val="21"/>
                      <w:highlight w:val="none"/>
                      <w:lang w:bidi="ar"/>
                    </w:rPr>
                  </w:pPr>
                </w:p>
              </w:tc>
              <w:tc>
                <w:tcPr>
                  <w:tcW w:w="3926" w:type="dxa"/>
                  <w:tcBorders>
                    <w:tl2br w:val="nil"/>
                    <w:tr2bl w:val="nil"/>
                  </w:tcBorders>
                  <w:noWrap w:val="0"/>
                  <w:vAlign w:val="center"/>
                </w:tcPr>
                <w:p w14:paraId="207DA6B0">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cs="Times New Roman"/>
                      <w:color w:val="auto"/>
                      <w:spacing w:val="-6"/>
                      <w:kern w:val="2"/>
                      <w:sz w:val="21"/>
                      <w:szCs w:val="21"/>
                      <w:highlight w:val="none"/>
                      <w:lang w:bidi="ar"/>
                    </w:rPr>
                  </w:pPr>
                  <w:r>
                    <w:rPr>
                      <w:rFonts w:hint="default" w:ascii="Times New Roman" w:hAnsi="Times New Roman" w:cs="Times New Roman"/>
                      <w:color w:val="auto"/>
                      <w:spacing w:val="-6"/>
                      <w:kern w:val="2"/>
                      <w:sz w:val="21"/>
                      <w:szCs w:val="21"/>
                      <w:highlight w:val="none"/>
                      <w:lang w:bidi="ar"/>
                    </w:rPr>
                    <w:t>新、改、扩建重点行业建设项目按照《宁夏回族自治区建设项目重金属污染物排放指标核定办法》要求，遵循重点重金属污染物排放“等量替代”原则，各地级市可自行确定重点区域，重点区域遵循“减量替代”原则，减量替代比例不低于1.2:1。</w:t>
                  </w:r>
                </w:p>
              </w:tc>
              <w:tc>
                <w:tcPr>
                  <w:tcW w:w="2356" w:type="dxa"/>
                  <w:tcBorders>
                    <w:tl2br w:val="nil"/>
                    <w:tr2bl w:val="nil"/>
                  </w:tcBorders>
                  <w:noWrap w:val="0"/>
                  <w:vAlign w:val="center"/>
                </w:tcPr>
                <w:p w14:paraId="18E340AA">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kern w:val="2"/>
                      <w:sz w:val="21"/>
                      <w:szCs w:val="21"/>
                      <w:highlight w:val="none"/>
                      <w:lang w:bidi="ar"/>
                    </w:rPr>
                  </w:pPr>
                  <w:r>
                    <w:rPr>
                      <w:rFonts w:hint="default" w:ascii="Times New Roman" w:hAnsi="Times New Roman" w:cs="Times New Roman"/>
                      <w:color w:val="auto"/>
                      <w:kern w:val="2"/>
                      <w:sz w:val="21"/>
                      <w:szCs w:val="21"/>
                      <w:highlight w:val="none"/>
                      <w:lang w:bidi="ar"/>
                    </w:rPr>
                    <w:t>本项目不涉及。</w:t>
                  </w:r>
                </w:p>
              </w:tc>
              <w:tc>
                <w:tcPr>
                  <w:tcW w:w="861" w:type="dxa"/>
                  <w:tcBorders>
                    <w:tl2br w:val="nil"/>
                    <w:tr2bl w:val="nil"/>
                  </w:tcBorders>
                  <w:noWrap w:val="0"/>
                  <w:vAlign w:val="center"/>
                </w:tcPr>
                <w:p w14:paraId="06679FD6">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2"/>
                      <w:kern w:val="2"/>
                      <w:sz w:val="21"/>
                      <w:szCs w:val="21"/>
                      <w:highlight w:val="none"/>
                      <w:lang w:bidi="ar"/>
                    </w:rPr>
                  </w:pPr>
                  <w:r>
                    <w:rPr>
                      <w:rFonts w:hint="default" w:ascii="Times New Roman" w:hAnsi="Times New Roman" w:cs="Times New Roman"/>
                      <w:color w:val="auto"/>
                      <w:spacing w:val="-2"/>
                      <w:kern w:val="2"/>
                      <w:sz w:val="21"/>
                      <w:szCs w:val="21"/>
                      <w:highlight w:val="none"/>
                      <w:lang w:bidi="ar"/>
                    </w:rPr>
                    <w:t>符合</w:t>
                  </w:r>
                </w:p>
              </w:tc>
            </w:tr>
            <w:tr w14:paraId="0BEBC8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22" w:type="dxa"/>
                  <w:vMerge w:val="continue"/>
                  <w:tcBorders>
                    <w:tl2br w:val="nil"/>
                    <w:tr2bl w:val="nil"/>
                  </w:tcBorders>
                  <w:noWrap w:val="0"/>
                  <w:vAlign w:val="center"/>
                </w:tcPr>
                <w:p w14:paraId="1FAD4EF3">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6"/>
                      <w:kern w:val="2"/>
                      <w:sz w:val="21"/>
                      <w:szCs w:val="21"/>
                      <w:highlight w:val="none"/>
                      <w:lang w:bidi="ar"/>
                    </w:rPr>
                  </w:pPr>
                </w:p>
              </w:tc>
              <w:tc>
                <w:tcPr>
                  <w:tcW w:w="820" w:type="dxa"/>
                  <w:vMerge w:val="continue"/>
                  <w:tcBorders>
                    <w:tl2br w:val="nil"/>
                    <w:tr2bl w:val="nil"/>
                  </w:tcBorders>
                  <w:noWrap w:val="0"/>
                  <w:vAlign w:val="center"/>
                </w:tcPr>
                <w:p w14:paraId="309E3EF5">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6"/>
                      <w:kern w:val="2"/>
                      <w:sz w:val="21"/>
                      <w:szCs w:val="21"/>
                      <w:highlight w:val="none"/>
                      <w:lang w:bidi="ar"/>
                    </w:rPr>
                  </w:pPr>
                </w:p>
              </w:tc>
              <w:tc>
                <w:tcPr>
                  <w:tcW w:w="3926" w:type="dxa"/>
                  <w:tcBorders>
                    <w:tl2br w:val="nil"/>
                    <w:tr2bl w:val="nil"/>
                  </w:tcBorders>
                  <w:noWrap w:val="0"/>
                  <w:vAlign w:val="center"/>
                </w:tcPr>
                <w:p w14:paraId="61D57432">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cs="Times New Roman"/>
                      <w:color w:val="auto"/>
                      <w:spacing w:val="-6"/>
                      <w:kern w:val="2"/>
                      <w:sz w:val="21"/>
                      <w:szCs w:val="21"/>
                      <w:highlight w:val="none"/>
                      <w:lang w:bidi="ar"/>
                    </w:rPr>
                  </w:pPr>
                  <w:r>
                    <w:rPr>
                      <w:rFonts w:hint="default" w:ascii="Times New Roman" w:hAnsi="Times New Roman" w:cs="Times New Roman"/>
                      <w:color w:val="auto"/>
                      <w:spacing w:val="-6"/>
                      <w:kern w:val="2"/>
                      <w:sz w:val="21"/>
                      <w:szCs w:val="21"/>
                      <w:highlight w:val="none"/>
                      <w:lang w:bidi="ar"/>
                    </w:rPr>
                    <w:t>到2025年，中卫市畜禽养殖废物综合利用率达到95%，规模养殖场粪污处理设施装备配套率达到100%。</w:t>
                  </w:r>
                </w:p>
              </w:tc>
              <w:tc>
                <w:tcPr>
                  <w:tcW w:w="2356" w:type="dxa"/>
                  <w:tcBorders>
                    <w:tl2br w:val="nil"/>
                    <w:tr2bl w:val="nil"/>
                  </w:tcBorders>
                  <w:noWrap w:val="0"/>
                  <w:vAlign w:val="center"/>
                </w:tcPr>
                <w:p w14:paraId="14AD9A32">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kern w:val="2"/>
                      <w:sz w:val="21"/>
                      <w:szCs w:val="21"/>
                      <w:highlight w:val="none"/>
                      <w:lang w:bidi="ar"/>
                    </w:rPr>
                  </w:pPr>
                  <w:r>
                    <w:rPr>
                      <w:rFonts w:hint="default" w:ascii="Times New Roman" w:hAnsi="Times New Roman" w:cs="Times New Roman"/>
                      <w:color w:val="auto"/>
                      <w:kern w:val="2"/>
                      <w:sz w:val="21"/>
                      <w:szCs w:val="21"/>
                      <w:highlight w:val="none"/>
                      <w:lang w:bidi="ar"/>
                    </w:rPr>
                    <w:t>本项目不涉及。</w:t>
                  </w:r>
                </w:p>
              </w:tc>
              <w:tc>
                <w:tcPr>
                  <w:tcW w:w="861" w:type="dxa"/>
                  <w:tcBorders>
                    <w:tl2br w:val="nil"/>
                    <w:tr2bl w:val="nil"/>
                  </w:tcBorders>
                  <w:noWrap w:val="0"/>
                  <w:vAlign w:val="center"/>
                </w:tcPr>
                <w:p w14:paraId="2D8C920C">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2"/>
                      <w:kern w:val="2"/>
                      <w:sz w:val="21"/>
                      <w:szCs w:val="21"/>
                      <w:highlight w:val="none"/>
                      <w:lang w:bidi="ar"/>
                    </w:rPr>
                  </w:pPr>
                  <w:r>
                    <w:rPr>
                      <w:rFonts w:hint="default" w:ascii="Times New Roman" w:hAnsi="Times New Roman" w:cs="Times New Roman"/>
                      <w:color w:val="auto"/>
                      <w:spacing w:val="-2"/>
                      <w:kern w:val="2"/>
                      <w:sz w:val="21"/>
                      <w:szCs w:val="21"/>
                      <w:highlight w:val="none"/>
                      <w:lang w:bidi="ar"/>
                    </w:rPr>
                    <w:t>符合</w:t>
                  </w:r>
                </w:p>
              </w:tc>
            </w:tr>
            <w:tr w14:paraId="776B10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22" w:type="dxa"/>
                  <w:vMerge w:val="continue"/>
                  <w:tcBorders>
                    <w:tl2br w:val="nil"/>
                    <w:tr2bl w:val="nil"/>
                  </w:tcBorders>
                  <w:noWrap w:val="0"/>
                  <w:vAlign w:val="center"/>
                </w:tcPr>
                <w:p w14:paraId="73067C11">
                  <w:pPr>
                    <w:keepNext w:val="0"/>
                    <w:keepLines w:val="0"/>
                    <w:pageBreakBefore w:val="0"/>
                    <w:kinsoku/>
                    <w:wordWrap/>
                    <w:overflowPunct/>
                    <w:topLinePunct w:val="0"/>
                    <w:bidi w:val="0"/>
                    <w:adjustRightInd w:val="0"/>
                    <w:snapToGrid w:val="0"/>
                    <w:spacing w:after="0" w:afterAutospacing="0" w:line="240" w:lineRule="auto"/>
                    <w:ind w:firstLine="0" w:firstLineChars="0"/>
                    <w:textAlignment w:val="auto"/>
                    <w:rPr>
                      <w:rFonts w:hint="default" w:ascii="Times New Roman" w:hAnsi="Times New Roman" w:cs="Times New Roman"/>
                      <w:color w:val="auto"/>
                      <w:sz w:val="21"/>
                      <w:szCs w:val="21"/>
                      <w:highlight w:val="none"/>
                    </w:rPr>
                  </w:pPr>
                </w:p>
              </w:tc>
              <w:tc>
                <w:tcPr>
                  <w:tcW w:w="820" w:type="dxa"/>
                  <w:tcBorders>
                    <w:tl2br w:val="nil"/>
                    <w:tr2bl w:val="nil"/>
                  </w:tcBorders>
                  <w:noWrap w:val="0"/>
                  <w:vAlign w:val="top"/>
                </w:tcPr>
                <w:p w14:paraId="6E027883">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6"/>
                      <w:kern w:val="2"/>
                      <w:sz w:val="21"/>
                      <w:szCs w:val="21"/>
                      <w:highlight w:val="none"/>
                      <w:lang w:bidi="ar"/>
                    </w:rPr>
                  </w:pPr>
                  <w:r>
                    <w:rPr>
                      <w:rFonts w:hint="default" w:ascii="Times New Roman" w:hAnsi="Times New Roman" w:cs="Times New Roman"/>
                      <w:color w:val="auto"/>
                      <w:spacing w:val="-6"/>
                      <w:kern w:val="2"/>
                      <w:sz w:val="21"/>
                      <w:szCs w:val="21"/>
                      <w:highlight w:val="none"/>
                      <w:lang w:bidi="ar"/>
                    </w:rPr>
                    <w:t>A2.2</w:t>
                  </w:r>
                </w:p>
                <w:p w14:paraId="3887B350">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6"/>
                      <w:kern w:val="2"/>
                      <w:sz w:val="21"/>
                      <w:szCs w:val="21"/>
                      <w:highlight w:val="none"/>
                      <w:lang w:bidi="ar"/>
                    </w:rPr>
                  </w:pPr>
                  <w:r>
                    <w:rPr>
                      <w:rFonts w:hint="default" w:ascii="Times New Roman" w:hAnsi="Times New Roman" w:cs="Times New Roman"/>
                      <w:color w:val="auto"/>
                      <w:spacing w:val="-6"/>
                      <w:kern w:val="2"/>
                      <w:sz w:val="21"/>
                      <w:szCs w:val="21"/>
                      <w:highlight w:val="none"/>
                      <w:lang w:bidi="ar"/>
                    </w:rPr>
                    <w:t>现有</w:t>
                  </w:r>
                </w:p>
                <w:p w14:paraId="2E9AC8F4">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6"/>
                      <w:kern w:val="2"/>
                      <w:sz w:val="21"/>
                      <w:szCs w:val="21"/>
                      <w:highlight w:val="none"/>
                      <w:lang w:bidi="ar"/>
                    </w:rPr>
                  </w:pPr>
                  <w:r>
                    <w:rPr>
                      <w:rFonts w:hint="default" w:ascii="Times New Roman" w:hAnsi="Times New Roman" w:cs="Times New Roman"/>
                      <w:color w:val="auto"/>
                      <w:spacing w:val="-6"/>
                      <w:kern w:val="2"/>
                      <w:sz w:val="21"/>
                      <w:szCs w:val="21"/>
                      <w:highlight w:val="none"/>
                      <w:lang w:bidi="ar"/>
                    </w:rPr>
                    <w:t>源提</w:t>
                  </w:r>
                </w:p>
                <w:p w14:paraId="7916A0FE">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6"/>
                      <w:kern w:val="2"/>
                      <w:sz w:val="21"/>
                      <w:szCs w:val="21"/>
                      <w:highlight w:val="none"/>
                      <w:lang w:bidi="ar"/>
                    </w:rPr>
                  </w:pPr>
                  <w:r>
                    <w:rPr>
                      <w:rFonts w:hint="default" w:ascii="Times New Roman" w:hAnsi="Times New Roman" w:cs="Times New Roman"/>
                      <w:color w:val="auto"/>
                      <w:spacing w:val="-6"/>
                      <w:kern w:val="2"/>
                      <w:sz w:val="21"/>
                      <w:szCs w:val="21"/>
                      <w:highlight w:val="none"/>
                      <w:lang w:bidi="ar"/>
                    </w:rPr>
                    <w:t>标升</w:t>
                  </w:r>
                </w:p>
                <w:p w14:paraId="458339EC">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6"/>
                      <w:kern w:val="2"/>
                      <w:sz w:val="21"/>
                      <w:szCs w:val="21"/>
                      <w:highlight w:val="none"/>
                      <w:lang w:bidi="ar"/>
                    </w:rPr>
                  </w:pPr>
                  <w:r>
                    <w:rPr>
                      <w:rFonts w:hint="default" w:ascii="Times New Roman" w:hAnsi="Times New Roman" w:cs="Times New Roman"/>
                      <w:color w:val="auto"/>
                      <w:spacing w:val="-6"/>
                      <w:kern w:val="2"/>
                      <w:sz w:val="21"/>
                      <w:szCs w:val="21"/>
                      <w:highlight w:val="none"/>
                      <w:lang w:bidi="ar"/>
                    </w:rPr>
                    <w:t>级改</w:t>
                  </w:r>
                </w:p>
                <w:p w14:paraId="353ED0B0">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6"/>
                      <w:kern w:val="2"/>
                      <w:sz w:val="21"/>
                      <w:szCs w:val="21"/>
                      <w:highlight w:val="none"/>
                      <w:lang w:bidi="ar"/>
                    </w:rPr>
                  </w:pPr>
                  <w:r>
                    <w:rPr>
                      <w:rFonts w:hint="default" w:ascii="Times New Roman" w:hAnsi="Times New Roman" w:cs="Times New Roman"/>
                      <w:color w:val="auto"/>
                      <w:spacing w:val="-6"/>
                      <w:kern w:val="2"/>
                      <w:sz w:val="21"/>
                      <w:szCs w:val="21"/>
                      <w:highlight w:val="none"/>
                      <w:lang w:bidi="ar"/>
                    </w:rPr>
                    <w:t>造及</w:t>
                  </w:r>
                </w:p>
                <w:p w14:paraId="48CB7201">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6"/>
                      <w:kern w:val="2"/>
                      <w:sz w:val="21"/>
                      <w:szCs w:val="21"/>
                      <w:highlight w:val="none"/>
                      <w:lang w:bidi="ar"/>
                    </w:rPr>
                  </w:pPr>
                  <w:r>
                    <w:rPr>
                      <w:rFonts w:hint="default" w:ascii="Times New Roman" w:hAnsi="Times New Roman" w:cs="Times New Roman"/>
                      <w:color w:val="auto"/>
                      <w:spacing w:val="-6"/>
                      <w:kern w:val="2"/>
                      <w:sz w:val="21"/>
                      <w:szCs w:val="21"/>
                      <w:highlight w:val="none"/>
                      <w:lang w:bidi="ar"/>
                    </w:rPr>
                    <w:t>淘汰</w:t>
                  </w:r>
                </w:p>
                <w:p w14:paraId="4097C13B">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6"/>
                      <w:kern w:val="2"/>
                      <w:sz w:val="21"/>
                      <w:szCs w:val="21"/>
                      <w:highlight w:val="none"/>
                    </w:rPr>
                  </w:pPr>
                  <w:r>
                    <w:rPr>
                      <w:rFonts w:hint="default" w:ascii="Times New Roman" w:hAnsi="Times New Roman" w:cs="Times New Roman"/>
                      <w:color w:val="auto"/>
                      <w:spacing w:val="-6"/>
                      <w:kern w:val="2"/>
                      <w:sz w:val="21"/>
                      <w:szCs w:val="21"/>
                      <w:highlight w:val="none"/>
                      <w:lang w:bidi="ar"/>
                    </w:rPr>
                    <w:t>退出</w:t>
                  </w:r>
                </w:p>
              </w:tc>
              <w:tc>
                <w:tcPr>
                  <w:tcW w:w="3926" w:type="dxa"/>
                  <w:tcBorders>
                    <w:tl2br w:val="nil"/>
                    <w:tr2bl w:val="nil"/>
                  </w:tcBorders>
                  <w:noWrap w:val="0"/>
                  <w:vAlign w:val="center"/>
                </w:tcPr>
                <w:p w14:paraId="1C79B4A9">
                  <w:pPr>
                    <w:keepNext w:val="0"/>
                    <w:keepLines w:val="0"/>
                    <w:pageBreakBefore w:val="0"/>
                    <w:widowControl/>
                    <w:kinsoku/>
                    <w:wordWrap/>
                    <w:overflowPunct/>
                    <w:topLinePunct w:val="0"/>
                    <w:bidi w:val="0"/>
                    <w:adjustRightInd w:val="0"/>
                    <w:snapToGrid w:val="0"/>
                    <w:spacing w:after="0" w:afterAutospacing="0" w:line="240" w:lineRule="auto"/>
                    <w:ind w:firstLine="0" w:firstLineChars="0"/>
                    <w:jc w:val="left"/>
                    <w:textAlignment w:val="auto"/>
                    <w:rPr>
                      <w:rFonts w:hint="default" w:ascii="Times New Roman" w:hAnsi="Times New Roman" w:cs="Times New Roman"/>
                      <w:color w:val="auto"/>
                      <w:spacing w:val="-6"/>
                      <w:sz w:val="21"/>
                      <w:szCs w:val="21"/>
                      <w:highlight w:val="none"/>
                      <w:lang w:bidi="ar"/>
                    </w:rPr>
                  </w:pPr>
                  <w:r>
                    <w:rPr>
                      <w:rFonts w:hint="default" w:ascii="Times New Roman" w:hAnsi="Times New Roman" w:cs="Times New Roman"/>
                      <w:color w:val="auto"/>
                      <w:spacing w:val="-6"/>
                      <w:sz w:val="21"/>
                      <w:szCs w:val="21"/>
                      <w:highlight w:val="none"/>
                      <w:lang w:bidi="ar"/>
                    </w:rPr>
                    <w:t>1.力争到2024年底，所有钢铁企业主要大气污染物基本达到超低排放指标限值；有序推进水泥行业超低排放改造计划，水泥熟料窑改造后氮氧化物排放浓度不高于100毫克/立方米；焦化企业参照《关于推进实施钢铁行业超低排放的意见》要求实施升级改造，改造后氮氧化物排放浓度不高于150毫克/立方米。</w:t>
                  </w:r>
                </w:p>
                <w:p w14:paraId="45D52352">
                  <w:pPr>
                    <w:keepNext w:val="0"/>
                    <w:keepLines w:val="0"/>
                    <w:pageBreakBefore w:val="0"/>
                    <w:widowControl/>
                    <w:kinsoku/>
                    <w:wordWrap/>
                    <w:overflowPunct/>
                    <w:topLinePunct w:val="0"/>
                    <w:bidi w:val="0"/>
                    <w:adjustRightInd w:val="0"/>
                    <w:snapToGrid w:val="0"/>
                    <w:spacing w:after="0" w:afterAutospacing="0" w:line="240" w:lineRule="auto"/>
                    <w:ind w:firstLine="0" w:firstLineChars="0"/>
                    <w:jc w:val="left"/>
                    <w:textAlignment w:val="auto"/>
                    <w:rPr>
                      <w:rFonts w:hint="default" w:ascii="Times New Roman" w:hAnsi="Times New Roman" w:cs="Times New Roman"/>
                      <w:color w:val="auto"/>
                      <w:spacing w:val="-2"/>
                      <w:sz w:val="21"/>
                      <w:szCs w:val="21"/>
                      <w:highlight w:val="none"/>
                      <w:lang w:bidi="ar"/>
                    </w:rPr>
                  </w:pPr>
                  <w:r>
                    <w:rPr>
                      <w:rFonts w:hint="default" w:ascii="Times New Roman" w:hAnsi="Times New Roman" w:cs="Times New Roman"/>
                      <w:color w:val="auto"/>
                      <w:spacing w:val="-2"/>
                      <w:sz w:val="21"/>
                      <w:szCs w:val="21"/>
                      <w:highlight w:val="none"/>
                      <w:lang w:bidi="ar"/>
                    </w:rPr>
                    <w:t>2.</w:t>
                  </w:r>
                  <w:r>
                    <w:rPr>
                      <w:rFonts w:hint="default" w:ascii="Times New Roman" w:hAnsi="Times New Roman" w:cs="Times New Roman"/>
                      <w:color w:val="auto"/>
                      <w:spacing w:val="-6"/>
                      <w:sz w:val="21"/>
                      <w:szCs w:val="21"/>
                      <w:highlight w:val="none"/>
                      <w:lang w:bidi="ar"/>
                    </w:rPr>
                    <w:t>2024年底前，烧结、炼铁、炼钢轧钢、自备电厂等有组织排放污染物实行超低排放限值</w:t>
                  </w:r>
                </w:p>
              </w:tc>
              <w:tc>
                <w:tcPr>
                  <w:tcW w:w="2356" w:type="dxa"/>
                  <w:tcBorders>
                    <w:tl2br w:val="nil"/>
                    <w:tr2bl w:val="nil"/>
                  </w:tcBorders>
                  <w:noWrap w:val="0"/>
                  <w:vAlign w:val="center"/>
                </w:tcPr>
                <w:p w14:paraId="602D9BCF">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本项目不涉及。</w:t>
                  </w:r>
                </w:p>
              </w:tc>
              <w:tc>
                <w:tcPr>
                  <w:tcW w:w="861" w:type="dxa"/>
                  <w:tcBorders>
                    <w:tl2br w:val="nil"/>
                    <w:tr2bl w:val="nil"/>
                  </w:tcBorders>
                  <w:noWrap w:val="0"/>
                  <w:vAlign w:val="center"/>
                </w:tcPr>
                <w:p w14:paraId="4EAA5AEE">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eastAsia="宋体" w:cs="Times New Roman"/>
                      <w:color w:val="auto"/>
                      <w:spacing w:val="-2"/>
                      <w:kern w:val="2"/>
                      <w:sz w:val="21"/>
                      <w:szCs w:val="21"/>
                      <w:highlight w:val="none"/>
                      <w:lang w:eastAsia="zh-CN"/>
                    </w:rPr>
                  </w:pPr>
                  <w:r>
                    <w:rPr>
                      <w:rFonts w:hint="default" w:ascii="Times New Roman" w:hAnsi="Times New Roman" w:cs="Times New Roman"/>
                      <w:color w:val="auto"/>
                      <w:spacing w:val="-2"/>
                      <w:kern w:val="2"/>
                      <w:sz w:val="21"/>
                      <w:szCs w:val="21"/>
                      <w:highlight w:val="none"/>
                      <w:lang w:val="en-US" w:eastAsia="zh-CN"/>
                    </w:rPr>
                    <w:t>符合</w:t>
                  </w:r>
                </w:p>
              </w:tc>
            </w:tr>
            <w:tr w14:paraId="20C55B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241" w:hRule="atLeast"/>
                <w:jc w:val="center"/>
              </w:trPr>
              <w:tc>
                <w:tcPr>
                  <w:tcW w:w="622" w:type="dxa"/>
                  <w:vMerge w:val="restart"/>
                  <w:tcBorders>
                    <w:tl2br w:val="nil"/>
                    <w:tr2bl w:val="nil"/>
                  </w:tcBorders>
                  <w:noWrap w:val="0"/>
                  <w:vAlign w:val="center"/>
                </w:tcPr>
                <w:p w14:paraId="033A0CE1">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6"/>
                      <w:kern w:val="2"/>
                      <w:sz w:val="21"/>
                      <w:szCs w:val="21"/>
                      <w:highlight w:val="none"/>
                    </w:rPr>
                  </w:pPr>
                  <w:r>
                    <w:rPr>
                      <w:rFonts w:hint="default" w:ascii="Times New Roman" w:hAnsi="Times New Roman" w:cs="Times New Roman"/>
                      <w:color w:val="auto"/>
                      <w:spacing w:val="-6"/>
                      <w:kern w:val="2"/>
                      <w:sz w:val="21"/>
                      <w:szCs w:val="21"/>
                      <w:highlight w:val="none"/>
                      <w:lang w:bidi="ar"/>
                    </w:rPr>
                    <w:t>A3</w:t>
                  </w:r>
                </w:p>
                <w:p w14:paraId="1E5B309C">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6"/>
                      <w:kern w:val="2"/>
                      <w:sz w:val="21"/>
                      <w:szCs w:val="21"/>
                      <w:highlight w:val="none"/>
                    </w:rPr>
                  </w:pPr>
                  <w:r>
                    <w:rPr>
                      <w:rFonts w:hint="default" w:ascii="Times New Roman" w:hAnsi="Times New Roman" w:cs="Times New Roman"/>
                      <w:color w:val="auto"/>
                      <w:spacing w:val="-6"/>
                      <w:kern w:val="2"/>
                      <w:sz w:val="21"/>
                      <w:szCs w:val="21"/>
                      <w:highlight w:val="none"/>
                      <w:lang w:bidi="ar"/>
                    </w:rPr>
                    <w:t>环境风险防控</w:t>
                  </w:r>
                </w:p>
              </w:tc>
              <w:tc>
                <w:tcPr>
                  <w:tcW w:w="820" w:type="dxa"/>
                  <w:vMerge w:val="restart"/>
                  <w:tcBorders>
                    <w:tl2br w:val="nil"/>
                    <w:tr2bl w:val="nil"/>
                  </w:tcBorders>
                  <w:noWrap w:val="0"/>
                  <w:vAlign w:val="center"/>
                </w:tcPr>
                <w:p w14:paraId="107D8428">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6"/>
                      <w:kern w:val="2"/>
                      <w:sz w:val="21"/>
                      <w:szCs w:val="21"/>
                      <w:highlight w:val="none"/>
                    </w:rPr>
                  </w:pPr>
                  <w:r>
                    <w:rPr>
                      <w:rFonts w:hint="default" w:ascii="Times New Roman" w:hAnsi="Times New Roman" w:cs="Times New Roman"/>
                      <w:color w:val="auto"/>
                      <w:spacing w:val="-6"/>
                      <w:kern w:val="2"/>
                      <w:sz w:val="21"/>
                      <w:szCs w:val="21"/>
                      <w:highlight w:val="none"/>
                      <w:lang w:bidi="ar"/>
                    </w:rPr>
                    <w:t>A3.1</w:t>
                  </w:r>
                </w:p>
                <w:p w14:paraId="27C0A4D2">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6"/>
                      <w:kern w:val="2"/>
                      <w:sz w:val="21"/>
                      <w:szCs w:val="21"/>
                      <w:highlight w:val="none"/>
                    </w:rPr>
                  </w:pPr>
                  <w:r>
                    <w:rPr>
                      <w:rFonts w:hint="default" w:ascii="Times New Roman" w:hAnsi="Times New Roman" w:cs="Times New Roman"/>
                      <w:color w:val="auto"/>
                      <w:spacing w:val="-6"/>
                      <w:kern w:val="2"/>
                      <w:sz w:val="21"/>
                      <w:szCs w:val="21"/>
                      <w:highlight w:val="none"/>
                      <w:lang w:bidi="ar"/>
                    </w:rPr>
                    <w:t>联防</w:t>
                  </w:r>
                </w:p>
                <w:p w14:paraId="2CC8374F">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6"/>
                      <w:kern w:val="2"/>
                      <w:sz w:val="21"/>
                      <w:szCs w:val="21"/>
                      <w:highlight w:val="none"/>
                    </w:rPr>
                  </w:pPr>
                  <w:r>
                    <w:rPr>
                      <w:rFonts w:hint="default" w:ascii="Times New Roman" w:hAnsi="Times New Roman" w:cs="Times New Roman"/>
                      <w:color w:val="auto"/>
                      <w:spacing w:val="-6"/>
                      <w:kern w:val="2"/>
                      <w:sz w:val="21"/>
                      <w:szCs w:val="21"/>
                      <w:highlight w:val="none"/>
                      <w:lang w:bidi="ar"/>
                    </w:rPr>
                    <w:t>联控</w:t>
                  </w:r>
                </w:p>
                <w:p w14:paraId="66A1BC87">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6"/>
                      <w:kern w:val="2"/>
                      <w:sz w:val="21"/>
                      <w:szCs w:val="21"/>
                      <w:highlight w:val="none"/>
                    </w:rPr>
                  </w:pPr>
                  <w:r>
                    <w:rPr>
                      <w:rFonts w:hint="default" w:ascii="Times New Roman" w:hAnsi="Times New Roman" w:cs="Times New Roman"/>
                      <w:color w:val="auto"/>
                      <w:spacing w:val="-6"/>
                      <w:kern w:val="2"/>
                      <w:sz w:val="21"/>
                      <w:szCs w:val="21"/>
                      <w:highlight w:val="none"/>
                      <w:lang w:bidi="ar"/>
                    </w:rPr>
                    <w:t>要求</w:t>
                  </w:r>
                </w:p>
              </w:tc>
              <w:tc>
                <w:tcPr>
                  <w:tcW w:w="3926" w:type="dxa"/>
                  <w:tcBorders>
                    <w:tl2br w:val="nil"/>
                    <w:tr2bl w:val="nil"/>
                  </w:tcBorders>
                  <w:noWrap w:val="0"/>
                  <w:vAlign w:val="center"/>
                </w:tcPr>
                <w:p w14:paraId="6886FC0B">
                  <w:pPr>
                    <w:keepNext w:val="0"/>
                    <w:keepLines w:val="0"/>
                    <w:pageBreakBefore w:val="0"/>
                    <w:widowControl/>
                    <w:kinsoku/>
                    <w:wordWrap/>
                    <w:overflowPunct/>
                    <w:topLinePunct w:val="0"/>
                    <w:bidi w:val="0"/>
                    <w:adjustRightInd w:val="0"/>
                    <w:snapToGrid w:val="0"/>
                    <w:spacing w:after="0" w:afterAutospacing="0" w:line="240" w:lineRule="auto"/>
                    <w:ind w:firstLine="0" w:firstLineChars="0"/>
                    <w:jc w:val="left"/>
                    <w:textAlignment w:val="auto"/>
                    <w:rPr>
                      <w:rFonts w:hint="default" w:ascii="Times New Roman" w:hAnsi="Times New Roman" w:cs="Times New Roman"/>
                      <w:color w:val="auto"/>
                      <w:spacing w:val="-6"/>
                      <w:sz w:val="21"/>
                      <w:szCs w:val="21"/>
                      <w:highlight w:val="none"/>
                    </w:rPr>
                  </w:pPr>
                  <w:r>
                    <w:rPr>
                      <w:rFonts w:hint="default" w:ascii="Times New Roman" w:hAnsi="Times New Roman" w:cs="Times New Roman"/>
                      <w:color w:val="auto"/>
                      <w:spacing w:val="-6"/>
                      <w:sz w:val="21"/>
                      <w:szCs w:val="21"/>
                      <w:highlight w:val="none"/>
                      <w:lang w:bidi="ar"/>
                    </w:rPr>
                    <w:t>健全市生态环境局与公安、交通、应急、气象、水务等部门联动机制，细化落实各相关部门之间联防联控责任与任务分工，联合开展突发环境污染事件处置应急演练，提高联防联控实战能力。</w:t>
                  </w:r>
                </w:p>
              </w:tc>
              <w:tc>
                <w:tcPr>
                  <w:tcW w:w="2356" w:type="dxa"/>
                  <w:tcBorders>
                    <w:tl2br w:val="nil"/>
                    <w:tr2bl w:val="nil"/>
                  </w:tcBorders>
                  <w:noWrap w:val="0"/>
                  <w:vAlign w:val="center"/>
                </w:tcPr>
                <w:p w14:paraId="2CEE06A7">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both"/>
                    <w:textAlignment w:val="auto"/>
                    <w:rPr>
                      <w:rFonts w:hint="default" w:ascii="Times New Roman" w:hAnsi="Times New Roman" w:eastAsia="宋体" w:cs="Times New Roman"/>
                      <w:color w:val="auto"/>
                      <w:spacing w:val="-1"/>
                      <w:kern w:val="2"/>
                      <w:sz w:val="21"/>
                      <w:szCs w:val="21"/>
                      <w:highlight w:val="none"/>
                      <w:lang w:val="en-US" w:eastAsia="zh-CN"/>
                    </w:rPr>
                  </w:pPr>
                  <w:r>
                    <w:rPr>
                      <w:rFonts w:hint="default" w:ascii="Times New Roman" w:hAnsi="Times New Roman" w:cs="Times New Roman"/>
                      <w:color w:val="auto"/>
                      <w:spacing w:val="-1"/>
                      <w:kern w:val="2"/>
                      <w:sz w:val="21"/>
                      <w:szCs w:val="21"/>
                      <w:highlight w:val="none"/>
                      <w:lang w:val="en-US" w:eastAsia="zh-CN"/>
                    </w:rPr>
                    <w:t>本项目前期已取得中卫市沙坡头区发展和改革局</w:t>
                  </w:r>
                  <w:r>
                    <w:rPr>
                      <w:rFonts w:hint="eastAsia" w:ascii="Times New Roman" w:hAnsi="Times New Roman" w:cs="Times New Roman"/>
                      <w:color w:val="auto"/>
                      <w:spacing w:val="-1"/>
                      <w:kern w:val="2"/>
                      <w:sz w:val="21"/>
                      <w:szCs w:val="21"/>
                      <w:highlight w:val="none"/>
                      <w:lang w:val="en-US" w:eastAsia="zh-CN"/>
                    </w:rPr>
                    <w:t>关于本项目初步设计的批复，批复文号卫沙发改（审批）发〔2025〕38号</w:t>
                  </w:r>
                  <w:r>
                    <w:rPr>
                      <w:rFonts w:hint="default" w:ascii="Times New Roman" w:hAnsi="Times New Roman" w:cs="Times New Roman"/>
                      <w:color w:val="auto"/>
                      <w:spacing w:val="-1"/>
                      <w:kern w:val="2"/>
                      <w:sz w:val="21"/>
                      <w:szCs w:val="21"/>
                      <w:highlight w:val="none"/>
                      <w:lang w:val="en-US" w:eastAsia="zh-CN"/>
                    </w:rPr>
                    <w:t>。</w:t>
                  </w:r>
                </w:p>
              </w:tc>
              <w:tc>
                <w:tcPr>
                  <w:tcW w:w="861" w:type="dxa"/>
                  <w:tcBorders>
                    <w:tl2br w:val="nil"/>
                    <w:tr2bl w:val="nil"/>
                  </w:tcBorders>
                  <w:noWrap w:val="0"/>
                  <w:vAlign w:val="center"/>
                </w:tcPr>
                <w:p w14:paraId="30C9748D">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1"/>
                      <w:kern w:val="2"/>
                      <w:sz w:val="21"/>
                      <w:szCs w:val="21"/>
                      <w:highlight w:val="none"/>
                    </w:rPr>
                  </w:pPr>
                  <w:r>
                    <w:rPr>
                      <w:rFonts w:hint="default" w:ascii="Times New Roman" w:hAnsi="Times New Roman" w:cs="Times New Roman"/>
                      <w:color w:val="auto"/>
                      <w:spacing w:val="-2"/>
                      <w:kern w:val="2"/>
                      <w:sz w:val="21"/>
                      <w:szCs w:val="21"/>
                      <w:highlight w:val="none"/>
                      <w:lang w:bidi="ar"/>
                    </w:rPr>
                    <w:t>符合</w:t>
                  </w:r>
                </w:p>
              </w:tc>
            </w:tr>
            <w:tr w14:paraId="22AA1A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22" w:type="dxa"/>
                  <w:vMerge w:val="continue"/>
                  <w:tcBorders>
                    <w:tl2br w:val="nil"/>
                    <w:tr2bl w:val="nil"/>
                  </w:tcBorders>
                  <w:noWrap w:val="0"/>
                  <w:vAlign w:val="center"/>
                </w:tcPr>
                <w:p w14:paraId="692844B8">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6"/>
                      <w:kern w:val="2"/>
                      <w:sz w:val="21"/>
                      <w:szCs w:val="21"/>
                      <w:highlight w:val="none"/>
                      <w:lang w:bidi="ar"/>
                    </w:rPr>
                  </w:pPr>
                </w:p>
              </w:tc>
              <w:tc>
                <w:tcPr>
                  <w:tcW w:w="820" w:type="dxa"/>
                  <w:vMerge w:val="continue"/>
                  <w:tcBorders>
                    <w:tl2br w:val="nil"/>
                    <w:tr2bl w:val="nil"/>
                  </w:tcBorders>
                  <w:noWrap w:val="0"/>
                  <w:vAlign w:val="center"/>
                </w:tcPr>
                <w:p w14:paraId="2A1524F0">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6"/>
                      <w:kern w:val="2"/>
                      <w:sz w:val="21"/>
                      <w:szCs w:val="21"/>
                      <w:highlight w:val="none"/>
                      <w:lang w:bidi="ar"/>
                    </w:rPr>
                  </w:pPr>
                </w:p>
              </w:tc>
              <w:tc>
                <w:tcPr>
                  <w:tcW w:w="3926" w:type="dxa"/>
                  <w:tcBorders>
                    <w:tl2br w:val="nil"/>
                    <w:tr2bl w:val="nil"/>
                  </w:tcBorders>
                  <w:noWrap w:val="0"/>
                  <w:vAlign w:val="center"/>
                </w:tcPr>
                <w:p w14:paraId="6644F648">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cs="Times New Roman"/>
                      <w:color w:val="auto"/>
                      <w:spacing w:val="-6"/>
                      <w:kern w:val="2"/>
                      <w:sz w:val="21"/>
                      <w:szCs w:val="21"/>
                      <w:highlight w:val="none"/>
                    </w:rPr>
                  </w:pPr>
                  <w:r>
                    <w:rPr>
                      <w:rFonts w:hint="default" w:ascii="Times New Roman" w:hAnsi="Times New Roman" w:cs="Times New Roman"/>
                      <w:color w:val="auto"/>
                      <w:spacing w:val="-6"/>
                      <w:kern w:val="2"/>
                      <w:sz w:val="21"/>
                      <w:szCs w:val="21"/>
                      <w:highlight w:val="none"/>
                    </w:rPr>
                    <w:t>以黄河干流和主要支流为重点，严控石化、化工、有色金属、印染、原料药制造等行业企业环境风险，加强油气管道环境风险</w:t>
                  </w:r>
                </w:p>
                <w:p w14:paraId="3CBC2783">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cs="Times New Roman"/>
                      <w:color w:val="auto"/>
                      <w:spacing w:val="-6"/>
                      <w:kern w:val="2"/>
                      <w:sz w:val="21"/>
                      <w:szCs w:val="21"/>
                      <w:highlight w:val="none"/>
                    </w:rPr>
                  </w:pPr>
                  <w:r>
                    <w:rPr>
                      <w:rFonts w:hint="default" w:ascii="Times New Roman" w:hAnsi="Times New Roman" w:cs="Times New Roman"/>
                      <w:color w:val="auto"/>
                      <w:spacing w:val="-6"/>
                      <w:kern w:val="2"/>
                      <w:sz w:val="21"/>
                      <w:szCs w:val="21"/>
                      <w:highlight w:val="none"/>
                    </w:rPr>
                    <w:t>防范，开展新污染物环境调查监测和环境风险评估，推进流域突发环境风险调查与监控预警体系建设，构建市-县(区)-区域-企业四级应急物资储备网络。</w:t>
                  </w:r>
                </w:p>
              </w:tc>
              <w:tc>
                <w:tcPr>
                  <w:tcW w:w="2356" w:type="dxa"/>
                  <w:tcBorders>
                    <w:tl2br w:val="nil"/>
                    <w:tr2bl w:val="nil"/>
                  </w:tcBorders>
                  <w:noWrap w:val="0"/>
                  <w:vAlign w:val="center"/>
                </w:tcPr>
                <w:p w14:paraId="53DA49D4">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both"/>
                    <w:textAlignment w:val="auto"/>
                    <w:rPr>
                      <w:rFonts w:hint="default" w:ascii="Times New Roman" w:hAnsi="Times New Roman" w:cs="Times New Roman"/>
                      <w:color w:val="auto"/>
                      <w:spacing w:val="-1"/>
                      <w:kern w:val="2"/>
                      <w:sz w:val="21"/>
                      <w:szCs w:val="21"/>
                      <w:highlight w:val="none"/>
                    </w:rPr>
                  </w:pPr>
                  <w:r>
                    <w:rPr>
                      <w:rFonts w:hint="default" w:ascii="Times New Roman" w:hAnsi="Times New Roman" w:cs="Times New Roman"/>
                      <w:color w:val="auto"/>
                      <w:spacing w:val="-1"/>
                      <w:kern w:val="2"/>
                      <w:sz w:val="21"/>
                      <w:szCs w:val="21"/>
                      <w:highlight w:val="none"/>
                    </w:rPr>
                    <w:t>本项目为</w:t>
                  </w:r>
                  <w:r>
                    <w:rPr>
                      <w:rFonts w:hint="default" w:ascii="Times New Roman" w:hAnsi="Times New Roman" w:cs="Times New Roman"/>
                      <w:color w:val="auto"/>
                      <w:spacing w:val="-1"/>
                      <w:kern w:val="2"/>
                      <w:sz w:val="21"/>
                      <w:szCs w:val="21"/>
                      <w:highlight w:val="none"/>
                      <w:lang w:val="en-US" w:eastAsia="zh-CN"/>
                    </w:rPr>
                    <w:t>河道治理项目</w:t>
                  </w:r>
                  <w:r>
                    <w:rPr>
                      <w:rFonts w:hint="default" w:ascii="Times New Roman" w:hAnsi="Times New Roman" w:cs="Times New Roman"/>
                      <w:color w:val="auto"/>
                      <w:spacing w:val="-1"/>
                      <w:kern w:val="2"/>
                      <w:sz w:val="21"/>
                      <w:szCs w:val="21"/>
                      <w:highlight w:val="none"/>
                    </w:rPr>
                    <w:t>，不涉及石化、有色金属、印染等行业。</w:t>
                  </w:r>
                </w:p>
              </w:tc>
              <w:tc>
                <w:tcPr>
                  <w:tcW w:w="861" w:type="dxa"/>
                  <w:tcBorders>
                    <w:tl2br w:val="nil"/>
                    <w:tr2bl w:val="nil"/>
                  </w:tcBorders>
                  <w:noWrap w:val="0"/>
                  <w:vAlign w:val="center"/>
                </w:tcPr>
                <w:p w14:paraId="4DC939BB">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2"/>
                      <w:kern w:val="2"/>
                      <w:sz w:val="21"/>
                      <w:szCs w:val="21"/>
                      <w:highlight w:val="none"/>
                      <w:lang w:bidi="ar"/>
                    </w:rPr>
                  </w:pPr>
                  <w:r>
                    <w:rPr>
                      <w:rFonts w:hint="default" w:ascii="Times New Roman" w:hAnsi="Times New Roman" w:cs="Times New Roman"/>
                      <w:color w:val="auto"/>
                      <w:spacing w:val="-2"/>
                      <w:kern w:val="2"/>
                      <w:sz w:val="21"/>
                      <w:szCs w:val="21"/>
                      <w:highlight w:val="none"/>
                      <w:lang w:bidi="ar"/>
                    </w:rPr>
                    <w:t>符合</w:t>
                  </w:r>
                </w:p>
              </w:tc>
            </w:tr>
            <w:tr w14:paraId="451964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22" w:type="dxa"/>
                  <w:vMerge w:val="continue"/>
                  <w:tcBorders>
                    <w:tl2br w:val="nil"/>
                    <w:tr2bl w:val="nil"/>
                  </w:tcBorders>
                  <w:noWrap w:val="0"/>
                  <w:vAlign w:val="center"/>
                </w:tcPr>
                <w:p w14:paraId="3FF4AB99">
                  <w:pPr>
                    <w:keepNext w:val="0"/>
                    <w:keepLines w:val="0"/>
                    <w:pageBreakBefore w:val="0"/>
                    <w:kinsoku/>
                    <w:wordWrap/>
                    <w:overflowPunct/>
                    <w:topLinePunct w:val="0"/>
                    <w:bidi w:val="0"/>
                    <w:adjustRightInd w:val="0"/>
                    <w:snapToGrid w:val="0"/>
                    <w:spacing w:after="0" w:afterAutospacing="0" w:line="240" w:lineRule="auto"/>
                    <w:ind w:firstLine="0" w:firstLineChars="0"/>
                    <w:textAlignment w:val="auto"/>
                    <w:rPr>
                      <w:rFonts w:hint="default" w:ascii="Times New Roman" w:hAnsi="Times New Roman" w:cs="Times New Roman"/>
                      <w:color w:val="auto"/>
                      <w:sz w:val="21"/>
                      <w:szCs w:val="21"/>
                      <w:highlight w:val="none"/>
                    </w:rPr>
                  </w:pPr>
                </w:p>
              </w:tc>
              <w:tc>
                <w:tcPr>
                  <w:tcW w:w="820" w:type="dxa"/>
                  <w:tcBorders>
                    <w:tl2br w:val="nil"/>
                    <w:tr2bl w:val="nil"/>
                  </w:tcBorders>
                  <w:noWrap w:val="0"/>
                  <w:vAlign w:val="center"/>
                </w:tcPr>
                <w:p w14:paraId="571AC82C">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6"/>
                      <w:kern w:val="2"/>
                      <w:sz w:val="21"/>
                      <w:szCs w:val="21"/>
                      <w:highlight w:val="none"/>
                      <w:lang w:bidi="ar"/>
                    </w:rPr>
                  </w:pPr>
                  <w:r>
                    <w:rPr>
                      <w:rFonts w:hint="default" w:ascii="Times New Roman" w:hAnsi="Times New Roman" w:cs="Times New Roman"/>
                      <w:color w:val="auto"/>
                      <w:spacing w:val="-6"/>
                      <w:kern w:val="2"/>
                      <w:sz w:val="21"/>
                      <w:szCs w:val="21"/>
                      <w:highlight w:val="none"/>
                      <w:lang w:bidi="ar"/>
                    </w:rPr>
                    <w:t>A3.2</w:t>
                  </w:r>
                </w:p>
                <w:p w14:paraId="51BD3C9E">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6"/>
                      <w:kern w:val="2"/>
                      <w:sz w:val="21"/>
                      <w:szCs w:val="21"/>
                      <w:highlight w:val="none"/>
                    </w:rPr>
                  </w:pPr>
                  <w:r>
                    <w:rPr>
                      <w:rFonts w:hint="default" w:ascii="Times New Roman" w:hAnsi="Times New Roman" w:cs="Times New Roman"/>
                      <w:color w:val="auto"/>
                      <w:spacing w:val="-6"/>
                      <w:kern w:val="2"/>
                      <w:sz w:val="21"/>
                      <w:szCs w:val="21"/>
                      <w:highlight w:val="none"/>
                      <w:lang w:bidi="ar"/>
                    </w:rPr>
                    <w:t>企业及园区环境风险防控要求</w:t>
                  </w:r>
                </w:p>
              </w:tc>
              <w:tc>
                <w:tcPr>
                  <w:tcW w:w="3926" w:type="dxa"/>
                  <w:tcBorders>
                    <w:tl2br w:val="nil"/>
                    <w:tr2bl w:val="nil"/>
                  </w:tcBorders>
                  <w:noWrap w:val="0"/>
                  <w:vAlign w:val="center"/>
                </w:tcPr>
                <w:p w14:paraId="627A1390">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cs="Times New Roman"/>
                      <w:color w:val="auto"/>
                      <w:spacing w:val="-6"/>
                      <w:kern w:val="2"/>
                      <w:sz w:val="21"/>
                      <w:szCs w:val="21"/>
                      <w:highlight w:val="none"/>
                    </w:rPr>
                  </w:pPr>
                  <w:r>
                    <w:rPr>
                      <w:rFonts w:hint="default" w:ascii="Times New Roman" w:hAnsi="Times New Roman" w:cs="Times New Roman"/>
                      <w:color w:val="auto"/>
                      <w:spacing w:val="-6"/>
                      <w:kern w:val="2"/>
                      <w:sz w:val="21"/>
                      <w:szCs w:val="21"/>
                      <w:highlight w:val="none"/>
                    </w:rPr>
                    <w:t>紧盯涉危险废物涉重金属企业、化工园区、水源地，强化环境应急三级防控体系建设，落实企业环境安全主体责任，推行企业突发环境事件应急预案电子备案。</w:t>
                  </w:r>
                </w:p>
              </w:tc>
              <w:tc>
                <w:tcPr>
                  <w:tcW w:w="2356" w:type="dxa"/>
                  <w:tcBorders>
                    <w:tl2br w:val="nil"/>
                    <w:tr2bl w:val="nil"/>
                  </w:tcBorders>
                  <w:noWrap w:val="0"/>
                  <w:vAlign w:val="center"/>
                </w:tcPr>
                <w:p w14:paraId="32EA7417">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both"/>
                    <w:textAlignment w:val="auto"/>
                    <w:rPr>
                      <w:rFonts w:hint="default" w:ascii="Times New Roman" w:hAnsi="Times New Roman" w:cs="Times New Roman"/>
                      <w:color w:val="auto"/>
                      <w:spacing w:val="-6"/>
                      <w:kern w:val="2"/>
                      <w:sz w:val="21"/>
                      <w:szCs w:val="21"/>
                      <w:highlight w:val="none"/>
                    </w:rPr>
                  </w:pPr>
                  <w:r>
                    <w:rPr>
                      <w:rFonts w:hint="default" w:ascii="Times New Roman" w:hAnsi="Times New Roman" w:cs="Times New Roman"/>
                      <w:color w:val="auto"/>
                      <w:spacing w:val="-6"/>
                      <w:kern w:val="2"/>
                      <w:sz w:val="21"/>
                      <w:szCs w:val="21"/>
                      <w:highlight w:val="none"/>
                    </w:rPr>
                    <w:t>本项目不涉及重金属。</w:t>
                  </w:r>
                </w:p>
              </w:tc>
              <w:tc>
                <w:tcPr>
                  <w:tcW w:w="861" w:type="dxa"/>
                  <w:tcBorders>
                    <w:tl2br w:val="nil"/>
                    <w:tr2bl w:val="nil"/>
                  </w:tcBorders>
                  <w:noWrap w:val="0"/>
                  <w:vAlign w:val="center"/>
                </w:tcPr>
                <w:p w14:paraId="660957AF">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1"/>
                      <w:kern w:val="2"/>
                      <w:sz w:val="21"/>
                      <w:szCs w:val="21"/>
                      <w:highlight w:val="none"/>
                    </w:rPr>
                  </w:pPr>
                  <w:r>
                    <w:rPr>
                      <w:rFonts w:hint="default" w:ascii="Times New Roman" w:hAnsi="Times New Roman" w:cs="Times New Roman"/>
                      <w:color w:val="auto"/>
                      <w:spacing w:val="-2"/>
                      <w:kern w:val="2"/>
                      <w:sz w:val="21"/>
                      <w:szCs w:val="21"/>
                      <w:highlight w:val="none"/>
                      <w:lang w:bidi="ar"/>
                    </w:rPr>
                    <w:t>符合</w:t>
                  </w:r>
                </w:p>
              </w:tc>
            </w:tr>
            <w:tr w14:paraId="7B4326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22" w:type="dxa"/>
                  <w:vMerge w:val="restart"/>
                  <w:tcBorders>
                    <w:tl2br w:val="nil"/>
                    <w:tr2bl w:val="nil"/>
                  </w:tcBorders>
                  <w:noWrap w:val="0"/>
                  <w:vAlign w:val="center"/>
                </w:tcPr>
                <w:p w14:paraId="46FB3BD1">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6"/>
                      <w:kern w:val="2"/>
                      <w:sz w:val="21"/>
                      <w:szCs w:val="21"/>
                      <w:highlight w:val="none"/>
                    </w:rPr>
                  </w:pPr>
                  <w:r>
                    <w:rPr>
                      <w:rFonts w:hint="default" w:ascii="Times New Roman" w:hAnsi="Times New Roman" w:cs="Times New Roman"/>
                      <w:color w:val="auto"/>
                      <w:spacing w:val="-6"/>
                      <w:kern w:val="2"/>
                      <w:sz w:val="21"/>
                      <w:szCs w:val="21"/>
                      <w:highlight w:val="none"/>
                      <w:lang w:bidi="ar"/>
                    </w:rPr>
                    <w:t>A4</w:t>
                  </w:r>
                </w:p>
                <w:p w14:paraId="3E87A0CA">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6"/>
                      <w:kern w:val="2"/>
                      <w:sz w:val="21"/>
                      <w:szCs w:val="21"/>
                      <w:highlight w:val="none"/>
                    </w:rPr>
                  </w:pPr>
                  <w:r>
                    <w:rPr>
                      <w:rFonts w:hint="default" w:ascii="Times New Roman" w:hAnsi="Times New Roman" w:cs="Times New Roman"/>
                      <w:color w:val="auto"/>
                      <w:spacing w:val="-6"/>
                      <w:kern w:val="2"/>
                      <w:sz w:val="21"/>
                      <w:szCs w:val="21"/>
                      <w:highlight w:val="none"/>
                      <w:lang w:bidi="ar"/>
                    </w:rPr>
                    <w:t>资源利用效率要求</w:t>
                  </w:r>
                </w:p>
              </w:tc>
              <w:tc>
                <w:tcPr>
                  <w:tcW w:w="820" w:type="dxa"/>
                  <w:vMerge w:val="restart"/>
                  <w:tcBorders>
                    <w:tl2br w:val="nil"/>
                    <w:tr2bl w:val="nil"/>
                  </w:tcBorders>
                  <w:noWrap w:val="0"/>
                  <w:vAlign w:val="center"/>
                </w:tcPr>
                <w:p w14:paraId="1BFF8177">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6"/>
                      <w:kern w:val="2"/>
                      <w:sz w:val="21"/>
                      <w:szCs w:val="21"/>
                      <w:highlight w:val="none"/>
                    </w:rPr>
                  </w:pPr>
                  <w:r>
                    <w:rPr>
                      <w:rFonts w:hint="default" w:ascii="Times New Roman" w:hAnsi="Times New Roman" w:cs="Times New Roman"/>
                      <w:color w:val="auto"/>
                      <w:spacing w:val="-6"/>
                      <w:kern w:val="2"/>
                      <w:sz w:val="21"/>
                      <w:szCs w:val="21"/>
                      <w:highlight w:val="none"/>
                      <w:lang w:bidi="ar"/>
                    </w:rPr>
                    <w:t>A4.1</w:t>
                  </w:r>
                </w:p>
                <w:p w14:paraId="50F5AD42">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6"/>
                      <w:kern w:val="2"/>
                      <w:sz w:val="21"/>
                      <w:szCs w:val="21"/>
                      <w:highlight w:val="none"/>
                    </w:rPr>
                  </w:pPr>
                  <w:r>
                    <w:rPr>
                      <w:rFonts w:hint="default" w:ascii="Times New Roman" w:hAnsi="Times New Roman" w:cs="Times New Roman"/>
                      <w:color w:val="auto"/>
                      <w:spacing w:val="-6"/>
                      <w:kern w:val="2"/>
                      <w:sz w:val="21"/>
                      <w:szCs w:val="21"/>
                      <w:highlight w:val="none"/>
                    </w:rPr>
                    <w:t>能源利用总量及效率要求</w:t>
                  </w:r>
                </w:p>
              </w:tc>
              <w:tc>
                <w:tcPr>
                  <w:tcW w:w="3926" w:type="dxa"/>
                  <w:tcBorders>
                    <w:tl2br w:val="nil"/>
                    <w:tr2bl w:val="nil"/>
                  </w:tcBorders>
                  <w:noWrap w:val="0"/>
                  <w:vAlign w:val="center"/>
                </w:tcPr>
                <w:p w14:paraId="3173433C">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cs="Times New Roman"/>
                      <w:color w:val="auto"/>
                      <w:spacing w:val="-6"/>
                      <w:kern w:val="2"/>
                      <w:sz w:val="21"/>
                      <w:szCs w:val="21"/>
                      <w:highlight w:val="none"/>
                    </w:rPr>
                  </w:pPr>
                  <w:r>
                    <w:rPr>
                      <w:rFonts w:hint="default" w:ascii="Times New Roman" w:hAnsi="Times New Roman" w:cs="Times New Roman"/>
                      <w:color w:val="auto"/>
                      <w:spacing w:val="-6"/>
                      <w:kern w:val="2"/>
                      <w:sz w:val="21"/>
                      <w:szCs w:val="21"/>
                      <w:highlight w:val="none"/>
                    </w:rPr>
                    <w:t>1.全面贯彻落实国家和自治区下达煤炭消费总量目标，严格控制耗煤行业煤炭新增量，优先保障民生供暖新增用煤需求。</w:t>
                  </w:r>
                </w:p>
                <w:p w14:paraId="0410D90A">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cs="Times New Roman"/>
                      <w:color w:val="auto"/>
                      <w:spacing w:val="-6"/>
                      <w:kern w:val="2"/>
                      <w:sz w:val="21"/>
                      <w:szCs w:val="21"/>
                      <w:highlight w:val="none"/>
                    </w:rPr>
                  </w:pPr>
                  <w:r>
                    <w:rPr>
                      <w:rFonts w:hint="default" w:ascii="Times New Roman" w:hAnsi="Times New Roman" w:cs="Times New Roman"/>
                      <w:color w:val="auto"/>
                      <w:spacing w:val="-6"/>
                      <w:kern w:val="2"/>
                      <w:sz w:val="21"/>
                      <w:szCs w:val="21"/>
                      <w:highlight w:val="none"/>
                    </w:rPr>
                    <w:t>2.新增产能必须符合国内先进能效标准。</w:t>
                  </w:r>
                </w:p>
              </w:tc>
              <w:tc>
                <w:tcPr>
                  <w:tcW w:w="2356" w:type="dxa"/>
                  <w:tcBorders>
                    <w:tl2br w:val="nil"/>
                    <w:tr2bl w:val="nil"/>
                  </w:tcBorders>
                  <w:noWrap w:val="0"/>
                  <w:vAlign w:val="center"/>
                </w:tcPr>
                <w:p w14:paraId="6BEDB216">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both"/>
                    <w:textAlignment w:val="auto"/>
                    <w:rPr>
                      <w:rFonts w:hint="default" w:ascii="Times New Roman" w:hAnsi="Times New Roman" w:cs="Times New Roman"/>
                      <w:color w:val="auto"/>
                      <w:spacing w:val="-6"/>
                      <w:kern w:val="2"/>
                      <w:sz w:val="21"/>
                      <w:szCs w:val="21"/>
                      <w:highlight w:val="none"/>
                    </w:rPr>
                  </w:pPr>
                  <w:r>
                    <w:rPr>
                      <w:rFonts w:hint="default" w:ascii="Times New Roman" w:hAnsi="Times New Roman" w:cs="Times New Roman"/>
                      <w:color w:val="auto"/>
                      <w:spacing w:val="-6"/>
                      <w:kern w:val="2"/>
                      <w:sz w:val="21"/>
                      <w:szCs w:val="21"/>
                      <w:highlight w:val="none"/>
                      <w:lang w:bidi="ar"/>
                    </w:rPr>
                    <w:t>本项目运营无生活污水</w:t>
                  </w:r>
                  <w:r>
                    <w:rPr>
                      <w:rFonts w:hint="default" w:ascii="Times New Roman" w:hAnsi="Times New Roman" w:cs="Times New Roman"/>
                      <w:color w:val="auto"/>
                      <w:spacing w:val="-6"/>
                      <w:kern w:val="2"/>
                      <w:sz w:val="21"/>
                      <w:szCs w:val="21"/>
                      <w:highlight w:val="none"/>
                      <w:lang w:val="en-US" w:eastAsia="zh-CN" w:bidi="ar"/>
                    </w:rPr>
                    <w:t>及生产废水</w:t>
                  </w:r>
                  <w:r>
                    <w:rPr>
                      <w:rFonts w:hint="default" w:ascii="Times New Roman" w:hAnsi="Times New Roman" w:cs="Times New Roman"/>
                      <w:color w:val="auto"/>
                      <w:spacing w:val="-6"/>
                      <w:kern w:val="2"/>
                      <w:sz w:val="21"/>
                      <w:szCs w:val="21"/>
                      <w:highlight w:val="none"/>
                      <w:lang w:bidi="ar"/>
                    </w:rPr>
                    <w:t>产生和外排</w:t>
                  </w:r>
                </w:p>
              </w:tc>
              <w:tc>
                <w:tcPr>
                  <w:tcW w:w="861" w:type="dxa"/>
                  <w:tcBorders>
                    <w:tl2br w:val="nil"/>
                    <w:tr2bl w:val="nil"/>
                  </w:tcBorders>
                  <w:noWrap w:val="0"/>
                  <w:vAlign w:val="center"/>
                </w:tcPr>
                <w:p w14:paraId="297D4C87">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1"/>
                      <w:kern w:val="2"/>
                      <w:sz w:val="21"/>
                      <w:szCs w:val="21"/>
                      <w:highlight w:val="none"/>
                    </w:rPr>
                  </w:pPr>
                  <w:r>
                    <w:rPr>
                      <w:rFonts w:hint="default" w:ascii="Times New Roman" w:hAnsi="Times New Roman" w:cs="Times New Roman"/>
                      <w:color w:val="auto"/>
                      <w:spacing w:val="-2"/>
                      <w:kern w:val="2"/>
                      <w:sz w:val="21"/>
                      <w:szCs w:val="21"/>
                      <w:highlight w:val="none"/>
                      <w:lang w:bidi="ar"/>
                    </w:rPr>
                    <w:t>符合</w:t>
                  </w:r>
                </w:p>
              </w:tc>
            </w:tr>
            <w:tr w14:paraId="54BF61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22" w:type="dxa"/>
                  <w:vMerge w:val="continue"/>
                  <w:tcBorders>
                    <w:tl2br w:val="nil"/>
                    <w:tr2bl w:val="nil"/>
                  </w:tcBorders>
                  <w:noWrap w:val="0"/>
                  <w:vAlign w:val="center"/>
                </w:tcPr>
                <w:p w14:paraId="49C7A74C">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6"/>
                      <w:kern w:val="2"/>
                      <w:sz w:val="21"/>
                      <w:szCs w:val="21"/>
                      <w:highlight w:val="none"/>
                      <w:lang w:bidi="ar"/>
                    </w:rPr>
                  </w:pPr>
                </w:p>
              </w:tc>
              <w:tc>
                <w:tcPr>
                  <w:tcW w:w="820" w:type="dxa"/>
                  <w:vMerge w:val="continue"/>
                  <w:tcBorders>
                    <w:tl2br w:val="nil"/>
                    <w:tr2bl w:val="nil"/>
                  </w:tcBorders>
                  <w:noWrap w:val="0"/>
                  <w:vAlign w:val="center"/>
                </w:tcPr>
                <w:p w14:paraId="7CA40540">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6"/>
                      <w:kern w:val="2"/>
                      <w:sz w:val="21"/>
                      <w:szCs w:val="21"/>
                      <w:highlight w:val="none"/>
                    </w:rPr>
                  </w:pPr>
                </w:p>
              </w:tc>
              <w:tc>
                <w:tcPr>
                  <w:tcW w:w="3926" w:type="dxa"/>
                  <w:tcBorders>
                    <w:tl2br w:val="nil"/>
                    <w:tr2bl w:val="nil"/>
                  </w:tcBorders>
                  <w:noWrap w:val="0"/>
                  <w:vAlign w:val="center"/>
                </w:tcPr>
                <w:p w14:paraId="1C778CC9">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cs="Times New Roman"/>
                      <w:color w:val="auto"/>
                      <w:spacing w:val="-6"/>
                      <w:kern w:val="2"/>
                      <w:sz w:val="21"/>
                      <w:szCs w:val="21"/>
                      <w:highlight w:val="none"/>
                    </w:rPr>
                  </w:pPr>
                  <w:r>
                    <w:rPr>
                      <w:rFonts w:hint="default" w:ascii="Times New Roman" w:hAnsi="Times New Roman" w:cs="Times New Roman"/>
                      <w:color w:val="auto"/>
                      <w:spacing w:val="-6"/>
                      <w:kern w:val="2"/>
                      <w:sz w:val="21"/>
                      <w:szCs w:val="21"/>
                      <w:highlight w:val="none"/>
                    </w:rPr>
                    <w:t>国家大气污染防治重点区域内新建耗煤项目应严格按规定采取煤炭消费减量替代措施，不得使用高污染燃料作为煤炭减量替代措施。</w:t>
                  </w:r>
                </w:p>
              </w:tc>
              <w:tc>
                <w:tcPr>
                  <w:tcW w:w="2356" w:type="dxa"/>
                  <w:tcBorders>
                    <w:tl2br w:val="nil"/>
                    <w:tr2bl w:val="nil"/>
                  </w:tcBorders>
                  <w:noWrap w:val="0"/>
                  <w:vAlign w:val="center"/>
                </w:tcPr>
                <w:p w14:paraId="1D27F312">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both"/>
                    <w:textAlignment w:val="auto"/>
                    <w:rPr>
                      <w:rFonts w:hint="default" w:ascii="Times New Roman" w:hAnsi="Times New Roman" w:cs="Times New Roman"/>
                      <w:color w:val="auto"/>
                      <w:spacing w:val="-6"/>
                      <w:kern w:val="2"/>
                      <w:sz w:val="21"/>
                      <w:szCs w:val="21"/>
                      <w:highlight w:val="none"/>
                      <w:lang w:bidi="ar"/>
                    </w:rPr>
                  </w:pPr>
                  <w:r>
                    <w:rPr>
                      <w:rFonts w:hint="default" w:ascii="Times New Roman" w:hAnsi="Times New Roman" w:cs="Times New Roman"/>
                      <w:color w:val="auto"/>
                      <w:spacing w:val="-6"/>
                      <w:kern w:val="2"/>
                      <w:sz w:val="21"/>
                      <w:szCs w:val="21"/>
                      <w:highlight w:val="none"/>
                      <w:lang w:bidi="ar"/>
                    </w:rPr>
                    <w:t>本项目不位于大气污染防治重点区域。</w:t>
                  </w:r>
                </w:p>
              </w:tc>
              <w:tc>
                <w:tcPr>
                  <w:tcW w:w="861" w:type="dxa"/>
                  <w:tcBorders>
                    <w:tl2br w:val="nil"/>
                    <w:tr2bl w:val="nil"/>
                  </w:tcBorders>
                  <w:noWrap w:val="0"/>
                  <w:vAlign w:val="center"/>
                </w:tcPr>
                <w:p w14:paraId="3F65DF71">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
                    </w:rPr>
                  </w:pPr>
                  <w:r>
                    <w:rPr>
                      <w:rFonts w:hint="default" w:ascii="Times New Roman" w:hAnsi="Times New Roman" w:cs="Times New Roman"/>
                      <w:color w:val="auto"/>
                      <w:spacing w:val="-2"/>
                      <w:kern w:val="2"/>
                      <w:sz w:val="21"/>
                      <w:szCs w:val="21"/>
                      <w:highlight w:val="none"/>
                      <w:lang w:val="en-US" w:eastAsia="zh-CN" w:bidi="ar"/>
                    </w:rPr>
                    <w:t>符合</w:t>
                  </w:r>
                </w:p>
              </w:tc>
            </w:tr>
            <w:tr w14:paraId="5F7B3C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22" w:type="dxa"/>
                  <w:vMerge w:val="continue"/>
                  <w:tcBorders>
                    <w:tl2br w:val="nil"/>
                    <w:tr2bl w:val="nil"/>
                  </w:tcBorders>
                  <w:noWrap w:val="0"/>
                  <w:vAlign w:val="center"/>
                </w:tcPr>
                <w:p w14:paraId="2DE5E2C5">
                  <w:pPr>
                    <w:keepNext w:val="0"/>
                    <w:keepLines w:val="0"/>
                    <w:pageBreakBefore w:val="0"/>
                    <w:kinsoku/>
                    <w:wordWrap/>
                    <w:overflowPunct/>
                    <w:topLinePunct w:val="0"/>
                    <w:bidi w:val="0"/>
                    <w:adjustRightInd w:val="0"/>
                    <w:snapToGrid w:val="0"/>
                    <w:spacing w:after="0" w:afterAutospacing="0" w:line="240" w:lineRule="auto"/>
                    <w:ind w:firstLine="0" w:firstLineChars="0"/>
                    <w:textAlignment w:val="auto"/>
                    <w:rPr>
                      <w:rFonts w:hint="default" w:ascii="Times New Roman" w:hAnsi="Times New Roman" w:cs="Times New Roman"/>
                      <w:color w:val="auto"/>
                      <w:sz w:val="21"/>
                      <w:szCs w:val="21"/>
                      <w:highlight w:val="none"/>
                    </w:rPr>
                  </w:pPr>
                </w:p>
              </w:tc>
              <w:tc>
                <w:tcPr>
                  <w:tcW w:w="820" w:type="dxa"/>
                  <w:tcBorders>
                    <w:tl2br w:val="nil"/>
                    <w:tr2bl w:val="nil"/>
                  </w:tcBorders>
                  <w:noWrap w:val="0"/>
                  <w:vAlign w:val="center"/>
                </w:tcPr>
                <w:p w14:paraId="413E1416">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6"/>
                      <w:kern w:val="2"/>
                      <w:sz w:val="21"/>
                      <w:szCs w:val="21"/>
                      <w:highlight w:val="none"/>
                      <w:lang w:bidi="ar"/>
                    </w:rPr>
                  </w:pPr>
                  <w:r>
                    <w:rPr>
                      <w:rFonts w:hint="default" w:ascii="Times New Roman" w:hAnsi="Times New Roman" w:cs="Times New Roman"/>
                      <w:color w:val="auto"/>
                      <w:spacing w:val="-6"/>
                      <w:kern w:val="2"/>
                      <w:sz w:val="21"/>
                      <w:szCs w:val="21"/>
                      <w:highlight w:val="none"/>
                      <w:lang w:bidi="ar"/>
                    </w:rPr>
                    <w:t>A4.2</w:t>
                  </w:r>
                </w:p>
                <w:p w14:paraId="4BC7D8B7">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6"/>
                      <w:kern w:val="2"/>
                      <w:sz w:val="21"/>
                      <w:szCs w:val="21"/>
                      <w:highlight w:val="none"/>
                    </w:rPr>
                  </w:pPr>
                  <w:r>
                    <w:rPr>
                      <w:rFonts w:hint="default" w:ascii="Times New Roman" w:hAnsi="Times New Roman" w:cs="Times New Roman"/>
                      <w:color w:val="auto"/>
                      <w:spacing w:val="-6"/>
                      <w:kern w:val="2"/>
                      <w:sz w:val="21"/>
                      <w:szCs w:val="21"/>
                      <w:highlight w:val="none"/>
                    </w:rPr>
                    <w:t>水资源利用总量及效率要求</w:t>
                  </w:r>
                </w:p>
              </w:tc>
              <w:tc>
                <w:tcPr>
                  <w:tcW w:w="3926" w:type="dxa"/>
                  <w:tcBorders>
                    <w:tl2br w:val="nil"/>
                    <w:tr2bl w:val="nil"/>
                  </w:tcBorders>
                  <w:noWrap w:val="0"/>
                  <w:vAlign w:val="center"/>
                </w:tcPr>
                <w:p w14:paraId="47AB4C53">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cs="Times New Roman"/>
                      <w:color w:val="auto"/>
                      <w:spacing w:val="-6"/>
                      <w:kern w:val="2"/>
                      <w:sz w:val="21"/>
                      <w:szCs w:val="21"/>
                      <w:highlight w:val="none"/>
                    </w:rPr>
                  </w:pPr>
                  <w:r>
                    <w:rPr>
                      <w:rFonts w:hint="default" w:ascii="Times New Roman" w:hAnsi="Times New Roman" w:cs="Times New Roman"/>
                      <w:color w:val="auto"/>
                      <w:spacing w:val="-6"/>
                      <w:kern w:val="2"/>
                      <w:sz w:val="21"/>
                      <w:szCs w:val="21"/>
                      <w:highlight w:val="none"/>
                    </w:rPr>
                    <w:t>建立水资源刚性约束制度，严格准入条件，按照地区取水总量限值审核新、改、扩建项目，取水总量不得超过地区水资源取用</w:t>
                  </w:r>
                </w:p>
                <w:p w14:paraId="4D27AC1D">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cs="Times New Roman"/>
                      <w:color w:val="auto"/>
                      <w:spacing w:val="-6"/>
                      <w:kern w:val="2"/>
                      <w:sz w:val="21"/>
                      <w:szCs w:val="21"/>
                      <w:highlight w:val="none"/>
                    </w:rPr>
                  </w:pPr>
                  <w:r>
                    <w:rPr>
                      <w:rFonts w:hint="default" w:ascii="Times New Roman" w:hAnsi="Times New Roman" w:cs="Times New Roman"/>
                      <w:color w:val="auto"/>
                      <w:spacing w:val="-6"/>
                      <w:kern w:val="2"/>
                      <w:sz w:val="21"/>
                      <w:szCs w:val="21"/>
                      <w:highlight w:val="none"/>
                    </w:rPr>
                    <w:t>上限或承载能力。</w:t>
                  </w:r>
                </w:p>
              </w:tc>
              <w:tc>
                <w:tcPr>
                  <w:tcW w:w="2356" w:type="dxa"/>
                  <w:tcBorders>
                    <w:tl2br w:val="nil"/>
                    <w:tr2bl w:val="nil"/>
                  </w:tcBorders>
                  <w:noWrap w:val="0"/>
                  <w:vAlign w:val="center"/>
                </w:tcPr>
                <w:p w14:paraId="537073F5">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1"/>
                      <w:kern w:val="2"/>
                      <w:sz w:val="21"/>
                      <w:szCs w:val="21"/>
                      <w:highlight w:val="none"/>
                    </w:rPr>
                  </w:pPr>
                  <w:r>
                    <w:rPr>
                      <w:rFonts w:hint="default" w:ascii="Times New Roman" w:hAnsi="Times New Roman" w:cs="Times New Roman"/>
                      <w:color w:val="auto"/>
                      <w:spacing w:val="-1"/>
                      <w:kern w:val="2"/>
                      <w:sz w:val="21"/>
                      <w:szCs w:val="21"/>
                      <w:highlight w:val="none"/>
                    </w:rPr>
                    <w:t>本项目不涉及。</w:t>
                  </w:r>
                </w:p>
              </w:tc>
              <w:tc>
                <w:tcPr>
                  <w:tcW w:w="861" w:type="dxa"/>
                  <w:tcBorders>
                    <w:tl2br w:val="nil"/>
                    <w:tr2bl w:val="nil"/>
                  </w:tcBorders>
                  <w:noWrap w:val="0"/>
                  <w:vAlign w:val="center"/>
                </w:tcPr>
                <w:p w14:paraId="0E12A115">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auto"/>
                      <w:spacing w:val="-1"/>
                      <w:kern w:val="2"/>
                      <w:sz w:val="21"/>
                      <w:szCs w:val="21"/>
                      <w:highlight w:val="none"/>
                    </w:rPr>
                  </w:pPr>
                  <w:r>
                    <w:rPr>
                      <w:rFonts w:hint="default" w:ascii="Times New Roman" w:hAnsi="Times New Roman" w:cs="Times New Roman"/>
                      <w:color w:val="auto"/>
                      <w:spacing w:val="-2"/>
                      <w:kern w:val="2"/>
                      <w:sz w:val="21"/>
                      <w:szCs w:val="21"/>
                      <w:highlight w:val="none"/>
                      <w:lang w:bidi="ar"/>
                    </w:rPr>
                    <w:t>符合</w:t>
                  </w:r>
                </w:p>
              </w:tc>
            </w:tr>
          </w:tbl>
          <w:p w14:paraId="1B94CA7B">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cs="Times New Roman" w:eastAsiaTheme="minorEastAsia"/>
                <w:color w:val="auto"/>
                <w:sz w:val="24"/>
                <w:szCs w:val="20"/>
                <w:highlight w:val="none"/>
                <w:lang w:bidi="en-US"/>
              </w:rPr>
            </w:pPr>
            <w:r>
              <w:rPr>
                <w:rFonts w:hint="eastAsia" w:cs="Times New Roman" w:eastAsiaTheme="minorEastAsia"/>
                <w:color w:val="auto"/>
                <w:sz w:val="24"/>
                <w:szCs w:val="20"/>
                <w:highlight w:val="none"/>
                <w:lang w:val="en-US" w:eastAsia="zh-CN" w:bidi="en-US"/>
              </w:rPr>
              <w:t>由上表分析可知</w:t>
            </w:r>
            <w:r>
              <w:rPr>
                <w:rFonts w:hint="default" w:ascii="Times New Roman" w:hAnsi="Times New Roman" w:cs="Times New Roman" w:eastAsiaTheme="minorEastAsia"/>
                <w:color w:val="auto"/>
                <w:sz w:val="24"/>
                <w:szCs w:val="20"/>
                <w:highlight w:val="none"/>
                <w:lang w:val="en-US" w:eastAsia="zh-CN" w:bidi="en-US"/>
              </w:rPr>
              <w:t>，项目的建设符合中卫市生态环境总体准入要求。</w:t>
            </w:r>
          </w:p>
          <w:p w14:paraId="6EEFF25F">
            <w:pPr>
              <w:pStyle w:val="22"/>
              <w:snapToGrid w:val="0"/>
              <w:spacing w:before="0" w:beforeAutospacing="0" w:after="0" w:afterAutospacing="0" w:line="400" w:lineRule="exact"/>
              <w:ind w:firstLine="240" w:firstLineChars="100"/>
              <w:jc w:val="center"/>
              <w:rPr>
                <w:rFonts w:hint="default" w:ascii="Times New Roman" w:hAnsi="Times New Roman" w:cs="Times New Roman"/>
                <w:b/>
                <w:bCs/>
                <w:color w:val="auto"/>
                <w:sz w:val="22"/>
                <w:szCs w:val="22"/>
                <w:highlight w:val="none"/>
              </w:rPr>
            </w:pPr>
            <w:r>
              <w:rPr>
                <w:rFonts w:hint="default" w:ascii="Times New Roman" w:hAnsi="Times New Roman" w:eastAsia="黑体" w:cs="Times New Roman"/>
                <w:b w:val="0"/>
                <w:bCs w:val="0"/>
                <w:color w:val="auto"/>
                <w:sz w:val="24"/>
                <w:szCs w:val="24"/>
                <w:highlight w:val="none"/>
                <w:lang w:bidi="ar"/>
              </w:rPr>
              <w:t>表1-</w:t>
            </w:r>
            <w:r>
              <w:rPr>
                <w:rFonts w:hint="default" w:ascii="Times New Roman" w:hAnsi="Times New Roman" w:eastAsia="黑体" w:cs="Times New Roman"/>
                <w:b w:val="0"/>
                <w:bCs w:val="0"/>
                <w:color w:val="auto"/>
                <w:sz w:val="24"/>
                <w:szCs w:val="24"/>
                <w:highlight w:val="none"/>
                <w:lang w:val="en-US" w:eastAsia="zh-CN" w:bidi="ar"/>
              </w:rPr>
              <w:t>4</w:t>
            </w:r>
            <w:r>
              <w:rPr>
                <w:rFonts w:hint="default" w:ascii="Times New Roman" w:hAnsi="Times New Roman" w:eastAsia="黑体" w:cs="Times New Roman"/>
                <w:b w:val="0"/>
                <w:bCs w:val="0"/>
                <w:color w:val="auto"/>
                <w:sz w:val="24"/>
                <w:szCs w:val="24"/>
                <w:highlight w:val="none"/>
                <w:lang w:bidi="ar"/>
              </w:rPr>
              <w:t xml:space="preserve">  中卫市环境管控单元生态环境清单总体要求</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05"/>
              <w:gridCol w:w="740"/>
              <w:gridCol w:w="501"/>
              <w:gridCol w:w="3847"/>
              <w:gridCol w:w="2041"/>
              <w:gridCol w:w="513"/>
            </w:tblGrid>
            <w:tr w14:paraId="0C91F1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90" w:hRule="atLeast"/>
                <w:jc w:val="center"/>
              </w:trPr>
              <w:tc>
                <w:tcPr>
                  <w:tcW w:w="705" w:type="dxa"/>
                  <w:noWrap w:val="0"/>
                  <w:vAlign w:val="center"/>
                </w:tcPr>
                <w:p w14:paraId="701BE7CC">
                  <w:pPr>
                    <w:pStyle w:val="22"/>
                    <w:widowControl w:val="0"/>
                    <w:autoSpaceDE w:val="0"/>
                    <w:autoSpaceDN w:val="0"/>
                    <w:adjustRightInd w:val="0"/>
                    <w:snapToGrid w:val="0"/>
                    <w:spacing w:before="0" w:beforeAutospacing="0" w:after="0" w:afterAutospacing="0"/>
                    <w:jc w:val="center"/>
                    <w:rPr>
                      <w:rFonts w:hint="default" w:ascii="Times New Roman" w:hAnsi="Times New Roman" w:cs="Times New Roman"/>
                      <w:b/>
                      <w:bCs/>
                      <w:color w:val="auto"/>
                      <w:kern w:val="2"/>
                      <w:sz w:val="21"/>
                      <w:szCs w:val="21"/>
                      <w:highlight w:val="none"/>
                      <w:lang w:bidi="ar"/>
                    </w:rPr>
                  </w:pPr>
                  <w:r>
                    <w:rPr>
                      <w:rFonts w:hint="default" w:ascii="Times New Roman" w:hAnsi="Times New Roman" w:cs="Times New Roman"/>
                      <w:b/>
                      <w:bCs/>
                      <w:color w:val="auto"/>
                      <w:kern w:val="2"/>
                      <w:sz w:val="21"/>
                      <w:szCs w:val="21"/>
                      <w:highlight w:val="none"/>
                      <w:lang w:bidi="ar"/>
                    </w:rPr>
                    <w:t>序号及管控单元名称</w:t>
                  </w:r>
                </w:p>
              </w:tc>
              <w:tc>
                <w:tcPr>
                  <w:tcW w:w="740" w:type="dxa"/>
                  <w:noWrap w:val="0"/>
                  <w:vAlign w:val="center"/>
                </w:tcPr>
                <w:p w14:paraId="4CD7DF9F">
                  <w:pPr>
                    <w:pStyle w:val="22"/>
                    <w:widowControl w:val="0"/>
                    <w:autoSpaceDE w:val="0"/>
                    <w:autoSpaceDN w:val="0"/>
                    <w:adjustRightInd w:val="0"/>
                    <w:snapToGrid w:val="0"/>
                    <w:spacing w:before="0" w:beforeAutospacing="0" w:after="0" w:afterAutospacing="0"/>
                    <w:jc w:val="center"/>
                    <w:rPr>
                      <w:rFonts w:hint="default" w:ascii="Times New Roman" w:hAnsi="Times New Roman" w:cs="Times New Roman"/>
                      <w:b/>
                      <w:bCs/>
                      <w:color w:val="auto"/>
                      <w:kern w:val="2"/>
                      <w:sz w:val="21"/>
                      <w:szCs w:val="21"/>
                      <w:highlight w:val="none"/>
                      <w:lang w:bidi="ar"/>
                    </w:rPr>
                  </w:pPr>
                  <w:r>
                    <w:rPr>
                      <w:rFonts w:hint="default" w:ascii="Times New Roman" w:hAnsi="Times New Roman" w:cs="Times New Roman"/>
                      <w:b/>
                      <w:bCs/>
                      <w:color w:val="auto"/>
                      <w:kern w:val="2"/>
                      <w:sz w:val="21"/>
                      <w:szCs w:val="21"/>
                      <w:highlight w:val="none"/>
                      <w:lang w:bidi="ar"/>
                    </w:rPr>
                    <w:t>涉及乡镇</w:t>
                  </w:r>
                </w:p>
              </w:tc>
              <w:tc>
                <w:tcPr>
                  <w:tcW w:w="501" w:type="dxa"/>
                  <w:noWrap w:val="0"/>
                  <w:vAlign w:val="center"/>
                </w:tcPr>
                <w:p w14:paraId="7D8B77D9">
                  <w:pPr>
                    <w:pStyle w:val="22"/>
                    <w:widowControl w:val="0"/>
                    <w:autoSpaceDE w:val="0"/>
                    <w:autoSpaceDN w:val="0"/>
                    <w:adjustRightInd w:val="0"/>
                    <w:snapToGrid w:val="0"/>
                    <w:spacing w:before="0" w:beforeAutospacing="0" w:after="0" w:afterAutospacing="0"/>
                    <w:jc w:val="center"/>
                    <w:rPr>
                      <w:rFonts w:hint="default" w:ascii="Times New Roman" w:hAnsi="Times New Roman" w:cs="Times New Roman"/>
                      <w:b/>
                      <w:bCs/>
                      <w:color w:val="auto"/>
                      <w:kern w:val="2"/>
                      <w:sz w:val="21"/>
                      <w:szCs w:val="21"/>
                      <w:highlight w:val="none"/>
                      <w:lang w:bidi="ar"/>
                    </w:rPr>
                  </w:pPr>
                  <w:r>
                    <w:rPr>
                      <w:rFonts w:hint="default" w:ascii="Times New Roman" w:hAnsi="Times New Roman" w:cs="Times New Roman"/>
                      <w:b/>
                      <w:bCs/>
                      <w:color w:val="auto"/>
                      <w:kern w:val="2"/>
                      <w:sz w:val="21"/>
                      <w:szCs w:val="21"/>
                      <w:highlight w:val="none"/>
                      <w:lang w:bidi="ar"/>
                    </w:rPr>
                    <w:t>要素属性</w:t>
                  </w:r>
                </w:p>
              </w:tc>
              <w:tc>
                <w:tcPr>
                  <w:tcW w:w="3847" w:type="dxa"/>
                  <w:noWrap w:val="0"/>
                  <w:vAlign w:val="center"/>
                </w:tcPr>
                <w:p w14:paraId="7EDA4729">
                  <w:pPr>
                    <w:pStyle w:val="22"/>
                    <w:widowControl w:val="0"/>
                    <w:autoSpaceDE w:val="0"/>
                    <w:autoSpaceDN w:val="0"/>
                    <w:adjustRightInd w:val="0"/>
                    <w:snapToGrid w:val="0"/>
                    <w:spacing w:before="0" w:beforeAutospacing="0" w:after="0" w:afterAutospacing="0"/>
                    <w:jc w:val="center"/>
                    <w:rPr>
                      <w:rFonts w:hint="default" w:ascii="Times New Roman" w:hAnsi="Times New Roman" w:cs="Times New Roman"/>
                      <w:b/>
                      <w:bCs/>
                      <w:color w:val="auto"/>
                      <w:kern w:val="2"/>
                      <w:sz w:val="21"/>
                      <w:szCs w:val="21"/>
                      <w:highlight w:val="none"/>
                      <w:lang w:bidi="ar"/>
                    </w:rPr>
                  </w:pPr>
                  <w:r>
                    <w:rPr>
                      <w:rFonts w:hint="default" w:ascii="Times New Roman" w:hAnsi="Times New Roman" w:cs="Times New Roman"/>
                      <w:b/>
                      <w:bCs/>
                      <w:color w:val="auto"/>
                      <w:kern w:val="2"/>
                      <w:sz w:val="21"/>
                      <w:szCs w:val="21"/>
                      <w:highlight w:val="none"/>
                      <w:lang w:bidi="ar"/>
                    </w:rPr>
                    <w:t>空间布局约束</w:t>
                  </w:r>
                </w:p>
              </w:tc>
              <w:tc>
                <w:tcPr>
                  <w:tcW w:w="2041" w:type="dxa"/>
                  <w:noWrap w:val="0"/>
                  <w:vAlign w:val="center"/>
                </w:tcPr>
                <w:p w14:paraId="37F062BC">
                  <w:pPr>
                    <w:pStyle w:val="22"/>
                    <w:widowControl w:val="0"/>
                    <w:autoSpaceDE w:val="0"/>
                    <w:autoSpaceDN w:val="0"/>
                    <w:adjustRightInd w:val="0"/>
                    <w:snapToGrid w:val="0"/>
                    <w:spacing w:before="0" w:beforeAutospacing="0" w:after="0" w:afterAutospacing="0"/>
                    <w:jc w:val="center"/>
                    <w:rPr>
                      <w:rFonts w:hint="default" w:ascii="Times New Roman" w:hAnsi="Times New Roman" w:cs="Times New Roman"/>
                      <w:b/>
                      <w:bCs/>
                      <w:color w:val="auto"/>
                      <w:kern w:val="2"/>
                      <w:sz w:val="21"/>
                      <w:szCs w:val="21"/>
                      <w:highlight w:val="none"/>
                      <w:lang w:bidi="ar"/>
                    </w:rPr>
                  </w:pPr>
                  <w:r>
                    <w:rPr>
                      <w:rFonts w:hint="default" w:ascii="Times New Roman" w:hAnsi="Times New Roman" w:cs="Times New Roman"/>
                      <w:b/>
                      <w:bCs/>
                      <w:color w:val="auto"/>
                      <w:kern w:val="2"/>
                      <w:sz w:val="21"/>
                      <w:szCs w:val="21"/>
                      <w:highlight w:val="none"/>
                      <w:lang w:bidi="ar"/>
                    </w:rPr>
                    <w:t>符合性分析</w:t>
                  </w:r>
                </w:p>
              </w:tc>
              <w:tc>
                <w:tcPr>
                  <w:tcW w:w="513" w:type="dxa"/>
                  <w:noWrap w:val="0"/>
                  <w:vAlign w:val="center"/>
                </w:tcPr>
                <w:p w14:paraId="3187C230">
                  <w:pPr>
                    <w:pStyle w:val="22"/>
                    <w:widowControl w:val="0"/>
                    <w:autoSpaceDE w:val="0"/>
                    <w:autoSpaceDN w:val="0"/>
                    <w:adjustRightInd w:val="0"/>
                    <w:snapToGrid w:val="0"/>
                    <w:spacing w:before="0" w:beforeAutospacing="0" w:after="0" w:afterAutospacing="0"/>
                    <w:jc w:val="center"/>
                    <w:rPr>
                      <w:rFonts w:hint="default" w:ascii="Times New Roman" w:hAnsi="Times New Roman" w:cs="Times New Roman"/>
                      <w:b/>
                      <w:bCs/>
                      <w:color w:val="auto"/>
                      <w:kern w:val="2"/>
                      <w:sz w:val="21"/>
                      <w:szCs w:val="21"/>
                      <w:highlight w:val="none"/>
                      <w:lang w:bidi="ar"/>
                    </w:rPr>
                  </w:pPr>
                  <w:r>
                    <w:rPr>
                      <w:rFonts w:hint="default" w:ascii="Times New Roman" w:hAnsi="Times New Roman" w:cs="Times New Roman"/>
                      <w:b/>
                      <w:bCs/>
                      <w:color w:val="auto"/>
                      <w:kern w:val="2"/>
                      <w:sz w:val="21"/>
                      <w:szCs w:val="21"/>
                      <w:highlight w:val="none"/>
                      <w:lang w:bidi="ar"/>
                    </w:rPr>
                    <w:t>是否</w:t>
                  </w:r>
                </w:p>
                <w:p w14:paraId="4E3438CE">
                  <w:pPr>
                    <w:pStyle w:val="22"/>
                    <w:widowControl w:val="0"/>
                    <w:autoSpaceDE w:val="0"/>
                    <w:autoSpaceDN w:val="0"/>
                    <w:adjustRightInd w:val="0"/>
                    <w:snapToGrid w:val="0"/>
                    <w:spacing w:before="0" w:beforeAutospacing="0" w:after="0" w:afterAutospacing="0"/>
                    <w:jc w:val="center"/>
                    <w:rPr>
                      <w:rFonts w:hint="default" w:ascii="Times New Roman" w:hAnsi="Times New Roman" w:cs="Times New Roman"/>
                      <w:b/>
                      <w:bCs/>
                      <w:color w:val="auto"/>
                      <w:kern w:val="2"/>
                      <w:sz w:val="21"/>
                      <w:szCs w:val="21"/>
                      <w:highlight w:val="none"/>
                      <w:lang w:bidi="ar"/>
                    </w:rPr>
                  </w:pPr>
                  <w:r>
                    <w:rPr>
                      <w:rFonts w:hint="default" w:ascii="Times New Roman" w:hAnsi="Times New Roman" w:cs="Times New Roman"/>
                      <w:b/>
                      <w:bCs/>
                      <w:color w:val="auto"/>
                      <w:kern w:val="2"/>
                      <w:sz w:val="21"/>
                      <w:szCs w:val="21"/>
                      <w:highlight w:val="none"/>
                      <w:lang w:bidi="ar"/>
                    </w:rPr>
                    <w:t>符合</w:t>
                  </w:r>
                </w:p>
              </w:tc>
            </w:tr>
            <w:tr w14:paraId="40DE0A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6" w:hRule="atLeast"/>
                <w:jc w:val="center"/>
              </w:trPr>
              <w:tc>
                <w:tcPr>
                  <w:tcW w:w="705" w:type="dxa"/>
                  <w:noWrap w:val="0"/>
                  <w:vAlign w:val="center"/>
                </w:tcPr>
                <w:p w14:paraId="0A6C3864">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zh-CN"/>
                    </w:rPr>
                  </w:pPr>
                  <w:r>
                    <w:rPr>
                      <w:rFonts w:hint="default" w:ascii="Times New Roman" w:hAnsi="Times New Roman" w:eastAsia="宋体" w:cs="Times New Roman"/>
                      <w:color w:val="auto"/>
                      <w:spacing w:val="-6"/>
                      <w:kern w:val="2"/>
                      <w:sz w:val="21"/>
                      <w:szCs w:val="21"/>
                      <w:highlight w:val="none"/>
                      <w:lang w:val="en-US" w:eastAsia="zh-CN"/>
                    </w:rPr>
                    <w:t>沙坡头一般</w:t>
                  </w:r>
                  <w:r>
                    <w:rPr>
                      <w:rFonts w:hint="default" w:ascii="Times New Roman" w:hAnsi="Times New Roman" w:eastAsia="宋体" w:cs="Times New Roman"/>
                      <w:color w:val="auto"/>
                      <w:spacing w:val="-6"/>
                      <w:kern w:val="2"/>
                      <w:sz w:val="21"/>
                      <w:szCs w:val="21"/>
                      <w:highlight w:val="none"/>
                    </w:rPr>
                    <w:t>管控单元</w:t>
                  </w:r>
                  <w:r>
                    <w:rPr>
                      <w:rFonts w:hint="default" w:ascii="Times New Roman" w:hAnsi="Times New Roman" w:eastAsia="宋体" w:cs="Times New Roman"/>
                      <w:color w:val="auto"/>
                      <w:spacing w:val="-6"/>
                      <w:kern w:val="2"/>
                      <w:sz w:val="21"/>
                      <w:szCs w:val="21"/>
                      <w:highlight w:val="none"/>
                      <w:lang w:val="en-US" w:eastAsia="zh-CN"/>
                    </w:rPr>
                    <w:t>1</w:t>
                  </w:r>
                </w:p>
                <w:p w14:paraId="0DA8A7F0">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zh-CN"/>
                    </w:rPr>
                  </w:pPr>
                  <w:r>
                    <w:rPr>
                      <w:rFonts w:hint="default" w:ascii="Times New Roman" w:hAnsi="Times New Roman" w:eastAsia="宋体" w:cs="Times New Roman"/>
                      <w:color w:val="auto"/>
                      <w:spacing w:val="-6"/>
                      <w:kern w:val="2"/>
                      <w:sz w:val="21"/>
                      <w:szCs w:val="21"/>
                      <w:highlight w:val="none"/>
                      <w:lang w:val="en-US" w:eastAsia="zh-CN"/>
                    </w:rPr>
                    <w:t>ZH6405023001</w:t>
                  </w:r>
                </w:p>
              </w:tc>
              <w:tc>
                <w:tcPr>
                  <w:tcW w:w="740" w:type="dxa"/>
                  <w:noWrap w:val="0"/>
                  <w:vAlign w:val="center"/>
                </w:tcPr>
                <w:p w14:paraId="5EDCB9F4">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pacing w:val="-6"/>
                      <w:kern w:val="2"/>
                      <w:sz w:val="21"/>
                      <w:szCs w:val="21"/>
                      <w:highlight w:val="none"/>
                      <w:lang w:eastAsia="zh-CN"/>
                    </w:rPr>
                  </w:pPr>
                  <w:r>
                    <w:rPr>
                      <w:rFonts w:hint="default" w:ascii="Times New Roman" w:hAnsi="Times New Roman" w:eastAsia="宋体" w:cs="Times New Roman"/>
                      <w:color w:val="auto"/>
                      <w:spacing w:val="-6"/>
                      <w:kern w:val="2"/>
                      <w:sz w:val="21"/>
                      <w:szCs w:val="21"/>
                      <w:highlight w:val="none"/>
                    </w:rPr>
                    <w:t>宁夏回族自治区</w:t>
                  </w:r>
                  <w:r>
                    <w:rPr>
                      <w:rFonts w:hint="default" w:ascii="Times New Roman" w:hAnsi="Times New Roman" w:eastAsia="宋体" w:cs="Times New Roman"/>
                      <w:color w:val="auto"/>
                      <w:spacing w:val="-6"/>
                      <w:kern w:val="2"/>
                      <w:sz w:val="21"/>
                      <w:szCs w:val="21"/>
                      <w:highlight w:val="none"/>
                      <w:lang w:val="en-US" w:eastAsia="zh-CN"/>
                    </w:rPr>
                    <w:t>中卫市沙坡头区</w:t>
                  </w:r>
                </w:p>
              </w:tc>
              <w:tc>
                <w:tcPr>
                  <w:tcW w:w="501" w:type="dxa"/>
                  <w:noWrap w:val="0"/>
                  <w:vAlign w:val="center"/>
                </w:tcPr>
                <w:p w14:paraId="391C03A8">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zh-CN"/>
                    </w:rPr>
                  </w:pPr>
                  <w:r>
                    <w:rPr>
                      <w:rFonts w:hint="default" w:ascii="Times New Roman" w:hAnsi="Times New Roman" w:eastAsia="宋体" w:cs="Times New Roman"/>
                      <w:color w:val="auto"/>
                      <w:spacing w:val="-6"/>
                      <w:kern w:val="2"/>
                      <w:sz w:val="21"/>
                      <w:szCs w:val="21"/>
                      <w:highlight w:val="none"/>
                      <w:lang w:val="en-US" w:eastAsia="zh-CN"/>
                    </w:rPr>
                    <w:t>水环境一般管控区、大气环境一般管控区</w:t>
                  </w:r>
                </w:p>
              </w:tc>
              <w:tc>
                <w:tcPr>
                  <w:tcW w:w="3847" w:type="dxa"/>
                  <w:noWrap w:val="0"/>
                  <w:vAlign w:val="center"/>
                </w:tcPr>
                <w:p w14:paraId="71D9F332">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eastAsia="宋体" w:cs="Times New Roman"/>
                      <w:color w:val="auto"/>
                      <w:spacing w:val="-6"/>
                      <w:kern w:val="2"/>
                      <w:sz w:val="21"/>
                      <w:szCs w:val="21"/>
                      <w:highlight w:val="none"/>
                      <w:lang w:eastAsia="zh-CN"/>
                    </w:rPr>
                  </w:pPr>
                  <w:r>
                    <w:rPr>
                      <w:rFonts w:hint="default" w:ascii="Times New Roman" w:hAnsi="Times New Roman" w:eastAsia="宋体" w:cs="Times New Roman"/>
                      <w:color w:val="auto"/>
                      <w:spacing w:val="-6"/>
                      <w:kern w:val="2"/>
                      <w:sz w:val="21"/>
                      <w:szCs w:val="21"/>
                      <w:highlight w:val="none"/>
                      <w:lang w:val="en-US" w:eastAsia="zh-CN"/>
                    </w:rPr>
                    <w:t>1.禁止新建项目乱征滥占草地、破坏沙生植被，严格限制在区域内采砂取土。</w:t>
                  </w:r>
                </w:p>
                <w:p w14:paraId="75300069">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eastAsia="宋体" w:cs="Times New Roman"/>
                      <w:color w:val="auto"/>
                      <w:spacing w:val="-6"/>
                      <w:kern w:val="2"/>
                      <w:sz w:val="21"/>
                      <w:szCs w:val="21"/>
                      <w:highlight w:val="none"/>
                      <w:lang w:eastAsia="zh-CN"/>
                    </w:rPr>
                  </w:pPr>
                  <w:r>
                    <w:rPr>
                      <w:rFonts w:hint="default" w:ascii="Times New Roman" w:hAnsi="Times New Roman" w:eastAsia="宋体" w:cs="Times New Roman"/>
                      <w:color w:val="auto"/>
                      <w:spacing w:val="-6"/>
                      <w:kern w:val="2"/>
                      <w:sz w:val="21"/>
                      <w:szCs w:val="21"/>
                      <w:highlight w:val="none"/>
                      <w:lang w:val="en-US" w:eastAsia="zh-CN"/>
                    </w:rPr>
                    <w:t>2.限制无序发展光伏产业。严格限制在农用地优先保护区集中区域新建医药、垃圾焚烧、铅酸蓄电池制造回收、电子废弃物拆解、危险废物处置和危险化学品生产、储存、使用等行业项目。</w:t>
                  </w:r>
                </w:p>
                <w:p w14:paraId="16FECA91">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eastAsia="宋体" w:cs="Times New Roman"/>
                      <w:color w:val="auto"/>
                      <w:spacing w:val="-6"/>
                      <w:kern w:val="2"/>
                      <w:sz w:val="21"/>
                      <w:szCs w:val="21"/>
                      <w:highlight w:val="none"/>
                      <w:lang w:eastAsia="zh-CN"/>
                    </w:rPr>
                  </w:pPr>
                  <w:r>
                    <w:rPr>
                      <w:rFonts w:hint="default" w:ascii="Times New Roman" w:hAnsi="Times New Roman" w:eastAsia="宋体" w:cs="Times New Roman"/>
                      <w:color w:val="auto"/>
                      <w:spacing w:val="-6"/>
                      <w:kern w:val="2"/>
                      <w:sz w:val="21"/>
                      <w:szCs w:val="21"/>
                      <w:highlight w:val="none"/>
                      <w:lang w:val="en-US" w:eastAsia="zh-CN"/>
                    </w:rPr>
                    <w:t>3.在满足产业准入、总量控制、排放标准等国家和地方相关管理制度要求的前提下，集约发展。</w:t>
                  </w:r>
                </w:p>
                <w:p w14:paraId="0D49D855">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eastAsia="宋体" w:cs="Times New Roman"/>
                      <w:color w:val="auto"/>
                      <w:spacing w:val="-6"/>
                      <w:kern w:val="2"/>
                      <w:sz w:val="21"/>
                      <w:szCs w:val="21"/>
                      <w:highlight w:val="none"/>
                    </w:rPr>
                  </w:pPr>
                  <w:r>
                    <w:rPr>
                      <w:rFonts w:hint="default" w:ascii="Times New Roman" w:hAnsi="Times New Roman" w:eastAsia="宋体" w:cs="Times New Roman"/>
                      <w:color w:val="auto"/>
                      <w:spacing w:val="-6"/>
                      <w:kern w:val="2"/>
                      <w:sz w:val="21"/>
                      <w:szCs w:val="21"/>
                      <w:highlight w:val="none"/>
                      <w:lang w:val="en-US" w:eastAsia="zh-CN"/>
                    </w:rPr>
                    <w:t>4.深入推进“散乱污”工业企业整治工作，对不符合国家或自治区产业政策、依法应办理而未办理相关审批或登记手续、违法排污严重的工业企业，限期关停拆除。</w:t>
                  </w:r>
                </w:p>
              </w:tc>
              <w:tc>
                <w:tcPr>
                  <w:tcW w:w="2041" w:type="dxa"/>
                  <w:noWrap w:val="0"/>
                  <w:vAlign w:val="center"/>
                </w:tcPr>
                <w:p w14:paraId="07F9CAF3">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eastAsia="宋体" w:cs="Times New Roman"/>
                      <w:color w:val="auto"/>
                      <w:spacing w:val="-6"/>
                      <w:kern w:val="2"/>
                      <w:sz w:val="21"/>
                      <w:szCs w:val="21"/>
                      <w:highlight w:val="none"/>
                      <w:lang w:val="en-US" w:eastAsia="zh-CN"/>
                    </w:rPr>
                  </w:pPr>
                  <w:r>
                    <w:rPr>
                      <w:rFonts w:hint="default" w:ascii="Times New Roman" w:hAnsi="Times New Roman" w:eastAsia="宋体" w:cs="Times New Roman"/>
                      <w:color w:val="auto"/>
                      <w:spacing w:val="-6"/>
                      <w:kern w:val="2"/>
                      <w:sz w:val="21"/>
                      <w:szCs w:val="21"/>
                      <w:highlight w:val="none"/>
                      <w:lang w:val="en-US" w:eastAsia="zh-CN"/>
                    </w:rPr>
                    <w:t>1.本项目施工结束后，对临时占地进行</w:t>
                  </w:r>
                  <w:r>
                    <w:rPr>
                      <w:rFonts w:hint="eastAsia" w:ascii="Times New Roman" w:hAnsi="Times New Roman" w:cs="Times New Roman"/>
                      <w:color w:val="auto"/>
                      <w:spacing w:val="-6"/>
                      <w:kern w:val="2"/>
                      <w:sz w:val="21"/>
                      <w:szCs w:val="21"/>
                      <w:highlight w:val="none"/>
                      <w:lang w:val="en-US" w:eastAsia="zh-CN"/>
                    </w:rPr>
                    <w:t>土地使用功能及</w:t>
                  </w:r>
                  <w:r>
                    <w:rPr>
                      <w:rFonts w:hint="default" w:ascii="Times New Roman" w:hAnsi="Times New Roman" w:eastAsia="宋体" w:cs="Times New Roman"/>
                      <w:color w:val="auto"/>
                      <w:spacing w:val="-6"/>
                      <w:kern w:val="2"/>
                      <w:sz w:val="21"/>
                      <w:szCs w:val="21"/>
                      <w:highlight w:val="none"/>
                      <w:lang w:val="en-US" w:eastAsia="zh-CN"/>
                    </w:rPr>
                    <w:t>植被恢复，对当地植被影响较小；</w:t>
                  </w:r>
                </w:p>
                <w:p w14:paraId="6B745F9D">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eastAsia="宋体" w:cs="Times New Roman"/>
                      <w:color w:val="auto"/>
                      <w:spacing w:val="-6"/>
                      <w:kern w:val="2"/>
                      <w:sz w:val="21"/>
                      <w:szCs w:val="21"/>
                      <w:highlight w:val="none"/>
                      <w:lang w:val="en-US" w:eastAsia="zh-CN"/>
                    </w:rPr>
                  </w:pPr>
                  <w:r>
                    <w:rPr>
                      <w:rFonts w:hint="default" w:ascii="Times New Roman" w:hAnsi="Times New Roman" w:eastAsia="宋体" w:cs="Times New Roman"/>
                      <w:color w:val="auto"/>
                      <w:spacing w:val="-6"/>
                      <w:kern w:val="2"/>
                      <w:sz w:val="21"/>
                      <w:szCs w:val="21"/>
                      <w:highlight w:val="none"/>
                      <w:lang w:val="en-US" w:eastAsia="zh-CN"/>
                    </w:rPr>
                    <w:t>2.本项目属于河道治理项目，不属于光伏产业、医药、垃圾焚烧、铅酸蓄电池制造回收、电子废弃物拆解、危险废物处置和危险化学品生产、储存、使用等行业；</w:t>
                  </w:r>
                </w:p>
                <w:p w14:paraId="3B772804">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eastAsia="宋体" w:cs="Times New Roman"/>
                      <w:color w:val="auto"/>
                      <w:spacing w:val="-6"/>
                      <w:kern w:val="2"/>
                      <w:sz w:val="21"/>
                      <w:szCs w:val="21"/>
                      <w:highlight w:val="none"/>
                      <w:lang w:val="en-US" w:eastAsia="zh-CN"/>
                    </w:rPr>
                  </w:pPr>
                  <w:r>
                    <w:rPr>
                      <w:rFonts w:hint="default" w:ascii="Times New Roman" w:hAnsi="Times New Roman" w:eastAsia="宋体" w:cs="Times New Roman"/>
                      <w:color w:val="auto"/>
                      <w:spacing w:val="-6"/>
                      <w:kern w:val="2"/>
                      <w:sz w:val="21"/>
                      <w:szCs w:val="21"/>
                      <w:highlight w:val="none"/>
                      <w:lang w:val="en-US" w:eastAsia="zh-CN"/>
                    </w:rPr>
                    <w:t>3.本项目属于河道治理项目，满足当地产业准入等相关要求；</w:t>
                  </w:r>
                </w:p>
                <w:p w14:paraId="6C9A7544">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eastAsia="宋体" w:cs="Times New Roman"/>
                      <w:color w:val="auto"/>
                      <w:spacing w:val="-6"/>
                      <w:kern w:val="2"/>
                      <w:sz w:val="21"/>
                      <w:szCs w:val="21"/>
                      <w:highlight w:val="none"/>
                    </w:rPr>
                  </w:pPr>
                  <w:r>
                    <w:rPr>
                      <w:rFonts w:hint="default" w:ascii="Times New Roman" w:hAnsi="Times New Roman" w:eastAsia="宋体" w:cs="Times New Roman"/>
                      <w:color w:val="auto"/>
                      <w:spacing w:val="-6"/>
                      <w:kern w:val="2"/>
                      <w:sz w:val="21"/>
                      <w:szCs w:val="21"/>
                      <w:highlight w:val="none"/>
                      <w:lang w:val="en-US" w:eastAsia="zh-CN"/>
                    </w:rPr>
                    <w:t>4.本项目建设单位不属于散乱污企业，且本项目符合</w:t>
                  </w:r>
                  <w:r>
                    <w:rPr>
                      <w:rFonts w:hint="default" w:ascii="Times New Roman" w:hAnsi="Times New Roman" w:eastAsia="宋体" w:cs="Times New Roman"/>
                      <w:color w:val="auto"/>
                      <w:spacing w:val="-6"/>
                      <w:kern w:val="2"/>
                      <w:sz w:val="21"/>
                      <w:szCs w:val="21"/>
                      <w:highlight w:val="none"/>
                    </w:rPr>
                    <w:t>国家或自治区产业政策</w:t>
                  </w:r>
                  <w:r>
                    <w:rPr>
                      <w:rFonts w:hint="default" w:ascii="Times New Roman" w:hAnsi="Times New Roman" w:eastAsia="宋体" w:cs="Times New Roman"/>
                      <w:color w:val="auto"/>
                      <w:spacing w:val="-6"/>
                      <w:kern w:val="2"/>
                      <w:sz w:val="21"/>
                      <w:szCs w:val="21"/>
                      <w:highlight w:val="none"/>
                      <w:lang w:eastAsia="zh-CN"/>
                    </w:rPr>
                    <w:t>。</w:t>
                  </w:r>
                </w:p>
              </w:tc>
              <w:tc>
                <w:tcPr>
                  <w:tcW w:w="513" w:type="dxa"/>
                  <w:noWrap w:val="0"/>
                  <w:vAlign w:val="center"/>
                </w:tcPr>
                <w:p w14:paraId="64C418C5">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eastAsia="宋体" w:cs="Times New Roman"/>
                      <w:color w:val="auto"/>
                      <w:spacing w:val="-6"/>
                      <w:kern w:val="2"/>
                      <w:sz w:val="21"/>
                      <w:szCs w:val="21"/>
                      <w:highlight w:val="none"/>
                    </w:rPr>
                  </w:pPr>
                  <w:r>
                    <w:rPr>
                      <w:rFonts w:hint="default" w:ascii="Times New Roman" w:hAnsi="Times New Roman" w:eastAsia="宋体" w:cs="Times New Roman"/>
                      <w:color w:val="auto"/>
                      <w:spacing w:val="-6"/>
                      <w:kern w:val="2"/>
                      <w:sz w:val="21"/>
                      <w:szCs w:val="21"/>
                      <w:highlight w:val="none"/>
                    </w:rPr>
                    <w:t>符合</w:t>
                  </w:r>
                </w:p>
              </w:tc>
            </w:tr>
            <w:tr w14:paraId="708CDF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6" w:hRule="atLeast"/>
                <w:jc w:val="center"/>
              </w:trPr>
              <w:tc>
                <w:tcPr>
                  <w:tcW w:w="705" w:type="dxa"/>
                  <w:noWrap w:val="0"/>
                  <w:vAlign w:val="center"/>
                </w:tcPr>
                <w:p w14:paraId="03F411E6">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zh-CN"/>
                    </w:rPr>
                  </w:pPr>
                  <w:r>
                    <w:rPr>
                      <w:rFonts w:hint="default" w:ascii="Times New Roman" w:hAnsi="Times New Roman" w:eastAsia="宋体" w:cs="Times New Roman"/>
                      <w:color w:val="auto"/>
                      <w:spacing w:val="-6"/>
                      <w:kern w:val="2"/>
                      <w:sz w:val="21"/>
                      <w:szCs w:val="21"/>
                      <w:highlight w:val="none"/>
                      <w:lang w:val="en-US" w:eastAsia="zh-CN"/>
                    </w:rPr>
                    <w:t>沙坡头区优先保护单元3</w:t>
                  </w:r>
                </w:p>
                <w:p w14:paraId="5B8447A1">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zh-CN"/>
                    </w:rPr>
                  </w:pPr>
                  <w:r>
                    <w:rPr>
                      <w:rFonts w:hint="default" w:ascii="Times New Roman" w:hAnsi="Times New Roman" w:eastAsia="宋体" w:cs="Times New Roman"/>
                      <w:color w:val="auto"/>
                      <w:spacing w:val="-6"/>
                      <w:kern w:val="2"/>
                      <w:sz w:val="21"/>
                      <w:szCs w:val="21"/>
                      <w:highlight w:val="none"/>
                      <w:lang w:val="en-US" w:eastAsia="zh-CN"/>
                    </w:rPr>
                    <w:t>ZH64050210005</w:t>
                  </w:r>
                </w:p>
              </w:tc>
              <w:tc>
                <w:tcPr>
                  <w:tcW w:w="740" w:type="dxa"/>
                  <w:noWrap w:val="0"/>
                  <w:vAlign w:val="center"/>
                </w:tcPr>
                <w:p w14:paraId="3CB5994B">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pacing w:val="-6"/>
                      <w:kern w:val="2"/>
                      <w:sz w:val="21"/>
                      <w:szCs w:val="21"/>
                      <w:highlight w:val="none"/>
                    </w:rPr>
                  </w:pPr>
                  <w:r>
                    <w:rPr>
                      <w:rFonts w:hint="default" w:ascii="Times New Roman" w:hAnsi="Times New Roman" w:eastAsia="宋体" w:cs="Times New Roman"/>
                      <w:color w:val="auto"/>
                      <w:spacing w:val="-6"/>
                      <w:kern w:val="2"/>
                      <w:sz w:val="21"/>
                      <w:szCs w:val="21"/>
                      <w:highlight w:val="none"/>
                    </w:rPr>
                    <w:t>宁夏回族自治区</w:t>
                  </w:r>
                  <w:r>
                    <w:rPr>
                      <w:rFonts w:hint="default" w:ascii="Times New Roman" w:hAnsi="Times New Roman" w:eastAsia="宋体" w:cs="Times New Roman"/>
                      <w:color w:val="auto"/>
                      <w:spacing w:val="-6"/>
                      <w:kern w:val="2"/>
                      <w:sz w:val="21"/>
                      <w:szCs w:val="21"/>
                      <w:highlight w:val="none"/>
                      <w:lang w:val="en-US" w:eastAsia="zh-CN"/>
                    </w:rPr>
                    <w:t>中卫市沙坡头区</w:t>
                  </w:r>
                </w:p>
              </w:tc>
              <w:tc>
                <w:tcPr>
                  <w:tcW w:w="501" w:type="dxa"/>
                  <w:noWrap w:val="0"/>
                  <w:vAlign w:val="center"/>
                </w:tcPr>
                <w:p w14:paraId="19ACFAA0">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zh-CN"/>
                    </w:rPr>
                  </w:pPr>
                  <w:r>
                    <w:rPr>
                      <w:rFonts w:hint="default" w:ascii="Times New Roman" w:hAnsi="Times New Roman" w:eastAsia="宋体" w:cs="Times New Roman"/>
                      <w:color w:val="auto"/>
                      <w:spacing w:val="-6"/>
                      <w:kern w:val="2"/>
                      <w:sz w:val="21"/>
                      <w:szCs w:val="21"/>
                      <w:highlight w:val="none"/>
                      <w:lang w:val="en-US" w:eastAsia="zh-CN"/>
                    </w:rPr>
                    <w:t>生态保护红线+生态空间优先保护单元</w:t>
                  </w:r>
                </w:p>
              </w:tc>
              <w:tc>
                <w:tcPr>
                  <w:tcW w:w="3847" w:type="dxa"/>
                  <w:noWrap w:val="0"/>
                  <w:vAlign w:val="center"/>
                </w:tcPr>
                <w:p w14:paraId="49053C00">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eastAsia="宋体" w:cs="Times New Roman"/>
                      <w:color w:val="auto"/>
                      <w:spacing w:val="-6"/>
                      <w:kern w:val="2"/>
                      <w:sz w:val="21"/>
                      <w:szCs w:val="21"/>
                      <w:highlight w:val="none"/>
                      <w:lang w:val="en-US" w:eastAsia="zh-CN"/>
                    </w:rPr>
                  </w:pPr>
                  <w:r>
                    <w:rPr>
                      <w:rFonts w:hint="default" w:ascii="Times New Roman" w:hAnsi="Times New Roman" w:eastAsia="宋体" w:cs="Times New Roman"/>
                      <w:color w:val="auto"/>
                      <w:spacing w:val="-6"/>
                      <w:kern w:val="2"/>
                      <w:sz w:val="21"/>
                      <w:szCs w:val="21"/>
                      <w:highlight w:val="none"/>
                      <w:lang w:val="en-US" w:eastAsia="zh-CN"/>
                    </w:rPr>
                    <w:t>1.生态保护红线内自然保护地核心保护区外，禁止开发性、生产性建设活动，在符合法律法规的前提下，仅允许十类对生态功能不造成破坏的有限人为活动。</w:t>
                  </w:r>
                </w:p>
                <w:p w14:paraId="6741E9B2">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eastAsia="宋体" w:cs="Times New Roman"/>
                      <w:color w:val="auto"/>
                      <w:spacing w:val="-6"/>
                      <w:kern w:val="2"/>
                      <w:sz w:val="21"/>
                      <w:szCs w:val="21"/>
                      <w:highlight w:val="none"/>
                      <w:lang w:val="en-US" w:eastAsia="zh-CN"/>
                    </w:rPr>
                  </w:pPr>
                  <w:r>
                    <w:rPr>
                      <w:rFonts w:hint="default" w:ascii="Times New Roman" w:hAnsi="Times New Roman" w:eastAsia="宋体" w:cs="Times New Roman"/>
                      <w:color w:val="auto"/>
                      <w:spacing w:val="-6"/>
                      <w:kern w:val="2"/>
                      <w:sz w:val="21"/>
                      <w:szCs w:val="21"/>
                      <w:highlight w:val="none"/>
                      <w:lang w:val="en-US" w:eastAsia="zh-CN"/>
                    </w:rPr>
                    <w:t>2.加快开展自然保护地内违法违规人类活动的清退工作，开展生态恢复与治理。</w:t>
                  </w:r>
                </w:p>
              </w:tc>
              <w:tc>
                <w:tcPr>
                  <w:tcW w:w="2041" w:type="dxa"/>
                  <w:noWrap w:val="0"/>
                  <w:vAlign w:val="center"/>
                </w:tcPr>
                <w:p w14:paraId="07AB4F69">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eastAsia="宋体" w:cs="Times New Roman"/>
                      <w:color w:val="auto"/>
                      <w:spacing w:val="-6"/>
                      <w:kern w:val="2"/>
                      <w:sz w:val="21"/>
                      <w:szCs w:val="21"/>
                      <w:highlight w:val="none"/>
                      <w:lang w:val="en-US" w:eastAsia="zh-CN"/>
                    </w:rPr>
                  </w:pPr>
                  <w:r>
                    <w:rPr>
                      <w:rFonts w:hint="eastAsia" w:ascii="Times New Roman" w:hAnsi="Times New Roman" w:cs="Times New Roman"/>
                      <w:color w:val="auto"/>
                      <w:spacing w:val="-6"/>
                      <w:kern w:val="2"/>
                      <w:sz w:val="21"/>
                      <w:szCs w:val="21"/>
                      <w:highlight w:val="none"/>
                      <w:lang w:val="en-US" w:eastAsia="zh-CN"/>
                    </w:rPr>
                    <w:t>由前文“（1）生态保护红线及生态分区管控”分析可知，</w:t>
                  </w:r>
                  <w:r>
                    <w:rPr>
                      <w:rFonts w:hint="default" w:ascii="Times New Roman" w:hAnsi="Times New Roman" w:eastAsia="宋体" w:cs="Times New Roman"/>
                      <w:color w:val="auto"/>
                      <w:spacing w:val="-6"/>
                      <w:kern w:val="2"/>
                      <w:sz w:val="21"/>
                      <w:szCs w:val="21"/>
                      <w:highlight w:val="none"/>
                      <w:lang w:val="en-US" w:eastAsia="zh-CN"/>
                    </w:rPr>
                    <w:t>本项目</w:t>
                  </w:r>
                  <w:r>
                    <w:rPr>
                      <w:rFonts w:hint="eastAsia" w:ascii="Times New Roman" w:hAnsi="Times New Roman" w:cs="Times New Roman"/>
                      <w:color w:val="auto"/>
                      <w:spacing w:val="-6"/>
                      <w:kern w:val="2"/>
                      <w:sz w:val="21"/>
                      <w:szCs w:val="21"/>
                      <w:highlight w:val="none"/>
                      <w:lang w:val="en-US" w:eastAsia="zh-CN"/>
                    </w:rPr>
                    <w:t>不占用生态保护红线，同时项目</w:t>
                  </w:r>
                  <w:r>
                    <w:rPr>
                      <w:rFonts w:hint="default" w:ascii="Times New Roman" w:hAnsi="Times New Roman" w:eastAsia="宋体" w:cs="Times New Roman"/>
                      <w:color w:val="auto"/>
                      <w:spacing w:val="-6"/>
                      <w:kern w:val="2"/>
                      <w:sz w:val="21"/>
                      <w:szCs w:val="21"/>
                      <w:highlight w:val="none"/>
                      <w:lang w:val="en-US" w:eastAsia="zh-CN"/>
                    </w:rPr>
                    <w:t>属于河道治理项目，</w:t>
                  </w:r>
                  <w:r>
                    <w:rPr>
                      <w:rFonts w:hint="eastAsia" w:ascii="Times New Roman" w:hAnsi="Times New Roman" w:cs="Times New Roman"/>
                      <w:color w:val="auto"/>
                      <w:spacing w:val="-6"/>
                      <w:kern w:val="2"/>
                      <w:sz w:val="21"/>
                      <w:szCs w:val="21"/>
                      <w:highlight w:val="none"/>
                      <w:lang w:val="en-US" w:eastAsia="zh-CN"/>
                    </w:rPr>
                    <w:t>属于</w:t>
                  </w:r>
                  <w:r>
                    <w:rPr>
                      <w:rFonts w:hint="default" w:ascii="Times New Roman" w:hAnsi="Times New Roman" w:eastAsia="宋体" w:cs="Times New Roman"/>
                      <w:color w:val="auto"/>
                      <w:spacing w:val="-6"/>
                      <w:kern w:val="2"/>
                      <w:sz w:val="21"/>
                      <w:szCs w:val="21"/>
                      <w:highlight w:val="none"/>
                      <w:lang w:val="en-US" w:eastAsia="zh-CN"/>
                    </w:rPr>
                    <w:t>允许十类对生态功能不造成破坏的有限人为活动</w:t>
                  </w:r>
                  <w:r>
                    <w:rPr>
                      <w:rFonts w:hint="eastAsia" w:ascii="Times New Roman" w:hAnsi="Times New Roman" w:cs="Times New Roman"/>
                      <w:color w:val="auto"/>
                      <w:spacing w:val="-6"/>
                      <w:kern w:val="2"/>
                      <w:sz w:val="21"/>
                      <w:szCs w:val="21"/>
                      <w:highlight w:val="none"/>
                      <w:lang w:val="en-US" w:eastAsia="zh-CN"/>
                    </w:rPr>
                    <w:t>，不涉及</w:t>
                  </w:r>
                  <w:r>
                    <w:rPr>
                      <w:rFonts w:hint="default" w:ascii="Times New Roman" w:hAnsi="Times New Roman" w:eastAsia="宋体" w:cs="Times New Roman"/>
                      <w:color w:val="auto"/>
                      <w:spacing w:val="-6"/>
                      <w:kern w:val="2"/>
                      <w:sz w:val="21"/>
                      <w:szCs w:val="21"/>
                      <w:highlight w:val="none"/>
                      <w:lang w:val="en-US" w:eastAsia="zh-CN"/>
                    </w:rPr>
                    <w:t>违法违规人类活动的清退工作</w:t>
                  </w:r>
                  <w:r>
                    <w:rPr>
                      <w:rFonts w:hint="eastAsia" w:ascii="Times New Roman" w:hAnsi="Times New Roman" w:cs="Times New Roman"/>
                      <w:color w:val="auto"/>
                      <w:spacing w:val="-6"/>
                      <w:kern w:val="2"/>
                      <w:sz w:val="21"/>
                      <w:szCs w:val="21"/>
                      <w:highlight w:val="none"/>
                      <w:lang w:val="en-US" w:eastAsia="zh-CN"/>
                    </w:rPr>
                    <w:t>。经采取相关污染防治措施后，</w:t>
                  </w:r>
                  <w:r>
                    <w:rPr>
                      <w:rFonts w:hint="eastAsia" w:cs="Times New Roman"/>
                      <w:color w:val="auto"/>
                      <w:sz w:val="21"/>
                      <w:szCs w:val="21"/>
                      <w:highlight w:val="none"/>
                      <w:lang w:val="en-US" w:eastAsia="zh-CN"/>
                    </w:rPr>
                    <w:t>施工</w:t>
                  </w:r>
                  <w:r>
                    <w:rPr>
                      <w:rFonts w:hint="default" w:ascii="Times New Roman" w:hAnsi="Times New Roman" w:eastAsia="宋体" w:cs="Times New Roman"/>
                      <w:color w:val="auto"/>
                      <w:sz w:val="21"/>
                      <w:szCs w:val="21"/>
                      <w:highlight w:val="none"/>
                      <w:lang w:val="en-US" w:eastAsia="zh-CN"/>
                    </w:rPr>
                    <w:t>营地</w:t>
                  </w:r>
                  <w:r>
                    <w:rPr>
                      <w:rFonts w:hint="eastAsia" w:ascii="Times New Roman" w:hAnsi="Times New Roman" w:cs="Times New Roman"/>
                      <w:color w:val="auto"/>
                      <w:spacing w:val="-6"/>
                      <w:kern w:val="2"/>
                      <w:sz w:val="21"/>
                      <w:szCs w:val="21"/>
                      <w:highlight w:val="none"/>
                      <w:lang w:val="en-US" w:eastAsia="zh-CN"/>
                    </w:rPr>
                    <w:t>对周围环境影响较小；施工结束后，对临时用地进行生态恢复，不改变原有用地性质，本项目不属于高强度开发项目，符合管控要求。</w:t>
                  </w:r>
                </w:p>
              </w:tc>
              <w:tc>
                <w:tcPr>
                  <w:tcW w:w="513" w:type="dxa"/>
                  <w:noWrap w:val="0"/>
                  <w:vAlign w:val="center"/>
                </w:tcPr>
                <w:p w14:paraId="3291BBA3">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eastAsia="宋体" w:cs="Times New Roman"/>
                      <w:color w:val="auto"/>
                      <w:spacing w:val="-6"/>
                      <w:kern w:val="2"/>
                      <w:sz w:val="21"/>
                      <w:szCs w:val="21"/>
                      <w:highlight w:val="none"/>
                      <w:lang w:val="en-US" w:eastAsia="zh-CN"/>
                    </w:rPr>
                  </w:pPr>
                  <w:r>
                    <w:rPr>
                      <w:rFonts w:hint="eastAsia" w:ascii="Times New Roman" w:hAnsi="Times New Roman" w:cs="Times New Roman"/>
                      <w:color w:val="auto"/>
                      <w:spacing w:val="-6"/>
                      <w:kern w:val="2"/>
                      <w:sz w:val="21"/>
                      <w:szCs w:val="21"/>
                      <w:highlight w:val="none"/>
                      <w:lang w:val="en-US" w:eastAsia="zh-CN"/>
                    </w:rPr>
                    <w:t>符合</w:t>
                  </w:r>
                </w:p>
              </w:tc>
            </w:tr>
          </w:tbl>
          <w:p w14:paraId="23DDEEC4">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cs="Times New Roman" w:eastAsiaTheme="minorEastAsia"/>
                <w:color w:val="auto"/>
                <w:sz w:val="24"/>
                <w:szCs w:val="20"/>
                <w:highlight w:val="none"/>
                <w:lang w:bidi="en-US"/>
              </w:rPr>
            </w:pPr>
            <w:r>
              <w:rPr>
                <w:rFonts w:hint="eastAsia" w:cs="Times New Roman" w:eastAsiaTheme="minorEastAsia"/>
                <w:color w:val="auto"/>
                <w:sz w:val="24"/>
                <w:szCs w:val="20"/>
                <w:highlight w:val="none"/>
                <w:lang w:val="en-US" w:eastAsia="zh-CN" w:bidi="en-US"/>
              </w:rPr>
              <w:t>由表分析可知</w:t>
            </w:r>
            <w:r>
              <w:rPr>
                <w:rFonts w:hint="default" w:ascii="Times New Roman" w:hAnsi="Times New Roman" w:cs="Times New Roman" w:eastAsiaTheme="minorEastAsia"/>
                <w:color w:val="auto"/>
                <w:sz w:val="24"/>
                <w:szCs w:val="20"/>
                <w:highlight w:val="none"/>
                <w:lang w:val="en-US" w:eastAsia="zh-CN" w:bidi="en-US"/>
              </w:rPr>
              <w:t>，</w:t>
            </w:r>
            <w:r>
              <w:rPr>
                <w:rFonts w:hint="eastAsia" w:cs="Times New Roman" w:eastAsiaTheme="minorEastAsia"/>
                <w:color w:val="auto"/>
                <w:sz w:val="24"/>
                <w:szCs w:val="20"/>
                <w:highlight w:val="none"/>
                <w:lang w:val="en-US" w:eastAsia="zh-CN" w:bidi="en-US"/>
              </w:rPr>
              <w:t>项目实施</w:t>
            </w:r>
            <w:r>
              <w:rPr>
                <w:rFonts w:hint="default" w:ascii="Times New Roman" w:hAnsi="Times New Roman" w:cs="Times New Roman" w:eastAsiaTheme="minorEastAsia"/>
                <w:color w:val="auto"/>
                <w:sz w:val="24"/>
                <w:szCs w:val="20"/>
                <w:highlight w:val="none"/>
                <w:lang w:val="en-US" w:eastAsia="zh-CN" w:bidi="en-US"/>
              </w:rPr>
              <w:t>符合中卫市环境管控单元生态环境清单总体要求。</w:t>
            </w:r>
          </w:p>
          <w:p w14:paraId="0E119BCA">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eastAsia="黑体" w:cs="Times New Roman"/>
                <w:b w:val="0"/>
                <w:bCs w:val="0"/>
                <w:color w:val="auto"/>
                <w:sz w:val="24"/>
                <w:szCs w:val="20"/>
                <w:highlight w:val="none"/>
                <w:lang w:val="en-US" w:eastAsia="zh-CN" w:bidi="en-US"/>
              </w:rPr>
            </w:pPr>
            <w:r>
              <w:rPr>
                <w:rFonts w:hint="default" w:ascii="Times New Roman" w:hAnsi="Times New Roman" w:eastAsia="黑体" w:cs="Times New Roman"/>
                <w:b w:val="0"/>
                <w:bCs w:val="0"/>
                <w:color w:val="auto"/>
                <w:sz w:val="24"/>
                <w:szCs w:val="20"/>
                <w:highlight w:val="none"/>
                <w:lang w:val="en-US" w:eastAsia="zh-CN" w:bidi="en-US"/>
              </w:rPr>
              <w:t>3、项目与相关规划符合性分析</w:t>
            </w:r>
          </w:p>
          <w:p w14:paraId="517659F6">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cs="Times New Roman" w:eastAsiaTheme="minorEastAsia"/>
                <w:color w:val="auto"/>
                <w:sz w:val="24"/>
                <w:szCs w:val="20"/>
                <w:highlight w:val="none"/>
                <w:lang w:val="en-US" w:eastAsia="zh-CN" w:bidi="en-US"/>
              </w:rPr>
            </w:pPr>
            <w:r>
              <w:rPr>
                <w:rFonts w:hint="default" w:ascii="Times New Roman" w:hAnsi="Times New Roman" w:cs="Times New Roman" w:eastAsiaTheme="minorEastAsia"/>
                <w:color w:val="auto"/>
                <w:sz w:val="24"/>
                <w:szCs w:val="20"/>
                <w:highlight w:val="none"/>
                <w:lang w:val="en-US" w:eastAsia="zh-CN" w:bidi="en-US"/>
              </w:rPr>
              <w:t>（1）与《宁夏回族自治区水生态环境保护“十四五”规划》符合性分析</w:t>
            </w:r>
          </w:p>
          <w:p w14:paraId="571332F1">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cs="Times New Roman" w:eastAsiaTheme="minorEastAsia"/>
                <w:color w:val="auto"/>
                <w:sz w:val="24"/>
                <w:szCs w:val="20"/>
                <w:highlight w:val="none"/>
                <w:lang w:val="en-US" w:eastAsia="zh-CN" w:bidi="en-US"/>
              </w:rPr>
            </w:pPr>
            <w:r>
              <w:rPr>
                <w:rFonts w:hint="default" w:ascii="Times New Roman" w:hAnsi="Times New Roman" w:cs="Times New Roman" w:eastAsiaTheme="minorEastAsia"/>
                <w:color w:val="auto"/>
                <w:sz w:val="24"/>
                <w:szCs w:val="20"/>
                <w:highlight w:val="none"/>
                <w:lang w:val="en-US" w:eastAsia="zh-CN" w:bidi="en-US"/>
              </w:rPr>
              <w:t>根据《宁夏回族自治区水生态环境保护“十四五”规划》（2022年1月）中专栏8 生态保护与修复工程</w:t>
            </w:r>
            <w:r>
              <w:rPr>
                <w:rFonts w:hint="eastAsia" w:cs="Times New Roman" w:eastAsiaTheme="minorEastAsia"/>
                <w:color w:val="auto"/>
                <w:sz w:val="24"/>
                <w:szCs w:val="20"/>
                <w:highlight w:val="none"/>
                <w:lang w:val="en-US" w:eastAsia="zh-CN" w:bidi="en-US"/>
              </w:rPr>
              <w:t>--</w:t>
            </w:r>
            <w:r>
              <w:rPr>
                <w:rFonts w:hint="default" w:ascii="Times New Roman" w:hAnsi="Times New Roman" w:cs="Times New Roman" w:eastAsiaTheme="minorEastAsia"/>
                <w:color w:val="auto"/>
                <w:sz w:val="24"/>
                <w:szCs w:val="20"/>
                <w:highlight w:val="none"/>
                <w:lang w:val="en-US" w:eastAsia="zh-CN" w:bidi="en-US"/>
              </w:rPr>
              <w:t>山水林田湖草沙系统保护修复工程</w:t>
            </w:r>
            <w:r>
              <w:rPr>
                <w:rFonts w:hint="eastAsia" w:cs="Times New Roman" w:eastAsiaTheme="minorEastAsia"/>
                <w:color w:val="auto"/>
                <w:sz w:val="24"/>
                <w:szCs w:val="20"/>
                <w:highlight w:val="none"/>
                <w:lang w:val="en-US" w:eastAsia="zh-CN" w:bidi="en-US"/>
              </w:rPr>
              <w:t>提出：</w:t>
            </w:r>
            <w:r>
              <w:rPr>
                <w:rFonts w:hint="default" w:ascii="Times New Roman" w:hAnsi="Times New Roman" w:cs="Times New Roman" w:eastAsiaTheme="minorEastAsia"/>
                <w:color w:val="auto"/>
                <w:sz w:val="24"/>
                <w:szCs w:val="20"/>
                <w:highlight w:val="none"/>
                <w:lang w:val="en-US" w:eastAsia="zh-CN" w:bidi="en-US"/>
              </w:rPr>
              <w:t>“实施洪积扇区生态修复治理、泄洪沟道生态修复治理、入黄沟道两侧盐碱地生态修复治理、黄河滩地生态保护修复、退化草原生态修复和生态环境管理能力建设等工程。”</w:t>
            </w:r>
          </w:p>
          <w:p w14:paraId="7AA320CC">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cs="Times New Roman" w:eastAsiaTheme="minorEastAsia"/>
                <w:color w:val="auto"/>
                <w:sz w:val="24"/>
                <w:szCs w:val="20"/>
                <w:highlight w:val="none"/>
                <w:lang w:val="en-US" w:eastAsia="zh-CN" w:bidi="en-US"/>
              </w:rPr>
            </w:pPr>
            <w:r>
              <w:rPr>
                <w:rFonts w:hint="default" w:ascii="Times New Roman" w:hAnsi="Times New Roman" w:cs="Times New Roman" w:eastAsiaTheme="minorEastAsia"/>
                <w:color w:val="auto"/>
                <w:sz w:val="24"/>
                <w:szCs w:val="20"/>
                <w:highlight w:val="none"/>
                <w:lang w:val="en-US" w:eastAsia="zh-CN" w:bidi="en-US"/>
              </w:rPr>
              <w:t>本项目</w:t>
            </w:r>
            <w:r>
              <w:rPr>
                <w:rFonts w:hint="eastAsia" w:cs="Times New Roman" w:eastAsiaTheme="minorEastAsia"/>
                <w:color w:val="auto"/>
                <w:sz w:val="24"/>
                <w:szCs w:val="20"/>
                <w:highlight w:val="none"/>
                <w:lang w:val="en-US" w:eastAsia="zh-CN" w:bidi="en-US"/>
              </w:rPr>
              <w:t>所治理沟道高崖沟为入黄沟道，项目为高崖沟边坡砌护及</w:t>
            </w:r>
            <w:r>
              <w:rPr>
                <w:rFonts w:hint="default" w:ascii="Times New Roman" w:hAnsi="Times New Roman" w:cs="Times New Roman" w:eastAsiaTheme="minorEastAsia"/>
                <w:color w:val="auto"/>
                <w:sz w:val="24"/>
                <w:szCs w:val="20"/>
                <w:highlight w:val="none"/>
                <w:lang w:val="en-US" w:eastAsia="zh-CN" w:bidi="en-US"/>
              </w:rPr>
              <w:t>河道清淤治理</w:t>
            </w:r>
            <w:r>
              <w:rPr>
                <w:rFonts w:hint="eastAsia" w:cs="Times New Roman" w:eastAsiaTheme="minorEastAsia"/>
                <w:color w:val="auto"/>
                <w:sz w:val="24"/>
                <w:szCs w:val="20"/>
                <w:highlight w:val="none"/>
                <w:lang w:val="en-US" w:eastAsia="zh-CN" w:bidi="en-US"/>
              </w:rPr>
              <w:t>项目，项目边坡砌护工程的实施有利于增强沟道两侧护岸稳定，减少由于水流侧向冲刷造成的水土流失，沟道清淤工程的实施有利于行洪通畅</w:t>
            </w:r>
            <w:r>
              <w:rPr>
                <w:rFonts w:hint="eastAsia" w:cs="Times New Roman" w:eastAsiaTheme="minorEastAsia"/>
                <w:color w:val="auto"/>
                <w:sz w:val="24"/>
                <w:szCs w:val="24"/>
                <w:highlight w:val="none"/>
                <w:lang w:val="en-US" w:eastAsia="zh-CN" w:bidi="en-US"/>
              </w:rPr>
              <w:t>，</w:t>
            </w:r>
            <w:r>
              <w:rPr>
                <w:rFonts w:hint="eastAsia" w:cs="Times New Roman"/>
                <w:color w:val="auto"/>
                <w:sz w:val="24"/>
                <w:szCs w:val="24"/>
                <w:highlight w:val="none"/>
                <w:lang w:val="en-US" w:eastAsia="zh-CN"/>
              </w:rPr>
              <w:t>使得沟道行洪更为流畅，清淤后增加水体流动及自净，对高崖沟丰水期沟道水环境质量有正向作用</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eastAsiaTheme="minorEastAsia"/>
                <w:color w:val="auto"/>
                <w:sz w:val="24"/>
                <w:szCs w:val="20"/>
                <w:highlight w:val="none"/>
                <w:lang w:val="en-US" w:eastAsia="zh-CN" w:bidi="en-US"/>
              </w:rPr>
              <w:t>因此，本项目实施符合《宁夏回族自治区水生态环境保护“十四五”规划》（2022年1月）相关要求。</w:t>
            </w:r>
          </w:p>
          <w:p w14:paraId="6011581C">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cs="Times New Roman" w:eastAsiaTheme="minorEastAsia"/>
                <w:color w:val="auto"/>
                <w:sz w:val="24"/>
                <w:szCs w:val="20"/>
                <w:highlight w:val="none"/>
                <w:lang w:val="en-US" w:eastAsia="zh-CN" w:bidi="en-US"/>
              </w:rPr>
            </w:pPr>
            <w:r>
              <w:rPr>
                <w:rFonts w:hint="default" w:ascii="Times New Roman" w:hAnsi="Times New Roman" w:eastAsia="仿宋_GB2312" w:cs="Times New Roman"/>
                <w:color w:val="auto"/>
                <w:kern w:val="0"/>
                <w:sz w:val="24"/>
                <w:highlight w:val="none"/>
                <w:lang w:val="en-US" w:eastAsia="zh-CN"/>
              </w:rPr>
              <w:t>（2）</w:t>
            </w:r>
            <w:r>
              <w:rPr>
                <w:rFonts w:hint="default" w:ascii="Times New Roman" w:hAnsi="Times New Roman" w:cs="Times New Roman" w:eastAsiaTheme="minorEastAsia"/>
                <w:color w:val="auto"/>
                <w:sz w:val="24"/>
                <w:szCs w:val="20"/>
                <w:highlight w:val="none"/>
                <w:lang w:val="en-US" w:eastAsia="zh-CN" w:bidi="en-US"/>
              </w:rPr>
              <w:t>与《中卫市水生态环境保护“十四五”规划》符合性分析</w:t>
            </w:r>
          </w:p>
          <w:p w14:paraId="6B6563DF">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cs="Times New Roman" w:eastAsiaTheme="minorEastAsia"/>
                <w:color w:val="auto"/>
                <w:sz w:val="24"/>
                <w:szCs w:val="20"/>
                <w:highlight w:val="none"/>
                <w:lang w:val="en-US" w:eastAsia="zh-CN" w:bidi="en-US"/>
              </w:rPr>
            </w:pPr>
            <w:r>
              <w:rPr>
                <w:rFonts w:hint="default" w:ascii="Times New Roman" w:hAnsi="Times New Roman" w:cs="Times New Roman" w:eastAsiaTheme="minorEastAsia"/>
                <w:color w:val="auto"/>
                <w:sz w:val="24"/>
                <w:szCs w:val="20"/>
                <w:highlight w:val="none"/>
                <w:lang w:val="en-US" w:eastAsia="zh-CN" w:bidi="en-US"/>
              </w:rPr>
              <w:t>根据《中卫市水生态环境保护“十四五”规划》中</w:t>
            </w:r>
            <w:r>
              <w:rPr>
                <w:rFonts w:hint="eastAsia" w:cs="Times New Roman" w:eastAsiaTheme="minorEastAsia"/>
                <w:color w:val="auto"/>
                <w:sz w:val="24"/>
                <w:szCs w:val="20"/>
                <w:highlight w:val="none"/>
                <w:lang w:val="en-US" w:eastAsia="zh-CN" w:bidi="en-US"/>
              </w:rPr>
              <w:t>第十九节“加强重点河湖保护与修复。加强重点河流治理，突出清水河、苦水河、葫芦河、茹河、渝河、泾河等支流，联动推进水土治理、污染治理、水源涵养、生物平衡、生态经济，综合治理水质量变差、水生态受损、水资源减少、水循环受阻、河湖岸线破坏问题，改善全流域生态环境系统。加强重点河湖治理，实施沙湖、阅海等河湖生态修复与综合治理工程，增强河湖生态调节能力，促进河湖生态系统健康。”</w:t>
            </w:r>
            <w:r>
              <w:rPr>
                <w:rFonts w:hint="default" w:ascii="Times New Roman" w:hAnsi="Times New Roman" w:cs="Times New Roman" w:eastAsiaTheme="minorEastAsia"/>
                <w:color w:val="auto"/>
                <w:sz w:val="24"/>
                <w:szCs w:val="20"/>
                <w:highlight w:val="none"/>
                <w:lang w:val="en-US" w:eastAsia="zh-CN" w:bidi="en-US"/>
              </w:rPr>
              <w:t>。</w:t>
            </w:r>
          </w:p>
          <w:p w14:paraId="6CB93D49">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cs="Times New Roman" w:eastAsiaTheme="minorEastAsia"/>
                <w:color w:val="auto"/>
                <w:sz w:val="24"/>
                <w:szCs w:val="20"/>
                <w:highlight w:val="none"/>
                <w:lang w:val="en-US" w:eastAsia="zh-CN" w:bidi="en-US"/>
              </w:rPr>
            </w:pPr>
            <w:r>
              <w:rPr>
                <w:rFonts w:hint="default" w:ascii="Times New Roman" w:hAnsi="Times New Roman" w:cs="Times New Roman" w:eastAsiaTheme="minorEastAsia"/>
                <w:color w:val="auto"/>
                <w:sz w:val="24"/>
                <w:szCs w:val="20"/>
                <w:highlight w:val="none"/>
                <w:lang w:val="en-US" w:eastAsia="zh-CN" w:bidi="en-US"/>
              </w:rPr>
              <w:t>本项目</w:t>
            </w:r>
            <w:r>
              <w:rPr>
                <w:rFonts w:hint="eastAsia" w:cs="Times New Roman" w:eastAsiaTheme="minorEastAsia"/>
                <w:color w:val="auto"/>
                <w:sz w:val="24"/>
                <w:szCs w:val="20"/>
                <w:highlight w:val="none"/>
                <w:lang w:val="en-US" w:eastAsia="zh-CN" w:bidi="en-US"/>
              </w:rPr>
              <w:t>所治理沟道高崖沟为入黄沟道，项目为高崖沟边坡砌护及</w:t>
            </w:r>
            <w:r>
              <w:rPr>
                <w:rFonts w:hint="default" w:ascii="Times New Roman" w:hAnsi="Times New Roman" w:cs="Times New Roman" w:eastAsiaTheme="minorEastAsia"/>
                <w:color w:val="auto"/>
                <w:sz w:val="24"/>
                <w:szCs w:val="20"/>
                <w:highlight w:val="none"/>
                <w:lang w:val="en-US" w:eastAsia="zh-CN" w:bidi="en-US"/>
              </w:rPr>
              <w:t>河道清淤治理</w:t>
            </w:r>
            <w:r>
              <w:rPr>
                <w:rFonts w:hint="eastAsia" w:cs="Times New Roman" w:eastAsiaTheme="minorEastAsia"/>
                <w:color w:val="auto"/>
                <w:sz w:val="24"/>
                <w:szCs w:val="20"/>
                <w:highlight w:val="none"/>
                <w:lang w:val="en-US" w:eastAsia="zh-CN" w:bidi="en-US"/>
              </w:rPr>
              <w:t>项目，项目边坡砌护工程的实施有利于增强沟道两侧护岸稳定，减少由于水流侧向冲刷造成的水土流失，沟道清淤工程的实施有利于行洪通畅</w:t>
            </w:r>
            <w:r>
              <w:rPr>
                <w:rFonts w:hint="eastAsia" w:cs="Times New Roman" w:eastAsiaTheme="minorEastAsia"/>
                <w:color w:val="auto"/>
                <w:sz w:val="24"/>
                <w:szCs w:val="24"/>
                <w:highlight w:val="none"/>
                <w:lang w:val="en-US" w:eastAsia="zh-CN" w:bidi="en-US"/>
              </w:rPr>
              <w:t>，</w:t>
            </w:r>
            <w:r>
              <w:rPr>
                <w:rFonts w:hint="eastAsia" w:cs="Times New Roman"/>
                <w:color w:val="auto"/>
                <w:sz w:val="24"/>
                <w:szCs w:val="24"/>
                <w:highlight w:val="none"/>
                <w:lang w:val="en-US" w:eastAsia="zh-CN"/>
              </w:rPr>
              <w:t>使得沟道行洪更为流畅，清淤后增加水体流动及自净，对高崖沟丰水期沟道水环境质量有正向作用</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kern w:val="0"/>
                <w:sz w:val="24"/>
                <w:szCs w:val="24"/>
                <w:highlight w:val="none"/>
                <w:lang w:val="en-US" w:eastAsia="zh-CN" w:bidi="ar-SA"/>
              </w:rPr>
              <w:t>因此，本项目符合《中卫市水生态环境保护“十四五”规划》相关要求。</w:t>
            </w:r>
          </w:p>
          <w:p w14:paraId="376D141E">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cs="Times New Roman" w:eastAsiaTheme="minorEastAsia"/>
                <w:color w:val="auto"/>
                <w:sz w:val="24"/>
                <w:szCs w:val="20"/>
                <w:highlight w:val="none"/>
                <w:lang w:val="en-US" w:eastAsia="zh-CN" w:bidi="en-US"/>
              </w:rPr>
            </w:pPr>
          </w:p>
          <w:p w14:paraId="1AAC9D06">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cs="Times New Roman" w:eastAsiaTheme="minorEastAsia"/>
                <w:color w:val="auto"/>
                <w:sz w:val="24"/>
                <w:szCs w:val="20"/>
                <w:highlight w:val="none"/>
                <w:lang w:val="en-US" w:eastAsia="zh-CN" w:bidi="en-US"/>
              </w:rPr>
            </w:pPr>
          </w:p>
          <w:p w14:paraId="0ECE77B8">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cs="Times New Roman" w:eastAsiaTheme="minorEastAsia"/>
                <w:color w:val="auto"/>
                <w:sz w:val="24"/>
                <w:szCs w:val="20"/>
                <w:highlight w:val="none"/>
                <w:lang w:val="en-US" w:eastAsia="zh-CN" w:bidi="en-US"/>
              </w:rPr>
            </w:pPr>
          </w:p>
          <w:p w14:paraId="0245F572">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cs="Times New Roman" w:eastAsiaTheme="minorEastAsia"/>
                <w:color w:val="auto"/>
                <w:sz w:val="24"/>
                <w:szCs w:val="20"/>
                <w:highlight w:val="none"/>
                <w:lang w:val="en-US" w:eastAsia="zh-CN" w:bidi="en-US"/>
              </w:rPr>
            </w:pPr>
          </w:p>
          <w:p w14:paraId="42B4E427">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cs="Times New Roman" w:eastAsiaTheme="minorEastAsia"/>
                <w:color w:val="auto"/>
                <w:sz w:val="24"/>
                <w:szCs w:val="20"/>
                <w:highlight w:val="none"/>
                <w:lang w:val="en-US" w:eastAsia="zh-CN" w:bidi="en-US"/>
              </w:rPr>
            </w:pPr>
          </w:p>
          <w:p w14:paraId="3BA0B7FF">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cs="Times New Roman" w:eastAsiaTheme="minorEastAsia"/>
                <w:color w:val="auto"/>
                <w:sz w:val="24"/>
                <w:szCs w:val="20"/>
                <w:highlight w:val="none"/>
                <w:lang w:val="en-US" w:eastAsia="zh-CN" w:bidi="en-US"/>
              </w:rPr>
            </w:pPr>
          </w:p>
          <w:p w14:paraId="6A5ED15F">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cs="Times New Roman" w:eastAsiaTheme="minorEastAsia"/>
                <w:color w:val="auto"/>
                <w:sz w:val="24"/>
                <w:szCs w:val="20"/>
                <w:highlight w:val="none"/>
                <w:lang w:val="en-US" w:eastAsia="zh-CN" w:bidi="en-US"/>
              </w:rPr>
            </w:pPr>
          </w:p>
          <w:p w14:paraId="20C39C0C">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cs="Times New Roman" w:eastAsiaTheme="minorEastAsia"/>
                <w:color w:val="auto"/>
                <w:sz w:val="24"/>
                <w:szCs w:val="20"/>
                <w:highlight w:val="none"/>
                <w:lang w:val="en-US" w:eastAsia="zh-CN" w:bidi="en-US"/>
              </w:rPr>
            </w:pPr>
          </w:p>
          <w:p w14:paraId="4AA866BE">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cs="Times New Roman" w:eastAsiaTheme="minorEastAsia"/>
                <w:color w:val="auto"/>
                <w:sz w:val="24"/>
                <w:szCs w:val="20"/>
                <w:highlight w:val="none"/>
                <w:lang w:val="en-US" w:eastAsia="zh-CN" w:bidi="en-US"/>
              </w:rPr>
            </w:pPr>
          </w:p>
          <w:p w14:paraId="62EB1599">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cs="Times New Roman" w:eastAsiaTheme="minorEastAsia"/>
                <w:color w:val="auto"/>
                <w:sz w:val="24"/>
                <w:szCs w:val="20"/>
                <w:highlight w:val="none"/>
                <w:lang w:val="en-US" w:eastAsia="zh-CN" w:bidi="en-US"/>
              </w:rPr>
            </w:pPr>
          </w:p>
          <w:p w14:paraId="56FF3756">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cs="Times New Roman" w:eastAsiaTheme="minorEastAsia"/>
                <w:color w:val="auto"/>
                <w:sz w:val="24"/>
                <w:szCs w:val="20"/>
                <w:highlight w:val="none"/>
                <w:lang w:val="en-US" w:eastAsia="zh-CN" w:bidi="en-US"/>
              </w:rPr>
            </w:pPr>
          </w:p>
          <w:p w14:paraId="5E3C9EA7">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cs="Times New Roman" w:eastAsiaTheme="minorEastAsia"/>
                <w:color w:val="auto"/>
                <w:sz w:val="24"/>
                <w:szCs w:val="20"/>
                <w:highlight w:val="none"/>
                <w:lang w:val="en-US" w:eastAsia="zh-CN" w:bidi="en-US"/>
              </w:rPr>
            </w:pPr>
          </w:p>
          <w:p w14:paraId="27C5410D">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cs="Times New Roman" w:eastAsiaTheme="minorEastAsia"/>
                <w:color w:val="auto"/>
                <w:sz w:val="24"/>
                <w:szCs w:val="20"/>
                <w:highlight w:val="none"/>
                <w:lang w:val="en-US" w:eastAsia="zh-CN" w:bidi="en-US"/>
              </w:rPr>
            </w:pPr>
          </w:p>
          <w:p w14:paraId="3E0A20A5">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cs="Times New Roman" w:eastAsiaTheme="minorEastAsia"/>
                <w:color w:val="auto"/>
                <w:sz w:val="24"/>
                <w:szCs w:val="20"/>
                <w:highlight w:val="none"/>
                <w:lang w:val="en-US" w:eastAsia="zh-CN" w:bidi="en-US"/>
              </w:rPr>
            </w:pPr>
          </w:p>
          <w:p w14:paraId="2459FFF3">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cs="Times New Roman" w:eastAsiaTheme="minorEastAsia"/>
                <w:color w:val="auto"/>
                <w:sz w:val="24"/>
                <w:szCs w:val="20"/>
                <w:highlight w:val="none"/>
                <w:lang w:val="en-US" w:eastAsia="zh-CN" w:bidi="en-US"/>
              </w:rPr>
            </w:pPr>
          </w:p>
          <w:p w14:paraId="5D8E71FD">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cs="Times New Roman" w:eastAsiaTheme="minorEastAsia"/>
                <w:color w:val="auto"/>
                <w:sz w:val="24"/>
                <w:szCs w:val="20"/>
                <w:highlight w:val="none"/>
                <w:lang w:val="en-US" w:eastAsia="zh-CN" w:bidi="en-US"/>
              </w:rPr>
            </w:pPr>
          </w:p>
          <w:p w14:paraId="70E7D86F">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cs="Times New Roman" w:eastAsiaTheme="minorEastAsia"/>
                <w:color w:val="auto"/>
                <w:sz w:val="24"/>
                <w:szCs w:val="20"/>
                <w:highlight w:val="none"/>
                <w:lang w:val="en-US" w:eastAsia="zh-CN" w:bidi="en-US"/>
              </w:rPr>
            </w:pPr>
          </w:p>
          <w:p w14:paraId="1093FFF6">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cs="Times New Roman" w:eastAsiaTheme="minorEastAsia"/>
                <w:color w:val="auto"/>
                <w:sz w:val="24"/>
                <w:szCs w:val="20"/>
                <w:highlight w:val="none"/>
                <w:lang w:val="en-US" w:eastAsia="zh-CN" w:bidi="en-US"/>
              </w:rPr>
            </w:pPr>
          </w:p>
          <w:p w14:paraId="6A111EAF">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cs="Times New Roman" w:eastAsiaTheme="minorEastAsia"/>
                <w:color w:val="auto"/>
                <w:sz w:val="24"/>
                <w:szCs w:val="20"/>
                <w:highlight w:val="none"/>
                <w:lang w:val="en-US" w:eastAsia="zh-CN" w:bidi="en-US"/>
              </w:rPr>
            </w:pPr>
          </w:p>
          <w:p w14:paraId="0E6AF72B">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cs="Times New Roman" w:eastAsiaTheme="minorEastAsia"/>
                <w:color w:val="auto"/>
                <w:sz w:val="24"/>
                <w:szCs w:val="20"/>
                <w:highlight w:val="none"/>
                <w:lang w:val="en-US" w:eastAsia="zh-CN" w:bidi="en-US"/>
              </w:rPr>
            </w:pPr>
          </w:p>
          <w:p w14:paraId="1C58982C">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cs="Times New Roman" w:eastAsiaTheme="minorEastAsia"/>
                <w:color w:val="auto"/>
                <w:sz w:val="24"/>
                <w:szCs w:val="20"/>
                <w:highlight w:val="none"/>
                <w:lang w:val="en-US" w:eastAsia="zh-CN" w:bidi="en-US"/>
              </w:rPr>
            </w:pPr>
          </w:p>
          <w:p w14:paraId="046A7A76">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cs="Times New Roman" w:eastAsiaTheme="minorEastAsia"/>
                <w:color w:val="auto"/>
                <w:sz w:val="24"/>
                <w:szCs w:val="20"/>
                <w:highlight w:val="none"/>
                <w:lang w:val="en-US" w:eastAsia="zh-CN" w:bidi="en-US"/>
              </w:rPr>
            </w:pPr>
          </w:p>
          <w:p w14:paraId="5E7EB5A7">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cs="Times New Roman" w:eastAsiaTheme="minorEastAsia"/>
                <w:color w:val="auto"/>
                <w:sz w:val="24"/>
                <w:szCs w:val="20"/>
                <w:highlight w:val="none"/>
                <w:lang w:val="en-US" w:eastAsia="zh-CN" w:bidi="en-US"/>
              </w:rPr>
            </w:pPr>
          </w:p>
          <w:p w14:paraId="4BEA939F">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cs="Times New Roman" w:eastAsiaTheme="minorEastAsia"/>
                <w:color w:val="auto"/>
                <w:sz w:val="24"/>
                <w:szCs w:val="20"/>
                <w:highlight w:val="none"/>
                <w:lang w:val="en-US" w:eastAsia="zh-CN" w:bidi="en-US"/>
              </w:rPr>
            </w:pPr>
          </w:p>
          <w:p w14:paraId="56087A0B">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eastAsia="仿宋_GB2312" w:cs="Times New Roman"/>
                <w:color w:val="auto"/>
                <w:kern w:val="0"/>
                <w:sz w:val="24"/>
                <w:highlight w:val="none"/>
                <w:lang w:val="en-US" w:eastAsia="zh-CN"/>
              </w:rPr>
            </w:pPr>
          </w:p>
        </w:tc>
      </w:tr>
    </w:tbl>
    <w:p w14:paraId="5F2BC172">
      <w:pPr>
        <w:spacing w:line="360" w:lineRule="auto"/>
        <w:outlineLvl w:val="0"/>
        <w:rPr>
          <w:rFonts w:hint="default" w:ascii="Times New Roman" w:hAnsi="Times New Roman" w:eastAsia="黑体" w:cs="Times New Roman"/>
          <w:color w:val="auto"/>
          <w:sz w:val="30"/>
          <w:highlight w:val="none"/>
        </w:rPr>
        <w:sectPr>
          <w:footerReference r:id="rId6" w:type="default"/>
          <w:pgSz w:w="11906" w:h="16838"/>
          <w:pgMar w:top="1701" w:right="1417" w:bottom="1701" w:left="1417" w:header="851" w:footer="1077" w:gutter="0"/>
          <w:pgBorders>
            <w:top w:val="none" w:sz="0" w:space="0"/>
            <w:left w:val="none" w:sz="0" w:space="0"/>
            <w:bottom w:val="none" w:sz="0" w:space="0"/>
            <w:right w:val="none" w:sz="0" w:space="0"/>
          </w:pgBorders>
          <w:pgNumType w:fmt="numberInDash" w:start="1"/>
          <w:cols w:space="720" w:num="1"/>
          <w:docGrid w:linePitch="312" w:charSpace="0"/>
        </w:sectPr>
      </w:pPr>
    </w:p>
    <w:p w14:paraId="2C7D0C3E">
      <w:pPr>
        <w:pStyle w:val="22"/>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highlight w:val="none"/>
          <w:lang w:eastAsia="zh-CN"/>
        </w:rPr>
      </w:pPr>
      <w:r>
        <w:rPr>
          <w:rFonts w:hint="default" w:ascii="Times New Roman" w:hAnsi="Times New Roman" w:eastAsia="黑体" w:cs="Times New Roman"/>
          <w:snapToGrid w:val="0"/>
          <w:color w:val="auto"/>
          <w:sz w:val="30"/>
          <w:szCs w:val="30"/>
          <w:highlight w:val="none"/>
        </w:rPr>
        <w:t>二、建设</w:t>
      </w:r>
      <w:r>
        <w:rPr>
          <w:rFonts w:hint="default" w:ascii="Times New Roman" w:hAnsi="Times New Roman" w:eastAsia="黑体" w:cs="Times New Roman"/>
          <w:snapToGrid w:val="0"/>
          <w:color w:val="auto"/>
          <w:sz w:val="30"/>
          <w:szCs w:val="30"/>
          <w:highlight w:val="none"/>
          <w:lang w:eastAsia="zh-CN"/>
        </w:rPr>
        <w:t>内容</w:t>
      </w: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485"/>
        <w:gridCol w:w="8558"/>
      </w:tblGrid>
      <w:tr w14:paraId="51289898">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911" w:hRule="atLeast"/>
          <w:jc w:val="center"/>
        </w:trPr>
        <w:tc>
          <w:tcPr>
            <w:tcW w:w="485" w:type="dxa"/>
            <w:tcBorders>
              <w:tl2br w:val="nil"/>
              <w:tr2bl w:val="nil"/>
            </w:tcBorders>
            <w:vAlign w:val="center"/>
          </w:tcPr>
          <w:p w14:paraId="155932C3">
            <w:pPr>
              <w:pStyle w:val="22"/>
              <w:adjustRightInd w:val="0"/>
              <w:snapToGrid w:val="0"/>
              <w:spacing w:before="0" w:beforeAutospacing="0" w:after="0" w:afterAutospacing="0"/>
              <w:jc w:val="center"/>
              <w:rPr>
                <w:rFonts w:hint="default" w:ascii="Times New Roman" w:hAnsi="Times New Roman" w:eastAsia="宋体" w:cs="Times New Roman"/>
                <w:b/>
                <w:bCs/>
                <w:color w:val="auto"/>
                <w:szCs w:val="24"/>
                <w:highlight w:val="none"/>
                <w:lang w:eastAsia="zh-CN"/>
              </w:rPr>
            </w:pPr>
            <w:r>
              <w:rPr>
                <w:rFonts w:hint="default" w:ascii="Times New Roman" w:hAnsi="Times New Roman" w:cs="Times New Roman"/>
                <w:b/>
                <w:bCs/>
                <w:color w:val="auto"/>
                <w:szCs w:val="24"/>
                <w:highlight w:val="none"/>
                <w:lang w:eastAsia="zh-CN"/>
              </w:rPr>
              <w:t>地理位置</w:t>
            </w:r>
          </w:p>
        </w:tc>
        <w:tc>
          <w:tcPr>
            <w:tcW w:w="8558" w:type="dxa"/>
            <w:tcBorders>
              <w:tl2br w:val="nil"/>
              <w:tr2bl w:val="nil"/>
            </w:tcBorders>
          </w:tcPr>
          <w:p w14:paraId="6451DC07">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eastAsiaTheme="minorEastAsia"/>
                <w:color w:val="auto"/>
                <w:sz w:val="24"/>
                <w:szCs w:val="20"/>
                <w:highlight w:val="none"/>
                <w:lang w:val="en-US" w:eastAsia="zh-CN" w:bidi="en-US"/>
              </w:rPr>
            </w:pPr>
            <w:r>
              <w:rPr>
                <w:rFonts w:hint="default" w:ascii="Times New Roman" w:hAnsi="Times New Roman" w:cs="Times New Roman" w:eastAsiaTheme="minorEastAsia"/>
                <w:color w:val="auto"/>
                <w:sz w:val="24"/>
                <w:szCs w:val="20"/>
                <w:highlight w:val="none"/>
                <w:lang w:val="en-US" w:eastAsia="zh-CN" w:bidi="en-US"/>
              </w:rPr>
              <w:t>本项目位于宁夏回族自治区中卫市沙坡头区，</w:t>
            </w:r>
            <w:r>
              <w:rPr>
                <w:rFonts w:hint="eastAsia" w:ascii="Times New Roman" w:hAnsi="Times New Roman" w:eastAsia="宋体" w:cs="Times New Roman"/>
                <w:color w:val="auto"/>
                <w:kern w:val="0"/>
                <w:sz w:val="24"/>
                <w:highlight w:val="none"/>
                <w:lang w:val="en-US" w:eastAsia="zh-CN"/>
              </w:rPr>
              <w:t>本项目主要在高崖沟内实施边坡砌护、沟道清淤、巡护道路修建等工程，其中清淤共三段，两侧边坡砌护共计29段（相对较为集中，大体上分为上游、下游2大段），巡护道路1段，</w:t>
            </w:r>
            <w:r>
              <w:rPr>
                <w:rFonts w:hint="eastAsia" w:cs="Times New Roman" w:eastAsiaTheme="minorEastAsia"/>
                <w:color w:val="auto"/>
                <w:sz w:val="24"/>
                <w:szCs w:val="20"/>
                <w:highlight w:val="none"/>
                <w:lang w:val="en-US" w:eastAsia="zh-CN" w:bidi="en-US"/>
              </w:rPr>
              <w:t>在沿线新增布设自动雨量站8座，视频水位一体化监测站5座，河道水情监测站4座，</w:t>
            </w:r>
            <w:r>
              <w:rPr>
                <w:rFonts w:hint="eastAsia" w:cs="Times New Roman"/>
                <w:color w:val="auto"/>
                <w:kern w:val="0"/>
                <w:sz w:val="24"/>
                <w:highlight w:val="none"/>
                <w:lang w:val="en-US" w:eastAsia="zh-CN"/>
              </w:rPr>
              <w:t>本项目</w:t>
            </w:r>
            <w:r>
              <w:rPr>
                <w:rFonts w:hint="eastAsia" w:ascii="Times New Roman" w:hAnsi="Times New Roman" w:eastAsia="宋体" w:cs="Times New Roman"/>
                <w:color w:val="auto"/>
                <w:kern w:val="0"/>
                <w:sz w:val="24"/>
                <w:highlight w:val="none"/>
                <w:lang w:val="en-US" w:eastAsia="zh-CN"/>
              </w:rPr>
              <w:t>各工程坐标见表</w:t>
            </w:r>
            <w:r>
              <w:rPr>
                <w:rFonts w:hint="eastAsia" w:cs="Times New Roman"/>
                <w:color w:val="auto"/>
                <w:kern w:val="0"/>
                <w:sz w:val="24"/>
                <w:highlight w:val="none"/>
                <w:lang w:val="en-US" w:eastAsia="zh-CN"/>
              </w:rPr>
              <w:t>2-1，</w:t>
            </w:r>
            <w:r>
              <w:rPr>
                <w:rFonts w:hint="default" w:ascii="Times New Roman" w:hAnsi="Times New Roman" w:cs="Times New Roman" w:eastAsiaTheme="minorEastAsia"/>
                <w:color w:val="auto"/>
                <w:sz w:val="24"/>
                <w:szCs w:val="20"/>
                <w:highlight w:val="none"/>
                <w:lang w:val="en-US" w:eastAsia="zh-CN" w:bidi="en-US"/>
              </w:rPr>
              <w:t>与中卫市沙坡头区行政区划位置关系见图2-1，本项目地理位置及周边环境关系见图2-2。</w:t>
            </w:r>
          </w:p>
          <w:p w14:paraId="284005CF">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黑体" w:cs="Times New Roman"/>
                <w:bCs/>
                <w:color w:val="auto"/>
                <w:kern w:val="2"/>
                <w:sz w:val="24"/>
                <w:szCs w:val="24"/>
                <w:highlight w:val="none"/>
                <w:lang w:val="en-US" w:eastAsia="zh-CN" w:bidi="ar-SA"/>
              </w:rPr>
            </w:pPr>
            <w:r>
              <w:rPr>
                <w:rFonts w:hint="eastAsia" w:ascii="Times New Roman" w:hAnsi="Times New Roman" w:eastAsia="黑体" w:cs="Times New Roman"/>
                <w:bCs/>
                <w:color w:val="auto"/>
                <w:kern w:val="2"/>
                <w:sz w:val="24"/>
                <w:szCs w:val="24"/>
                <w:highlight w:val="none"/>
                <w:lang w:val="en-US" w:eastAsia="zh-CN" w:bidi="ar-SA"/>
              </w:rPr>
              <w:t>表</w:t>
            </w:r>
            <w:r>
              <w:rPr>
                <w:rFonts w:hint="eastAsia" w:eastAsia="黑体" w:cs="Times New Roman"/>
                <w:bCs/>
                <w:color w:val="auto"/>
                <w:kern w:val="2"/>
                <w:sz w:val="24"/>
                <w:szCs w:val="24"/>
                <w:highlight w:val="none"/>
                <w:lang w:val="en-US" w:eastAsia="zh-CN" w:bidi="ar-SA"/>
              </w:rPr>
              <w:t>2</w:t>
            </w:r>
            <w:r>
              <w:rPr>
                <w:rFonts w:hint="eastAsia" w:ascii="Times New Roman" w:hAnsi="Times New Roman" w:eastAsia="黑体" w:cs="Times New Roman"/>
                <w:bCs/>
                <w:color w:val="auto"/>
                <w:kern w:val="2"/>
                <w:sz w:val="24"/>
                <w:szCs w:val="24"/>
                <w:highlight w:val="none"/>
                <w:lang w:val="en-US" w:eastAsia="zh-CN" w:bidi="ar-SA"/>
              </w:rPr>
              <w:t>-1  项目各工程坐标信息一览表</w:t>
            </w:r>
          </w:p>
          <w:tbl>
            <w:tblPr>
              <w:tblStyle w:val="2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0"/>
              <w:gridCol w:w="726"/>
              <w:gridCol w:w="1375"/>
              <w:gridCol w:w="1377"/>
              <w:gridCol w:w="2088"/>
              <w:gridCol w:w="2106"/>
            </w:tblGrid>
            <w:tr w14:paraId="2B7993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2" w:type="pct"/>
                  <w:tcBorders>
                    <w:tl2br w:val="nil"/>
                    <w:tr2bl w:val="nil"/>
                  </w:tcBorders>
                  <w:vAlign w:val="center"/>
                </w:tcPr>
                <w:p w14:paraId="736A8F1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序号</w:t>
                  </w:r>
                </w:p>
              </w:tc>
              <w:tc>
                <w:tcPr>
                  <w:tcW w:w="2084" w:type="pct"/>
                  <w:gridSpan w:val="3"/>
                  <w:tcBorders>
                    <w:tl2br w:val="nil"/>
                    <w:tr2bl w:val="nil"/>
                  </w:tcBorders>
                  <w:vAlign w:val="center"/>
                </w:tcPr>
                <w:p w14:paraId="1BEE359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工程（段）名称</w:t>
                  </w:r>
                </w:p>
              </w:tc>
              <w:tc>
                <w:tcPr>
                  <w:tcW w:w="1251" w:type="pct"/>
                  <w:tcBorders>
                    <w:tl2br w:val="nil"/>
                    <w:tr2bl w:val="nil"/>
                  </w:tcBorders>
                  <w:vAlign w:val="center"/>
                </w:tcPr>
                <w:p w14:paraId="2F7ADF4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起点坐标</w:t>
                  </w:r>
                </w:p>
              </w:tc>
              <w:tc>
                <w:tcPr>
                  <w:tcW w:w="1261" w:type="pct"/>
                  <w:tcBorders>
                    <w:tl2br w:val="nil"/>
                    <w:tr2bl w:val="nil"/>
                  </w:tcBorders>
                  <w:vAlign w:val="center"/>
                </w:tcPr>
                <w:p w14:paraId="75089A5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终点坐标</w:t>
                  </w:r>
                </w:p>
              </w:tc>
            </w:tr>
            <w:tr w14:paraId="247E47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2" w:type="pct"/>
                  <w:vMerge w:val="restart"/>
                  <w:tcBorders>
                    <w:tl2br w:val="nil"/>
                    <w:tr2bl w:val="nil"/>
                  </w:tcBorders>
                  <w:vAlign w:val="center"/>
                </w:tcPr>
                <w:p w14:paraId="14EA7C7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w:t>
                  </w:r>
                </w:p>
              </w:tc>
              <w:tc>
                <w:tcPr>
                  <w:tcW w:w="435" w:type="pct"/>
                  <w:vMerge w:val="restart"/>
                  <w:tcBorders>
                    <w:tl2br w:val="nil"/>
                    <w:tr2bl w:val="nil"/>
                  </w:tcBorders>
                  <w:vAlign w:val="center"/>
                </w:tcPr>
                <w:p w14:paraId="5C727BE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沟道清淤</w:t>
                  </w:r>
                </w:p>
              </w:tc>
              <w:tc>
                <w:tcPr>
                  <w:tcW w:w="1649" w:type="pct"/>
                  <w:gridSpan w:val="2"/>
                  <w:tcBorders>
                    <w:tl2br w:val="nil"/>
                    <w:tr2bl w:val="nil"/>
                  </w:tcBorders>
                  <w:vAlign w:val="center"/>
                </w:tcPr>
                <w:p w14:paraId="465DC4A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GY0+000</w:t>
                  </w:r>
                  <w:r>
                    <w:rPr>
                      <w:rFonts w:hint="eastAsia" w:cs="Times New Roman"/>
                      <w:color w:val="auto"/>
                      <w:sz w:val="21"/>
                      <w:szCs w:val="21"/>
                      <w:highlight w:val="none"/>
                      <w:vertAlign w:val="baseline"/>
                      <w:lang w:val="en-US" w:eastAsia="zh-CN"/>
                    </w:rPr>
                    <w:t>~G</w:t>
                  </w:r>
                  <w:r>
                    <w:rPr>
                      <w:rFonts w:hint="default" w:ascii="Times New Roman" w:hAnsi="Times New Roman" w:eastAsia="宋体" w:cs="Times New Roman"/>
                      <w:color w:val="auto"/>
                      <w:sz w:val="21"/>
                      <w:szCs w:val="21"/>
                      <w:highlight w:val="none"/>
                      <w:vertAlign w:val="baseline"/>
                      <w:lang w:val="en-US" w:eastAsia="zh-CN"/>
                    </w:rPr>
                    <w:t>Y1+130</w:t>
                  </w:r>
                </w:p>
              </w:tc>
              <w:tc>
                <w:tcPr>
                  <w:tcW w:w="1251" w:type="pct"/>
                  <w:tcBorders>
                    <w:tl2br w:val="nil"/>
                    <w:tr2bl w:val="nil"/>
                  </w:tcBorders>
                  <w:vAlign w:val="center"/>
                </w:tcPr>
                <w:p w14:paraId="01BA759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w:t>
                  </w:r>
                  <w:r>
                    <w:rPr>
                      <w:rFonts w:hint="default" w:ascii="Times New Roman" w:hAnsi="Times New Roman" w:eastAsia="宋体" w:cs="Times New Roman"/>
                      <w:color w:val="auto"/>
                      <w:sz w:val="21"/>
                      <w:szCs w:val="21"/>
                      <w:highlight w:val="none"/>
                      <w:vertAlign w:val="baseline"/>
                      <w:lang w:val="en-US" w:eastAsia="zh-CN"/>
                    </w:rPr>
                    <w:t>105°14'39.245"</w:t>
                  </w:r>
                </w:p>
                <w:p w14:paraId="598AB7F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N：</w:t>
                  </w:r>
                  <w:r>
                    <w:rPr>
                      <w:rFonts w:hint="default" w:ascii="Times New Roman" w:hAnsi="Times New Roman" w:eastAsia="宋体" w:cs="Times New Roman"/>
                      <w:color w:val="auto"/>
                      <w:sz w:val="21"/>
                      <w:szCs w:val="21"/>
                      <w:highlight w:val="none"/>
                      <w:vertAlign w:val="baseline"/>
                      <w:lang w:val="en-US" w:eastAsia="zh-CN"/>
                    </w:rPr>
                    <w:t>36°53'20.996"</w:t>
                  </w:r>
                </w:p>
              </w:tc>
              <w:tc>
                <w:tcPr>
                  <w:tcW w:w="1261" w:type="pct"/>
                  <w:tcBorders>
                    <w:tl2br w:val="nil"/>
                    <w:tr2bl w:val="nil"/>
                  </w:tcBorders>
                  <w:vAlign w:val="center"/>
                </w:tcPr>
                <w:p w14:paraId="0C56566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w:t>
                  </w:r>
                  <w:r>
                    <w:rPr>
                      <w:rFonts w:hint="default" w:ascii="Times New Roman" w:hAnsi="Times New Roman" w:eastAsia="宋体" w:cs="Times New Roman"/>
                      <w:color w:val="auto"/>
                      <w:sz w:val="21"/>
                      <w:szCs w:val="21"/>
                      <w:highlight w:val="none"/>
                      <w:vertAlign w:val="baseline"/>
                      <w:lang w:val="en-US" w:eastAsia="zh-CN"/>
                    </w:rPr>
                    <w:t>105°14'48.34</w:t>
                  </w:r>
                  <w:r>
                    <w:rPr>
                      <w:rFonts w:hint="eastAsia" w:cs="Times New Roman"/>
                      <w:color w:val="auto"/>
                      <w:sz w:val="21"/>
                      <w:szCs w:val="21"/>
                      <w:highlight w:val="none"/>
                      <w:vertAlign w:val="baseline"/>
                      <w:lang w:val="en-US" w:eastAsia="zh-CN"/>
                    </w:rPr>
                    <w:t>1</w:t>
                  </w:r>
                  <w:r>
                    <w:rPr>
                      <w:rFonts w:hint="default" w:ascii="Times New Roman" w:hAnsi="Times New Roman" w:eastAsia="宋体" w:cs="Times New Roman"/>
                      <w:color w:val="auto"/>
                      <w:sz w:val="21"/>
                      <w:szCs w:val="21"/>
                      <w:highlight w:val="none"/>
                      <w:vertAlign w:val="baseline"/>
                      <w:lang w:val="en-US" w:eastAsia="zh-CN"/>
                    </w:rPr>
                    <w:t>"</w:t>
                  </w:r>
                </w:p>
                <w:p w14:paraId="0B835E9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N：</w:t>
                  </w:r>
                  <w:r>
                    <w:rPr>
                      <w:rFonts w:hint="default" w:ascii="Times New Roman" w:hAnsi="Times New Roman" w:eastAsia="宋体" w:cs="Times New Roman"/>
                      <w:color w:val="auto"/>
                      <w:sz w:val="21"/>
                      <w:szCs w:val="21"/>
                      <w:highlight w:val="none"/>
                      <w:vertAlign w:val="baseline"/>
                      <w:lang w:val="en-US" w:eastAsia="zh-CN"/>
                    </w:rPr>
                    <w:t>36°53'53.188"</w:t>
                  </w:r>
                </w:p>
              </w:tc>
            </w:tr>
            <w:tr w14:paraId="4BC04B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402" w:type="pct"/>
                  <w:vMerge w:val="continue"/>
                  <w:tcBorders>
                    <w:tl2br w:val="nil"/>
                    <w:tr2bl w:val="nil"/>
                  </w:tcBorders>
                  <w:vAlign w:val="center"/>
                </w:tcPr>
                <w:p w14:paraId="69DA4B4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35" w:type="pct"/>
                  <w:vMerge w:val="continue"/>
                  <w:tcBorders>
                    <w:tl2br w:val="nil"/>
                    <w:tr2bl w:val="nil"/>
                  </w:tcBorders>
                  <w:vAlign w:val="center"/>
                </w:tcPr>
                <w:p w14:paraId="5362F2A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649" w:type="pct"/>
                  <w:gridSpan w:val="2"/>
                  <w:tcBorders>
                    <w:tl2br w:val="nil"/>
                    <w:tr2bl w:val="nil"/>
                  </w:tcBorders>
                  <w:vAlign w:val="center"/>
                </w:tcPr>
                <w:p w14:paraId="2FED56D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GY4+800</w:t>
                  </w:r>
                  <w:r>
                    <w:rPr>
                      <w:rFonts w:hint="eastAsia" w:cs="Times New Roman"/>
                      <w:color w:val="auto"/>
                      <w:sz w:val="21"/>
                      <w:szCs w:val="21"/>
                      <w:highlight w:val="none"/>
                      <w:vertAlign w:val="baseline"/>
                      <w:lang w:val="en-US" w:eastAsia="zh-CN"/>
                    </w:rPr>
                    <w:t>~G</w:t>
                  </w:r>
                  <w:r>
                    <w:rPr>
                      <w:rFonts w:hint="default" w:ascii="Times New Roman" w:hAnsi="Times New Roman" w:eastAsia="宋体" w:cs="Times New Roman"/>
                      <w:color w:val="auto"/>
                      <w:sz w:val="21"/>
                      <w:szCs w:val="21"/>
                      <w:highlight w:val="none"/>
                      <w:vertAlign w:val="baseline"/>
                      <w:lang w:val="en-US" w:eastAsia="zh-CN"/>
                    </w:rPr>
                    <w:t>Y5+800</w:t>
                  </w:r>
                </w:p>
              </w:tc>
              <w:tc>
                <w:tcPr>
                  <w:tcW w:w="1251" w:type="pct"/>
                  <w:tcBorders>
                    <w:tl2br w:val="nil"/>
                    <w:tr2bl w:val="nil"/>
                  </w:tcBorders>
                  <w:vAlign w:val="center"/>
                </w:tcPr>
                <w:p w14:paraId="2C12279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w:t>
                  </w:r>
                  <w:r>
                    <w:rPr>
                      <w:rFonts w:hint="default" w:ascii="Times New Roman" w:hAnsi="Times New Roman" w:eastAsia="宋体" w:cs="Times New Roman"/>
                      <w:color w:val="auto"/>
                      <w:sz w:val="21"/>
                      <w:szCs w:val="21"/>
                      <w:highlight w:val="none"/>
                      <w:vertAlign w:val="baseline"/>
                      <w:lang w:val="en-US" w:eastAsia="zh-CN"/>
                    </w:rPr>
                    <w:t>105°15'32.120"</w:t>
                  </w:r>
                </w:p>
                <w:p w14:paraId="7D77BC0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N：</w:t>
                  </w:r>
                  <w:r>
                    <w:rPr>
                      <w:rFonts w:hint="default" w:ascii="Times New Roman" w:hAnsi="Times New Roman" w:eastAsia="宋体" w:cs="Times New Roman"/>
                      <w:color w:val="auto"/>
                      <w:sz w:val="21"/>
                      <w:szCs w:val="21"/>
                      <w:highlight w:val="none"/>
                      <w:vertAlign w:val="baseline"/>
                      <w:lang w:val="en-US" w:eastAsia="zh-CN"/>
                    </w:rPr>
                    <w:t>36°55'44.655"</w:t>
                  </w:r>
                </w:p>
              </w:tc>
              <w:tc>
                <w:tcPr>
                  <w:tcW w:w="1261" w:type="pct"/>
                  <w:tcBorders>
                    <w:tl2br w:val="nil"/>
                    <w:tr2bl w:val="nil"/>
                  </w:tcBorders>
                  <w:vAlign w:val="center"/>
                </w:tcPr>
                <w:p w14:paraId="764966A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w:t>
                  </w:r>
                  <w:r>
                    <w:rPr>
                      <w:rFonts w:hint="default" w:ascii="Times New Roman" w:hAnsi="Times New Roman" w:eastAsia="宋体" w:cs="Times New Roman"/>
                      <w:color w:val="auto"/>
                      <w:sz w:val="21"/>
                      <w:szCs w:val="21"/>
                      <w:highlight w:val="none"/>
                      <w:vertAlign w:val="baseline"/>
                      <w:lang w:val="en-US" w:eastAsia="zh-CN"/>
                    </w:rPr>
                    <w:t>105°15'46.155"</w:t>
                  </w:r>
                </w:p>
                <w:p w14:paraId="11AB7AA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N：</w:t>
                  </w:r>
                  <w:r>
                    <w:rPr>
                      <w:rFonts w:hint="default" w:ascii="Times New Roman" w:hAnsi="Times New Roman" w:eastAsia="宋体" w:cs="Times New Roman"/>
                      <w:color w:val="auto"/>
                      <w:sz w:val="21"/>
                      <w:szCs w:val="21"/>
                      <w:highlight w:val="none"/>
                      <w:vertAlign w:val="baseline"/>
                      <w:lang w:val="en-US" w:eastAsia="zh-CN"/>
                    </w:rPr>
                    <w:t>36°56'18.065"</w:t>
                  </w:r>
                </w:p>
              </w:tc>
            </w:tr>
            <w:tr w14:paraId="1677B4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2" w:type="pct"/>
                  <w:vMerge w:val="continue"/>
                  <w:tcBorders>
                    <w:tl2br w:val="nil"/>
                    <w:tr2bl w:val="nil"/>
                  </w:tcBorders>
                  <w:vAlign w:val="center"/>
                </w:tcPr>
                <w:p w14:paraId="68BB268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35" w:type="pct"/>
                  <w:vMerge w:val="continue"/>
                  <w:tcBorders>
                    <w:tl2br w:val="nil"/>
                    <w:tr2bl w:val="nil"/>
                  </w:tcBorders>
                  <w:vAlign w:val="center"/>
                </w:tcPr>
                <w:p w14:paraId="24CC193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649" w:type="pct"/>
                  <w:gridSpan w:val="2"/>
                  <w:tcBorders>
                    <w:tl2br w:val="nil"/>
                    <w:tr2bl w:val="nil"/>
                  </w:tcBorders>
                  <w:vAlign w:val="center"/>
                </w:tcPr>
                <w:p w14:paraId="41499B4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GY45+010~GY48+880</w:t>
                  </w:r>
                </w:p>
              </w:tc>
              <w:tc>
                <w:tcPr>
                  <w:tcW w:w="1251" w:type="pct"/>
                  <w:tcBorders>
                    <w:tl2br w:val="nil"/>
                    <w:tr2bl w:val="nil"/>
                  </w:tcBorders>
                  <w:vAlign w:val="center"/>
                </w:tcPr>
                <w:p w14:paraId="0C405C8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w:t>
                  </w:r>
                  <w:r>
                    <w:rPr>
                      <w:rFonts w:hint="default" w:ascii="Times New Roman" w:hAnsi="Times New Roman" w:eastAsia="宋体" w:cs="Times New Roman"/>
                      <w:color w:val="auto"/>
                      <w:sz w:val="21"/>
                      <w:szCs w:val="21"/>
                      <w:highlight w:val="none"/>
                      <w:vertAlign w:val="baseline"/>
                      <w:lang w:val="en-US" w:eastAsia="zh-CN"/>
                    </w:rPr>
                    <w:t>104°54'58.217"</w:t>
                  </w:r>
                </w:p>
                <w:p w14:paraId="13F2C60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N：</w:t>
                  </w:r>
                  <w:r>
                    <w:rPr>
                      <w:rFonts w:hint="default" w:ascii="Times New Roman" w:hAnsi="Times New Roman" w:eastAsia="宋体" w:cs="Times New Roman"/>
                      <w:color w:val="auto"/>
                      <w:sz w:val="21"/>
                      <w:szCs w:val="21"/>
                      <w:highlight w:val="none"/>
                      <w:vertAlign w:val="baseline"/>
                      <w:lang w:val="en-US" w:eastAsia="zh-CN"/>
                    </w:rPr>
                    <w:t>37°06'14.824"</w:t>
                  </w:r>
                </w:p>
              </w:tc>
              <w:tc>
                <w:tcPr>
                  <w:tcW w:w="1261" w:type="pct"/>
                  <w:tcBorders>
                    <w:tl2br w:val="nil"/>
                    <w:tr2bl w:val="nil"/>
                  </w:tcBorders>
                  <w:vAlign w:val="center"/>
                </w:tcPr>
                <w:p w14:paraId="359C811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w:t>
                  </w:r>
                  <w:r>
                    <w:rPr>
                      <w:rFonts w:hint="default" w:ascii="Times New Roman" w:hAnsi="Times New Roman" w:eastAsia="宋体" w:cs="Times New Roman"/>
                      <w:color w:val="auto"/>
                      <w:sz w:val="21"/>
                      <w:szCs w:val="21"/>
                      <w:highlight w:val="none"/>
                      <w:vertAlign w:val="baseline"/>
                      <w:lang w:val="en-US" w:eastAsia="zh-CN"/>
                    </w:rPr>
                    <w:t>104°54'48.039"</w:t>
                  </w:r>
                </w:p>
                <w:p w14:paraId="61C6CC9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N：</w:t>
                  </w:r>
                  <w:r>
                    <w:rPr>
                      <w:rFonts w:hint="default" w:ascii="Times New Roman" w:hAnsi="Times New Roman" w:eastAsia="宋体" w:cs="Times New Roman"/>
                      <w:color w:val="auto"/>
                      <w:sz w:val="21"/>
                      <w:szCs w:val="21"/>
                      <w:highlight w:val="none"/>
                      <w:vertAlign w:val="baseline"/>
                      <w:lang w:val="en-US" w:eastAsia="zh-CN"/>
                    </w:rPr>
                    <w:t>37°07'10.983"</w:t>
                  </w:r>
                </w:p>
              </w:tc>
            </w:tr>
            <w:tr w14:paraId="5C86CE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2" w:type="pct"/>
                  <w:vMerge w:val="restart"/>
                  <w:tcBorders>
                    <w:tl2br w:val="nil"/>
                    <w:tr2bl w:val="nil"/>
                  </w:tcBorders>
                  <w:vAlign w:val="center"/>
                </w:tcPr>
                <w:p w14:paraId="5150388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w:t>
                  </w:r>
                </w:p>
              </w:tc>
              <w:tc>
                <w:tcPr>
                  <w:tcW w:w="435" w:type="pct"/>
                  <w:vMerge w:val="restart"/>
                  <w:tcBorders>
                    <w:tl2br w:val="nil"/>
                    <w:tr2bl w:val="nil"/>
                  </w:tcBorders>
                  <w:vAlign w:val="center"/>
                </w:tcPr>
                <w:p w14:paraId="145E225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边坡砌护</w:t>
                  </w:r>
                </w:p>
              </w:tc>
              <w:tc>
                <w:tcPr>
                  <w:tcW w:w="1649" w:type="pct"/>
                  <w:gridSpan w:val="2"/>
                  <w:tcBorders>
                    <w:tl2br w:val="nil"/>
                    <w:tr2bl w:val="nil"/>
                  </w:tcBorders>
                  <w:vAlign w:val="center"/>
                </w:tcPr>
                <w:p w14:paraId="6EEDC52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上游段</w:t>
                  </w:r>
                </w:p>
                <w:p w14:paraId="7F7448F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（GY2+000~GY3+000、GY3+200~GY3+600、GY4+400~GY5+340、GY6+840~GY8+240、GY8+500~GY8+900、GY10+400~GY10+800、GY11+200~GY11+600）</w:t>
                  </w:r>
                </w:p>
              </w:tc>
              <w:tc>
                <w:tcPr>
                  <w:tcW w:w="1251" w:type="pct"/>
                  <w:tcBorders>
                    <w:tl2br w:val="nil"/>
                    <w:tr2bl w:val="nil"/>
                  </w:tcBorders>
                  <w:vAlign w:val="center"/>
                </w:tcPr>
                <w:p w14:paraId="0EC1983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w:t>
                  </w:r>
                  <w:r>
                    <w:rPr>
                      <w:rFonts w:hint="default" w:ascii="Times New Roman" w:hAnsi="Times New Roman" w:eastAsia="宋体" w:cs="Times New Roman"/>
                      <w:color w:val="auto"/>
                      <w:sz w:val="21"/>
                      <w:szCs w:val="21"/>
                      <w:highlight w:val="none"/>
                      <w:vertAlign w:val="baseline"/>
                      <w:lang w:val="en-US" w:eastAsia="zh-CN"/>
                    </w:rPr>
                    <w:t>105°15'16.624"</w:t>
                  </w:r>
                </w:p>
                <w:p w14:paraId="5445913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N：</w:t>
                  </w:r>
                  <w:r>
                    <w:rPr>
                      <w:rFonts w:hint="default" w:ascii="Times New Roman" w:hAnsi="Times New Roman" w:eastAsia="宋体" w:cs="Times New Roman"/>
                      <w:color w:val="auto"/>
                      <w:sz w:val="21"/>
                      <w:szCs w:val="21"/>
                      <w:highlight w:val="none"/>
                      <w:vertAlign w:val="baseline"/>
                      <w:lang w:val="en-US" w:eastAsia="zh-CN"/>
                    </w:rPr>
                    <w:t>36°55'18.513"</w:t>
                  </w:r>
                </w:p>
              </w:tc>
              <w:tc>
                <w:tcPr>
                  <w:tcW w:w="1261" w:type="pct"/>
                  <w:tcBorders>
                    <w:tl2br w:val="nil"/>
                    <w:tr2bl w:val="nil"/>
                  </w:tcBorders>
                  <w:vAlign w:val="center"/>
                </w:tcPr>
                <w:p w14:paraId="7DE53BA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w:t>
                  </w:r>
                  <w:r>
                    <w:rPr>
                      <w:rFonts w:hint="default" w:ascii="Times New Roman" w:hAnsi="Times New Roman" w:eastAsia="宋体" w:cs="Times New Roman"/>
                      <w:color w:val="auto"/>
                      <w:sz w:val="21"/>
                      <w:szCs w:val="21"/>
                      <w:highlight w:val="none"/>
                      <w:vertAlign w:val="baseline"/>
                      <w:lang w:val="en-US" w:eastAsia="zh-CN"/>
                    </w:rPr>
                    <w:t>105°15'36.913"</w:t>
                  </w:r>
                </w:p>
                <w:p w14:paraId="3C4B884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N：</w:t>
                  </w:r>
                  <w:r>
                    <w:rPr>
                      <w:rFonts w:hint="default" w:ascii="Times New Roman" w:hAnsi="Times New Roman" w:eastAsia="宋体" w:cs="Times New Roman"/>
                      <w:color w:val="auto"/>
                      <w:sz w:val="21"/>
                      <w:szCs w:val="21"/>
                      <w:highlight w:val="none"/>
                      <w:vertAlign w:val="baseline"/>
                      <w:lang w:val="en-US" w:eastAsia="zh-CN"/>
                    </w:rPr>
                    <w:t>36°56'00.90</w:t>
                  </w:r>
                  <w:r>
                    <w:rPr>
                      <w:rFonts w:hint="eastAsia" w:cs="Times New Roman"/>
                      <w:color w:val="auto"/>
                      <w:sz w:val="21"/>
                      <w:szCs w:val="21"/>
                      <w:highlight w:val="none"/>
                      <w:vertAlign w:val="baseline"/>
                      <w:lang w:val="en-US" w:eastAsia="zh-CN"/>
                    </w:rPr>
                    <w:t>1</w:t>
                  </w:r>
                  <w:r>
                    <w:rPr>
                      <w:rFonts w:hint="default" w:ascii="Times New Roman" w:hAnsi="Times New Roman" w:eastAsia="宋体" w:cs="Times New Roman"/>
                      <w:color w:val="auto"/>
                      <w:sz w:val="21"/>
                      <w:szCs w:val="21"/>
                      <w:highlight w:val="none"/>
                      <w:vertAlign w:val="baseline"/>
                      <w:lang w:val="en-US" w:eastAsia="zh-CN"/>
                    </w:rPr>
                    <w:t>"</w:t>
                  </w:r>
                </w:p>
              </w:tc>
            </w:tr>
            <w:tr w14:paraId="51C9C5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2" w:type="pct"/>
                  <w:vMerge w:val="continue"/>
                  <w:tcBorders>
                    <w:tl2br w:val="nil"/>
                    <w:tr2bl w:val="nil"/>
                  </w:tcBorders>
                  <w:vAlign w:val="center"/>
                </w:tcPr>
                <w:p w14:paraId="5FB9087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35" w:type="pct"/>
                  <w:vMerge w:val="continue"/>
                  <w:tcBorders>
                    <w:tl2br w:val="nil"/>
                    <w:tr2bl w:val="nil"/>
                  </w:tcBorders>
                  <w:vAlign w:val="center"/>
                </w:tcPr>
                <w:p w14:paraId="2F82B96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649" w:type="pct"/>
                  <w:gridSpan w:val="2"/>
                  <w:tcBorders>
                    <w:tl2br w:val="nil"/>
                    <w:tr2bl w:val="nil"/>
                  </w:tcBorders>
                  <w:vAlign w:val="center"/>
                </w:tcPr>
                <w:p w14:paraId="68387DA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下游段</w:t>
                  </w:r>
                </w:p>
                <w:p w14:paraId="6822B47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r>
                    <w:rPr>
                      <w:rFonts w:hint="default" w:cs="Times New Roman"/>
                      <w:color w:val="auto"/>
                      <w:sz w:val="21"/>
                      <w:szCs w:val="21"/>
                      <w:highlight w:val="none"/>
                      <w:vertAlign w:val="baseline"/>
                      <w:lang w:val="en-US" w:eastAsia="zh-CN"/>
                    </w:rPr>
                    <w:t>GY45+000</w:t>
                  </w:r>
                  <w:r>
                    <w:rPr>
                      <w:rFonts w:hint="eastAsia" w:cs="Times New Roman"/>
                      <w:color w:val="auto"/>
                      <w:sz w:val="21"/>
                      <w:szCs w:val="21"/>
                      <w:highlight w:val="none"/>
                      <w:vertAlign w:val="baseline"/>
                      <w:lang w:val="en-US" w:eastAsia="zh-CN"/>
                    </w:rPr>
                    <w:t>~G</w:t>
                  </w:r>
                  <w:r>
                    <w:rPr>
                      <w:rFonts w:hint="default" w:cs="Times New Roman"/>
                      <w:color w:val="auto"/>
                      <w:sz w:val="21"/>
                      <w:szCs w:val="21"/>
                      <w:highlight w:val="none"/>
                      <w:vertAlign w:val="baseline"/>
                      <w:lang w:val="en-US" w:eastAsia="zh-CN"/>
                    </w:rPr>
                    <w:t>Y45+600、GY45+800</w:t>
                  </w:r>
                  <w:r>
                    <w:rPr>
                      <w:rFonts w:hint="eastAsia" w:cs="Times New Roman"/>
                      <w:color w:val="auto"/>
                      <w:sz w:val="21"/>
                      <w:szCs w:val="21"/>
                      <w:highlight w:val="none"/>
                      <w:vertAlign w:val="baseline"/>
                      <w:lang w:val="en-US" w:eastAsia="zh-CN"/>
                    </w:rPr>
                    <w:t>~G</w:t>
                  </w:r>
                  <w:r>
                    <w:rPr>
                      <w:rFonts w:hint="default" w:cs="Times New Roman"/>
                      <w:color w:val="auto"/>
                      <w:sz w:val="21"/>
                      <w:szCs w:val="21"/>
                      <w:highlight w:val="none"/>
                      <w:vertAlign w:val="baseline"/>
                      <w:lang w:val="en-US" w:eastAsia="zh-CN"/>
                    </w:rPr>
                    <w:t>Y46+000、GY46+200</w:t>
                  </w:r>
                  <w:r>
                    <w:rPr>
                      <w:rFonts w:hint="eastAsia" w:cs="Times New Roman"/>
                      <w:color w:val="auto"/>
                      <w:sz w:val="21"/>
                      <w:szCs w:val="21"/>
                      <w:highlight w:val="none"/>
                      <w:vertAlign w:val="baseline"/>
                      <w:lang w:val="en-US" w:eastAsia="zh-CN"/>
                    </w:rPr>
                    <w:t>~G</w:t>
                  </w:r>
                  <w:r>
                    <w:rPr>
                      <w:rFonts w:hint="default" w:cs="Times New Roman"/>
                      <w:color w:val="auto"/>
                      <w:sz w:val="21"/>
                      <w:szCs w:val="21"/>
                      <w:highlight w:val="none"/>
                      <w:vertAlign w:val="baseline"/>
                      <w:lang w:val="en-US" w:eastAsia="zh-CN"/>
                    </w:rPr>
                    <w:t>Y49+400、GY49+400</w:t>
                  </w:r>
                  <w:r>
                    <w:rPr>
                      <w:rFonts w:hint="eastAsia" w:cs="Times New Roman"/>
                      <w:color w:val="auto"/>
                      <w:sz w:val="21"/>
                      <w:szCs w:val="21"/>
                      <w:highlight w:val="none"/>
                      <w:vertAlign w:val="baseline"/>
                      <w:lang w:val="en-US" w:eastAsia="zh-CN"/>
                    </w:rPr>
                    <w:t>~G</w:t>
                  </w:r>
                  <w:r>
                    <w:rPr>
                      <w:rFonts w:hint="default" w:cs="Times New Roman"/>
                      <w:color w:val="auto"/>
                      <w:sz w:val="21"/>
                      <w:szCs w:val="21"/>
                      <w:highlight w:val="none"/>
                      <w:vertAlign w:val="baseline"/>
                      <w:lang w:val="en-US" w:eastAsia="zh-CN"/>
                    </w:rPr>
                    <w:t>Y54+200、GY54+500</w:t>
                  </w:r>
                  <w:r>
                    <w:rPr>
                      <w:rFonts w:hint="eastAsia" w:cs="Times New Roman"/>
                      <w:color w:val="auto"/>
                      <w:sz w:val="21"/>
                      <w:szCs w:val="21"/>
                      <w:highlight w:val="none"/>
                      <w:vertAlign w:val="baseline"/>
                      <w:lang w:val="en-US" w:eastAsia="zh-CN"/>
                    </w:rPr>
                    <w:t>~G</w:t>
                  </w:r>
                  <w:r>
                    <w:rPr>
                      <w:rFonts w:hint="default" w:cs="Times New Roman"/>
                      <w:color w:val="auto"/>
                      <w:sz w:val="21"/>
                      <w:szCs w:val="21"/>
                      <w:highlight w:val="none"/>
                      <w:vertAlign w:val="baseline"/>
                      <w:lang w:val="en-US" w:eastAsia="zh-CN"/>
                    </w:rPr>
                    <w:t>Y55+200、GY55+600</w:t>
                  </w:r>
                  <w:r>
                    <w:rPr>
                      <w:rFonts w:hint="eastAsia" w:cs="Times New Roman"/>
                      <w:color w:val="auto"/>
                      <w:sz w:val="21"/>
                      <w:szCs w:val="21"/>
                      <w:highlight w:val="none"/>
                      <w:vertAlign w:val="baseline"/>
                      <w:lang w:val="en-US" w:eastAsia="zh-CN"/>
                    </w:rPr>
                    <w:t>~G</w:t>
                  </w:r>
                  <w:r>
                    <w:rPr>
                      <w:rFonts w:hint="default" w:cs="Times New Roman"/>
                      <w:color w:val="auto"/>
                      <w:sz w:val="21"/>
                      <w:szCs w:val="21"/>
                      <w:highlight w:val="none"/>
                      <w:vertAlign w:val="baseline"/>
                      <w:lang w:val="en-US" w:eastAsia="zh-CN"/>
                    </w:rPr>
                    <w:t>Y57+600、GY58+400</w:t>
                  </w:r>
                  <w:r>
                    <w:rPr>
                      <w:rFonts w:hint="eastAsia" w:cs="Times New Roman"/>
                      <w:color w:val="auto"/>
                      <w:sz w:val="21"/>
                      <w:szCs w:val="21"/>
                      <w:highlight w:val="none"/>
                      <w:vertAlign w:val="baseline"/>
                      <w:lang w:val="en-US" w:eastAsia="zh-CN"/>
                    </w:rPr>
                    <w:t>~G</w:t>
                  </w:r>
                  <w:r>
                    <w:rPr>
                      <w:rFonts w:hint="default" w:cs="Times New Roman"/>
                      <w:color w:val="auto"/>
                      <w:sz w:val="21"/>
                      <w:szCs w:val="21"/>
                      <w:highlight w:val="none"/>
                      <w:vertAlign w:val="baseline"/>
                      <w:lang w:val="en-US" w:eastAsia="zh-CN"/>
                    </w:rPr>
                    <w:t>Y58+800、GY59+100</w:t>
                  </w:r>
                  <w:r>
                    <w:rPr>
                      <w:rFonts w:hint="eastAsia" w:cs="Times New Roman"/>
                      <w:color w:val="auto"/>
                      <w:sz w:val="21"/>
                      <w:szCs w:val="21"/>
                      <w:highlight w:val="none"/>
                      <w:vertAlign w:val="baseline"/>
                      <w:lang w:val="en-US" w:eastAsia="zh-CN"/>
                    </w:rPr>
                    <w:t>~G</w:t>
                  </w:r>
                  <w:r>
                    <w:rPr>
                      <w:rFonts w:hint="default" w:cs="Times New Roman"/>
                      <w:color w:val="auto"/>
                      <w:sz w:val="21"/>
                      <w:szCs w:val="21"/>
                      <w:highlight w:val="none"/>
                      <w:vertAlign w:val="baseline"/>
                      <w:lang w:val="en-US" w:eastAsia="zh-CN"/>
                    </w:rPr>
                    <w:t>Y65+210</w:t>
                  </w:r>
                  <w:r>
                    <w:rPr>
                      <w:rFonts w:hint="eastAsia" w:cs="Times New Roman"/>
                      <w:color w:val="auto"/>
                      <w:sz w:val="21"/>
                      <w:szCs w:val="21"/>
                      <w:highlight w:val="none"/>
                      <w:vertAlign w:val="baseline"/>
                      <w:lang w:val="en-US" w:eastAsia="zh-CN"/>
                    </w:rPr>
                    <w:t>）</w:t>
                  </w:r>
                </w:p>
              </w:tc>
              <w:tc>
                <w:tcPr>
                  <w:tcW w:w="1251" w:type="pct"/>
                  <w:tcBorders>
                    <w:tl2br w:val="nil"/>
                    <w:tr2bl w:val="nil"/>
                  </w:tcBorders>
                  <w:vAlign w:val="center"/>
                </w:tcPr>
                <w:p w14:paraId="086DF9A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w:t>
                  </w:r>
                  <w:r>
                    <w:rPr>
                      <w:rFonts w:hint="default" w:ascii="Times New Roman" w:hAnsi="Times New Roman" w:eastAsia="宋体" w:cs="Times New Roman"/>
                      <w:color w:val="auto"/>
                      <w:sz w:val="21"/>
                      <w:szCs w:val="21"/>
                      <w:highlight w:val="none"/>
                      <w:vertAlign w:val="baseline"/>
                      <w:lang w:val="en-US" w:eastAsia="zh-CN"/>
                    </w:rPr>
                    <w:t>104°54'43.145"</w:t>
                  </w:r>
                </w:p>
                <w:p w14:paraId="29C8665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N：</w:t>
                  </w:r>
                  <w:r>
                    <w:rPr>
                      <w:rFonts w:hint="default" w:ascii="Times New Roman" w:hAnsi="Times New Roman" w:eastAsia="宋体" w:cs="Times New Roman"/>
                      <w:color w:val="auto"/>
                      <w:sz w:val="21"/>
                      <w:szCs w:val="21"/>
                      <w:highlight w:val="none"/>
                      <w:vertAlign w:val="baseline"/>
                      <w:lang w:val="en-US" w:eastAsia="zh-CN"/>
                    </w:rPr>
                    <w:t>37°07'18.963"</w:t>
                  </w:r>
                </w:p>
              </w:tc>
              <w:tc>
                <w:tcPr>
                  <w:tcW w:w="1261" w:type="pct"/>
                  <w:tcBorders>
                    <w:tl2br w:val="nil"/>
                    <w:tr2bl w:val="nil"/>
                  </w:tcBorders>
                  <w:vAlign w:val="center"/>
                </w:tcPr>
                <w:p w14:paraId="5A3375A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w:t>
                  </w:r>
                  <w:r>
                    <w:rPr>
                      <w:rFonts w:hint="default" w:ascii="Times New Roman" w:hAnsi="Times New Roman" w:eastAsia="宋体" w:cs="Times New Roman"/>
                      <w:color w:val="auto"/>
                      <w:sz w:val="21"/>
                      <w:szCs w:val="21"/>
                      <w:highlight w:val="none"/>
                      <w:vertAlign w:val="baseline"/>
                      <w:lang w:val="en-US" w:eastAsia="zh-CN"/>
                    </w:rPr>
                    <w:t>104°51'22.559"</w:t>
                  </w:r>
                </w:p>
                <w:p w14:paraId="2D84F47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N：</w:t>
                  </w:r>
                  <w:r>
                    <w:rPr>
                      <w:rFonts w:hint="default" w:ascii="Times New Roman" w:hAnsi="Times New Roman" w:eastAsia="宋体" w:cs="Times New Roman"/>
                      <w:color w:val="auto"/>
                      <w:sz w:val="21"/>
                      <w:szCs w:val="21"/>
                      <w:highlight w:val="none"/>
                      <w:vertAlign w:val="baseline"/>
                      <w:lang w:val="en-US" w:eastAsia="zh-CN"/>
                    </w:rPr>
                    <w:t>37°12'27.809"</w:t>
                  </w:r>
                </w:p>
              </w:tc>
            </w:tr>
            <w:tr w14:paraId="142B64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2" w:type="pct"/>
                  <w:tcBorders>
                    <w:tl2br w:val="nil"/>
                    <w:tr2bl w:val="nil"/>
                  </w:tcBorders>
                  <w:vAlign w:val="center"/>
                </w:tcPr>
                <w:p w14:paraId="28DBFF7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w:t>
                  </w:r>
                </w:p>
              </w:tc>
              <w:tc>
                <w:tcPr>
                  <w:tcW w:w="435" w:type="pct"/>
                  <w:tcBorders>
                    <w:tl2br w:val="nil"/>
                    <w:tr2bl w:val="nil"/>
                  </w:tcBorders>
                  <w:vAlign w:val="center"/>
                </w:tcPr>
                <w:p w14:paraId="7041FAE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巡护道路</w:t>
                  </w:r>
                </w:p>
              </w:tc>
              <w:tc>
                <w:tcPr>
                  <w:tcW w:w="1649" w:type="pct"/>
                  <w:gridSpan w:val="2"/>
                  <w:tcBorders>
                    <w:tl2br w:val="nil"/>
                    <w:tr2bl w:val="nil"/>
                  </w:tcBorders>
                  <w:vAlign w:val="center"/>
                </w:tcPr>
                <w:p w14:paraId="4969671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 xml:space="preserve">GY43+600 </w:t>
                  </w:r>
                  <w:r>
                    <w:rPr>
                      <w:rFonts w:hint="eastAsia" w:cs="Times New Roman"/>
                      <w:color w:val="auto"/>
                      <w:sz w:val="21"/>
                      <w:szCs w:val="21"/>
                      <w:highlight w:val="none"/>
                      <w:vertAlign w:val="baseline"/>
                      <w:lang w:val="en-US" w:eastAsia="zh-CN"/>
                    </w:rPr>
                    <w:t>~G</w:t>
                  </w:r>
                  <w:r>
                    <w:rPr>
                      <w:rFonts w:hint="default" w:ascii="Times New Roman" w:hAnsi="Times New Roman" w:eastAsia="宋体" w:cs="Times New Roman"/>
                      <w:color w:val="auto"/>
                      <w:sz w:val="21"/>
                      <w:szCs w:val="21"/>
                      <w:highlight w:val="none"/>
                      <w:vertAlign w:val="baseline"/>
                      <w:lang w:val="en-US" w:eastAsia="zh-CN"/>
                    </w:rPr>
                    <w:t>Y65+990</w:t>
                  </w:r>
                </w:p>
              </w:tc>
              <w:tc>
                <w:tcPr>
                  <w:tcW w:w="1251" w:type="pct"/>
                  <w:tcBorders>
                    <w:tl2br w:val="nil"/>
                    <w:tr2bl w:val="nil"/>
                  </w:tcBorders>
                  <w:vAlign w:val="center"/>
                </w:tcPr>
                <w:p w14:paraId="014B792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w:t>
                  </w:r>
                  <w:r>
                    <w:rPr>
                      <w:rFonts w:hint="default" w:ascii="Times New Roman" w:hAnsi="Times New Roman" w:eastAsia="宋体" w:cs="Times New Roman"/>
                      <w:color w:val="auto"/>
                      <w:sz w:val="21"/>
                      <w:szCs w:val="21"/>
                      <w:highlight w:val="none"/>
                      <w:vertAlign w:val="baseline"/>
                      <w:lang w:val="en-US" w:eastAsia="zh-CN"/>
                    </w:rPr>
                    <w:t>104°51'34.177"</w:t>
                  </w:r>
                </w:p>
                <w:p w14:paraId="70D6162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N：</w:t>
                  </w:r>
                  <w:r>
                    <w:rPr>
                      <w:rFonts w:hint="default" w:ascii="Times New Roman" w:hAnsi="Times New Roman" w:eastAsia="宋体" w:cs="Times New Roman"/>
                      <w:color w:val="auto"/>
                      <w:sz w:val="21"/>
                      <w:szCs w:val="21"/>
                      <w:highlight w:val="none"/>
                      <w:vertAlign w:val="baseline"/>
                      <w:lang w:val="en-US" w:eastAsia="zh-CN"/>
                    </w:rPr>
                    <w:t>37°12'44.472"</w:t>
                  </w:r>
                </w:p>
              </w:tc>
              <w:tc>
                <w:tcPr>
                  <w:tcW w:w="1261" w:type="pct"/>
                  <w:tcBorders>
                    <w:tl2br w:val="nil"/>
                    <w:tr2bl w:val="nil"/>
                  </w:tcBorders>
                  <w:vAlign w:val="center"/>
                </w:tcPr>
                <w:p w14:paraId="1A9C753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w:t>
                  </w:r>
                  <w:r>
                    <w:rPr>
                      <w:rFonts w:hint="default" w:ascii="Times New Roman" w:hAnsi="Times New Roman" w:eastAsia="宋体" w:cs="Times New Roman"/>
                      <w:color w:val="auto"/>
                      <w:sz w:val="21"/>
                      <w:szCs w:val="21"/>
                      <w:highlight w:val="none"/>
                      <w:vertAlign w:val="baseline"/>
                      <w:lang w:val="en-US" w:eastAsia="zh-CN"/>
                    </w:rPr>
                    <w:t>104°55'49.94</w:t>
                  </w:r>
                  <w:r>
                    <w:rPr>
                      <w:rFonts w:hint="eastAsia" w:cs="Times New Roman"/>
                      <w:color w:val="auto"/>
                      <w:sz w:val="21"/>
                      <w:szCs w:val="21"/>
                      <w:highlight w:val="none"/>
                      <w:vertAlign w:val="baseline"/>
                      <w:lang w:val="en-US" w:eastAsia="zh-CN"/>
                    </w:rPr>
                    <w:t>1</w:t>
                  </w:r>
                  <w:r>
                    <w:rPr>
                      <w:rFonts w:hint="default" w:ascii="Times New Roman" w:hAnsi="Times New Roman" w:eastAsia="宋体" w:cs="Times New Roman"/>
                      <w:color w:val="auto"/>
                      <w:sz w:val="21"/>
                      <w:szCs w:val="21"/>
                      <w:highlight w:val="none"/>
                      <w:vertAlign w:val="baseline"/>
                      <w:lang w:val="en-US" w:eastAsia="zh-CN"/>
                    </w:rPr>
                    <w:t>"</w:t>
                  </w:r>
                </w:p>
                <w:p w14:paraId="2874875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N：</w:t>
                  </w:r>
                  <w:r>
                    <w:rPr>
                      <w:rFonts w:hint="default" w:ascii="Times New Roman" w:hAnsi="Times New Roman" w:eastAsia="宋体" w:cs="Times New Roman"/>
                      <w:color w:val="auto"/>
                      <w:sz w:val="21"/>
                      <w:szCs w:val="21"/>
                      <w:highlight w:val="none"/>
                      <w:vertAlign w:val="baseline"/>
                      <w:lang w:val="en-US" w:eastAsia="zh-CN"/>
                    </w:rPr>
                    <w:t>37°05'26.199"</w:t>
                  </w:r>
                </w:p>
              </w:tc>
            </w:tr>
            <w:tr w14:paraId="11E3E0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402" w:type="pct"/>
                  <w:vMerge w:val="restart"/>
                  <w:tcBorders>
                    <w:tl2br w:val="nil"/>
                    <w:tr2bl w:val="nil"/>
                  </w:tcBorders>
                  <w:vAlign w:val="center"/>
                </w:tcPr>
                <w:p w14:paraId="27A6BFB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w:t>
                  </w:r>
                </w:p>
              </w:tc>
              <w:tc>
                <w:tcPr>
                  <w:tcW w:w="435" w:type="pct"/>
                  <w:vMerge w:val="restart"/>
                  <w:tcBorders>
                    <w:tl2br w:val="nil"/>
                    <w:tr2bl w:val="nil"/>
                  </w:tcBorders>
                  <w:vAlign w:val="center"/>
                </w:tcPr>
                <w:p w14:paraId="718B0D5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视频监测系统</w:t>
                  </w:r>
                </w:p>
              </w:tc>
              <w:tc>
                <w:tcPr>
                  <w:tcW w:w="824" w:type="pct"/>
                  <w:vMerge w:val="restart"/>
                  <w:tcBorders>
                    <w:tl2br w:val="nil"/>
                    <w:tr2bl w:val="nil"/>
                  </w:tcBorders>
                  <w:vAlign w:val="center"/>
                </w:tcPr>
                <w:p w14:paraId="44CC873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自动雨量站</w:t>
                  </w:r>
                </w:p>
              </w:tc>
              <w:tc>
                <w:tcPr>
                  <w:tcW w:w="825" w:type="pct"/>
                  <w:tcBorders>
                    <w:tl2br w:val="nil"/>
                    <w:tr2bl w:val="nil"/>
                  </w:tcBorders>
                  <w:vAlign w:val="center"/>
                </w:tcPr>
                <w:p w14:paraId="7E3FAD1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w:t>
                  </w:r>
                </w:p>
              </w:tc>
              <w:tc>
                <w:tcPr>
                  <w:tcW w:w="2513" w:type="pct"/>
                  <w:gridSpan w:val="2"/>
                  <w:tcBorders>
                    <w:tl2br w:val="nil"/>
                    <w:tr2bl w:val="nil"/>
                  </w:tcBorders>
                  <w:vAlign w:val="center"/>
                </w:tcPr>
                <w:p w14:paraId="6A8C13E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w:t>
                  </w:r>
                  <w:r>
                    <w:rPr>
                      <w:rFonts w:hint="default" w:ascii="Times New Roman" w:hAnsi="Times New Roman" w:eastAsia="宋体" w:cs="Times New Roman"/>
                      <w:color w:val="auto"/>
                      <w:sz w:val="21"/>
                      <w:szCs w:val="21"/>
                      <w:highlight w:val="none"/>
                      <w:vertAlign w:val="baseline"/>
                      <w:lang w:val="en-US" w:eastAsia="zh-CN"/>
                    </w:rPr>
                    <w:t>105°14'39.245"</w:t>
                  </w:r>
                  <w:r>
                    <w:rPr>
                      <w:rFonts w:hint="eastAsia" w:cs="Times New Roman"/>
                      <w:color w:val="auto"/>
                      <w:sz w:val="21"/>
                      <w:szCs w:val="21"/>
                      <w:highlight w:val="none"/>
                      <w:vertAlign w:val="baseline"/>
                      <w:lang w:val="en-US" w:eastAsia="zh-CN"/>
                    </w:rPr>
                    <w:t>，N：</w:t>
                  </w:r>
                  <w:r>
                    <w:rPr>
                      <w:rFonts w:hint="default" w:ascii="Times New Roman" w:hAnsi="Times New Roman" w:eastAsia="宋体" w:cs="Times New Roman"/>
                      <w:color w:val="auto"/>
                      <w:sz w:val="21"/>
                      <w:szCs w:val="21"/>
                      <w:highlight w:val="none"/>
                      <w:vertAlign w:val="baseline"/>
                      <w:lang w:val="en-US" w:eastAsia="zh-CN"/>
                    </w:rPr>
                    <w:t>36°53'20.996"</w:t>
                  </w:r>
                </w:p>
              </w:tc>
            </w:tr>
            <w:tr w14:paraId="5CB991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402" w:type="pct"/>
                  <w:vMerge w:val="continue"/>
                  <w:tcBorders>
                    <w:tl2br w:val="nil"/>
                    <w:tr2bl w:val="nil"/>
                  </w:tcBorders>
                  <w:vAlign w:val="center"/>
                </w:tcPr>
                <w:p w14:paraId="2AED37DF">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p>
              </w:tc>
              <w:tc>
                <w:tcPr>
                  <w:tcW w:w="435" w:type="pct"/>
                  <w:vMerge w:val="continue"/>
                  <w:tcBorders>
                    <w:tl2br w:val="nil"/>
                    <w:tr2bl w:val="nil"/>
                  </w:tcBorders>
                  <w:vAlign w:val="center"/>
                </w:tcPr>
                <w:p w14:paraId="4079B482">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p>
              </w:tc>
              <w:tc>
                <w:tcPr>
                  <w:tcW w:w="824" w:type="pct"/>
                  <w:vMerge w:val="continue"/>
                  <w:tcBorders>
                    <w:tl2br w:val="nil"/>
                    <w:tr2bl w:val="nil"/>
                  </w:tcBorders>
                  <w:vAlign w:val="center"/>
                </w:tcPr>
                <w:p w14:paraId="7236C8F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825" w:type="pct"/>
                  <w:tcBorders>
                    <w:tl2br w:val="nil"/>
                    <w:tr2bl w:val="nil"/>
                  </w:tcBorders>
                  <w:vAlign w:val="center"/>
                </w:tcPr>
                <w:p w14:paraId="48D3549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w:t>
                  </w:r>
                </w:p>
              </w:tc>
              <w:tc>
                <w:tcPr>
                  <w:tcW w:w="2513" w:type="pct"/>
                  <w:gridSpan w:val="2"/>
                  <w:tcBorders>
                    <w:tl2br w:val="nil"/>
                    <w:tr2bl w:val="nil"/>
                  </w:tcBorders>
                  <w:vAlign w:val="center"/>
                </w:tcPr>
                <w:p w14:paraId="483B089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w:t>
                  </w:r>
                  <w:r>
                    <w:rPr>
                      <w:rFonts w:hint="default" w:ascii="Times New Roman" w:hAnsi="Times New Roman" w:eastAsia="宋体" w:cs="Times New Roman"/>
                      <w:color w:val="auto"/>
                      <w:sz w:val="21"/>
                      <w:szCs w:val="21"/>
                      <w:highlight w:val="none"/>
                      <w:vertAlign w:val="baseline"/>
                      <w:lang w:val="en-US" w:eastAsia="zh-CN"/>
                    </w:rPr>
                    <w:t>105°14'38.677"</w:t>
                  </w:r>
                  <w:r>
                    <w:rPr>
                      <w:rFonts w:hint="eastAsia" w:cs="Times New Roman"/>
                      <w:color w:val="auto"/>
                      <w:sz w:val="21"/>
                      <w:szCs w:val="21"/>
                      <w:highlight w:val="none"/>
                      <w:vertAlign w:val="baseline"/>
                      <w:lang w:val="en-US" w:eastAsia="zh-CN"/>
                    </w:rPr>
                    <w:t>，N：</w:t>
                  </w:r>
                  <w:r>
                    <w:rPr>
                      <w:rFonts w:hint="default" w:ascii="Times New Roman" w:hAnsi="Times New Roman" w:eastAsia="宋体" w:cs="Times New Roman"/>
                      <w:color w:val="auto"/>
                      <w:sz w:val="21"/>
                      <w:szCs w:val="21"/>
                      <w:highlight w:val="none"/>
                      <w:vertAlign w:val="baseline"/>
                      <w:lang w:val="en-US" w:eastAsia="zh-CN"/>
                    </w:rPr>
                    <w:t>36°57'22.458"</w:t>
                  </w:r>
                </w:p>
              </w:tc>
            </w:tr>
            <w:tr w14:paraId="2F4F88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402" w:type="pct"/>
                  <w:vMerge w:val="continue"/>
                  <w:tcBorders>
                    <w:tl2br w:val="nil"/>
                    <w:tr2bl w:val="nil"/>
                  </w:tcBorders>
                  <w:vAlign w:val="center"/>
                </w:tcPr>
                <w:p w14:paraId="25584E38">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p>
              </w:tc>
              <w:tc>
                <w:tcPr>
                  <w:tcW w:w="435" w:type="pct"/>
                  <w:vMerge w:val="continue"/>
                  <w:tcBorders>
                    <w:tl2br w:val="nil"/>
                    <w:tr2bl w:val="nil"/>
                  </w:tcBorders>
                  <w:vAlign w:val="center"/>
                </w:tcPr>
                <w:p w14:paraId="0529FCDC">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p>
              </w:tc>
              <w:tc>
                <w:tcPr>
                  <w:tcW w:w="824" w:type="pct"/>
                  <w:vMerge w:val="continue"/>
                  <w:tcBorders>
                    <w:tl2br w:val="nil"/>
                    <w:tr2bl w:val="nil"/>
                  </w:tcBorders>
                  <w:vAlign w:val="center"/>
                </w:tcPr>
                <w:p w14:paraId="63C1A44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825" w:type="pct"/>
                  <w:tcBorders>
                    <w:tl2br w:val="nil"/>
                    <w:tr2bl w:val="nil"/>
                  </w:tcBorders>
                  <w:vAlign w:val="center"/>
                </w:tcPr>
                <w:p w14:paraId="3A4F565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w:t>
                  </w:r>
                </w:p>
              </w:tc>
              <w:tc>
                <w:tcPr>
                  <w:tcW w:w="2513" w:type="pct"/>
                  <w:gridSpan w:val="2"/>
                  <w:tcBorders>
                    <w:tl2br w:val="nil"/>
                    <w:tr2bl w:val="nil"/>
                  </w:tcBorders>
                  <w:vAlign w:val="center"/>
                </w:tcPr>
                <w:p w14:paraId="25CEF24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w:t>
                  </w:r>
                  <w:r>
                    <w:rPr>
                      <w:rFonts w:hint="default" w:ascii="Times New Roman" w:hAnsi="Times New Roman" w:eastAsia="宋体" w:cs="Times New Roman"/>
                      <w:color w:val="auto"/>
                      <w:sz w:val="21"/>
                      <w:szCs w:val="21"/>
                      <w:highlight w:val="none"/>
                      <w:vertAlign w:val="baseline"/>
                      <w:lang w:val="en-US" w:eastAsia="zh-CN"/>
                    </w:rPr>
                    <w:t>105°13'05.927"</w:t>
                  </w:r>
                  <w:r>
                    <w:rPr>
                      <w:rFonts w:hint="eastAsia" w:cs="Times New Roman"/>
                      <w:color w:val="auto"/>
                      <w:sz w:val="21"/>
                      <w:szCs w:val="21"/>
                      <w:highlight w:val="none"/>
                      <w:vertAlign w:val="baseline"/>
                      <w:lang w:val="en-US" w:eastAsia="zh-CN"/>
                    </w:rPr>
                    <w:t>，N：</w:t>
                  </w:r>
                  <w:r>
                    <w:rPr>
                      <w:rFonts w:hint="default" w:ascii="Times New Roman" w:hAnsi="Times New Roman" w:eastAsia="宋体" w:cs="Times New Roman"/>
                      <w:color w:val="auto"/>
                      <w:sz w:val="21"/>
                      <w:szCs w:val="21"/>
                      <w:highlight w:val="none"/>
                      <w:vertAlign w:val="baseline"/>
                      <w:lang w:val="en-US" w:eastAsia="zh-CN"/>
                    </w:rPr>
                    <w:t>36°58'04.317"</w:t>
                  </w:r>
                </w:p>
              </w:tc>
            </w:tr>
            <w:tr w14:paraId="4D25E9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402" w:type="pct"/>
                  <w:vMerge w:val="continue"/>
                  <w:tcBorders>
                    <w:tl2br w:val="nil"/>
                    <w:tr2bl w:val="nil"/>
                  </w:tcBorders>
                  <w:vAlign w:val="center"/>
                </w:tcPr>
                <w:p w14:paraId="16210624">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p>
              </w:tc>
              <w:tc>
                <w:tcPr>
                  <w:tcW w:w="435" w:type="pct"/>
                  <w:vMerge w:val="continue"/>
                  <w:tcBorders>
                    <w:tl2br w:val="nil"/>
                    <w:tr2bl w:val="nil"/>
                  </w:tcBorders>
                  <w:vAlign w:val="center"/>
                </w:tcPr>
                <w:p w14:paraId="76C32CF7">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p>
              </w:tc>
              <w:tc>
                <w:tcPr>
                  <w:tcW w:w="824" w:type="pct"/>
                  <w:vMerge w:val="continue"/>
                  <w:tcBorders>
                    <w:tl2br w:val="nil"/>
                    <w:tr2bl w:val="nil"/>
                  </w:tcBorders>
                  <w:vAlign w:val="center"/>
                </w:tcPr>
                <w:p w14:paraId="2C54F1B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825" w:type="pct"/>
                  <w:tcBorders>
                    <w:tl2br w:val="nil"/>
                    <w:tr2bl w:val="nil"/>
                  </w:tcBorders>
                  <w:vAlign w:val="center"/>
                </w:tcPr>
                <w:p w14:paraId="70B7D60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w:t>
                  </w:r>
                </w:p>
              </w:tc>
              <w:tc>
                <w:tcPr>
                  <w:tcW w:w="2513" w:type="pct"/>
                  <w:gridSpan w:val="2"/>
                  <w:tcBorders>
                    <w:tl2br w:val="nil"/>
                    <w:tr2bl w:val="nil"/>
                  </w:tcBorders>
                  <w:vAlign w:val="center"/>
                </w:tcPr>
                <w:p w14:paraId="2B3E663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w:t>
                  </w:r>
                  <w:r>
                    <w:rPr>
                      <w:rFonts w:hint="default" w:ascii="Times New Roman" w:hAnsi="Times New Roman" w:eastAsia="宋体" w:cs="Times New Roman"/>
                      <w:color w:val="auto"/>
                      <w:sz w:val="21"/>
                      <w:szCs w:val="21"/>
                      <w:highlight w:val="none"/>
                      <w:vertAlign w:val="baseline"/>
                      <w:lang w:val="en-US" w:eastAsia="zh-CN"/>
                    </w:rPr>
                    <w:t>105°12'03.067"</w:t>
                  </w:r>
                  <w:r>
                    <w:rPr>
                      <w:rFonts w:hint="eastAsia" w:cs="Times New Roman"/>
                      <w:color w:val="auto"/>
                      <w:sz w:val="21"/>
                      <w:szCs w:val="21"/>
                      <w:highlight w:val="none"/>
                      <w:vertAlign w:val="baseline"/>
                      <w:lang w:val="en-US" w:eastAsia="zh-CN"/>
                    </w:rPr>
                    <w:t>，N：</w:t>
                  </w:r>
                  <w:r>
                    <w:rPr>
                      <w:rFonts w:hint="default" w:ascii="Times New Roman" w:hAnsi="Times New Roman" w:eastAsia="宋体" w:cs="Times New Roman"/>
                      <w:color w:val="auto"/>
                      <w:sz w:val="21"/>
                      <w:szCs w:val="21"/>
                      <w:highlight w:val="none"/>
                      <w:vertAlign w:val="baseline"/>
                      <w:lang w:val="en-US" w:eastAsia="zh-CN"/>
                    </w:rPr>
                    <w:t>36°58'34.866"</w:t>
                  </w:r>
                </w:p>
              </w:tc>
            </w:tr>
            <w:tr w14:paraId="142994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402" w:type="pct"/>
                  <w:vMerge w:val="continue"/>
                  <w:tcBorders>
                    <w:tl2br w:val="nil"/>
                    <w:tr2bl w:val="nil"/>
                  </w:tcBorders>
                  <w:vAlign w:val="center"/>
                </w:tcPr>
                <w:p w14:paraId="371E01F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35" w:type="pct"/>
                  <w:vMerge w:val="continue"/>
                  <w:tcBorders>
                    <w:tl2br w:val="nil"/>
                    <w:tr2bl w:val="nil"/>
                  </w:tcBorders>
                  <w:vAlign w:val="center"/>
                </w:tcPr>
                <w:p w14:paraId="444870B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824" w:type="pct"/>
                  <w:vMerge w:val="continue"/>
                  <w:tcBorders>
                    <w:tl2br w:val="nil"/>
                    <w:tr2bl w:val="nil"/>
                  </w:tcBorders>
                  <w:vAlign w:val="center"/>
                </w:tcPr>
                <w:p w14:paraId="73B5A03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825" w:type="pct"/>
                  <w:tcBorders>
                    <w:tl2br w:val="nil"/>
                    <w:tr2bl w:val="nil"/>
                  </w:tcBorders>
                  <w:vAlign w:val="center"/>
                </w:tcPr>
                <w:p w14:paraId="364A7A0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w:t>
                  </w:r>
                </w:p>
              </w:tc>
              <w:tc>
                <w:tcPr>
                  <w:tcW w:w="2513" w:type="pct"/>
                  <w:gridSpan w:val="2"/>
                  <w:tcBorders>
                    <w:tl2br w:val="nil"/>
                    <w:tr2bl w:val="nil"/>
                  </w:tcBorders>
                  <w:vAlign w:val="center"/>
                </w:tcPr>
                <w:p w14:paraId="7C19175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w:t>
                  </w:r>
                  <w:r>
                    <w:rPr>
                      <w:rFonts w:hint="default" w:ascii="Times New Roman" w:hAnsi="Times New Roman" w:eastAsia="宋体" w:cs="Times New Roman"/>
                      <w:color w:val="auto"/>
                      <w:sz w:val="21"/>
                      <w:szCs w:val="21"/>
                      <w:highlight w:val="none"/>
                      <w:vertAlign w:val="baseline"/>
                      <w:lang w:val="en-US" w:eastAsia="zh-CN"/>
                    </w:rPr>
                    <w:t>104°53'55.200"</w:t>
                  </w:r>
                  <w:r>
                    <w:rPr>
                      <w:rFonts w:hint="eastAsia" w:cs="Times New Roman"/>
                      <w:color w:val="auto"/>
                      <w:sz w:val="21"/>
                      <w:szCs w:val="21"/>
                      <w:highlight w:val="none"/>
                      <w:vertAlign w:val="baseline"/>
                      <w:lang w:val="en-US" w:eastAsia="zh-CN"/>
                    </w:rPr>
                    <w:t>，N：</w:t>
                  </w:r>
                  <w:r>
                    <w:rPr>
                      <w:rFonts w:hint="default" w:ascii="Times New Roman" w:hAnsi="Times New Roman" w:eastAsia="宋体" w:cs="Times New Roman"/>
                      <w:color w:val="auto"/>
                      <w:sz w:val="21"/>
                      <w:szCs w:val="21"/>
                      <w:highlight w:val="none"/>
                      <w:vertAlign w:val="baseline"/>
                      <w:lang w:val="en-US" w:eastAsia="zh-CN"/>
                    </w:rPr>
                    <w:t>37°07'38.857"</w:t>
                  </w:r>
                </w:p>
              </w:tc>
            </w:tr>
            <w:tr w14:paraId="0D096D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402" w:type="pct"/>
                  <w:vMerge w:val="continue"/>
                  <w:tcBorders>
                    <w:tl2br w:val="nil"/>
                    <w:tr2bl w:val="nil"/>
                  </w:tcBorders>
                  <w:vAlign w:val="center"/>
                </w:tcPr>
                <w:p w14:paraId="4EC02DF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35" w:type="pct"/>
                  <w:vMerge w:val="continue"/>
                  <w:tcBorders>
                    <w:tl2br w:val="nil"/>
                    <w:tr2bl w:val="nil"/>
                  </w:tcBorders>
                  <w:vAlign w:val="center"/>
                </w:tcPr>
                <w:p w14:paraId="0985BCF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824" w:type="pct"/>
                  <w:vMerge w:val="continue"/>
                  <w:tcBorders>
                    <w:tl2br w:val="nil"/>
                    <w:tr2bl w:val="nil"/>
                  </w:tcBorders>
                  <w:vAlign w:val="center"/>
                </w:tcPr>
                <w:p w14:paraId="6449A07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825" w:type="pct"/>
                  <w:tcBorders>
                    <w:tl2br w:val="nil"/>
                    <w:tr2bl w:val="nil"/>
                  </w:tcBorders>
                  <w:vAlign w:val="center"/>
                </w:tcPr>
                <w:p w14:paraId="51D2925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6#</w:t>
                  </w:r>
                </w:p>
              </w:tc>
              <w:tc>
                <w:tcPr>
                  <w:tcW w:w="2513" w:type="pct"/>
                  <w:gridSpan w:val="2"/>
                  <w:tcBorders>
                    <w:tl2br w:val="nil"/>
                    <w:tr2bl w:val="nil"/>
                  </w:tcBorders>
                  <w:vAlign w:val="center"/>
                </w:tcPr>
                <w:p w14:paraId="4529C4A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w:t>
                  </w:r>
                  <w:r>
                    <w:rPr>
                      <w:rFonts w:hint="default" w:ascii="Times New Roman" w:hAnsi="Times New Roman" w:eastAsia="宋体" w:cs="Times New Roman"/>
                      <w:color w:val="auto"/>
                      <w:sz w:val="21"/>
                      <w:szCs w:val="21"/>
                      <w:highlight w:val="none"/>
                      <w:vertAlign w:val="baseline"/>
                      <w:lang w:val="en-US" w:eastAsia="zh-CN"/>
                    </w:rPr>
                    <w:t>104°53'22.758"</w:t>
                  </w:r>
                  <w:r>
                    <w:rPr>
                      <w:rFonts w:hint="eastAsia" w:cs="Times New Roman"/>
                      <w:color w:val="auto"/>
                      <w:sz w:val="21"/>
                      <w:szCs w:val="21"/>
                      <w:highlight w:val="none"/>
                      <w:vertAlign w:val="baseline"/>
                      <w:lang w:val="en-US" w:eastAsia="zh-CN"/>
                    </w:rPr>
                    <w:t>，N：</w:t>
                  </w:r>
                  <w:r>
                    <w:rPr>
                      <w:rFonts w:hint="default" w:ascii="Times New Roman" w:hAnsi="Times New Roman" w:eastAsia="宋体" w:cs="Times New Roman"/>
                      <w:color w:val="auto"/>
                      <w:sz w:val="21"/>
                      <w:szCs w:val="21"/>
                      <w:highlight w:val="none"/>
                      <w:vertAlign w:val="baseline"/>
                      <w:lang w:val="en-US" w:eastAsia="zh-CN"/>
                    </w:rPr>
                    <w:t>37°09'19.607"</w:t>
                  </w:r>
                </w:p>
              </w:tc>
            </w:tr>
            <w:tr w14:paraId="5828F0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402" w:type="pct"/>
                  <w:vMerge w:val="continue"/>
                  <w:tcBorders>
                    <w:tl2br w:val="nil"/>
                    <w:tr2bl w:val="nil"/>
                  </w:tcBorders>
                  <w:vAlign w:val="center"/>
                </w:tcPr>
                <w:p w14:paraId="5C8BC75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35" w:type="pct"/>
                  <w:vMerge w:val="continue"/>
                  <w:tcBorders>
                    <w:tl2br w:val="nil"/>
                    <w:tr2bl w:val="nil"/>
                  </w:tcBorders>
                  <w:vAlign w:val="center"/>
                </w:tcPr>
                <w:p w14:paraId="600F126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824" w:type="pct"/>
                  <w:vMerge w:val="continue"/>
                  <w:tcBorders>
                    <w:tl2br w:val="nil"/>
                    <w:tr2bl w:val="nil"/>
                  </w:tcBorders>
                  <w:vAlign w:val="center"/>
                </w:tcPr>
                <w:p w14:paraId="1AB73AB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825" w:type="pct"/>
                  <w:tcBorders>
                    <w:tl2br w:val="nil"/>
                    <w:tr2bl w:val="nil"/>
                  </w:tcBorders>
                  <w:vAlign w:val="center"/>
                </w:tcPr>
                <w:p w14:paraId="0BC5404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7#</w:t>
                  </w:r>
                </w:p>
              </w:tc>
              <w:tc>
                <w:tcPr>
                  <w:tcW w:w="2513" w:type="pct"/>
                  <w:gridSpan w:val="2"/>
                  <w:tcBorders>
                    <w:tl2br w:val="nil"/>
                    <w:tr2bl w:val="nil"/>
                  </w:tcBorders>
                  <w:vAlign w:val="center"/>
                </w:tcPr>
                <w:p w14:paraId="74AE1B2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w:t>
                  </w:r>
                  <w:r>
                    <w:rPr>
                      <w:rFonts w:hint="default" w:ascii="Times New Roman" w:hAnsi="Times New Roman" w:eastAsia="宋体" w:cs="Times New Roman"/>
                      <w:color w:val="auto"/>
                      <w:sz w:val="21"/>
                      <w:szCs w:val="21"/>
                      <w:highlight w:val="none"/>
                      <w:vertAlign w:val="baseline"/>
                      <w:lang w:val="en-US" w:eastAsia="zh-CN"/>
                    </w:rPr>
                    <w:t>104°51'55.863"</w:t>
                  </w:r>
                  <w:r>
                    <w:rPr>
                      <w:rFonts w:hint="eastAsia" w:cs="Times New Roman"/>
                      <w:color w:val="auto"/>
                      <w:sz w:val="21"/>
                      <w:szCs w:val="21"/>
                      <w:highlight w:val="none"/>
                      <w:vertAlign w:val="baseline"/>
                      <w:lang w:val="en-US" w:eastAsia="zh-CN"/>
                    </w:rPr>
                    <w:t>，N：</w:t>
                  </w:r>
                  <w:r>
                    <w:rPr>
                      <w:rFonts w:hint="default" w:ascii="Times New Roman" w:hAnsi="Times New Roman" w:eastAsia="宋体" w:cs="Times New Roman"/>
                      <w:color w:val="auto"/>
                      <w:sz w:val="21"/>
                      <w:szCs w:val="21"/>
                      <w:highlight w:val="none"/>
                      <w:vertAlign w:val="baseline"/>
                      <w:lang w:val="en-US" w:eastAsia="zh-CN"/>
                    </w:rPr>
                    <w:t>37°10'38.832"</w:t>
                  </w:r>
                </w:p>
              </w:tc>
            </w:tr>
            <w:tr w14:paraId="51F169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402" w:type="pct"/>
                  <w:vMerge w:val="continue"/>
                  <w:tcBorders>
                    <w:tl2br w:val="nil"/>
                    <w:tr2bl w:val="nil"/>
                  </w:tcBorders>
                  <w:vAlign w:val="center"/>
                </w:tcPr>
                <w:p w14:paraId="2FBCF6F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35" w:type="pct"/>
                  <w:vMerge w:val="continue"/>
                  <w:tcBorders>
                    <w:tl2br w:val="nil"/>
                    <w:tr2bl w:val="nil"/>
                  </w:tcBorders>
                  <w:vAlign w:val="center"/>
                </w:tcPr>
                <w:p w14:paraId="289648D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824" w:type="pct"/>
                  <w:vMerge w:val="continue"/>
                  <w:tcBorders>
                    <w:tl2br w:val="nil"/>
                    <w:tr2bl w:val="nil"/>
                  </w:tcBorders>
                  <w:vAlign w:val="center"/>
                </w:tcPr>
                <w:p w14:paraId="52D3B2B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825" w:type="pct"/>
                  <w:tcBorders>
                    <w:tl2br w:val="nil"/>
                    <w:tr2bl w:val="nil"/>
                  </w:tcBorders>
                  <w:vAlign w:val="center"/>
                </w:tcPr>
                <w:p w14:paraId="77CA58F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8#</w:t>
                  </w:r>
                </w:p>
              </w:tc>
              <w:tc>
                <w:tcPr>
                  <w:tcW w:w="2513" w:type="pct"/>
                  <w:gridSpan w:val="2"/>
                  <w:tcBorders>
                    <w:tl2br w:val="nil"/>
                    <w:tr2bl w:val="nil"/>
                  </w:tcBorders>
                  <w:vAlign w:val="center"/>
                </w:tcPr>
                <w:p w14:paraId="1A630AF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w:t>
                  </w:r>
                  <w:r>
                    <w:rPr>
                      <w:rFonts w:hint="default" w:ascii="Times New Roman" w:hAnsi="Times New Roman" w:eastAsia="宋体" w:cs="Times New Roman"/>
                      <w:color w:val="auto"/>
                      <w:sz w:val="21"/>
                      <w:szCs w:val="21"/>
                      <w:highlight w:val="none"/>
                      <w:vertAlign w:val="baseline"/>
                      <w:lang w:val="en-US" w:eastAsia="zh-CN"/>
                    </w:rPr>
                    <w:t>104°51'28.929"</w:t>
                  </w:r>
                  <w:r>
                    <w:rPr>
                      <w:rFonts w:hint="eastAsia" w:cs="Times New Roman"/>
                      <w:color w:val="auto"/>
                      <w:sz w:val="21"/>
                      <w:szCs w:val="21"/>
                      <w:highlight w:val="none"/>
                      <w:vertAlign w:val="baseline"/>
                      <w:lang w:val="en-US" w:eastAsia="zh-CN"/>
                    </w:rPr>
                    <w:t>，N：</w:t>
                  </w:r>
                  <w:r>
                    <w:rPr>
                      <w:rFonts w:hint="default" w:ascii="Times New Roman" w:hAnsi="Times New Roman" w:eastAsia="宋体" w:cs="Times New Roman"/>
                      <w:color w:val="auto"/>
                      <w:sz w:val="21"/>
                      <w:szCs w:val="21"/>
                      <w:highlight w:val="none"/>
                      <w:vertAlign w:val="baseline"/>
                      <w:lang w:val="en-US" w:eastAsia="zh-CN"/>
                    </w:rPr>
                    <w:t>37°12'42.383"</w:t>
                  </w:r>
                </w:p>
              </w:tc>
            </w:tr>
            <w:tr w14:paraId="42F4DB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402" w:type="pct"/>
                  <w:vMerge w:val="continue"/>
                  <w:tcBorders>
                    <w:tl2br w:val="nil"/>
                    <w:tr2bl w:val="nil"/>
                  </w:tcBorders>
                  <w:vAlign w:val="center"/>
                </w:tcPr>
                <w:p w14:paraId="2D818C9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35" w:type="pct"/>
                  <w:vMerge w:val="continue"/>
                  <w:tcBorders>
                    <w:tl2br w:val="nil"/>
                    <w:tr2bl w:val="nil"/>
                  </w:tcBorders>
                  <w:vAlign w:val="center"/>
                </w:tcPr>
                <w:p w14:paraId="2ED4C08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824" w:type="pct"/>
                  <w:vMerge w:val="restart"/>
                  <w:tcBorders>
                    <w:tl2br w:val="nil"/>
                    <w:tr2bl w:val="nil"/>
                  </w:tcBorders>
                  <w:vAlign w:val="center"/>
                </w:tcPr>
                <w:p w14:paraId="63BC00C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水位监测站</w:t>
                  </w:r>
                </w:p>
              </w:tc>
              <w:tc>
                <w:tcPr>
                  <w:tcW w:w="825" w:type="pct"/>
                  <w:tcBorders>
                    <w:tl2br w:val="nil"/>
                    <w:tr2bl w:val="nil"/>
                  </w:tcBorders>
                  <w:vAlign w:val="center"/>
                </w:tcPr>
                <w:p w14:paraId="1E95C4A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w:t>
                  </w:r>
                </w:p>
              </w:tc>
              <w:tc>
                <w:tcPr>
                  <w:tcW w:w="2513" w:type="pct"/>
                  <w:gridSpan w:val="2"/>
                  <w:tcBorders>
                    <w:tl2br w:val="nil"/>
                    <w:tr2bl w:val="nil"/>
                  </w:tcBorders>
                  <w:vAlign w:val="center"/>
                </w:tcPr>
                <w:p w14:paraId="0E8EBC3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w:t>
                  </w:r>
                  <w:r>
                    <w:rPr>
                      <w:rFonts w:hint="default" w:ascii="Times New Roman" w:hAnsi="Times New Roman" w:eastAsia="宋体" w:cs="Times New Roman"/>
                      <w:color w:val="auto"/>
                      <w:sz w:val="21"/>
                      <w:szCs w:val="21"/>
                      <w:highlight w:val="none"/>
                      <w:vertAlign w:val="baseline"/>
                      <w:lang w:val="en-US" w:eastAsia="zh-CN"/>
                    </w:rPr>
                    <w:t>105°14'39.245"</w:t>
                  </w:r>
                  <w:r>
                    <w:rPr>
                      <w:rFonts w:hint="eastAsia" w:cs="Times New Roman"/>
                      <w:color w:val="auto"/>
                      <w:sz w:val="21"/>
                      <w:szCs w:val="21"/>
                      <w:highlight w:val="none"/>
                      <w:vertAlign w:val="baseline"/>
                      <w:lang w:val="en-US" w:eastAsia="zh-CN"/>
                    </w:rPr>
                    <w:t>，N：</w:t>
                  </w:r>
                  <w:r>
                    <w:rPr>
                      <w:rFonts w:hint="default" w:ascii="Times New Roman" w:hAnsi="Times New Roman" w:eastAsia="宋体" w:cs="Times New Roman"/>
                      <w:color w:val="auto"/>
                      <w:sz w:val="21"/>
                      <w:szCs w:val="21"/>
                      <w:highlight w:val="none"/>
                      <w:vertAlign w:val="baseline"/>
                      <w:lang w:val="en-US" w:eastAsia="zh-CN"/>
                    </w:rPr>
                    <w:t>36°53'20.996"</w:t>
                  </w:r>
                </w:p>
              </w:tc>
            </w:tr>
            <w:tr w14:paraId="371A59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402" w:type="pct"/>
                  <w:vMerge w:val="continue"/>
                  <w:tcBorders>
                    <w:tl2br w:val="nil"/>
                    <w:tr2bl w:val="nil"/>
                  </w:tcBorders>
                  <w:vAlign w:val="center"/>
                </w:tcPr>
                <w:p w14:paraId="73A4670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35" w:type="pct"/>
                  <w:vMerge w:val="continue"/>
                  <w:tcBorders>
                    <w:tl2br w:val="nil"/>
                    <w:tr2bl w:val="nil"/>
                  </w:tcBorders>
                  <w:vAlign w:val="center"/>
                </w:tcPr>
                <w:p w14:paraId="4EBA66C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824" w:type="pct"/>
                  <w:vMerge w:val="continue"/>
                  <w:tcBorders>
                    <w:tl2br w:val="nil"/>
                    <w:tr2bl w:val="nil"/>
                  </w:tcBorders>
                  <w:vAlign w:val="center"/>
                </w:tcPr>
                <w:p w14:paraId="3607940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825" w:type="pct"/>
                  <w:tcBorders>
                    <w:tl2br w:val="nil"/>
                    <w:tr2bl w:val="nil"/>
                  </w:tcBorders>
                  <w:vAlign w:val="center"/>
                </w:tcPr>
                <w:p w14:paraId="26D7E7D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w:t>
                  </w:r>
                </w:p>
              </w:tc>
              <w:tc>
                <w:tcPr>
                  <w:tcW w:w="2513" w:type="pct"/>
                  <w:gridSpan w:val="2"/>
                  <w:tcBorders>
                    <w:tl2br w:val="nil"/>
                    <w:tr2bl w:val="nil"/>
                  </w:tcBorders>
                  <w:vAlign w:val="center"/>
                </w:tcPr>
                <w:p w14:paraId="2925BBC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w:t>
                  </w:r>
                  <w:r>
                    <w:rPr>
                      <w:rFonts w:hint="default" w:ascii="Times New Roman" w:hAnsi="Times New Roman" w:eastAsia="宋体" w:cs="Times New Roman"/>
                      <w:color w:val="auto"/>
                      <w:sz w:val="21"/>
                      <w:szCs w:val="21"/>
                      <w:highlight w:val="none"/>
                      <w:vertAlign w:val="baseline"/>
                      <w:lang w:val="en-US" w:eastAsia="zh-CN"/>
                    </w:rPr>
                    <w:t>105°15'45.995"</w:t>
                  </w:r>
                  <w:r>
                    <w:rPr>
                      <w:rFonts w:hint="eastAsia" w:cs="Times New Roman"/>
                      <w:color w:val="auto"/>
                      <w:sz w:val="21"/>
                      <w:szCs w:val="21"/>
                      <w:highlight w:val="none"/>
                      <w:vertAlign w:val="baseline"/>
                      <w:lang w:val="en-US" w:eastAsia="zh-CN"/>
                    </w:rPr>
                    <w:t>，N：</w:t>
                  </w:r>
                  <w:r>
                    <w:rPr>
                      <w:rFonts w:hint="default" w:ascii="Times New Roman" w:hAnsi="Times New Roman" w:eastAsia="宋体" w:cs="Times New Roman"/>
                      <w:color w:val="auto"/>
                      <w:sz w:val="21"/>
                      <w:szCs w:val="21"/>
                      <w:highlight w:val="none"/>
                      <w:vertAlign w:val="baseline"/>
                      <w:lang w:val="en-US" w:eastAsia="zh-CN"/>
                    </w:rPr>
                    <w:t>36°56'17.264"</w:t>
                  </w:r>
                </w:p>
              </w:tc>
            </w:tr>
            <w:tr w14:paraId="320E7C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402" w:type="pct"/>
                  <w:vMerge w:val="continue"/>
                  <w:tcBorders>
                    <w:tl2br w:val="nil"/>
                    <w:tr2bl w:val="nil"/>
                  </w:tcBorders>
                  <w:vAlign w:val="center"/>
                </w:tcPr>
                <w:p w14:paraId="66847AA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35" w:type="pct"/>
                  <w:vMerge w:val="continue"/>
                  <w:tcBorders>
                    <w:tl2br w:val="nil"/>
                    <w:tr2bl w:val="nil"/>
                  </w:tcBorders>
                  <w:vAlign w:val="center"/>
                </w:tcPr>
                <w:p w14:paraId="3CDD0FF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824" w:type="pct"/>
                  <w:vMerge w:val="continue"/>
                  <w:tcBorders>
                    <w:tl2br w:val="nil"/>
                    <w:tr2bl w:val="nil"/>
                  </w:tcBorders>
                  <w:vAlign w:val="center"/>
                </w:tcPr>
                <w:p w14:paraId="515A430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825" w:type="pct"/>
                  <w:tcBorders>
                    <w:tl2br w:val="nil"/>
                    <w:tr2bl w:val="nil"/>
                  </w:tcBorders>
                  <w:vAlign w:val="center"/>
                </w:tcPr>
                <w:p w14:paraId="6F2F790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w:t>
                  </w:r>
                </w:p>
              </w:tc>
              <w:tc>
                <w:tcPr>
                  <w:tcW w:w="2513" w:type="pct"/>
                  <w:gridSpan w:val="2"/>
                  <w:tcBorders>
                    <w:tl2br w:val="nil"/>
                    <w:tr2bl w:val="nil"/>
                  </w:tcBorders>
                  <w:vAlign w:val="center"/>
                </w:tcPr>
                <w:p w14:paraId="242AA91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w:t>
                  </w:r>
                  <w:r>
                    <w:rPr>
                      <w:rFonts w:hint="default" w:ascii="Times New Roman" w:hAnsi="Times New Roman" w:eastAsia="宋体" w:cs="Times New Roman"/>
                      <w:color w:val="auto"/>
                      <w:sz w:val="21"/>
                      <w:szCs w:val="21"/>
                      <w:highlight w:val="none"/>
                      <w:vertAlign w:val="baseline"/>
                      <w:lang w:val="en-US" w:eastAsia="zh-CN"/>
                    </w:rPr>
                    <w:t>105°12'03.067"</w:t>
                  </w:r>
                  <w:r>
                    <w:rPr>
                      <w:rFonts w:hint="eastAsia" w:cs="Times New Roman"/>
                      <w:color w:val="auto"/>
                      <w:sz w:val="21"/>
                      <w:szCs w:val="21"/>
                      <w:highlight w:val="none"/>
                      <w:vertAlign w:val="baseline"/>
                      <w:lang w:val="en-US" w:eastAsia="zh-CN"/>
                    </w:rPr>
                    <w:t>，N：</w:t>
                  </w:r>
                  <w:r>
                    <w:rPr>
                      <w:rFonts w:hint="default" w:ascii="Times New Roman" w:hAnsi="Times New Roman" w:eastAsia="宋体" w:cs="Times New Roman"/>
                      <w:color w:val="auto"/>
                      <w:sz w:val="21"/>
                      <w:szCs w:val="21"/>
                      <w:highlight w:val="none"/>
                      <w:vertAlign w:val="baseline"/>
                      <w:lang w:val="en-US" w:eastAsia="zh-CN"/>
                    </w:rPr>
                    <w:t>36°58'34.866"</w:t>
                  </w:r>
                </w:p>
              </w:tc>
            </w:tr>
            <w:tr w14:paraId="1857B8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402" w:type="pct"/>
                  <w:vMerge w:val="continue"/>
                  <w:tcBorders>
                    <w:tl2br w:val="nil"/>
                    <w:tr2bl w:val="nil"/>
                  </w:tcBorders>
                  <w:vAlign w:val="center"/>
                </w:tcPr>
                <w:p w14:paraId="61CD975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35" w:type="pct"/>
                  <w:vMerge w:val="continue"/>
                  <w:tcBorders>
                    <w:tl2br w:val="nil"/>
                    <w:tr2bl w:val="nil"/>
                  </w:tcBorders>
                  <w:vAlign w:val="center"/>
                </w:tcPr>
                <w:p w14:paraId="0E960AB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824" w:type="pct"/>
                  <w:vMerge w:val="continue"/>
                  <w:tcBorders>
                    <w:tl2br w:val="nil"/>
                    <w:tr2bl w:val="nil"/>
                  </w:tcBorders>
                  <w:vAlign w:val="center"/>
                </w:tcPr>
                <w:p w14:paraId="30CB79D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825" w:type="pct"/>
                  <w:tcBorders>
                    <w:tl2br w:val="nil"/>
                    <w:tr2bl w:val="nil"/>
                  </w:tcBorders>
                  <w:vAlign w:val="center"/>
                </w:tcPr>
                <w:p w14:paraId="7DC9E9A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w:t>
                  </w:r>
                </w:p>
              </w:tc>
              <w:tc>
                <w:tcPr>
                  <w:tcW w:w="2513" w:type="pct"/>
                  <w:gridSpan w:val="2"/>
                  <w:tcBorders>
                    <w:tl2br w:val="nil"/>
                    <w:tr2bl w:val="nil"/>
                  </w:tcBorders>
                  <w:vAlign w:val="center"/>
                </w:tcPr>
                <w:p w14:paraId="6C7EA22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w:t>
                  </w:r>
                  <w:r>
                    <w:rPr>
                      <w:rFonts w:hint="default" w:ascii="Times New Roman" w:hAnsi="Times New Roman" w:eastAsia="宋体" w:cs="Times New Roman"/>
                      <w:color w:val="auto"/>
                      <w:sz w:val="21"/>
                      <w:szCs w:val="21"/>
                      <w:highlight w:val="none"/>
                      <w:vertAlign w:val="baseline"/>
                      <w:lang w:val="en-US" w:eastAsia="zh-CN"/>
                    </w:rPr>
                    <w:t>104°53'55.200"</w:t>
                  </w:r>
                  <w:r>
                    <w:rPr>
                      <w:rFonts w:hint="eastAsia" w:cs="Times New Roman"/>
                      <w:color w:val="auto"/>
                      <w:sz w:val="21"/>
                      <w:szCs w:val="21"/>
                      <w:highlight w:val="none"/>
                      <w:vertAlign w:val="baseline"/>
                      <w:lang w:val="en-US" w:eastAsia="zh-CN"/>
                    </w:rPr>
                    <w:t>，N：</w:t>
                  </w:r>
                  <w:r>
                    <w:rPr>
                      <w:rFonts w:hint="default" w:ascii="Times New Roman" w:hAnsi="Times New Roman" w:eastAsia="宋体" w:cs="Times New Roman"/>
                      <w:color w:val="auto"/>
                      <w:sz w:val="21"/>
                      <w:szCs w:val="21"/>
                      <w:highlight w:val="none"/>
                      <w:vertAlign w:val="baseline"/>
                      <w:lang w:val="en-US" w:eastAsia="zh-CN"/>
                    </w:rPr>
                    <w:t>37°07'38.857"</w:t>
                  </w:r>
                </w:p>
              </w:tc>
            </w:tr>
            <w:tr w14:paraId="44B5D6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402" w:type="pct"/>
                  <w:vMerge w:val="continue"/>
                  <w:tcBorders>
                    <w:tl2br w:val="nil"/>
                    <w:tr2bl w:val="nil"/>
                  </w:tcBorders>
                  <w:vAlign w:val="center"/>
                </w:tcPr>
                <w:p w14:paraId="7B537D5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35" w:type="pct"/>
                  <w:vMerge w:val="continue"/>
                  <w:tcBorders>
                    <w:tl2br w:val="nil"/>
                    <w:tr2bl w:val="nil"/>
                  </w:tcBorders>
                  <w:vAlign w:val="center"/>
                </w:tcPr>
                <w:p w14:paraId="02C5B03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824" w:type="pct"/>
                  <w:vMerge w:val="continue"/>
                  <w:tcBorders>
                    <w:tl2br w:val="nil"/>
                    <w:tr2bl w:val="nil"/>
                  </w:tcBorders>
                  <w:vAlign w:val="center"/>
                </w:tcPr>
                <w:p w14:paraId="2337AFA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825" w:type="pct"/>
                  <w:tcBorders>
                    <w:tl2br w:val="nil"/>
                    <w:tr2bl w:val="nil"/>
                  </w:tcBorders>
                  <w:vAlign w:val="center"/>
                </w:tcPr>
                <w:p w14:paraId="1C08D5E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w:t>
                  </w:r>
                </w:p>
              </w:tc>
              <w:tc>
                <w:tcPr>
                  <w:tcW w:w="2513" w:type="pct"/>
                  <w:gridSpan w:val="2"/>
                  <w:tcBorders>
                    <w:tl2br w:val="nil"/>
                    <w:tr2bl w:val="nil"/>
                  </w:tcBorders>
                  <w:vAlign w:val="center"/>
                </w:tcPr>
                <w:p w14:paraId="77C415C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w:t>
                  </w:r>
                  <w:r>
                    <w:rPr>
                      <w:rFonts w:hint="default" w:ascii="Times New Roman" w:hAnsi="Times New Roman" w:eastAsia="宋体" w:cs="Times New Roman"/>
                      <w:color w:val="auto"/>
                      <w:sz w:val="21"/>
                      <w:szCs w:val="21"/>
                      <w:highlight w:val="none"/>
                      <w:vertAlign w:val="baseline"/>
                      <w:lang w:val="en-US" w:eastAsia="zh-CN"/>
                    </w:rPr>
                    <w:t>104°51'28.929"</w:t>
                  </w:r>
                  <w:r>
                    <w:rPr>
                      <w:rFonts w:hint="eastAsia" w:cs="Times New Roman"/>
                      <w:color w:val="auto"/>
                      <w:sz w:val="21"/>
                      <w:szCs w:val="21"/>
                      <w:highlight w:val="none"/>
                      <w:vertAlign w:val="baseline"/>
                      <w:lang w:val="en-US" w:eastAsia="zh-CN"/>
                    </w:rPr>
                    <w:t>，N：</w:t>
                  </w:r>
                  <w:r>
                    <w:rPr>
                      <w:rFonts w:hint="default" w:ascii="Times New Roman" w:hAnsi="Times New Roman" w:eastAsia="宋体" w:cs="Times New Roman"/>
                      <w:color w:val="auto"/>
                      <w:sz w:val="21"/>
                      <w:szCs w:val="21"/>
                      <w:highlight w:val="none"/>
                      <w:vertAlign w:val="baseline"/>
                      <w:lang w:val="en-US" w:eastAsia="zh-CN"/>
                    </w:rPr>
                    <w:t>37°12'42.383"</w:t>
                  </w:r>
                </w:p>
              </w:tc>
            </w:tr>
            <w:tr w14:paraId="14B867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402" w:type="pct"/>
                  <w:vMerge w:val="continue"/>
                  <w:tcBorders>
                    <w:tl2br w:val="nil"/>
                    <w:tr2bl w:val="nil"/>
                  </w:tcBorders>
                  <w:vAlign w:val="center"/>
                </w:tcPr>
                <w:p w14:paraId="6E9D3B1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35" w:type="pct"/>
                  <w:vMerge w:val="continue"/>
                  <w:tcBorders>
                    <w:tl2br w:val="nil"/>
                    <w:tr2bl w:val="nil"/>
                  </w:tcBorders>
                  <w:vAlign w:val="center"/>
                </w:tcPr>
                <w:p w14:paraId="3CA6AA3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824" w:type="pct"/>
                  <w:vMerge w:val="restart"/>
                  <w:tcBorders>
                    <w:tl2br w:val="nil"/>
                    <w:tr2bl w:val="nil"/>
                  </w:tcBorders>
                  <w:vAlign w:val="center"/>
                </w:tcPr>
                <w:p w14:paraId="471F5FB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水情监测站</w:t>
                  </w:r>
                </w:p>
              </w:tc>
              <w:tc>
                <w:tcPr>
                  <w:tcW w:w="825" w:type="pct"/>
                  <w:tcBorders>
                    <w:tl2br w:val="nil"/>
                    <w:tr2bl w:val="nil"/>
                  </w:tcBorders>
                  <w:vAlign w:val="center"/>
                </w:tcPr>
                <w:p w14:paraId="441F3AC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w:t>
                  </w:r>
                </w:p>
              </w:tc>
              <w:tc>
                <w:tcPr>
                  <w:tcW w:w="2513" w:type="pct"/>
                  <w:gridSpan w:val="2"/>
                  <w:tcBorders>
                    <w:tl2br w:val="nil"/>
                    <w:tr2bl w:val="nil"/>
                  </w:tcBorders>
                  <w:vAlign w:val="center"/>
                </w:tcPr>
                <w:p w14:paraId="1858FDD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w:t>
                  </w:r>
                  <w:r>
                    <w:rPr>
                      <w:rFonts w:hint="default" w:ascii="Times New Roman" w:hAnsi="Times New Roman" w:eastAsia="宋体" w:cs="Times New Roman"/>
                      <w:color w:val="auto"/>
                      <w:sz w:val="21"/>
                      <w:szCs w:val="21"/>
                      <w:highlight w:val="none"/>
                      <w:vertAlign w:val="baseline"/>
                      <w:lang w:val="en-US" w:eastAsia="zh-CN"/>
                    </w:rPr>
                    <w:t>105°14'39.245"</w:t>
                  </w:r>
                  <w:r>
                    <w:rPr>
                      <w:rFonts w:hint="eastAsia" w:cs="Times New Roman"/>
                      <w:color w:val="auto"/>
                      <w:sz w:val="21"/>
                      <w:szCs w:val="21"/>
                      <w:highlight w:val="none"/>
                      <w:vertAlign w:val="baseline"/>
                      <w:lang w:val="en-US" w:eastAsia="zh-CN"/>
                    </w:rPr>
                    <w:t>，N：</w:t>
                  </w:r>
                  <w:r>
                    <w:rPr>
                      <w:rFonts w:hint="default" w:ascii="Times New Roman" w:hAnsi="Times New Roman" w:eastAsia="宋体" w:cs="Times New Roman"/>
                      <w:color w:val="auto"/>
                      <w:sz w:val="21"/>
                      <w:szCs w:val="21"/>
                      <w:highlight w:val="none"/>
                      <w:vertAlign w:val="baseline"/>
                      <w:lang w:val="en-US" w:eastAsia="zh-CN"/>
                    </w:rPr>
                    <w:t>36°53'20.996"</w:t>
                  </w:r>
                </w:p>
              </w:tc>
            </w:tr>
            <w:tr w14:paraId="0BFAD4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402" w:type="pct"/>
                  <w:vMerge w:val="continue"/>
                  <w:tcBorders>
                    <w:tl2br w:val="nil"/>
                    <w:tr2bl w:val="nil"/>
                  </w:tcBorders>
                  <w:vAlign w:val="center"/>
                </w:tcPr>
                <w:p w14:paraId="183E607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35" w:type="pct"/>
                  <w:vMerge w:val="continue"/>
                  <w:tcBorders>
                    <w:tl2br w:val="nil"/>
                    <w:tr2bl w:val="nil"/>
                  </w:tcBorders>
                  <w:vAlign w:val="center"/>
                </w:tcPr>
                <w:p w14:paraId="33D54CE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824" w:type="pct"/>
                  <w:vMerge w:val="continue"/>
                  <w:tcBorders>
                    <w:tl2br w:val="nil"/>
                    <w:tr2bl w:val="nil"/>
                  </w:tcBorders>
                  <w:vAlign w:val="center"/>
                </w:tcPr>
                <w:p w14:paraId="6E2E685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825" w:type="pct"/>
                  <w:tcBorders>
                    <w:tl2br w:val="nil"/>
                    <w:tr2bl w:val="nil"/>
                  </w:tcBorders>
                  <w:vAlign w:val="center"/>
                </w:tcPr>
                <w:p w14:paraId="1DE2ED0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w:t>
                  </w:r>
                </w:p>
              </w:tc>
              <w:tc>
                <w:tcPr>
                  <w:tcW w:w="2513" w:type="pct"/>
                  <w:gridSpan w:val="2"/>
                  <w:tcBorders>
                    <w:tl2br w:val="nil"/>
                    <w:tr2bl w:val="nil"/>
                  </w:tcBorders>
                  <w:vAlign w:val="center"/>
                </w:tcPr>
                <w:p w14:paraId="15D24C3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w:t>
                  </w:r>
                  <w:r>
                    <w:rPr>
                      <w:rFonts w:hint="default" w:ascii="Times New Roman" w:hAnsi="Times New Roman" w:eastAsia="宋体" w:cs="Times New Roman"/>
                      <w:color w:val="auto"/>
                      <w:sz w:val="21"/>
                      <w:szCs w:val="21"/>
                      <w:highlight w:val="none"/>
                      <w:vertAlign w:val="baseline"/>
                      <w:lang w:val="en-US" w:eastAsia="zh-CN"/>
                    </w:rPr>
                    <w:t>105°15'45.995"</w:t>
                  </w:r>
                  <w:r>
                    <w:rPr>
                      <w:rFonts w:hint="eastAsia" w:cs="Times New Roman"/>
                      <w:color w:val="auto"/>
                      <w:sz w:val="21"/>
                      <w:szCs w:val="21"/>
                      <w:highlight w:val="none"/>
                      <w:vertAlign w:val="baseline"/>
                      <w:lang w:val="en-US" w:eastAsia="zh-CN"/>
                    </w:rPr>
                    <w:t>，N：</w:t>
                  </w:r>
                  <w:r>
                    <w:rPr>
                      <w:rFonts w:hint="default" w:ascii="Times New Roman" w:hAnsi="Times New Roman" w:eastAsia="宋体" w:cs="Times New Roman"/>
                      <w:color w:val="auto"/>
                      <w:sz w:val="21"/>
                      <w:szCs w:val="21"/>
                      <w:highlight w:val="none"/>
                      <w:vertAlign w:val="baseline"/>
                      <w:lang w:val="en-US" w:eastAsia="zh-CN"/>
                    </w:rPr>
                    <w:t>36°56'17.264"</w:t>
                  </w:r>
                </w:p>
              </w:tc>
            </w:tr>
            <w:tr w14:paraId="4144DB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402" w:type="pct"/>
                  <w:vMerge w:val="continue"/>
                  <w:tcBorders>
                    <w:tl2br w:val="nil"/>
                    <w:tr2bl w:val="nil"/>
                  </w:tcBorders>
                  <w:vAlign w:val="center"/>
                </w:tcPr>
                <w:p w14:paraId="274AE52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35" w:type="pct"/>
                  <w:vMerge w:val="continue"/>
                  <w:tcBorders>
                    <w:tl2br w:val="nil"/>
                    <w:tr2bl w:val="nil"/>
                  </w:tcBorders>
                  <w:vAlign w:val="center"/>
                </w:tcPr>
                <w:p w14:paraId="3411014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824" w:type="pct"/>
                  <w:vMerge w:val="continue"/>
                  <w:tcBorders>
                    <w:tl2br w:val="nil"/>
                    <w:tr2bl w:val="nil"/>
                  </w:tcBorders>
                  <w:vAlign w:val="center"/>
                </w:tcPr>
                <w:p w14:paraId="537FE00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825" w:type="pct"/>
                  <w:tcBorders>
                    <w:tl2br w:val="nil"/>
                    <w:tr2bl w:val="nil"/>
                  </w:tcBorders>
                  <w:vAlign w:val="center"/>
                </w:tcPr>
                <w:p w14:paraId="2D9CBD8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w:t>
                  </w:r>
                </w:p>
              </w:tc>
              <w:tc>
                <w:tcPr>
                  <w:tcW w:w="2513" w:type="pct"/>
                  <w:gridSpan w:val="2"/>
                  <w:tcBorders>
                    <w:tl2br w:val="nil"/>
                    <w:tr2bl w:val="nil"/>
                  </w:tcBorders>
                  <w:vAlign w:val="center"/>
                </w:tcPr>
                <w:p w14:paraId="7725F30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w:t>
                  </w:r>
                  <w:r>
                    <w:rPr>
                      <w:rFonts w:hint="default" w:ascii="Times New Roman" w:hAnsi="Times New Roman" w:eastAsia="宋体" w:cs="Times New Roman"/>
                      <w:color w:val="auto"/>
                      <w:sz w:val="21"/>
                      <w:szCs w:val="21"/>
                      <w:highlight w:val="none"/>
                      <w:vertAlign w:val="baseline"/>
                      <w:lang w:val="en-US" w:eastAsia="zh-CN"/>
                    </w:rPr>
                    <w:t>105°12'03.067"</w:t>
                  </w:r>
                  <w:r>
                    <w:rPr>
                      <w:rFonts w:hint="eastAsia" w:cs="Times New Roman"/>
                      <w:color w:val="auto"/>
                      <w:sz w:val="21"/>
                      <w:szCs w:val="21"/>
                      <w:highlight w:val="none"/>
                      <w:vertAlign w:val="baseline"/>
                      <w:lang w:val="en-US" w:eastAsia="zh-CN"/>
                    </w:rPr>
                    <w:t>，N：</w:t>
                  </w:r>
                  <w:r>
                    <w:rPr>
                      <w:rFonts w:hint="default" w:ascii="Times New Roman" w:hAnsi="Times New Roman" w:eastAsia="宋体" w:cs="Times New Roman"/>
                      <w:color w:val="auto"/>
                      <w:sz w:val="21"/>
                      <w:szCs w:val="21"/>
                      <w:highlight w:val="none"/>
                      <w:vertAlign w:val="baseline"/>
                      <w:lang w:val="en-US" w:eastAsia="zh-CN"/>
                    </w:rPr>
                    <w:t>36°58'34.866"</w:t>
                  </w:r>
                </w:p>
              </w:tc>
            </w:tr>
            <w:tr w14:paraId="130A24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402" w:type="pct"/>
                  <w:vMerge w:val="continue"/>
                  <w:tcBorders>
                    <w:tl2br w:val="nil"/>
                    <w:tr2bl w:val="nil"/>
                  </w:tcBorders>
                  <w:vAlign w:val="center"/>
                </w:tcPr>
                <w:p w14:paraId="0BC81AB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35" w:type="pct"/>
                  <w:vMerge w:val="continue"/>
                  <w:tcBorders>
                    <w:tl2br w:val="nil"/>
                    <w:tr2bl w:val="nil"/>
                  </w:tcBorders>
                  <w:vAlign w:val="center"/>
                </w:tcPr>
                <w:p w14:paraId="2A5DB94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824" w:type="pct"/>
                  <w:vMerge w:val="continue"/>
                  <w:tcBorders>
                    <w:tl2br w:val="nil"/>
                    <w:tr2bl w:val="nil"/>
                  </w:tcBorders>
                  <w:vAlign w:val="center"/>
                </w:tcPr>
                <w:p w14:paraId="4E5E17A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825" w:type="pct"/>
                  <w:tcBorders>
                    <w:tl2br w:val="nil"/>
                    <w:tr2bl w:val="nil"/>
                  </w:tcBorders>
                  <w:vAlign w:val="center"/>
                </w:tcPr>
                <w:p w14:paraId="16BA1EE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w:t>
                  </w:r>
                </w:p>
              </w:tc>
              <w:tc>
                <w:tcPr>
                  <w:tcW w:w="2513" w:type="pct"/>
                  <w:gridSpan w:val="2"/>
                  <w:tcBorders>
                    <w:tl2br w:val="nil"/>
                    <w:tr2bl w:val="nil"/>
                  </w:tcBorders>
                  <w:vAlign w:val="center"/>
                </w:tcPr>
                <w:p w14:paraId="214B562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w:t>
                  </w:r>
                  <w:r>
                    <w:rPr>
                      <w:rFonts w:hint="default" w:ascii="Times New Roman" w:hAnsi="Times New Roman" w:eastAsia="宋体" w:cs="Times New Roman"/>
                      <w:color w:val="auto"/>
                      <w:sz w:val="21"/>
                      <w:szCs w:val="21"/>
                      <w:highlight w:val="none"/>
                      <w:vertAlign w:val="baseline"/>
                      <w:lang w:val="en-US" w:eastAsia="zh-CN"/>
                    </w:rPr>
                    <w:t>104°53'55.200"</w:t>
                  </w:r>
                  <w:r>
                    <w:rPr>
                      <w:rFonts w:hint="eastAsia" w:cs="Times New Roman"/>
                      <w:color w:val="auto"/>
                      <w:sz w:val="21"/>
                      <w:szCs w:val="21"/>
                      <w:highlight w:val="none"/>
                      <w:vertAlign w:val="baseline"/>
                      <w:lang w:val="en-US" w:eastAsia="zh-CN"/>
                    </w:rPr>
                    <w:t>，N：</w:t>
                  </w:r>
                  <w:r>
                    <w:rPr>
                      <w:rFonts w:hint="default" w:ascii="Times New Roman" w:hAnsi="Times New Roman" w:eastAsia="宋体" w:cs="Times New Roman"/>
                      <w:color w:val="auto"/>
                      <w:sz w:val="21"/>
                      <w:szCs w:val="21"/>
                      <w:highlight w:val="none"/>
                      <w:vertAlign w:val="baseline"/>
                      <w:lang w:val="en-US" w:eastAsia="zh-CN"/>
                    </w:rPr>
                    <w:t>37°07'38.857"</w:t>
                  </w:r>
                </w:p>
              </w:tc>
            </w:tr>
          </w:tbl>
          <w:p w14:paraId="6EDBFB35">
            <w:pPr>
              <w:autoSpaceDE w:val="0"/>
              <w:autoSpaceDN w:val="0"/>
              <w:adjustRightInd w:val="0"/>
              <w:spacing w:line="360" w:lineRule="auto"/>
              <w:ind w:firstLine="480" w:firstLineChars="200"/>
              <w:rPr>
                <w:rFonts w:hint="default" w:ascii="Times New Roman" w:hAnsi="Times New Roman" w:eastAsia="仿宋_GB2312" w:cs="Times New Roman"/>
                <w:bCs/>
                <w:color w:val="auto"/>
                <w:sz w:val="24"/>
                <w:highlight w:val="none"/>
                <w:lang w:val="en-US" w:eastAsia="zh-CN"/>
              </w:rPr>
            </w:pPr>
          </w:p>
        </w:tc>
      </w:tr>
      <w:tr w14:paraId="5D1BDC63">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023" w:hRule="atLeast"/>
          <w:jc w:val="center"/>
        </w:trPr>
        <w:tc>
          <w:tcPr>
            <w:tcW w:w="485" w:type="dxa"/>
            <w:tcBorders>
              <w:tl2br w:val="nil"/>
              <w:tr2bl w:val="nil"/>
            </w:tcBorders>
            <w:vAlign w:val="center"/>
          </w:tcPr>
          <w:p w14:paraId="3B00DB08">
            <w:pPr>
              <w:pStyle w:val="22"/>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r>
              <w:rPr>
                <w:rFonts w:hint="default" w:ascii="Times New Roman" w:hAnsi="Times New Roman" w:eastAsia="宋体" w:cs="Times New Roman"/>
                <w:b/>
                <w:bCs/>
                <w:color w:val="auto"/>
                <w:szCs w:val="24"/>
                <w:highlight w:val="none"/>
                <w:lang w:eastAsia="zh-CN"/>
              </w:rPr>
              <w:t>项目组成及规模</w:t>
            </w:r>
          </w:p>
        </w:tc>
        <w:tc>
          <w:tcPr>
            <w:tcW w:w="8558" w:type="dxa"/>
            <w:tcBorders>
              <w:tl2br w:val="nil"/>
              <w:tr2bl w:val="nil"/>
            </w:tcBorders>
          </w:tcPr>
          <w:p w14:paraId="594F30A2">
            <w:pPr>
              <w:autoSpaceDE w:val="0"/>
              <w:autoSpaceDN w:val="0"/>
              <w:adjustRightInd w:val="0"/>
              <w:spacing w:line="360" w:lineRule="auto"/>
              <w:ind w:firstLine="480" w:firstLineChars="200"/>
              <w:rPr>
                <w:rFonts w:hint="default" w:ascii="Times New Roman" w:hAnsi="Times New Roman" w:eastAsia="黑体" w:cs="Times New Roman"/>
                <w:b w:val="0"/>
                <w:bCs w:val="0"/>
                <w:color w:val="auto"/>
                <w:sz w:val="24"/>
                <w:szCs w:val="20"/>
                <w:highlight w:val="none"/>
                <w:lang w:val="en-US" w:eastAsia="zh-CN" w:bidi="en-US"/>
              </w:rPr>
            </w:pPr>
            <w:r>
              <w:rPr>
                <w:rFonts w:hint="default" w:ascii="Times New Roman" w:hAnsi="Times New Roman" w:eastAsia="黑体" w:cs="Times New Roman"/>
                <w:b w:val="0"/>
                <w:bCs w:val="0"/>
                <w:color w:val="auto"/>
                <w:sz w:val="24"/>
                <w:szCs w:val="20"/>
                <w:highlight w:val="none"/>
                <w:lang w:val="en-US" w:eastAsia="zh-CN" w:bidi="en-US"/>
              </w:rPr>
              <w:t>1、项目组成及建设规模</w:t>
            </w:r>
          </w:p>
          <w:p w14:paraId="7C6633AA">
            <w:pPr>
              <w:autoSpaceDE w:val="0"/>
              <w:autoSpaceDN w:val="0"/>
              <w:adjustRightInd w:val="0"/>
              <w:spacing w:line="360" w:lineRule="auto"/>
              <w:ind w:firstLine="480" w:firstLineChars="200"/>
              <w:rPr>
                <w:rFonts w:hint="default" w:ascii="Times New Roman" w:hAnsi="Times New Roman" w:eastAsia="黑体" w:cs="Times New Roman"/>
                <w:b w:val="0"/>
                <w:bCs w:val="0"/>
                <w:color w:val="auto"/>
                <w:sz w:val="24"/>
                <w:szCs w:val="20"/>
                <w:highlight w:val="none"/>
                <w:lang w:val="en-US" w:eastAsia="zh-CN" w:bidi="en-US"/>
              </w:rPr>
            </w:pPr>
            <w:r>
              <w:rPr>
                <w:rFonts w:hint="default" w:ascii="Times New Roman" w:hAnsi="Times New Roman" w:eastAsia="黑体" w:cs="Times New Roman"/>
                <w:b w:val="0"/>
                <w:bCs w:val="0"/>
                <w:color w:val="auto"/>
                <w:sz w:val="24"/>
                <w:szCs w:val="20"/>
                <w:highlight w:val="none"/>
                <w:lang w:val="en-US" w:eastAsia="zh-CN" w:bidi="en-US"/>
              </w:rPr>
              <w:t>（1）</w:t>
            </w:r>
            <w:r>
              <w:rPr>
                <w:rFonts w:hint="eastAsia" w:eastAsia="黑体" w:cs="Times New Roman"/>
                <w:b w:val="0"/>
                <w:bCs w:val="0"/>
                <w:color w:val="auto"/>
                <w:sz w:val="24"/>
                <w:szCs w:val="20"/>
                <w:highlight w:val="none"/>
                <w:lang w:val="en-US" w:eastAsia="zh-CN" w:bidi="en-US"/>
              </w:rPr>
              <w:t>建设背景</w:t>
            </w:r>
          </w:p>
          <w:p w14:paraId="26A222DF">
            <w:pPr>
              <w:autoSpaceDE w:val="0"/>
              <w:autoSpaceDN w:val="0"/>
              <w:adjustRightInd w:val="0"/>
              <w:spacing w:line="360" w:lineRule="auto"/>
              <w:ind w:firstLine="480" w:firstLineChars="200"/>
              <w:rPr>
                <w:rFonts w:hint="default" w:ascii="Times New Roman" w:hAnsi="Times New Roman" w:cs="Times New Roman" w:eastAsiaTheme="minorEastAsia"/>
                <w:color w:val="auto"/>
                <w:sz w:val="24"/>
                <w:szCs w:val="20"/>
                <w:highlight w:val="none"/>
                <w:lang w:val="en-US" w:eastAsia="zh-CN" w:bidi="en-US"/>
              </w:rPr>
            </w:pPr>
            <w:r>
              <w:rPr>
                <w:rFonts w:hint="default" w:ascii="Times New Roman" w:hAnsi="Times New Roman" w:cs="Times New Roman" w:eastAsiaTheme="minorEastAsia"/>
                <w:color w:val="auto"/>
                <w:sz w:val="24"/>
                <w:szCs w:val="20"/>
                <w:highlight w:val="none"/>
                <w:lang w:val="en-US" w:eastAsia="zh-CN" w:bidi="en-US"/>
              </w:rPr>
              <w:t>2023年7月1日</w:t>
            </w:r>
            <w:r>
              <w:rPr>
                <w:rFonts w:hint="eastAsia" w:cs="Times New Roman" w:eastAsiaTheme="minorEastAsia"/>
                <w:color w:val="auto"/>
                <w:sz w:val="24"/>
                <w:szCs w:val="20"/>
                <w:highlight w:val="none"/>
                <w:lang w:val="en-US" w:eastAsia="zh-CN" w:bidi="en-US"/>
              </w:rPr>
              <w:t>，中华人民共和国水利部印发《水利部关于印发《中小河流治理建设管理办法》的通知》（水建设〔2023〕215号）提出：“坚持系统治理，整体规划。以流域为单元，统筹上下游、左右岸、干支流，与流域综合规划、防洪规划和区域规划相协调，逐流域规划、逐流域治理，治理一条，见效一条。坚持数字赋能，智慧管理。逐流域、逐河流、逐项目建档立卡，实现中小河流治理全过程信息化管理，提升治理管理数字化、网络化、智能化水平”。</w:t>
            </w:r>
          </w:p>
          <w:p w14:paraId="5E873FC1">
            <w:pPr>
              <w:autoSpaceDE w:val="0"/>
              <w:autoSpaceDN w:val="0"/>
              <w:adjustRightInd w:val="0"/>
              <w:spacing w:line="360" w:lineRule="auto"/>
              <w:ind w:firstLine="480" w:firstLineChars="200"/>
              <w:rPr>
                <w:rFonts w:hint="default" w:ascii="Times New Roman" w:hAnsi="Times New Roman" w:cs="Times New Roman" w:eastAsiaTheme="minorEastAsia"/>
                <w:color w:val="auto"/>
                <w:sz w:val="24"/>
                <w:szCs w:val="20"/>
                <w:highlight w:val="none"/>
                <w:lang w:val="en-US" w:eastAsia="zh-CN" w:bidi="en-US"/>
              </w:rPr>
            </w:pPr>
            <w:r>
              <w:rPr>
                <w:rFonts w:hint="eastAsia" w:cs="Times New Roman" w:eastAsiaTheme="minorEastAsia"/>
                <w:color w:val="auto"/>
                <w:sz w:val="24"/>
                <w:szCs w:val="20"/>
                <w:highlight w:val="none"/>
                <w:lang w:val="en-US" w:eastAsia="zh-CN" w:bidi="en-US"/>
              </w:rPr>
              <w:t>高崖沟为黄河1级支流，发源于甘肃省靖远县靖安乡新丰村，途经甘肃省靖远县、宁夏中卫市沙坡头区兴仁镇后经香山乡黄泉村流入黄河，高崖沟为泄洪沟，主要承担沿线泄洪任务。主流河长120.00km，上游约25km在甘肃境内，下游约26km在宁夏境内，但属于山区河道，无防护对象。中游67.36km分布有城镇、村庄及农田，对此段进行治理。宁夏段高崖沟治理范围为沙坡头区兴仁镇西里村至香山乡景庄村，涉及河长67.36km，宁夏段高崖沟有防洪任务长度33.80km，目前已完成治理河长度约1.50km，桩号为GY5+340~GY6+840，未完成治理河长约32.30km。本次项目具体实施沟段详见下文“（2）建设规模”小节内容。</w:t>
            </w:r>
          </w:p>
          <w:p w14:paraId="288474BC">
            <w:pPr>
              <w:autoSpaceDE w:val="0"/>
              <w:autoSpaceDN w:val="0"/>
              <w:adjustRightInd w:val="0"/>
              <w:spacing w:line="360" w:lineRule="auto"/>
              <w:ind w:firstLine="480" w:firstLineChars="200"/>
              <w:rPr>
                <w:rFonts w:hint="eastAsia" w:cs="Times New Roman" w:eastAsiaTheme="minorEastAsia"/>
                <w:color w:val="auto"/>
                <w:sz w:val="24"/>
                <w:szCs w:val="20"/>
                <w:highlight w:val="none"/>
                <w:lang w:val="en-US" w:eastAsia="zh-CN" w:bidi="en-US"/>
              </w:rPr>
            </w:pPr>
            <w:r>
              <w:rPr>
                <w:rFonts w:hint="eastAsia" w:cs="Times New Roman" w:eastAsiaTheme="minorEastAsia"/>
                <w:color w:val="auto"/>
                <w:sz w:val="24"/>
                <w:szCs w:val="20"/>
                <w:highlight w:val="none"/>
                <w:lang w:val="en-US" w:eastAsia="zh-CN" w:bidi="en-US"/>
              </w:rPr>
              <w:t>高崖沟未实施过整体的防洪治理工程，高崖沟仅城区段实施过防洪治理工程，其他段未治理，抵御洪水的能力非常低。高崖沟主要问题为河道凹岸冲刷现象严重，塌岸形成高坎，高坎遭遇暴雨洪水冲刷、淘蚀，导致高坎上的农田被洪水搬运带走，造成经济损失严重；低坎一岸，局部段主河槽高出了河岸线，耕地被冲刷带走。部分河段淤积严重，防洪断面不满足要求。中游段无沟型，大水漫流，沿河两岸的广大人民群众财产和大量农田受到威胁。历次洪水携带的块石堆积造成河道阻塞，进一步影响河道行洪，加剧了洪水对耕地边界的冲刷，形成恶性循环。部分支沟和主沟不连通，部分支沟洪水无出路。因此需提高高崖沟整体防洪能力，对凹岸进行防护，防止岸坡坍塌进一步侵蚀农田，对局部河道进行整治疏挖或者建设堤防是非常有必要的。</w:t>
            </w:r>
          </w:p>
          <w:p w14:paraId="2ACCA69B">
            <w:pPr>
              <w:autoSpaceDE w:val="0"/>
              <w:autoSpaceDN w:val="0"/>
              <w:adjustRightInd w:val="0"/>
              <w:spacing w:line="360" w:lineRule="auto"/>
              <w:ind w:firstLine="480" w:firstLineChars="200"/>
              <w:rPr>
                <w:rFonts w:hint="default" w:ascii="Times New Roman" w:hAnsi="Times New Roman" w:cs="Times New Roman" w:eastAsiaTheme="minorEastAsia"/>
                <w:color w:val="auto"/>
                <w:sz w:val="24"/>
                <w:szCs w:val="20"/>
                <w:highlight w:val="none"/>
                <w:lang w:val="en-US" w:eastAsia="zh-CN" w:bidi="en-US"/>
              </w:rPr>
            </w:pPr>
            <w:r>
              <w:rPr>
                <w:rFonts w:hint="eastAsia" w:cs="Times New Roman" w:eastAsiaTheme="minorEastAsia"/>
                <w:color w:val="auto"/>
                <w:sz w:val="24"/>
                <w:szCs w:val="20"/>
                <w:highlight w:val="none"/>
                <w:lang w:val="en-US" w:eastAsia="zh-CN" w:bidi="en-US"/>
              </w:rPr>
              <w:t>在上述背景下，中卫市沙坡头区水务局计划实施“中卫市沙坡头区高崖沟治理工程”，项目工程内容主要包括岸坡砌护工程、沟道清淤工程、巡护道路工程及视频监测工程等建设，</w:t>
            </w:r>
            <w:r>
              <w:rPr>
                <w:rFonts w:hint="eastAsia" w:ascii="Times New Roman" w:hAnsi="Times New Roman" w:eastAsia="宋体" w:cs="Times New Roman"/>
                <w:color w:val="auto"/>
                <w:kern w:val="0"/>
                <w:sz w:val="24"/>
                <w:szCs w:val="24"/>
                <w:highlight w:val="none"/>
                <w:lang w:val="en-US" w:eastAsia="zh-CN" w:bidi="ar-SA"/>
              </w:rPr>
              <w:t>项目实施后，将进一步减少高崖沟沟道淤积现象，使得沟道行洪更为流畅，清淤后增加水体流动及自净，对高崖沟丰水期沟道水环境质量有正向作用</w:t>
            </w:r>
            <w:r>
              <w:rPr>
                <w:rFonts w:hint="default" w:ascii="Times New Roman" w:hAnsi="Times New Roman" w:eastAsia="宋体" w:cs="Times New Roman"/>
                <w:color w:val="auto"/>
                <w:kern w:val="0"/>
                <w:sz w:val="24"/>
                <w:szCs w:val="24"/>
                <w:highlight w:val="none"/>
                <w:lang w:val="en-US" w:eastAsia="zh-CN" w:bidi="ar-SA"/>
              </w:rPr>
              <w:t>。</w:t>
            </w:r>
            <w:r>
              <w:rPr>
                <w:rFonts w:hint="eastAsia" w:cs="Times New Roman"/>
                <w:color w:val="auto"/>
                <w:kern w:val="0"/>
                <w:sz w:val="24"/>
                <w:szCs w:val="24"/>
                <w:highlight w:val="none"/>
                <w:lang w:val="en-US" w:eastAsia="zh-CN" w:bidi="ar-SA"/>
              </w:rPr>
              <w:t>同时视频监测系统的建设，将进一步提升沟道</w:t>
            </w:r>
            <w:r>
              <w:rPr>
                <w:rFonts w:hint="eastAsia" w:cs="Times New Roman" w:eastAsiaTheme="minorEastAsia"/>
                <w:color w:val="auto"/>
                <w:sz w:val="24"/>
                <w:szCs w:val="20"/>
                <w:highlight w:val="none"/>
                <w:lang w:val="en-US" w:eastAsia="zh-CN" w:bidi="en-US"/>
              </w:rPr>
              <w:t>数字化、网络化、智能化管理水平。</w:t>
            </w:r>
          </w:p>
          <w:p w14:paraId="40B48DF2">
            <w:pPr>
              <w:autoSpaceDE w:val="0"/>
              <w:autoSpaceDN w:val="0"/>
              <w:adjustRightInd w:val="0"/>
              <w:spacing w:line="360" w:lineRule="auto"/>
              <w:ind w:firstLine="480" w:firstLineChars="200"/>
              <w:rPr>
                <w:rFonts w:hint="default" w:ascii="Times New Roman" w:hAnsi="Times New Roman" w:eastAsia="黑体" w:cs="Times New Roman"/>
                <w:b w:val="0"/>
                <w:bCs w:val="0"/>
                <w:color w:val="auto"/>
                <w:sz w:val="24"/>
                <w:szCs w:val="20"/>
                <w:highlight w:val="none"/>
                <w:lang w:val="en-US" w:eastAsia="zh-CN" w:bidi="en-US"/>
              </w:rPr>
            </w:pPr>
            <w:r>
              <w:rPr>
                <w:rFonts w:hint="default" w:ascii="Times New Roman" w:hAnsi="Times New Roman" w:eastAsia="黑体" w:cs="Times New Roman"/>
                <w:b w:val="0"/>
                <w:bCs w:val="0"/>
                <w:color w:val="auto"/>
                <w:sz w:val="24"/>
                <w:szCs w:val="20"/>
                <w:highlight w:val="none"/>
                <w:lang w:val="en-US" w:eastAsia="zh-CN" w:bidi="en-US"/>
              </w:rPr>
              <w:t>（</w:t>
            </w:r>
            <w:r>
              <w:rPr>
                <w:rFonts w:hint="eastAsia" w:eastAsia="黑体" w:cs="Times New Roman"/>
                <w:b w:val="0"/>
                <w:bCs w:val="0"/>
                <w:color w:val="auto"/>
                <w:sz w:val="24"/>
                <w:szCs w:val="20"/>
                <w:highlight w:val="none"/>
                <w:lang w:val="en-US" w:eastAsia="zh-CN" w:bidi="en-US"/>
              </w:rPr>
              <w:t>2</w:t>
            </w:r>
            <w:r>
              <w:rPr>
                <w:rFonts w:hint="default" w:ascii="Times New Roman" w:hAnsi="Times New Roman" w:eastAsia="黑体" w:cs="Times New Roman"/>
                <w:b w:val="0"/>
                <w:bCs w:val="0"/>
                <w:color w:val="auto"/>
                <w:sz w:val="24"/>
                <w:szCs w:val="20"/>
                <w:highlight w:val="none"/>
                <w:lang w:val="en-US" w:eastAsia="zh-CN" w:bidi="en-US"/>
              </w:rPr>
              <w:t>）建设规模</w:t>
            </w:r>
          </w:p>
          <w:p w14:paraId="217C2303">
            <w:pPr>
              <w:autoSpaceDE w:val="0"/>
              <w:autoSpaceDN w:val="0"/>
              <w:adjustRightInd w:val="0"/>
              <w:spacing w:line="360" w:lineRule="auto"/>
              <w:ind w:firstLine="480" w:firstLineChars="200"/>
              <w:rPr>
                <w:rFonts w:hint="default" w:ascii="Times New Roman" w:hAnsi="Times New Roman" w:cs="Times New Roman" w:eastAsiaTheme="minorEastAsia"/>
                <w:color w:val="auto"/>
                <w:sz w:val="24"/>
                <w:szCs w:val="20"/>
                <w:highlight w:val="none"/>
                <w:lang w:val="en-US" w:eastAsia="zh-CN" w:bidi="en-US"/>
              </w:rPr>
            </w:pPr>
            <w:r>
              <w:rPr>
                <w:rFonts w:hint="default" w:ascii="Times New Roman" w:hAnsi="Times New Roman" w:cs="Times New Roman" w:eastAsiaTheme="minorEastAsia"/>
                <w:color w:val="auto"/>
                <w:sz w:val="24"/>
                <w:szCs w:val="20"/>
                <w:highlight w:val="none"/>
                <w:lang w:val="en-US" w:eastAsia="zh-CN" w:bidi="en-US"/>
              </w:rPr>
              <w:t>本项目工程内容主要包括沟道清淤疏浚工程、护岸工程、巡护道路工程等三项工程建设内容。</w:t>
            </w:r>
          </w:p>
          <w:p w14:paraId="02CBBD83">
            <w:pPr>
              <w:autoSpaceDE w:val="0"/>
              <w:autoSpaceDN w:val="0"/>
              <w:adjustRightInd w:val="0"/>
              <w:spacing w:line="360" w:lineRule="auto"/>
              <w:ind w:firstLine="480" w:firstLineChars="200"/>
              <w:rPr>
                <w:rFonts w:hint="default" w:ascii="Times New Roman" w:hAnsi="Times New Roman" w:cs="Times New Roman" w:eastAsiaTheme="minorEastAsia"/>
                <w:color w:val="auto"/>
                <w:sz w:val="24"/>
                <w:szCs w:val="20"/>
                <w:highlight w:val="none"/>
                <w:lang w:val="en-US" w:eastAsia="zh-CN" w:bidi="en-US"/>
              </w:rPr>
            </w:pPr>
            <w:r>
              <w:rPr>
                <w:rFonts w:hint="default" w:ascii="Times New Roman" w:hAnsi="Times New Roman" w:cs="Times New Roman" w:eastAsiaTheme="minorEastAsia"/>
                <w:color w:val="auto"/>
                <w:sz w:val="24"/>
                <w:szCs w:val="20"/>
                <w:highlight w:val="none"/>
                <w:lang w:val="en-US" w:eastAsia="zh-CN" w:bidi="en-US"/>
              </w:rPr>
              <w:t>①护岸工程：上游桩号GY2+000~GY13+600段护岸总长度5.52km，下游GY45+000~GY65+210段河势蜿蜒，右岸分布有基本农田，护岸长度17.08km，合计22.6km；</w:t>
            </w:r>
            <w:r>
              <w:rPr>
                <w:rFonts w:hint="eastAsia" w:cs="Times New Roman" w:eastAsiaTheme="minorEastAsia"/>
                <w:color w:val="auto"/>
                <w:sz w:val="24"/>
                <w:szCs w:val="20"/>
                <w:highlight w:val="none"/>
                <w:lang w:val="en-US" w:eastAsia="zh-CN" w:bidi="en-US"/>
              </w:rPr>
              <w:t>本次项目仅实施高崖沟宁夏境内一侧，不对甘肃境内一侧进行砌护。</w:t>
            </w:r>
          </w:p>
          <w:p w14:paraId="56455739">
            <w:pPr>
              <w:autoSpaceDE w:val="0"/>
              <w:autoSpaceDN w:val="0"/>
              <w:adjustRightInd w:val="0"/>
              <w:spacing w:line="360" w:lineRule="auto"/>
              <w:ind w:firstLine="480" w:firstLineChars="200"/>
              <w:rPr>
                <w:rFonts w:hint="default" w:ascii="Times New Roman" w:hAnsi="Times New Roman" w:cs="Times New Roman" w:eastAsiaTheme="minorEastAsia"/>
                <w:color w:val="auto"/>
                <w:sz w:val="24"/>
                <w:szCs w:val="20"/>
                <w:highlight w:val="none"/>
                <w:lang w:val="en-US" w:eastAsia="zh-CN" w:bidi="en-US"/>
              </w:rPr>
            </w:pPr>
            <w:r>
              <w:rPr>
                <w:rFonts w:hint="default" w:ascii="Times New Roman" w:hAnsi="Times New Roman" w:cs="Times New Roman" w:eastAsiaTheme="minorEastAsia"/>
                <w:color w:val="auto"/>
                <w:sz w:val="24"/>
                <w:szCs w:val="20"/>
                <w:highlight w:val="none"/>
                <w:lang w:val="en-US" w:eastAsia="zh-CN" w:bidi="en-US"/>
              </w:rPr>
              <w:t>②清淤疏浚：桩号GY0+000</w:t>
            </w:r>
            <w:r>
              <w:rPr>
                <w:rFonts w:hint="eastAsia" w:cs="Times New Roman" w:eastAsiaTheme="minorEastAsia"/>
                <w:color w:val="auto"/>
                <w:sz w:val="24"/>
                <w:szCs w:val="20"/>
                <w:highlight w:val="none"/>
                <w:lang w:val="en-US" w:eastAsia="zh-CN" w:bidi="en-US"/>
              </w:rPr>
              <w:t>~G</w:t>
            </w:r>
            <w:r>
              <w:rPr>
                <w:rFonts w:hint="default" w:ascii="Times New Roman" w:hAnsi="Times New Roman" w:cs="Times New Roman" w:eastAsiaTheme="minorEastAsia"/>
                <w:color w:val="auto"/>
                <w:sz w:val="24"/>
                <w:szCs w:val="20"/>
                <w:highlight w:val="none"/>
                <w:lang w:val="en-US" w:eastAsia="zh-CN" w:bidi="en-US"/>
              </w:rPr>
              <w:t>Y1+130段、GY4+800</w:t>
            </w:r>
            <w:r>
              <w:rPr>
                <w:rFonts w:hint="eastAsia" w:cs="Times New Roman" w:eastAsiaTheme="minorEastAsia"/>
                <w:color w:val="auto"/>
                <w:sz w:val="24"/>
                <w:szCs w:val="20"/>
                <w:highlight w:val="none"/>
                <w:lang w:val="en-US" w:eastAsia="zh-CN" w:bidi="en-US"/>
              </w:rPr>
              <w:t>~G</w:t>
            </w:r>
            <w:r>
              <w:rPr>
                <w:rFonts w:hint="default" w:ascii="Times New Roman" w:hAnsi="Times New Roman" w:cs="Times New Roman" w:eastAsiaTheme="minorEastAsia"/>
                <w:color w:val="auto"/>
                <w:sz w:val="24"/>
                <w:szCs w:val="20"/>
                <w:highlight w:val="none"/>
                <w:lang w:val="en-US" w:eastAsia="zh-CN" w:bidi="en-US"/>
              </w:rPr>
              <w:t>Y5+800段位于兴仁镇上游，现状淤积严重，清淤长度2.13km；GY45+010~GY48+880段右岸位于宁夏境内，清淤长度3.87km，合计6km；</w:t>
            </w:r>
          </w:p>
          <w:p w14:paraId="6DAB58C7">
            <w:pPr>
              <w:autoSpaceDE w:val="0"/>
              <w:autoSpaceDN w:val="0"/>
              <w:adjustRightInd w:val="0"/>
              <w:spacing w:line="360" w:lineRule="auto"/>
              <w:ind w:firstLine="480" w:firstLineChars="200"/>
              <w:rPr>
                <w:rFonts w:hint="default" w:ascii="Times New Roman" w:hAnsi="Times New Roman" w:cs="Times New Roman" w:eastAsiaTheme="minorEastAsia"/>
                <w:color w:val="auto"/>
                <w:sz w:val="24"/>
                <w:szCs w:val="20"/>
                <w:highlight w:val="none"/>
                <w:lang w:val="en-US" w:eastAsia="zh-CN" w:bidi="en-US"/>
              </w:rPr>
            </w:pPr>
            <w:r>
              <w:rPr>
                <w:rFonts w:hint="default" w:ascii="Times New Roman" w:hAnsi="Times New Roman" w:cs="Times New Roman" w:eastAsiaTheme="minorEastAsia"/>
                <w:color w:val="auto"/>
                <w:sz w:val="24"/>
                <w:szCs w:val="20"/>
                <w:highlight w:val="none"/>
                <w:lang w:val="en-US" w:eastAsia="zh-CN" w:bidi="en-US"/>
              </w:rPr>
              <w:t>③巡护道路：为了便于工程抢修，方便高崖沟两岸群众的生产生活，根据工程管理的需要，结合已建护岸及现有生产道路的布置，在GY43+600</w:t>
            </w:r>
            <w:r>
              <w:rPr>
                <w:rFonts w:hint="eastAsia" w:cs="Times New Roman" w:eastAsiaTheme="minorEastAsia"/>
                <w:color w:val="auto"/>
                <w:sz w:val="24"/>
                <w:szCs w:val="20"/>
                <w:highlight w:val="none"/>
                <w:lang w:val="en-US" w:eastAsia="zh-CN" w:bidi="en-US"/>
              </w:rPr>
              <w:t>~G</w:t>
            </w:r>
            <w:r>
              <w:rPr>
                <w:rFonts w:hint="default" w:ascii="Times New Roman" w:hAnsi="Times New Roman" w:cs="Times New Roman" w:eastAsiaTheme="minorEastAsia"/>
                <w:color w:val="auto"/>
                <w:sz w:val="24"/>
                <w:szCs w:val="20"/>
                <w:highlight w:val="none"/>
                <w:lang w:val="en-US" w:eastAsia="zh-CN" w:bidi="en-US"/>
              </w:rPr>
              <w:t>Y65+990右岸布置新建巡护路长度约20.2km。</w:t>
            </w:r>
          </w:p>
          <w:p w14:paraId="5FDFF0B1">
            <w:pPr>
              <w:autoSpaceDE w:val="0"/>
              <w:autoSpaceDN w:val="0"/>
              <w:adjustRightInd w:val="0"/>
              <w:spacing w:line="360" w:lineRule="auto"/>
              <w:ind w:firstLine="480" w:firstLineChars="200"/>
              <w:rPr>
                <w:rFonts w:hint="eastAsia" w:cs="Times New Roman" w:eastAsiaTheme="minorEastAsia"/>
                <w:color w:val="auto"/>
                <w:sz w:val="24"/>
                <w:szCs w:val="20"/>
                <w:highlight w:val="none"/>
                <w:lang w:val="en-US" w:eastAsia="zh-CN" w:bidi="en-US"/>
              </w:rPr>
            </w:pPr>
            <w:r>
              <w:rPr>
                <w:rFonts w:hint="eastAsia" w:ascii="Times New Roman" w:hAnsi="Times New Roman" w:cs="Times New Roman" w:eastAsiaTheme="minorEastAsia"/>
                <w:color w:val="auto"/>
                <w:sz w:val="24"/>
                <w:szCs w:val="20"/>
                <w:highlight w:val="none"/>
                <w:lang w:val="en-US" w:eastAsia="zh-CN" w:bidi="en-US"/>
              </w:rPr>
              <w:t>④</w:t>
            </w:r>
            <w:r>
              <w:rPr>
                <w:rFonts w:hint="eastAsia" w:cs="Times New Roman" w:eastAsiaTheme="minorEastAsia"/>
                <w:color w:val="auto"/>
                <w:sz w:val="24"/>
                <w:szCs w:val="20"/>
                <w:highlight w:val="none"/>
                <w:lang w:val="en-US" w:eastAsia="zh-CN" w:bidi="en-US"/>
              </w:rPr>
              <w:t>在沿线新增布设自动雨量站8座，视频水位一体化监测站5座，河道水情监测站4座，采用无线网一体式视频监测设施。</w:t>
            </w:r>
          </w:p>
          <w:p w14:paraId="774879A3">
            <w:pPr>
              <w:autoSpaceDE w:val="0"/>
              <w:autoSpaceDN w:val="0"/>
              <w:adjustRightInd w:val="0"/>
              <w:spacing w:line="360" w:lineRule="auto"/>
              <w:ind w:firstLine="480" w:firstLineChars="200"/>
              <w:rPr>
                <w:rFonts w:hint="eastAsia" w:cs="Times New Roman" w:eastAsiaTheme="minorEastAsia"/>
                <w:color w:val="auto"/>
                <w:sz w:val="24"/>
                <w:szCs w:val="20"/>
                <w:highlight w:val="none"/>
                <w:lang w:val="en-US" w:eastAsia="zh-CN" w:bidi="en-US"/>
              </w:rPr>
            </w:pPr>
            <w:r>
              <w:rPr>
                <w:rFonts w:hint="eastAsia" w:cs="Times New Roman" w:eastAsiaTheme="minorEastAsia"/>
                <w:color w:val="auto"/>
                <w:sz w:val="24"/>
                <w:szCs w:val="20"/>
                <w:highlight w:val="none"/>
                <w:lang w:val="en-US" w:eastAsia="zh-CN" w:bidi="en-US"/>
              </w:rPr>
              <w:t>工程具体建设内容在高崖沟中位置见图2-3。</w:t>
            </w:r>
          </w:p>
          <w:p w14:paraId="33EB3252">
            <w:pPr>
              <w:autoSpaceDE w:val="0"/>
              <w:autoSpaceDN w:val="0"/>
              <w:adjustRightInd w:val="0"/>
              <w:spacing w:line="360" w:lineRule="auto"/>
              <w:ind w:firstLine="480" w:firstLineChars="200"/>
              <w:rPr>
                <w:rFonts w:hint="eastAsia" w:cs="Times New Roman" w:eastAsiaTheme="minorEastAsia"/>
                <w:color w:val="auto"/>
                <w:sz w:val="24"/>
                <w:szCs w:val="20"/>
                <w:highlight w:val="none"/>
                <w:lang w:val="en-US" w:eastAsia="zh-CN" w:bidi="en-US"/>
              </w:rPr>
            </w:pPr>
          </w:p>
          <w:p w14:paraId="16626284">
            <w:pPr>
              <w:autoSpaceDE w:val="0"/>
              <w:autoSpaceDN w:val="0"/>
              <w:adjustRightInd w:val="0"/>
              <w:spacing w:line="360" w:lineRule="auto"/>
              <w:ind w:firstLine="480" w:firstLineChars="200"/>
              <w:rPr>
                <w:rFonts w:hint="eastAsia" w:cs="Times New Roman" w:eastAsiaTheme="minorEastAsia"/>
                <w:color w:val="auto"/>
                <w:sz w:val="24"/>
                <w:szCs w:val="20"/>
                <w:highlight w:val="none"/>
                <w:lang w:val="en-US" w:eastAsia="zh-CN" w:bidi="en-US"/>
              </w:rPr>
            </w:pPr>
          </w:p>
          <w:p w14:paraId="7BAB250A">
            <w:pPr>
              <w:autoSpaceDE w:val="0"/>
              <w:autoSpaceDN w:val="0"/>
              <w:adjustRightInd w:val="0"/>
              <w:spacing w:line="360" w:lineRule="auto"/>
              <w:ind w:firstLine="480" w:firstLineChars="200"/>
              <w:rPr>
                <w:rFonts w:hint="eastAsia" w:cs="Times New Roman" w:eastAsiaTheme="minorEastAsia"/>
                <w:color w:val="auto"/>
                <w:sz w:val="24"/>
                <w:szCs w:val="20"/>
                <w:highlight w:val="none"/>
                <w:lang w:val="en-US" w:eastAsia="zh-CN" w:bidi="en-US"/>
              </w:rPr>
            </w:pPr>
          </w:p>
          <w:p w14:paraId="6CE4163D">
            <w:pPr>
              <w:autoSpaceDE w:val="0"/>
              <w:autoSpaceDN w:val="0"/>
              <w:adjustRightInd w:val="0"/>
              <w:spacing w:line="360" w:lineRule="auto"/>
              <w:ind w:firstLine="480" w:firstLineChars="200"/>
              <w:rPr>
                <w:rFonts w:hint="eastAsia" w:cs="Times New Roman" w:eastAsiaTheme="minorEastAsia"/>
                <w:color w:val="auto"/>
                <w:sz w:val="24"/>
                <w:szCs w:val="20"/>
                <w:highlight w:val="none"/>
                <w:lang w:val="en-US" w:eastAsia="zh-CN" w:bidi="en-US"/>
              </w:rPr>
            </w:pPr>
          </w:p>
          <w:p w14:paraId="18FF434E">
            <w:pPr>
              <w:autoSpaceDE w:val="0"/>
              <w:autoSpaceDN w:val="0"/>
              <w:adjustRightInd w:val="0"/>
              <w:spacing w:line="360" w:lineRule="auto"/>
              <w:ind w:firstLine="480" w:firstLineChars="200"/>
              <w:rPr>
                <w:rFonts w:hint="default" w:ascii="Times New Roman" w:hAnsi="Times New Roman" w:cs="Times New Roman" w:eastAsiaTheme="minorEastAsia"/>
                <w:color w:val="auto"/>
                <w:sz w:val="24"/>
                <w:szCs w:val="20"/>
                <w:highlight w:val="none"/>
                <w:lang w:val="en-US" w:eastAsia="zh-CN" w:bidi="en-US"/>
              </w:rPr>
            </w:pPr>
          </w:p>
          <w:p w14:paraId="21B3383E">
            <w:pPr>
              <w:adjustRightInd w:val="0"/>
              <w:jc w:val="center"/>
              <w:rPr>
                <w:rFonts w:hint="default" w:ascii="Times New Roman" w:hAnsi="Times New Roman" w:eastAsia="黑体" w:cs="Times New Roman"/>
                <w:color w:val="auto"/>
                <w:sz w:val="24"/>
                <w:highlight w:val="none"/>
                <w:lang w:val="en-US" w:eastAsia="zh-CN"/>
              </w:rPr>
            </w:pPr>
            <w:r>
              <w:rPr>
                <w:rFonts w:hint="default" w:ascii="Times New Roman" w:hAnsi="Times New Roman" w:eastAsia="黑体" w:cs="Times New Roman"/>
                <w:b w:val="0"/>
                <w:bCs w:val="0"/>
                <w:color w:val="auto"/>
                <w:sz w:val="24"/>
                <w:szCs w:val="20"/>
                <w:highlight w:val="none"/>
                <w:lang w:val="en-US" w:eastAsia="zh-CN" w:bidi="en-US"/>
              </w:rPr>
              <w:drawing>
                <wp:inline distT="0" distB="0" distL="114300" distR="114300">
                  <wp:extent cx="5293995" cy="4211320"/>
                  <wp:effectExtent l="0" t="0" r="1905" b="17780"/>
                  <wp:docPr id="5" name="图片 5" descr="eedc21ee9ea8c727b1bdae6860475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edc21ee9ea8c727b1bdae6860475669"/>
                          <pic:cNvPicPr>
                            <a:picLocks noChangeAspect="1"/>
                          </pic:cNvPicPr>
                        </pic:nvPicPr>
                        <pic:blipFill>
                          <a:blip r:embed="rId9"/>
                          <a:stretch>
                            <a:fillRect/>
                          </a:stretch>
                        </pic:blipFill>
                        <pic:spPr>
                          <a:xfrm>
                            <a:off x="0" y="0"/>
                            <a:ext cx="5293995" cy="4211320"/>
                          </a:xfrm>
                          <a:prstGeom prst="rect">
                            <a:avLst/>
                          </a:prstGeom>
                        </pic:spPr>
                      </pic:pic>
                    </a:graphicData>
                  </a:graphic>
                </wp:inline>
              </w:drawing>
            </w:r>
            <w:r>
              <w:rPr>
                <w:rFonts w:hint="eastAsia" w:eastAsia="黑体" w:cs="Times New Roman"/>
                <w:color w:val="auto"/>
                <w:sz w:val="24"/>
                <w:highlight w:val="none"/>
                <w:lang w:val="en-US" w:eastAsia="zh-CN"/>
              </w:rPr>
              <w:t>图</w:t>
            </w:r>
            <w:r>
              <w:rPr>
                <w:rFonts w:hint="default" w:ascii="Times New Roman" w:hAnsi="Times New Roman" w:eastAsia="黑体" w:cs="Times New Roman"/>
                <w:color w:val="auto"/>
                <w:sz w:val="24"/>
                <w:highlight w:val="none"/>
                <w:lang w:val="en-US" w:eastAsia="zh-CN"/>
              </w:rPr>
              <w:t>2-</w:t>
            </w:r>
            <w:r>
              <w:rPr>
                <w:rFonts w:hint="eastAsia" w:eastAsia="黑体" w:cs="Times New Roman"/>
                <w:color w:val="auto"/>
                <w:sz w:val="24"/>
                <w:highlight w:val="none"/>
                <w:lang w:val="en-US" w:eastAsia="zh-CN"/>
              </w:rPr>
              <w:t>3</w:t>
            </w:r>
            <w:r>
              <w:rPr>
                <w:rFonts w:hint="default" w:ascii="Times New Roman" w:hAnsi="Times New Roman" w:eastAsia="黑体" w:cs="Times New Roman"/>
                <w:color w:val="auto"/>
                <w:sz w:val="24"/>
                <w:highlight w:val="none"/>
              </w:rPr>
              <w:t xml:space="preserve">  项目</w:t>
            </w:r>
            <w:r>
              <w:rPr>
                <w:rFonts w:hint="eastAsia" w:eastAsia="黑体" w:cs="Times New Roman"/>
                <w:color w:val="auto"/>
                <w:sz w:val="24"/>
                <w:highlight w:val="none"/>
                <w:lang w:val="en-US" w:eastAsia="zh-CN"/>
              </w:rPr>
              <w:t>在高崖沟中位置图</w:t>
            </w:r>
          </w:p>
          <w:p w14:paraId="76226FC4">
            <w:pPr>
              <w:autoSpaceDE w:val="0"/>
              <w:autoSpaceDN w:val="0"/>
              <w:adjustRightInd w:val="0"/>
              <w:spacing w:line="360" w:lineRule="auto"/>
              <w:rPr>
                <w:rFonts w:hint="default" w:ascii="Times New Roman" w:hAnsi="Times New Roman" w:eastAsia="黑体" w:cs="Times New Roman"/>
                <w:b w:val="0"/>
                <w:bCs w:val="0"/>
                <w:color w:val="auto"/>
                <w:sz w:val="24"/>
                <w:szCs w:val="20"/>
                <w:highlight w:val="none"/>
                <w:lang w:val="en-US" w:eastAsia="zh-CN" w:bidi="en-US"/>
              </w:rPr>
            </w:pPr>
            <w:r>
              <w:rPr>
                <w:rFonts w:hint="default" w:ascii="Times New Roman" w:hAnsi="Times New Roman" w:eastAsia="黑体" w:cs="Times New Roman"/>
                <w:b w:val="0"/>
                <w:bCs w:val="0"/>
                <w:color w:val="auto"/>
                <w:sz w:val="24"/>
                <w:szCs w:val="20"/>
                <w:highlight w:val="none"/>
                <w:lang w:val="en-US" w:eastAsia="zh-CN" w:bidi="en-US"/>
              </w:rPr>
              <w:t>（</w:t>
            </w:r>
            <w:r>
              <w:rPr>
                <w:rFonts w:hint="eastAsia" w:eastAsia="黑体" w:cs="Times New Roman"/>
                <w:b w:val="0"/>
                <w:bCs w:val="0"/>
                <w:color w:val="auto"/>
                <w:sz w:val="24"/>
                <w:szCs w:val="20"/>
                <w:highlight w:val="none"/>
                <w:lang w:val="en-US" w:eastAsia="zh-CN" w:bidi="en-US"/>
              </w:rPr>
              <w:t>3</w:t>
            </w:r>
            <w:r>
              <w:rPr>
                <w:rFonts w:hint="default" w:ascii="Times New Roman" w:hAnsi="Times New Roman" w:eastAsia="黑体" w:cs="Times New Roman"/>
                <w:b w:val="0"/>
                <w:bCs w:val="0"/>
                <w:color w:val="auto"/>
                <w:sz w:val="24"/>
                <w:szCs w:val="20"/>
                <w:highlight w:val="none"/>
                <w:lang w:val="en-US" w:eastAsia="zh-CN" w:bidi="en-US"/>
              </w:rPr>
              <w:t>）项目组成</w:t>
            </w:r>
          </w:p>
          <w:p w14:paraId="6FD06149">
            <w:pPr>
              <w:autoSpaceDE w:val="0"/>
              <w:autoSpaceDN w:val="0"/>
              <w:adjustRightInd w:val="0"/>
              <w:spacing w:line="360" w:lineRule="auto"/>
              <w:ind w:firstLine="480" w:firstLineChars="200"/>
              <w:rPr>
                <w:rFonts w:hint="default" w:ascii="Times New Roman" w:hAnsi="Times New Roman" w:cs="Times New Roman" w:eastAsiaTheme="minorEastAsia"/>
                <w:color w:val="auto"/>
                <w:sz w:val="24"/>
                <w:szCs w:val="20"/>
                <w:highlight w:val="none"/>
                <w:lang w:val="en-US" w:eastAsia="zh-CN" w:bidi="en-US"/>
              </w:rPr>
            </w:pPr>
            <w:r>
              <w:rPr>
                <w:rFonts w:hint="default" w:ascii="Times New Roman" w:hAnsi="Times New Roman" w:cs="Times New Roman" w:eastAsiaTheme="minorEastAsia"/>
                <w:color w:val="auto"/>
                <w:sz w:val="24"/>
                <w:szCs w:val="20"/>
                <w:highlight w:val="none"/>
                <w:lang w:val="en-US" w:eastAsia="zh-CN" w:bidi="en-US"/>
              </w:rPr>
              <w:t>根据项目工程特征，工程组成由主体工程、辅助工程、临时工程、公用工程、环保工程组成。本项目工程组成见表2-1。</w:t>
            </w:r>
          </w:p>
          <w:p w14:paraId="28FF7302">
            <w:pPr>
              <w:adjustRightInd w:val="0"/>
              <w:jc w:val="center"/>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表</w:t>
            </w:r>
            <w:r>
              <w:rPr>
                <w:rFonts w:hint="default" w:ascii="Times New Roman" w:hAnsi="Times New Roman" w:eastAsia="黑体" w:cs="Times New Roman"/>
                <w:color w:val="auto"/>
                <w:sz w:val="24"/>
                <w:highlight w:val="none"/>
                <w:lang w:val="en-US" w:eastAsia="zh-CN"/>
              </w:rPr>
              <w:t>2-1</w:t>
            </w:r>
            <w:r>
              <w:rPr>
                <w:rFonts w:hint="default" w:ascii="Times New Roman" w:hAnsi="Times New Roman" w:eastAsia="黑体" w:cs="Times New Roman"/>
                <w:color w:val="auto"/>
                <w:sz w:val="24"/>
                <w:highlight w:val="none"/>
              </w:rPr>
              <w:t xml:space="preserve">  项目工程组成一览表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9"/>
              <w:gridCol w:w="666"/>
              <w:gridCol w:w="667"/>
              <w:gridCol w:w="6337"/>
            </w:tblGrid>
            <w:tr w14:paraId="582BDF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01" w:type="pct"/>
                  <w:tcBorders>
                    <w:tl2br w:val="nil"/>
                    <w:tr2bl w:val="nil"/>
                  </w:tcBorders>
                  <w:noWrap w:val="0"/>
                  <w:vAlign w:val="center"/>
                </w:tcPr>
                <w:p w14:paraId="07690463">
                  <w:pPr>
                    <w:pStyle w:val="61"/>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工程类别</w:t>
                  </w:r>
                </w:p>
              </w:tc>
              <w:tc>
                <w:tcPr>
                  <w:tcW w:w="799" w:type="pct"/>
                  <w:gridSpan w:val="2"/>
                  <w:tcBorders>
                    <w:tl2br w:val="nil"/>
                    <w:tr2bl w:val="nil"/>
                  </w:tcBorders>
                  <w:noWrap w:val="0"/>
                  <w:vAlign w:val="center"/>
                </w:tcPr>
                <w:p w14:paraId="41C55DC6">
                  <w:pPr>
                    <w:pStyle w:val="61"/>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项目名称</w:t>
                  </w:r>
                </w:p>
              </w:tc>
              <w:tc>
                <w:tcPr>
                  <w:tcW w:w="3799" w:type="pct"/>
                  <w:tcBorders>
                    <w:tl2br w:val="nil"/>
                    <w:tr2bl w:val="nil"/>
                  </w:tcBorders>
                  <w:noWrap w:val="0"/>
                  <w:vAlign w:val="center"/>
                </w:tcPr>
                <w:p w14:paraId="19A1AB65">
                  <w:pPr>
                    <w:pStyle w:val="61"/>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项目内容</w:t>
                  </w:r>
                </w:p>
              </w:tc>
            </w:tr>
            <w:tr w14:paraId="5BABE5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vMerge w:val="restart"/>
                  <w:tcBorders>
                    <w:tl2br w:val="nil"/>
                    <w:tr2bl w:val="nil"/>
                  </w:tcBorders>
                  <w:noWrap w:val="0"/>
                  <w:vAlign w:val="center"/>
                </w:tcPr>
                <w:p w14:paraId="07E35565">
                  <w:pPr>
                    <w:pStyle w:val="61"/>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主体工程</w:t>
                  </w:r>
                </w:p>
              </w:tc>
              <w:tc>
                <w:tcPr>
                  <w:tcW w:w="799" w:type="pct"/>
                  <w:gridSpan w:val="2"/>
                  <w:tcBorders>
                    <w:tl2br w:val="nil"/>
                    <w:tr2bl w:val="nil"/>
                  </w:tcBorders>
                  <w:noWrap w:val="0"/>
                  <w:vAlign w:val="center"/>
                </w:tcPr>
                <w:p w14:paraId="47B01CB0">
                  <w:pPr>
                    <w:pStyle w:val="61"/>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护岸工程</w:t>
                  </w:r>
                </w:p>
              </w:tc>
              <w:tc>
                <w:tcPr>
                  <w:tcW w:w="3799" w:type="pct"/>
                  <w:tcBorders>
                    <w:tl2br w:val="nil"/>
                    <w:tr2bl w:val="nil"/>
                  </w:tcBorders>
                  <w:noWrap w:val="0"/>
                  <w:vAlign w:val="center"/>
                </w:tcPr>
                <w:p w14:paraId="70B22F97">
                  <w:pPr>
                    <w:keepNext w:val="0"/>
                    <w:keepLines w:val="0"/>
                    <w:widowControl/>
                    <w:suppressLineNumbers w:val="0"/>
                    <w:jc w:val="left"/>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对冲刷严重的凹岸进行防护，新建浆砌石护岸29段，总长约22.6km，其中左岸新建护岸长4.09m，右岸新建护岸长18.51m。</w:t>
                  </w:r>
                  <w:r>
                    <w:rPr>
                      <w:rFonts w:hint="default" w:ascii="Times New Roman" w:hAnsi="Times New Roman" w:cs="Times New Roman"/>
                      <w:color w:val="auto"/>
                      <w:szCs w:val="21"/>
                      <w:highlight w:val="none"/>
                      <w:lang w:val="en-US" w:eastAsia="zh-CN"/>
                    </w:rPr>
                    <w:t>拟建护岸采用重力式挡土墙结构形式，断面选用M10浆砌石坡式砌护，岸线大体沿自然岸坡布置，填筑料采用河床开挖砂砾石、粉质壤土填筑，无粘性土土堤的填筑标准相对密度不应小于0.60，粘性土土堤的填筑压实度不应小于0.91。挡墙顶宽50cm，下部宽度依据岸高和迎水面边坡比来确定，齿脚宽度为0.5m，高度为0.3m，临水面内边坡比为1：0.3，临土面外边坡比为1：0.1；护岸每10m设1道伸缩缝，采用聚氯乙烯闭孔泡沫塑料板和聚氯乙烯胶泥填缝</w:t>
                  </w:r>
                  <w:r>
                    <w:rPr>
                      <w:rFonts w:hint="default" w:ascii="Times New Roman" w:hAnsi="Times New Roman" w:eastAsia="宋体" w:cs="Times New Roman"/>
                      <w:color w:val="auto"/>
                      <w:kern w:val="0"/>
                      <w:sz w:val="21"/>
                      <w:szCs w:val="21"/>
                      <w:highlight w:val="none"/>
                      <w:lang w:val="en-US" w:eastAsia="zh-CN" w:bidi="ar"/>
                    </w:rPr>
                    <w:t>。</w:t>
                  </w:r>
                </w:p>
              </w:tc>
            </w:tr>
            <w:tr w14:paraId="1D3C93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1" w:type="pct"/>
                  <w:vMerge w:val="continue"/>
                  <w:tcBorders>
                    <w:tl2br w:val="nil"/>
                    <w:tr2bl w:val="nil"/>
                  </w:tcBorders>
                  <w:noWrap w:val="0"/>
                  <w:vAlign w:val="center"/>
                </w:tcPr>
                <w:p w14:paraId="4AB134E9">
                  <w:pPr>
                    <w:pStyle w:val="61"/>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ascii="Times New Roman" w:hAnsi="Times New Roman" w:cs="Times New Roman"/>
                      <w:b/>
                      <w:bCs/>
                      <w:color w:val="auto"/>
                      <w:szCs w:val="21"/>
                      <w:highlight w:val="none"/>
                    </w:rPr>
                  </w:pPr>
                </w:p>
              </w:tc>
              <w:tc>
                <w:tcPr>
                  <w:tcW w:w="799" w:type="pct"/>
                  <w:gridSpan w:val="2"/>
                  <w:tcBorders>
                    <w:tl2br w:val="nil"/>
                    <w:tr2bl w:val="nil"/>
                  </w:tcBorders>
                  <w:noWrap w:val="0"/>
                  <w:vAlign w:val="center"/>
                </w:tcPr>
                <w:p w14:paraId="30BC74CA">
                  <w:pPr>
                    <w:pStyle w:val="61"/>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沟道清淤疏浚工程</w:t>
                  </w:r>
                </w:p>
              </w:tc>
              <w:tc>
                <w:tcPr>
                  <w:tcW w:w="3799" w:type="pct"/>
                  <w:tcBorders>
                    <w:tl2br w:val="nil"/>
                    <w:tr2bl w:val="nil"/>
                  </w:tcBorders>
                  <w:noWrap w:val="0"/>
                  <w:vAlign w:val="center"/>
                </w:tcPr>
                <w:p w14:paraId="1989403E">
                  <w:pPr>
                    <w:pStyle w:val="6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桩号</w:t>
                  </w:r>
                  <w:r>
                    <w:rPr>
                      <w:rFonts w:hint="default" w:ascii="Times New Roman" w:hAnsi="Times New Roman" w:eastAsia="宋体" w:cs="Times New Roman"/>
                      <w:color w:val="auto"/>
                      <w:szCs w:val="21"/>
                      <w:highlight w:val="none"/>
                      <w:lang w:val="en-US" w:eastAsia="zh-CN"/>
                    </w:rPr>
                    <w:t>GY0+000</w:t>
                  </w:r>
                  <w:r>
                    <w:rPr>
                      <w:rFonts w:hint="eastAsia" w:ascii="Times New Roman" w:cs="Times New Roman"/>
                      <w:color w:val="auto"/>
                      <w:szCs w:val="21"/>
                      <w:highlight w:val="none"/>
                      <w:lang w:val="en-US" w:eastAsia="zh-CN"/>
                    </w:rPr>
                    <w:t>~G</w:t>
                  </w:r>
                  <w:r>
                    <w:rPr>
                      <w:rFonts w:hint="default" w:ascii="Times New Roman" w:hAnsi="Times New Roman" w:eastAsia="宋体" w:cs="Times New Roman"/>
                      <w:color w:val="auto"/>
                      <w:szCs w:val="21"/>
                      <w:highlight w:val="none"/>
                      <w:lang w:val="en-US" w:eastAsia="zh-CN"/>
                    </w:rPr>
                    <w:t>Y1+130段、GY4+800</w:t>
                  </w:r>
                  <w:r>
                    <w:rPr>
                      <w:rFonts w:hint="eastAsia" w:ascii="Times New Roman" w:cs="Times New Roman"/>
                      <w:color w:val="auto"/>
                      <w:szCs w:val="21"/>
                      <w:highlight w:val="none"/>
                      <w:lang w:val="en-US" w:eastAsia="zh-CN"/>
                    </w:rPr>
                    <w:t>~G</w:t>
                  </w:r>
                  <w:r>
                    <w:rPr>
                      <w:rFonts w:hint="default" w:ascii="Times New Roman" w:hAnsi="Times New Roman" w:eastAsia="宋体" w:cs="Times New Roman"/>
                      <w:color w:val="auto"/>
                      <w:szCs w:val="21"/>
                      <w:highlight w:val="none"/>
                      <w:lang w:val="en-US" w:eastAsia="zh-CN"/>
                    </w:rPr>
                    <w:t>Y5+800段位于兴仁镇上游，现状淤积严重，清淤长度2.13km；GY45+010~GY48+880段右岸位于宁夏境内，清淤长度3.87km，合计6km。</w:t>
                  </w:r>
                </w:p>
              </w:tc>
            </w:tr>
            <w:tr w14:paraId="4CC15C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01" w:type="pct"/>
                  <w:vMerge w:val="continue"/>
                  <w:tcBorders>
                    <w:tl2br w:val="nil"/>
                    <w:tr2bl w:val="nil"/>
                  </w:tcBorders>
                  <w:noWrap w:val="0"/>
                  <w:vAlign w:val="center"/>
                </w:tcPr>
                <w:p w14:paraId="7CED27C8">
                  <w:pPr>
                    <w:pStyle w:val="61"/>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ascii="Times New Roman" w:hAnsi="Times New Roman" w:cs="Times New Roman"/>
                      <w:b/>
                      <w:bCs/>
                      <w:color w:val="auto"/>
                      <w:szCs w:val="21"/>
                      <w:highlight w:val="none"/>
                    </w:rPr>
                  </w:pPr>
                </w:p>
              </w:tc>
              <w:tc>
                <w:tcPr>
                  <w:tcW w:w="799" w:type="pct"/>
                  <w:gridSpan w:val="2"/>
                  <w:tcBorders>
                    <w:tl2br w:val="nil"/>
                    <w:tr2bl w:val="nil"/>
                  </w:tcBorders>
                  <w:noWrap w:val="0"/>
                  <w:vAlign w:val="center"/>
                </w:tcPr>
                <w:p w14:paraId="42AD8E4A">
                  <w:pPr>
                    <w:pStyle w:val="61"/>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巡护道路工程</w:t>
                  </w:r>
                </w:p>
              </w:tc>
              <w:tc>
                <w:tcPr>
                  <w:tcW w:w="3799" w:type="pct"/>
                  <w:tcBorders>
                    <w:tl2br w:val="nil"/>
                    <w:tr2bl w:val="nil"/>
                  </w:tcBorders>
                  <w:noWrap w:val="0"/>
                  <w:vAlign w:val="center"/>
                </w:tcPr>
                <w:p w14:paraId="0063D70F">
                  <w:pPr>
                    <w:pStyle w:val="6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本工程拟在桩号GY43+600</w:t>
                  </w:r>
                  <w:r>
                    <w:rPr>
                      <w:rFonts w:hint="eastAsia" w:ascii="Times New Roman" w:cs="Times New Roman"/>
                      <w:color w:val="auto"/>
                      <w:szCs w:val="21"/>
                      <w:highlight w:val="none"/>
                      <w:lang w:val="en-US" w:eastAsia="zh-CN"/>
                    </w:rPr>
                    <w:t>~G</w:t>
                  </w:r>
                  <w:r>
                    <w:rPr>
                      <w:rFonts w:hint="default" w:ascii="Times New Roman" w:hAnsi="Times New Roman" w:eastAsia="宋体" w:cs="Times New Roman"/>
                      <w:color w:val="auto"/>
                      <w:szCs w:val="21"/>
                      <w:highlight w:val="none"/>
                      <w:lang w:val="en-US" w:eastAsia="zh-CN"/>
                    </w:rPr>
                    <w:t>Y65+990段右岸新建防汛路20.2km，新建道路采用15cm厚泥结碎石路面，路面宽3.5m，路基宽4m。用于防汛抢险道路及农用机耕路，背水侧设计坡比为1:1.5，路面为3%的路拱横坡。</w:t>
                  </w:r>
                </w:p>
              </w:tc>
            </w:tr>
            <w:tr w14:paraId="5142D8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01" w:type="pct"/>
                  <w:vMerge w:val="continue"/>
                  <w:tcBorders>
                    <w:tl2br w:val="nil"/>
                    <w:tr2bl w:val="nil"/>
                  </w:tcBorders>
                  <w:noWrap w:val="0"/>
                  <w:vAlign w:val="center"/>
                </w:tcPr>
                <w:p w14:paraId="60FF8A26">
                  <w:pPr>
                    <w:pStyle w:val="6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color w:val="auto"/>
                    </w:rPr>
                  </w:pPr>
                </w:p>
              </w:tc>
              <w:tc>
                <w:tcPr>
                  <w:tcW w:w="799" w:type="pct"/>
                  <w:gridSpan w:val="2"/>
                  <w:tcBorders>
                    <w:tl2br w:val="nil"/>
                    <w:tr2bl w:val="nil"/>
                  </w:tcBorders>
                  <w:noWrap w:val="0"/>
                  <w:vAlign w:val="center"/>
                </w:tcPr>
                <w:p w14:paraId="10E2F2A2">
                  <w:pPr>
                    <w:pStyle w:val="61"/>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视频监测系统建设</w:t>
                  </w:r>
                </w:p>
              </w:tc>
              <w:tc>
                <w:tcPr>
                  <w:tcW w:w="3799" w:type="pct"/>
                  <w:tcBorders>
                    <w:tl2br w:val="nil"/>
                    <w:tr2bl w:val="nil"/>
                  </w:tcBorders>
                  <w:noWrap w:val="0"/>
                  <w:vAlign w:val="center"/>
                </w:tcPr>
                <w:p w14:paraId="54E41EB0">
                  <w:pPr>
                    <w:pStyle w:val="6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在沿线新增布设自动雨量站8座，视频水位一体化监测站5座，河道水情监测站4座，采用无线网一体式</w:t>
                  </w:r>
                  <w:r>
                    <w:rPr>
                      <w:rFonts w:hint="eastAsia" w:ascii="Times New Roman" w:cs="Times New Roman" w:eastAsiaTheme="minorEastAsia"/>
                      <w:color w:val="auto"/>
                      <w:kern w:val="2"/>
                      <w:sz w:val="21"/>
                      <w:szCs w:val="21"/>
                      <w:highlight w:val="none"/>
                      <w:lang w:val="en-US" w:eastAsia="zh-CN" w:bidi="ar-SA"/>
                    </w:rPr>
                    <w:t>视频</w:t>
                  </w:r>
                  <w:r>
                    <w:rPr>
                      <w:rFonts w:hint="default" w:ascii="Times New Roman" w:hAnsi="Times New Roman" w:cs="Times New Roman" w:eastAsiaTheme="minorEastAsia"/>
                      <w:color w:val="auto"/>
                      <w:kern w:val="2"/>
                      <w:sz w:val="21"/>
                      <w:szCs w:val="21"/>
                      <w:highlight w:val="none"/>
                      <w:lang w:val="en-US" w:eastAsia="zh-CN" w:bidi="ar-SA"/>
                    </w:rPr>
                    <w:t>监测设施。</w:t>
                  </w:r>
                </w:p>
              </w:tc>
            </w:tr>
            <w:tr w14:paraId="7771DB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1" w:type="pct"/>
                  <w:vMerge w:val="restart"/>
                  <w:tcBorders>
                    <w:tl2br w:val="nil"/>
                    <w:tr2bl w:val="nil"/>
                  </w:tcBorders>
                  <w:noWrap w:val="0"/>
                  <w:vAlign w:val="center"/>
                </w:tcPr>
                <w:p w14:paraId="713AC24C">
                  <w:pPr>
                    <w:pStyle w:val="61"/>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lang w:eastAsia="zh-CN"/>
                    </w:rPr>
                    <w:t>临时</w:t>
                  </w:r>
                  <w:r>
                    <w:rPr>
                      <w:rFonts w:hint="default" w:ascii="Times New Roman" w:hAnsi="Times New Roman" w:cs="Times New Roman"/>
                      <w:b/>
                      <w:bCs/>
                      <w:color w:val="auto"/>
                      <w:szCs w:val="21"/>
                      <w:highlight w:val="none"/>
                    </w:rPr>
                    <w:t>工程</w:t>
                  </w:r>
                </w:p>
              </w:tc>
              <w:tc>
                <w:tcPr>
                  <w:tcW w:w="799" w:type="pct"/>
                  <w:gridSpan w:val="2"/>
                  <w:tcBorders>
                    <w:tl2br w:val="nil"/>
                    <w:tr2bl w:val="nil"/>
                  </w:tcBorders>
                  <w:noWrap w:val="0"/>
                  <w:vAlign w:val="center"/>
                </w:tcPr>
                <w:p w14:paraId="2FC4DD12">
                  <w:pPr>
                    <w:pStyle w:val="61"/>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sz w:val="21"/>
                      <w:szCs w:val="21"/>
                      <w:highlight w:val="none"/>
                      <w:lang w:val="en-US" w:eastAsia="zh-CN"/>
                    </w:rPr>
                    <w:t>施工</w:t>
                  </w:r>
                  <w:r>
                    <w:rPr>
                      <w:rFonts w:hint="default" w:ascii="Times New Roman" w:hAnsi="Times New Roman" w:eastAsia="宋体" w:cs="Times New Roman"/>
                      <w:color w:val="auto"/>
                      <w:sz w:val="21"/>
                      <w:szCs w:val="21"/>
                      <w:highlight w:val="none"/>
                      <w:lang w:val="en-US" w:eastAsia="zh-CN"/>
                    </w:rPr>
                    <w:t>营地</w:t>
                  </w:r>
                </w:p>
              </w:tc>
              <w:tc>
                <w:tcPr>
                  <w:tcW w:w="3799" w:type="pct"/>
                  <w:tcBorders>
                    <w:tl2br w:val="nil"/>
                    <w:tr2bl w:val="nil"/>
                  </w:tcBorders>
                  <w:noWrap w:val="0"/>
                  <w:vAlign w:val="center"/>
                </w:tcPr>
                <w:p w14:paraId="634A4B5D">
                  <w:pPr>
                    <w:pStyle w:val="6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本项目在沟道边</w:t>
                  </w:r>
                  <w:r>
                    <w:rPr>
                      <w:rFonts w:hint="eastAsia" w:ascii="Times New Roman" w:cs="Times New Roman"/>
                      <w:color w:val="auto"/>
                      <w:szCs w:val="21"/>
                      <w:highlight w:val="none"/>
                      <w:lang w:val="en-US" w:eastAsia="zh-CN"/>
                    </w:rPr>
                    <w:t>沿线</w:t>
                  </w:r>
                  <w:r>
                    <w:rPr>
                      <w:rFonts w:hint="default" w:ascii="Times New Roman" w:hAnsi="Times New Roman" w:cs="Times New Roman"/>
                      <w:color w:val="auto"/>
                      <w:szCs w:val="21"/>
                      <w:highlight w:val="none"/>
                      <w:lang w:val="en-US" w:eastAsia="zh-CN"/>
                    </w:rPr>
                    <w:t>设置</w:t>
                  </w:r>
                  <w:r>
                    <w:rPr>
                      <w:rFonts w:hint="eastAsia" w:ascii="Times New Roman" w:cs="Times New Roman"/>
                      <w:color w:val="auto"/>
                      <w:szCs w:val="21"/>
                      <w:highlight w:val="none"/>
                      <w:lang w:val="en-US" w:eastAsia="zh-CN"/>
                    </w:rPr>
                    <w:t>6处</w:t>
                  </w:r>
                  <w:r>
                    <w:rPr>
                      <w:rFonts w:hint="eastAsia" w:cs="Times New Roman"/>
                      <w:color w:val="auto"/>
                      <w:sz w:val="21"/>
                      <w:szCs w:val="21"/>
                      <w:highlight w:val="none"/>
                      <w:lang w:val="en-US" w:eastAsia="zh-CN"/>
                    </w:rPr>
                    <w:t>施工</w:t>
                  </w:r>
                  <w:r>
                    <w:rPr>
                      <w:rFonts w:hint="default" w:ascii="Times New Roman" w:hAnsi="Times New Roman" w:eastAsia="宋体" w:cs="Times New Roman"/>
                      <w:color w:val="auto"/>
                      <w:sz w:val="21"/>
                      <w:szCs w:val="21"/>
                      <w:highlight w:val="none"/>
                      <w:lang w:val="en-US" w:eastAsia="zh-CN"/>
                    </w:rPr>
                    <w:t>营地</w:t>
                  </w:r>
                  <w:r>
                    <w:rPr>
                      <w:rFonts w:hint="default" w:ascii="Times New Roman" w:hAnsi="Times New Roman" w:cs="Times New Roman"/>
                      <w:color w:val="auto"/>
                      <w:szCs w:val="21"/>
                      <w:highlight w:val="none"/>
                      <w:lang w:val="en-US" w:eastAsia="zh-CN"/>
                    </w:rPr>
                    <w:t>，</w:t>
                  </w:r>
                  <w:r>
                    <w:rPr>
                      <w:rFonts w:hint="eastAsia" w:ascii="Times New Roman" w:cs="Times New Roman"/>
                      <w:color w:val="auto"/>
                      <w:szCs w:val="21"/>
                      <w:highlight w:val="none"/>
                      <w:lang w:val="en-US" w:eastAsia="zh-CN"/>
                    </w:rPr>
                    <w:t>总</w:t>
                  </w:r>
                  <w:r>
                    <w:rPr>
                      <w:rFonts w:hint="default" w:ascii="Times New Roman" w:hAnsi="Times New Roman" w:cs="Times New Roman"/>
                      <w:color w:val="auto"/>
                      <w:szCs w:val="21"/>
                      <w:highlight w:val="none"/>
                      <w:lang w:val="en-US" w:eastAsia="zh-CN"/>
                    </w:rPr>
                    <w:t>占地22800m²，仅用于停放施工车辆，存放施工机械设备及施工所需的原材料（主要包括钢筋、格宾网片、木材等），均在沟道管理范围之内。占地</w:t>
                  </w:r>
                  <w:r>
                    <w:rPr>
                      <w:rFonts w:hint="eastAsia" w:ascii="Times New Roman" w:cs="Times New Roman"/>
                      <w:color w:val="auto"/>
                      <w:szCs w:val="21"/>
                      <w:highlight w:val="none"/>
                      <w:lang w:val="en-US" w:eastAsia="zh-CN"/>
                    </w:rPr>
                    <w:t>主要包括草地及荒地</w:t>
                  </w:r>
                  <w:r>
                    <w:rPr>
                      <w:rFonts w:hint="default" w:ascii="Times New Roman" w:hAnsi="Times New Roman" w:cs="Times New Roman"/>
                      <w:color w:val="auto"/>
                      <w:szCs w:val="21"/>
                      <w:highlight w:val="none"/>
                      <w:lang w:val="en-US" w:eastAsia="zh-CN"/>
                    </w:rPr>
                    <w:t>。</w:t>
                  </w:r>
                </w:p>
              </w:tc>
            </w:tr>
            <w:tr w14:paraId="4CE81A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1" w:type="pct"/>
                  <w:vMerge w:val="continue"/>
                  <w:tcBorders>
                    <w:tl2br w:val="nil"/>
                    <w:tr2bl w:val="nil"/>
                  </w:tcBorders>
                  <w:noWrap w:val="0"/>
                  <w:vAlign w:val="center"/>
                </w:tcPr>
                <w:p w14:paraId="6188DFF2">
                  <w:pPr>
                    <w:pStyle w:val="61"/>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ascii="Times New Roman" w:hAnsi="Times New Roman" w:cs="Times New Roman"/>
                      <w:b/>
                      <w:bCs/>
                      <w:color w:val="auto"/>
                      <w:szCs w:val="21"/>
                      <w:highlight w:val="none"/>
                      <w:lang w:eastAsia="zh-CN"/>
                    </w:rPr>
                  </w:pPr>
                </w:p>
              </w:tc>
              <w:tc>
                <w:tcPr>
                  <w:tcW w:w="799" w:type="pct"/>
                  <w:gridSpan w:val="2"/>
                  <w:tcBorders>
                    <w:tl2br w:val="nil"/>
                    <w:tr2bl w:val="nil"/>
                  </w:tcBorders>
                  <w:noWrap w:val="0"/>
                  <w:vAlign w:val="center"/>
                </w:tcPr>
                <w:p w14:paraId="5CB6F8B1">
                  <w:pPr>
                    <w:pStyle w:val="61"/>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施工道路</w:t>
                  </w:r>
                </w:p>
              </w:tc>
              <w:tc>
                <w:tcPr>
                  <w:tcW w:w="3799" w:type="pct"/>
                  <w:tcBorders>
                    <w:tl2br w:val="nil"/>
                    <w:tr2bl w:val="nil"/>
                  </w:tcBorders>
                  <w:noWrap w:val="0"/>
                  <w:vAlign w:val="center"/>
                </w:tcPr>
                <w:p w14:paraId="74F9808D">
                  <w:pPr>
                    <w:pStyle w:val="6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本项目施工道路均依托现有堤顶道路，满足施工条件，不再设置施工临时道路。</w:t>
                  </w:r>
                </w:p>
              </w:tc>
            </w:tr>
            <w:tr w14:paraId="2C3D3B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1" w:type="pct"/>
                  <w:vMerge w:val="continue"/>
                  <w:tcBorders>
                    <w:tl2br w:val="nil"/>
                    <w:tr2bl w:val="nil"/>
                  </w:tcBorders>
                  <w:noWrap w:val="0"/>
                  <w:vAlign w:val="center"/>
                </w:tcPr>
                <w:p w14:paraId="1F6B74EB">
                  <w:pPr>
                    <w:pStyle w:val="61"/>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ascii="Times New Roman" w:hAnsi="Times New Roman" w:cs="Times New Roman"/>
                      <w:b/>
                      <w:bCs/>
                      <w:color w:val="auto"/>
                      <w:szCs w:val="21"/>
                      <w:highlight w:val="none"/>
                    </w:rPr>
                  </w:pPr>
                </w:p>
              </w:tc>
              <w:tc>
                <w:tcPr>
                  <w:tcW w:w="799" w:type="pct"/>
                  <w:gridSpan w:val="2"/>
                  <w:tcBorders>
                    <w:tl2br w:val="nil"/>
                    <w:tr2bl w:val="nil"/>
                  </w:tcBorders>
                  <w:noWrap w:val="0"/>
                  <w:vAlign w:val="center"/>
                </w:tcPr>
                <w:p w14:paraId="5DEEEBE8">
                  <w:pPr>
                    <w:pStyle w:val="61"/>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取</w:t>
                  </w:r>
                  <w:r>
                    <w:rPr>
                      <w:rFonts w:hint="eastAsia" w:ascii="Times New Roman" w:cs="Times New Roman" w:eastAsiaTheme="minorEastAsia"/>
                      <w:color w:val="auto"/>
                      <w:kern w:val="2"/>
                      <w:sz w:val="21"/>
                      <w:szCs w:val="21"/>
                      <w:highlight w:val="none"/>
                      <w:lang w:val="en-US" w:eastAsia="zh-CN" w:bidi="ar-SA"/>
                    </w:rPr>
                    <w:t>、</w:t>
                  </w:r>
                  <w:r>
                    <w:rPr>
                      <w:rFonts w:hint="default" w:ascii="Times New Roman" w:hAnsi="Times New Roman" w:cs="Times New Roman" w:eastAsiaTheme="minorEastAsia"/>
                      <w:color w:val="auto"/>
                      <w:kern w:val="2"/>
                      <w:sz w:val="21"/>
                      <w:szCs w:val="21"/>
                      <w:highlight w:val="none"/>
                      <w:lang w:val="en-US" w:eastAsia="zh-CN" w:bidi="ar-SA"/>
                    </w:rPr>
                    <w:t>弃土场</w:t>
                  </w:r>
                </w:p>
              </w:tc>
              <w:tc>
                <w:tcPr>
                  <w:tcW w:w="3799" w:type="pct"/>
                  <w:tcBorders>
                    <w:tl2br w:val="nil"/>
                    <w:tr2bl w:val="nil"/>
                  </w:tcBorders>
                  <w:noWrap w:val="0"/>
                  <w:vAlign w:val="center"/>
                </w:tcPr>
                <w:p w14:paraId="7DF633C3">
                  <w:pPr>
                    <w:pStyle w:val="6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本工程土方开挖</w:t>
                  </w:r>
                  <w:r>
                    <w:rPr>
                      <w:rFonts w:hint="eastAsia" w:ascii="Times New Roman" w:cs="Times New Roman"/>
                      <w:color w:val="auto"/>
                      <w:szCs w:val="21"/>
                      <w:highlight w:val="none"/>
                      <w:lang w:val="en-US" w:eastAsia="zh-CN"/>
                    </w:rPr>
                    <w:t>316859.07</w:t>
                  </w:r>
                  <w:r>
                    <w:rPr>
                      <w:rFonts w:hint="default" w:ascii="Times New Roman" w:hAnsi="Times New Roman" w:cs="Times New Roman"/>
                      <w:color w:val="auto"/>
                      <w:szCs w:val="21"/>
                      <w:highlight w:val="none"/>
                      <w:lang w:val="en-US" w:eastAsia="zh-CN"/>
                    </w:rPr>
                    <w:t>m³，土方回填</w:t>
                  </w:r>
                  <w:r>
                    <w:rPr>
                      <w:rFonts w:hint="eastAsia" w:ascii="Times New Roman" w:cs="Times New Roman"/>
                      <w:color w:val="auto"/>
                      <w:szCs w:val="21"/>
                      <w:highlight w:val="none"/>
                      <w:lang w:val="en-US" w:eastAsia="zh-CN"/>
                    </w:rPr>
                    <w:t>218451.45</w:t>
                  </w:r>
                  <w:r>
                    <w:rPr>
                      <w:rFonts w:hint="default" w:ascii="Times New Roman" w:hAnsi="Times New Roman" w:cs="Times New Roman"/>
                      <w:color w:val="auto"/>
                      <w:szCs w:val="21"/>
                      <w:highlight w:val="none"/>
                      <w:lang w:val="en-US" w:eastAsia="zh-CN"/>
                    </w:rPr>
                    <w:t>m³，借方量</w:t>
                  </w:r>
                  <w:r>
                    <w:rPr>
                      <w:rFonts w:hint="eastAsia" w:ascii="Times New Roman" w:cs="Times New Roman"/>
                      <w:color w:val="auto"/>
                      <w:szCs w:val="21"/>
                      <w:highlight w:val="none"/>
                      <w:lang w:val="en-US" w:eastAsia="zh-CN"/>
                    </w:rPr>
                    <w:t>140606.56</w:t>
                  </w:r>
                  <w:r>
                    <w:rPr>
                      <w:rFonts w:hint="default" w:ascii="Times New Roman" w:hAnsi="Times New Roman" w:cs="Times New Roman"/>
                      <w:color w:val="auto"/>
                      <w:szCs w:val="21"/>
                      <w:highlight w:val="none"/>
                      <w:lang w:val="en-US" w:eastAsia="zh-CN"/>
                    </w:rPr>
                    <w:t>m³（含外来浆砌石、碎石、</w:t>
                  </w:r>
                  <w:r>
                    <w:rPr>
                      <w:rFonts w:hint="eastAsia" w:ascii="Times New Roman" w:cs="Times New Roman"/>
                      <w:color w:val="auto"/>
                      <w:szCs w:val="21"/>
                      <w:highlight w:val="none"/>
                      <w:lang w:val="en-US" w:eastAsia="zh-CN"/>
                    </w:rPr>
                    <w:t>混凝土</w:t>
                  </w:r>
                  <w:r>
                    <w:rPr>
                      <w:rFonts w:hint="default" w:ascii="Times New Roman" w:hAnsi="Times New Roman" w:cs="Times New Roman"/>
                      <w:color w:val="auto"/>
                      <w:szCs w:val="21"/>
                      <w:highlight w:val="none"/>
                      <w:lang w:val="en-US" w:eastAsia="zh-CN"/>
                    </w:rPr>
                    <w:t>），</w:t>
                  </w:r>
                  <w:r>
                    <w:rPr>
                      <w:rFonts w:hint="eastAsia" w:ascii="Times New Roman" w:cs="Times New Roman"/>
                      <w:color w:val="auto"/>
                      <w:szCs w:val="21"/>
                      <w:highlight w:val="none"/>
                      <w:lang w:val="en-US" w:eastAsia="zh-CN"/>
                    </w:rPr>
                    <w:t>综合利用土方（主要用于修建巡护道路基础填筑）98407.62</w:t>
                  </w:r>
                  <w:r>
                    <w:rPr>
                      <w:rFonts w:hint="default" w:ascii="Times New Roman" w:hAnsi="Times New Roman" w:cs="Times New Roman"/>
                      <w:color w:val="auto"/>
                      <w:szCs w:val="21"/>
                      <w:highlight w:val="none"/>
                      <w:lang w:val="en-US" w:eastAsia="zh-CN"/>
                    </w:rPr>
                    <w:t>m³。工程回填的土方利用自身开挖土方，满足工程自身回填利用，不从外部土料场取土。因此项目不设置取土场。</w:t>
                  </w:r>
                  <w:r>
                    <w:rPr>
                      <w:rFonts w:hint="eastAsia" w:ascii="Times New Roman" w:cs="Times New Roman"/>
                      <w:color w:val="auto"/>
                      <w:szCs w:val="21"/>
                      <w:highlight w:val="none"/>
                      <w:lang w:val="en-US" w:eastAsia="zh-CN"/>
                    </w:rPr>
                    <w:t>剩余土方及清淤淤泥均用于新建道路路基修建，因为无外弃土方，不设置</w:t>
                  </w:r>
                  <w:r>
                    <w:rPr>
                      <w:rFonts w:hint="default" w:ascii="Times New Roman" w:hAnsi="Times New Roman" w:cs="Times New Roman"/>
                      <w:color w:val="auto"/>
                      <w:szCs w:val="21"/>
                      <w:highlight w:val="none"/>
                      <w:lang w:val="en-US" w:eastAsia="zh-CN"/>
                    </w:rPr>
                    <w:t>弃土场</w:t>
                  </w:r>
                  <w:r>
                    <w:rPr>
                      <w:rFonts w:hint="eastAsia" w:ascii="Times New Roman" w:cs="Times New Roman"/>
                      <w:color w:val="auto"/>
                      <w:szCs w:val="21"/>
                      <w:highlight w:val="none"/>
                      <w:lang w:val="en-US" w:eastAsia="zh-CN"/>
                    </w:rPr>
                    <w:t>。</w:t>
                  </w:r>
                </w:p>
              </w:tc>
            </w:tr>
            <w:tr w14:paraId="60A868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1" w:type="pct"/>
                  <w:vMerge w:val="restart"/>
                  <w:tcBorders>
                    <w:tl2br w:val="nil"/>
                    <w:tr2bl w:val="nil"/>
                  </w:tcBorders>
                  <w:noWrap w:val="0"/>
                  <w:vAlign w:val="center"/>
                </w:tcPr>
                <w:p w14:paraId="00D1B6C7">
                  <w:pPr>
                    <w:pStyle w:val="38"/>
                    <w:spacing w:before="0" w:line="240" w:lineRule="auto"/>
                    <w:ind w:firstLine="0" w:firstLineChars="0"/>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公用</w:t>
                  </w:r>
                </w:p>
                <w:p w14:paraId="10D0CC0B">
                  <w:pPr>
                    <w:pStyle w:val="38"/>
                    <w:spacing w:before="0" w:line="240" w:lineRule="auto"/>
                    <w:ind w:firstLine="0" w:firstLineChars="0"/>
                    <w:rPr>
                      <w:rFonts w:hint="default" w:ascii="Times New Roman" w:hAnsi="Times New Roman" w:cs="Times New Roman"/>
                      <w:b/>
                      <w:bCs/>
                      <w:color w:val="auto"/>
                      <w:szCs w:val="21"/>
                      <w:highlight w:val="none"/>
                    </w:rPr>
                  </w:pPr>
                  <w:r>
                    <w:rPr>
                      <w:rFonts w:hint="default" w:ascii="Times New Roman" w:hAnsi="Times New Roman" w:eastAsia="宋体" w:cs="Times New Roman"/>
                      <w:b/>
                      <w:bCs/>
                      <w:color w:val="auto"/>
                      <w:kern w:val="0"/>
                      <w:sz w:val="21"/>
                      <w:szCs w:val="21"/>
                      <w:highlight w:val="none"/>
                      <w:lang w:val="en-US" w:eastAsia="zh-CN" w:bidi="ar-SA"/>
                    </w:rPr>
                    <w:t>工程</w:t>
                  </w:r>
                </w:p>
              </w:tc>
              <w:tc>
                <w:tcPr>
                  <w:tcW w:w="799" w:type="pct"/>
                  <w:gridSpan w:val="2"/>
                  <w:tcBorders>
                    <w:tl2br w:val="nil"/>
                    <w:tr2bl w:val="nil"/>
                  </w:tcBorders>
                  <w:noWrap w:val="0"/>
                  <w:vAlign w:val="center"/>
                </w:tcPr>
                <w:p w14:paraId="24DC3D95">
                  <w:pPr>
                    <w:adjustRightInd w:val="0"/>
                    <w:snapToGrid w:val="0"/>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供水</w:t>
                  </w:r>
                </w:p>
              </w:tc>
              <w:tc>
                <w:tcPr>
                  <w:tcW w:w="3799" w:type="pct"/>
                  <w:tcBorders>
                    <w:tl2br w:val="nil"/>
                    <w:tr2bl w:val="nil"/>
                  </w:tcBorders>
                  <w:noWrap w:val="0"/>
                  <w:vAlign w:val="center"/>
                </w:tcPr>
                <w:p w14:paraId="159D3A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本项目施工人员住宿全部租用附近民房，生活用水由附近农村供水管网提供。项目施工期施工用水为洒水车洒水抑尘用水，由附近农村供水管网提供，拉运至工地。</w:t>
                  </w:r>
                </w:p>
              </w:tc>
            </w:tr>
            <w:tr w14:paraId="4F93B4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1" w:type="pct"/>
                  <w:vMerge w:val="continue"/>
                  <w:tcBorders>
                    <w:tl2br w:val="nil"/>
                    <w:tr2bl w:val="nil"/>
                  </w:tcBorders>
                  <w:noWrap w:val="0"/>
                  <w:vAlign w:val="center"/>
                </w:tcPr>
                <w:p w14:paraId="338A27A6">
                  <w:pPr>
                    <w:pStyle w:val="38"/>
                    <w:spacing w:before="0" w:line="240" w:lineRule="auto"/>
                    <w:ind w:firstLine="0" w:firstLineChars="0"/>
                    <w:rPr>
                      <w:rFonts w:hint="default" w:ascii="Times New Roman" w:hAnsi="Times New Roman" w:cs="Times New Roman"/>
                      <w:b/>
                      <w:bCs/>
                      <w:color w:val="auto"/>
                      <w:szCs w:val="21"/>
                      <w:highlight w:val="none"/>
                    </w:rPr>
                  </w:pPr>
                </w:p>
              </w:tc>
              <w:tc>
                <w:tcPr>
                  <w:tcW w:w="799" w:type="pct"/>
                  <w:gridSpan w:val="2"/>
                  <w:tcBorders>
                    <w:tl2br w:val="nil"/>
                    <w:tr2bl w:val="nil"/>
                  </w:tcBorders>
                  <w:noWrap w:val="0"/>
                  <w:vAlign w:val="center"/>
                </w:tcPr>
                <w:p w14:paraId="369536A6">
                  <w:pPr>
                    <w:adjustRightInd w:val="0"/>
                    <w:snapToGrid w:val="0"/>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排水</w:t>
                  </w:r>
                </w:p>
              </w:tc>
              <w:tc>
                <w:tcPr>
                  <w:tcW w:w="3799" w:type="pct"/>
                  <w:tcBorders>
                    <w:tl2br w:val="nil"/>
                    <w:tr2bl w:val="nil"/>
                  </w:tcBorders>
                  <w:noWrap w:val="0"/>
                  <w:vAlign w:val="center"/>
                </w:tcPr>
                <w:p w14:paraId="62D80A30">
                  <w:pPr>
                    <w:pStyle w:val="6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outlineLvl w:val="9"/>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本项目施工期施工人员生活污水经配套设置的临时化粪池处理后由粪污车拉运至距离较近的乡镇生活污水处理设施处理。</w:t>
                  </w:r>
                </w:p>
              </w:tc>
            </w:tr>
            <w:tr w14:paraId="49DCCD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1" w:type="pct"/>
                  <w:vMerge w:val="continue"/>
                  <w:tcBorders>
                    <w:tl2br w:val="nil"/>
                    <w:tr2bl w:val="nil"/>
                  </w:tcBorders>
                  <w:noWrap w:val="0"/>
                  <w:vAlign w:val="center"/>
                </w:tcPr>
                <w:p w14:paraId="36CA2E21">
                  <w:pPr>
                    <w:pStyle w:val="38"/>
                    <w:spacing w:before="0" w:line="240" w:lineRule="auto"/>
                    <w:ind w:firstLine="0" w:firstLineChars="0"/>
                    <w:rPr>
                      <w:rFonts w:hint="default" w:ascii="Times New Roman" w:hAnsi="Times New Roman" w:cs="Times New Roman"/>
                      <w:b/>
                      <w:bCs/>
                      <w:color w:val="auto"/>
                      <w:szCs w:val="21"/>
                      <w:highlight w:val="none"/>
                    </w:rPr>
                  </w:pPr>
                </w:p>
              </w:tc>
              <w:tc>
                <w:tcPr>
                  <w:tcW w:w="799" w:type="pct"/>
                  <w:gridSpan w:val="2"/>
                  <w:tcBorders>
                    <w:tl2br w:val="nil"/>
                    <w:tr2bl w:val="nil"/>
                  </w:tcBorders>
                  <w:noWrap w:val="0"/>
                  <w:vAlign w:val="center"/>
                </w:tcPr>
                <w:p w14:paraId="6E9C9CDD">
                  <w:pPr>
                    <w:adjustRightInd w:val="0"/>
                    <w:snapToGrid w:val="0"/>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供电</w:t>
                  </w:r>
                </w:p>
              </w:tc>
              <w:tc>
                <w:tcPr>
                  <w:tcW w:w="3799" w:type="pct"/>
                  <w:tcBorders>
                    <w:tl2br w:val="nil"/>
                    <w:tr2bl w:val="nil"/>
                  </w:tcBorders>
                  <w:noWrap w:val="0"/>
                  <w:vAlign w:val="center"/>
                </w:tcPr>
                <w:p w14:paraId="73CE8D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本项目施工期用电量较小，由附近农村电网提供。</w:t>
                  </w:r>
                </w:p>
              </w:tc>
            </w:tr>
            <w:tr w14:paraId="2496DE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1" w:type="pct"/>
                  <w:vMerge w:val="continue"/>
                  <w:tcBorders>
                    <w:tl2br w:val="nil"/>
                    <w:tr2bl w:val="nil"/>
                  </w:tcBorders>
                  <w:noWrap w:val="0"/>
                  <w:vAlign w:val="center"/>
                </w:tcPr>
                <w:p w14:paraId="450496EB">
                  <w:pPr>
                    <w:pStyle w:val="61"/>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ascii="Times New Roman" w:hAnsi="Times New Roman" w:cs="Times New Roman"/>
                      <w:b/>
                      <w:bCs/>
                      <w:color w:val="auto"/>
                      <w:szCs w:val="21"/>
                      <w:highlight w:val="none"/>
                    </w:rPr>
                  </w:pPr>
                </w:p>
              </w:tc>
              <w:tc>
                <w:tcPr>
                  <w:tcW w:w="799" w:type="pct"/>
                  <w:gridSpan w:val="2"/>
                  <w:tcBorders>
                    <w:tl2br w:val="nil"/>
                    <w:tr2bl w:val="nil"/>
                  </w:tcBorders>
                  <w:noWrap w:val="0"/>
                  <w:vAlign w:val="center"/>
                </w:tcPr>
                <w:p w14:paraId="0C7E06B1">
                  <w:pPr>
                    <w:pStyle w:val="61"/>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供暖及制冷</w:t>
                  </w:r>
                </w:p>
              </w:tc>
              <w:tc>
                <w:tcPr>
                  <w:tcW w:w="3799" w:type="pct"/>
                  <w:tcBorders>
                    <w:tl2br w:val="nil"/>
                    <w:tr2bl w:val="nil"/>
                  </w:tcBorders>
                  <w:noWrap w:val="0"/>
                  <w:vAlign w:val="center"/>
                </w:tcPr>
                <w:p w14:paraId="55743C12">
                  <w:pPr>
                    <w:pStyle w:val="6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本项目冬季</w:t>
                  </w:r>
                  <w:r>
                    <w:rPr>
                      <w:rFonts w:hint="eastAsia" w:ascii="Times New Roman" w:cs="Times New Roman"/>
                      <w:color w:val="auto"/>
                      <w:szCs w:val="21"/>
                      <w:highlight w:val="none"/>
                      <w:lang w:val="en-US" w:eastAsia="zh-CN"/>
                    </w:rPr>
                    <w:t>不施工，</w:t>
                  </w:r>
                  <w:r>
                    <w:rPr>
                      <w:rFonts w:hint="default" w:ascii="Times New Roman" w:hAnsi="Times New Roman" w:cs="Times New Roman"/>
                      <w:color w:val="auto"/>
                      <w:szCs w:val="21"/>
                      <w:highlight w:val="none"/>
                      <w:lang w:val="en-US" w:eastAsia="zh-CN"/>
                    </w:rPr>
                    <w:t>不涉及供暖及制冷。</w:t>
                  </w:r>
                </w:p>
              </w:tc>
            </w:tr>
            <w:tr w14:paraId="629927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1" w:type="pct"/>
                  <w:vMerge w:val="restart"/>
                  <w:tcBorders>
                    <w:tl2br w:val="nil"/>
                    <w:tr2bl w:val="nil"/>
                  </w:tcBorders>
                  <w:noWrap w:val="0"/>
                  <w:vAlign w:val="center"/>
                </w:tcPr>
                <w:p w14:paraId="7523457B">
                  <w:pPr>
                    <w:pStyle w:val="38"/>
                    <w:spacing w:before="0" w:line="240" w:lineRule="auto"/>
                    <w:ind w:firstLine="0" w:firstLineChars="0"/>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环保</w:t>
                  </w:r>
                </w:p>
                <w:p w14:paraId="2913F510">
                  <w:pPr>
                    <w:pStyle w:val="38"/>
                    <w:spacing w:before="0" w:line="240" w:lineRule="auto"/>
                    <w:ind w:firstLine="0" w:firstLineChars="0"/>
                    <w:rPr>
                      <w:rFonts w:hint="default" w:ascii="Times New Roman" w:hAnsi="Times New Roman" w:cs="Times New Roman"/>
                      <w:b/>
                      <w:bCs/>
                      <w:color w:val="auto"/>
                      <w:szCs w:val="21"/>
                      <w:highlight w:val="none"/>
                    </w:rPr>
                  </w:pPr>
                  <w:r>
                    <w:rPr>
                      <w:rFonts w:hint="default" w:ascii="Times New Roman" w:hAnsi="Times New Roman" w:eastAsia="宋体" w:cs="Times New Roman"/>
                      <w:b/>
                      <w:bCs/>
                      <w:color w:val="auto"/>
                      <w:kern w:val="0"/>
                      <w:sz w:val="21"/>
                      <w:szCs w:val="21"/>
                      <w:highlight w:val="none"/>
                      <w:lang w:val="en-US" w:eastAsia="zh-CN" w:bidi="ar-SA"/>
                    </w:rPr>
                    <w:t>工程</w:t>
                  </w:r>
                </w:p>
              </w:tc>
              <w:tc>
                <w:tcPr>
                  <w:tcW w:w="399" w:type="pct"/>
                  <w:vMerge w:val="restart"/>
                  <w:tcBorders>
                    <w:tl2br w:val="nil"/>
                    <w:tr2bl w:val="nil"/>
                  </w:tcBorders>
                  <w:noWrap w:val="0"/>
                  <w:vAlign w:val="center"/>
                </w:tcPr>
                <w:p w14:paraId="68B65630">
                  <w:pPr>
                    <w:adjustRightInd w:val="0"/>
                    <w:snapToGrid w:val="0"/>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施工期</w:t>
                  </w:r>
                </w:p>
              </w:tc>
              <w:tc>
                <w:tcPr>
                  <w:tcW w:w="399" w:type="pct"/>
                  <w:tcBorders>
                    <w:tl2br w:val="nil"/>
                    <w:tr2bl w:val="nil"/>
                  </w:tcBorders>
                  <w:noWrap w:val="0"/>
                  <w:vAlign w:val="center"/>
                </w:tcPr>
                <w:p w14:paraId="409D1317">
                  <w:pPr>
                    <w:adjustRightInd w:val="0"/>
                    <w:snapToGrid w:val="0"/>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废气治理</w:t>
                  </w:r>
                </w:p>
              </w:tc>
              <w:tc>
                <w:tcPr>
                  <w:tcW w:w="3799" w:type="pct"/>
                  <w:tcBorders>
                    <w:tl2br w:val="nil"/>
                    <w:tr2bl w:val="nil"/>
                  </w:tcBorders>
                  <w:noWrap w:val="0"/>
                  <w:vAlign w:val="center"/>
                </w:tcPr>
                <w:p w14:paraId="4F4968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施工期</w:t>
                  </w:r>
                  <w:r>
                    <w:rPr>
                      <w:rFonts w:hint="default" w:ascii="Times New Roman" w:hAnsi="Times New Roman" w:cs="Times New Roman" w:eastAsiaTheme="minorEastAsia"/>
                      <w:color w:val="auto"/>
                      <w:sz w:val="21"/>
                      <w:szCs w:val="21"/>
                      <w:highlight w:val="none"/>
                      <w:lang w:eastAsia="zh-CN"/>
                    </w:rPr>
                    <w:t>：对施工道路、施工作业面、</w:t>
                  </w:r>
                  <w:r>
                    <w:rPr>
                      <w:rFonts w:hint="eastAsia" w:cs="Times New Roman" w:eastAsiaTheme="minorEastAsia"/>
                      <w:color w:val="auto"/>
                      <w:sz w:val="21"/>
                      <w:szCs w:val="21"/>
                      <w:highlight w:val="none"/>
                      <w:lang w:eastAsia="zh-CN"/>
                    </w:rPr>
                    <w:t>临时施工区</w:t>
                  </w:r>
                  <w:r>
                    <w:rPr>
                      <w:rFonts w:hint="default" w:ascii="Times New Roman" w:hAnsi="Times New Roman" w:cs="Times New Roman" w:eastAsiaTheme="minorEastAsia"/>
                      <w:color w:val="auto"/>
                      <w:sz w:val="21"/>
                      <w:szCs w:val="21"/>
                      <w:highlight w:val="none"/>
                    </w:rPr>
                    <w:t>定期洒水抑尘</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运输车辆限速</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color w:val="auto"/>
                      <w:szCs w:val="21"/>
                      <w:highlight w:val="none"/>
                      <w:lang w:val="en-US" w:eastAsia="zh-CN"/>
                    </w:rPr>
                    <w:t>施工期采用商用混凝土，不在施工现场搅拌，因此无搅拌废气；</w:t>
                  </w:r>
                </w:p>
              </w:tc>
            </w:tr>
            <w:tr w14:paraId="1BC812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1" w:type="pct"/>
                  <w:vMerge w:val="continue"/>
                  <w:tcBorders>
                    <w:tl2br w:val="nil"/>
                    <w:tr2bl w:val="nil"/>
                  </w:tcBorders>
                  <w:noWrap w:val="0"/>
                  <w:vAlign w:val="center"/>
                </w:tcPr>
                <w:p w14:paraId="4D76A794">
                  <w:pPr>
                    <w:pStyle w:val="38"/>
                    <w:spacing w:before="0" w:line="240" w:lineRule="auto"/>
                    <w:ind w:firstLine="0" w:firstLineChars="0"/>
                    <w:rPr>
                      <w:rFonts w:hint="default" w:ascii="Times New Roman" w:hAnsi="Times New Roman" w:cs="Times New Roman"/>
                      <w:b/>
                      <w:bCs/>
                      <w:color w:val="auto"/>
                      <w:szCs w:val="21"/>
                      <w:highlight w:val="none"/>
                    </w:rPr>
                  </w:pPr>
                </w:p>
              </w:tc>
              <w:tc>
                <w:tcPr>
                  <w:tcW w:w="399" w:type="pct"/>
                  <w:vMerge w:val="continue"/>
                  <w:tcBorders>
                    <w:tl2br w:val="nil"/>
                    <w:tr2bl w:val="nil"/>
                  </w:tcBorders>
                  <w:noWrap w:val="0"/>
                  <w:vAlign w:val="center"/>
                </w:tcPr>
                <w:p w14:paraId="6F7757D4">
                  <w:pPr>
                    <w:adjustRightInd w:val="0"/>
                    <w:snapToGrid w:val="0"/>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p>
              </w:tc>
              <w:tc>
                <w:tcPr>
                  <w:tcW w:w="399" w:type="pct"/>
                  <w:tcBorders>
                    <w:tl2br w:val="nil"/>
                    <w:tr2bl w:val="nil"/>
                  </w:tcBorders>
                  <w:noWrap w:val="0"/>
                  <w:vAlign w:val="center"/>
                </w:tcPr>
                <w:p w14:paraId="6C83068E">
                  <w:pPr>
                    <w:adjustRightInd w:val="0"/>
                    <w:snapToGrid w:val="0"/>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废水治理</w:t>
                  </w:r>
                </w:p>
              </w:tc>
              <w:tc>
                <w:tcPr>
                  <w:tcW w:w="3799" w:type="pct"/>
                  <w:tcBorders>
                    <w:tl2br w:val="nil"/>
                    <w:tr2bl w:val="nil"/>
                  </w:tcBorders>
                  <w:noWrap w:val="0"/>
                  <w:vAlign w:val="center"/>
                </w:tcPr>
                <w:p w14:paraId="2FD6C362">
                  <w:pPr>
                    <w:pStyle w:val="6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Cs w:val="21"/>
                      <w:highlight w:val="none"/>
                      <w:lang w:val="en-US" w:eastAsia="zh-CN"/>
                    </w:rPr>
                    <w:t>施工期：本项目施工期施工人员生活污水经配套设置的临时化粪池处理后由粪污车拉运至距离较近的乡镇生活污水处理设施处理；施工期采用商用混凝土，不在施工现场搅拌，因此无搅拌废水；</w:t>
                  </w:r>
                </w:p>
              </w:tc>
            </w:tr>
            <w:tr w14:paraId="47594D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1" w:type="pct"/>
                  <w:vMerge w:val="continue"/>
                  <w:tcBorders>
                    <w:tl2br w:val="nil"/>
                    <w:tr2bl w:val="nil"/>
                  </w:tcBorders>
                  <w:noWrap w:val="0"/>
                  <w:vAlign w:val="center"/>
                </w:tcPr>
                <w:p w14:paraId="469BECEF">
                  <w:pPr>
                    <w:pStyle w:val="38"/>
                    <w:spacing w:before="0" w:line="240" w:lineRule="auto"/>
                    <w:ind w:firstLine="0" w:firstLineChars="0"/>
                    <w:rPr>
                      <w:rFonts w:hint="default" w:ascii="Times New Roman" w:hAnsi="Times New Roman" w:cs="Times New Roman"/>
                      <w:b/>
                      <w:bCs/>
                      <w:color w:val="auto"/>
                      <w:szCs w:val="21"/>
                      <w:highlight w:val="none"/>
                    </w:rPr>
                  </w:pPr>
                </w:p>
              </w:tc>
              <w:tc>
                <w:tcPr>
                  <w:tcW w:w="399" w:type="pct"/>
                  <w:vMerge w:val="continue"/>
                  <w:tcBorders>
                    <w:tl2br w:val="nil"/>
                    <w:tr2bl w:val="nil"/>
                  </w:tcBorders>
                  <w:shd w:val="clear" w:color="auto" w:fill="auto"/>
                  <w:noWrap w:val="0"/>
                  <w:vAlign w:val="center"/>
                </w:tcPr>
                <w:p w14:paraId="0503E549">
                  <w:pPr>
                    <w:adjustRightInd w:val="0"/>
                    <w:snapToGrid w:val="0"/>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p>
              </w:tc>
              <w:tc>
                <w:tcPr>
                  <w:tcW w:w="399" w:type="pct"/>
                  <w:tcBorders>
                    <w:tl2br w:val="nil"/>
                    <w:tr2bl w:val="nil"/>
                  </w:tcBorders>
                  <w:shd w:val="clear" w:color="auto" w:fill="auto"/>
                  <w:noWrap w:val="0"/>
                  <w:vAlign w:val="center"/>
                </w:tcPr>
                <w:p w14:paraId="2128A5E4">
                  <w:pPr>
                    <w:adjustRightInd w:val="0"/>
                    <w:snapToGrid w:val="0"/>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噪声治理</w:t>
                  </w:r>
                </w:p>
              </w:tc>
              <w:tc>
                <w:tcPr>
                  <w:tcW w:w="3799" w:type="pct"/>
                  <w:tcBorders>
                    <w:tl2br w:val="nil"/>
                    <w:tr2bl w:val="nil"/>
                  </w:tcBorders>
                  <w:shd w:val="clear" w:color="auto" w:fill="auto"/>
                  <w:noWrap w:val="0"/>
                  <w:vAlign w:val="center"/>
                </w:tcPr>
                <w:p w14:paraId="4A80A439">
                  <w:pPr>
                    <w:pStyle w:val="6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施工期：</w:t>
                  </w:r>
                  <w:r>
                    <w:rPr>
                      <w:rFonts w:hint="default" w:ascii="Times New Roman" w:hAnsi="Times New Roman" w:cs="Times New Roman" w:eastAsiaTheme="minorEastAsia"/>
                      <w:color w:val="auto"/>
                      <w:sz w:val="21"/>
                      <w:szCs w:val="21"/>
                      <w:highlight w:val="none"/>
                    </w:rPr>
                    <w:t>施工机械选用低噪声设备</w:t>
                  </w:r>
                  <w:r>
                    <w:rPr>
                      <w:rFonts w:hint="default" w:ascii="Times New Roman" w:hAnsi="Times New Roman" w:cs="Times New Roman" w:eastAsiaTheme="minorEastAsia"/>
                      <w:color w:val="auto"/>
                      <w:sz w:val="21"/>
                      <w:szCs w:val="21"/>
                      <w:highlight w:val="none"/>
                      <w:lang w:eastAsia="zh-CN"/>
                    </w:rPr>
                    <w:t>；</w:t>
                  </w:r>
                </w:p>
              </w:tc>
            </w:tr>
            <w:tr w14:paraId="1EC3DD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1" w:type="pct"/>
                  <w:vMerge w:val="continue"/>
                  <w:tcBorders>
                    <w:tl2br w:val="nil"/>
                    <w:tr2bl w:val="nil"/>
                  </w:tcBorders>
                  <w:noWrap w:val="0"/>
                  <w:vAlign w:val="center"/>
                </w:tcPr>
                <w:p w14:paraId="5243EBB6">
                  <w:pPr>
                    <w:pStyle w:val="38"/>
                    <w:spacing w:before="0" w:line="240" w:lineRule="auto"/>
                    <w:ind w:firstLine="0" w:firstLineChars="0"/>
                    <w:rPr>
                      <w:rFonts w:hint="default" w:ascii="Times New Roman" w:hAnsi="Times New Roman" w:cs="Times New Roman"/>
                      <w:b/>
                      <w:bCs/>
                      <w:color w:val="auto"/>
                      <w:szCs w:val="21"/>
                      <w:highlight w:val="none"/>
                    </w:rPr>
                  </w:pPr>
                </w:p>
              </w:tc>
              <w:tc>
                <w:tcPr>
                  <w:tcW w:w="399" w:type="pct"/>
                  <w:vMerge w:val="continue"/>
                  <w:tcBorders>
                    <w:tl2br w:val="nil"/>
                    <w:tr2bl w:val="nil"/>
                  </w:tcBorders>
                  <w:noWrap w:val="0"/>
                  <w:vAlign w:val="center"/>
                </w:tcPr>
                <w:p w14:paraId="4032A088">
                  <w:pPr>
                    <w:adjustRightInd w:val="0"/>
                    <w:snapToGrid w:val="0"/>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p>
              </w:tc>
              <w:tc>
                <w:tcPr>
                  <w:tcW w:w="399" w:type="pct"/>
                  <w:tcBorders>
                    <w:tl2br w:val="nil"/>
                    <w:tr2bl w:val="nil"/>
                  </w:tcBorders>
                  <w:noWrap w:val="0"/>
                  <w:vAlign w:val="center"/>
                </w:tcPr>
                <w:p w14:paraId="6905AE44">
                  <w:pPr>
                    <w:adjustRightInd w:val="0"/>
                    <w:snapToGrid w:val="0"/>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固体废物治理</w:t>
                  </w:r>
                </w:p>
              </w:tc>
              <w:tc>
                <w:tcPr>
                  <w:tcW w:w="3799" w:type="pct"/>
                  <w:tcBorders>
                    <w:tl2br w:val="nil"/>
                    <w:tr2bl w:val="nil"/>
                  </w:tcBorders>
                  <w:noWrap w:val="0"/>
                  <w:vAlign w:val="center"/>
                </w:tcPr>
                <w:p w14:paraId="5F682D4A">
                  <w:pPr>
                    <w:pStyle w:val="6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施工期：</w:t>
                  </w:r>
                  <w:r>
                    <w:rPr>
                      <w:rFonts w:hint="default" w:ascii="Times New Roman" w:hAnsi="Times New Roman" w:cs="Times New Roman" w:eastAsiaTheme="minorEastAsia"/>
                      <w:color w:val="auto"/>
                      <w:sz w:val="21"/>
                      <w:szCs w:val="21"/>
                      <w:highlight w:val="none"/>
                    </w:rPr>
                    <w:t>生活垃圾</w:t>
                  </w:r>
                  <w:r>
                    <w:rPr>
                      <w:rFonts w:hint="default" w:ascii="Times New Roman" w:hAnsi="Times New Roman" w:cs="Times New Roman" w:eastAsiaTheme="minorEastAsia"/>
                      <w:color w:val="auto"/>
                      <w:sz w:val="21"/>
                      <w:szCs w:val="21"/>
                      <w:highlight w:val="none"/>
                      <w:lang w:val="en-US" w:eastAsia="zh-CN"/>
                    </w:rPr>
                    <w:t>由</w:t>
                  </w:r>
                  <w:r>
                    <w:rPr>
                      <w:rFonts w:hint="eastAsia" w:ascii="Times New Roman" w:cs="Times New Roman" w:eastAsiaTheme="minorEastAsia"/>
                      <w:color w:val="auto"/>
                      <w:sz w:val="21"/>
                      <w:szCs w:val="21"/>
                      <w:highlight w:val="none"/>
                      <w:lang w:eastAsia="zh-CN"/>
                    </w:rPr>
                    <w:t>施工营地</w:t>
                  </w:r>
                  <w:r>
                    <w:rPr>
                      <w:rFonts w:hint="default" w:ascii="Times New Roman" w:hAnsi="Times New Roman" w:cs="Times New Roman" w:eastAsiaTheme="minorEastAsia"/>
                      <w:color w:val="auto"/>
                      <w:sz w:val="21"/>
                      <w:szCs w:val="21"/>
                      <w:highlight w:val="none"/>
                    </w:rPr>
                    <w:t>垃圾桶收集，</w:t>
                  </w:r>
                  <w:r>
                    <w:rPr>
                      <w:rFonts w:hint="default" w:ascii="Times New Roman" w:hAnsi="Times New Roman" w:cs="Times New Roman" w:eastAsiaTheme="minorEastAsia"/>
                      <w:color w:val="auto"/>
                      <w:sz w:val="21"/>
                      <w:szCs w:val="21"/>
                      <w:highlight w:val="none"/>
                      <w:lang w:eastAsia="zh-CN"/>
                    </w:rPr>
                    <w:t>定期运送至附近垃圾中转站由环卫部门处置</w:t>
                  </w:r>
                  <w:r>
                    <w:rPr>
                      <w:rFonts w:hint="default" w:ascii="Times New Roman" w:hAnsi="Times New Roman" w:cs="Times New Roman" w:eastAsiaTheme="minorEastAsia"/>
                      <w:color w:val="auto"/>
                      <w:sz w:val="21"/>
                      <w:szCs w:val="21"/>
                      <w:highlight w:val="none"/>
                    </w:rPr>
                    <w:t>；</w:t>
                  </w:r>
                  <w:r>
                    <w:rPr>
                      <w:rFonts w:hint="eastAsia" w:ascii="Times New Roman" w:cs="Times New Roman" w:eastAsiaTheme="minorEastAsia"/>
                      <w:color w:val="auto"/>
                      <w:sz w:val="21"/>
                      <w:szCs w:val="21"/>
                      <w:highlight w:val="none"/>
                      <w:lang w:val="en-US" w:eastAsia="zh-CN"/>
                    </w:rPr>
                    <w:t>建筑垃圾统一清运至政府指定点妥善处置，</w:t>
                  </w:r>
                  <w:r>
                    <w:rPr>
                      <w:rFonts w:hint="default" w:ascii="Times New Roman" w:hAnsi="Times New Roman" w:cs="Times New Roman"/>
                      <w:color w:val="auto"/>
                      <w:szCs w:val="21"/>
                      <w:highlight w:val="none"/>
                      <w:lang w:val="en-US" w:eastAsia="zh-CN"/>
                    </w:rPr>
                    <w:t>施工期开挖土方绝大部分回填。清理的淤泥翻到沟道两侧沟拜堆放并晾</w:t>
                  </w:r>
                  <w:r>
                    <w:rPr>
                      <w:rFonts w:hint="default" w:ascii="Times New Roman" w:hAnsi="Times New Roman" w:cs="Times New Roman"/>
                      <w:color w:val="auto"/>
                      <w:sz w:val="21"/>
                      <w:szCs w:val="21"/>
                      <w:highlight w:val="none"/>
                      <w:lang w:val="en-US" w:eastAsia="zh-CN"/>
                    </w:rPr>
                    <w:t>晒，</w:t>
                  </w:r>
                  <w:r>
                    <w:rPr>
                      <w:rFonts w:hint="default" w:ascii="Times New Roman" w:hAnsi="Times New Roman" w:cs="Times New Roman"/>
                      <w:color w:val="auto"/>
                      <w:kern w:val="0"/>
                      <w:sz w:val="21"/>
                      <w:szCs w:val="21"/>
                      <w:highlight w:val="none"/>
                    </w:rPr>
                    <w:t>待淤泥晾晒干后，</w:t>
                  </w:r>
                  <w:r>
                    <w:rPr>
                      <w:rFonts w:hint="eastAsia" w:cs="Times New Roman"/>
                      <w:color w:val="auto"/>
                      <w:kern w:val="0"/>
                      <w:sz w:val="21"/>
                      <w:szCs w:val="21"/>
                      <w:highlight w:val="none"/>
                      <w:lang w:val="en-US" w:eastAsia="zh-CN"/>
                    </w:rPr>
                    <w:t>与砌护工程产生的多余土方一并</w:t>
                  </w:r>
                  <w:r>
                    <w:rPr>
                      <w:rFonts w:hint="default" w:ascii="Times New Roman" w:hAnsi="Times New Roman" w:cs="Times New Roman"/>
                      <w:color w:val="auto"/>
                      <w:kern w:val="0"/>
                      <w:sz w:val="21"/>
                      <w:szCs w:val="21"/>
                      <w:highlight w:val="none"/>
                    </w:rPr>
                    <w:t>拉运至项目修建巡护道路基础填筑综合利用</w:t>
                  </w:r>
                  <w:r>
                    <w:rPr>
                      <w:rFonts w:hint="default" w:ascii="Times New Roman" w:hAnsi="Times New Roman" w:cs="Times New Roman"/>
                      <w:color w:val="auto"/>
                      <w:sz w:val="21"/>
                      <w:szCs w:val="21"/>
                      <w:highlight w:val="none"/>
                      <w:lang w:val="en-US" w:eastAsia="zh-CN"/>
                    </w:rPr>
                    <w:t>，施工产生的剩余土方</w:t>
                  </w:r>
                  <w:r>
                    <w:rPr>
                      <w:rFonts w:hint="eastAsia" w:cs="Times New Roman"/>
                      <w:color w:val="auto"/>
                      <w:kern w:val="0"/>
                      <w:sz w:val="21"/>
                      <w:szCs w:val="21"/>
                      <w:highlight w:val="none"/>
                      <w:lang w:val="en-US" w:eastAsia="zh-CN"/>
                    </w:rPr>
                    <w:t>与晾干后的淤泥一并</w:t>
                  </w:r>
                  <w:r>
                    <w:rPr>
                      <w:rFonts w:hint="default" w:ascii="Times New Roman" w:hAnsi="Times New Roman" w:cs="Times New Roman"/>
                      <w:color w:val="auto"/>
                      <w:kern w:val="0"/>
                      <w:sz w:val="21"/>
                      <w:szCs w:val="21"/>
                      <w:highlight w:val="none"/>
                    </w:rPr>
                    <w:t>拉运至项目修建巡护道路基础填筑综合利用</w:t>
                  </w:r>
                  <w:r>
                    <w:rPr>
                      <w:rFonts w:hint="default" w:ascii="Times New Roman" w:hAnsi="Times New Roman" w:cs="Times New Roman"/>
                      <w:color w:val="auto"/>
                      <w:sz w:val="21"/>
                      <w:szCs w:val="21"/>
                      <w:highlight w:val="none"/>
                      <w:lang w:val="en-US" w:eastAsia="zh-CN"/>
                    </w:rPr>
                    <w:t>；</w:t>
                  </w:r>
                </w:p>
              </w:tc>
            </w:tr>
            <w:tr w14:paraId="3592F2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1" w:type="pct"/>
                  <w:vMerge w:val="continue"/>
                  <w:tcBorders>
                    <w:tl2br w:val="nil"/>
                    <w:tr2bl w:val="nil"/>
                  </w:tcBorders>
                  <w:noWrap w:val="0"/>
                  <w:vAlign w:val="center"/>
                </w:tcPr>
                <w:p w14:paraId="665320D7">
                  <w:pPr>
                    <w:pStyle w:val="38"/>
                    <w:spacing w:before="0" w:line="240" w:lineRule="auto"/>
                    <w:ind w:firstLine="0" w:firstLineChars="0"/>
                    <w:rPr>
                      <w:rFonts w:hint="default" w:ascii="Times New Roman" w:hAnsi="Times New Roman" w:cs="Times New Roman"/>
                      <w:b/>
                      <w:bCs/>
                      <w:color w:val="auto"/>
                      <w:szCs w:val="21"/>
                      <w:highlight w:val="none"/>
                    </w:rPr>
                  </w:pPr>
                </w:p>
              </w:tc>
              <w:tc>
                <w:tcPr>
                  <w:tcW w:w="399" w:type="pct"/>
                  <w:vMerge w:val="continue"/>
                  <w:tcBorders>
                    <w:tl2br w:val="nil"/>
                    <w:tr2bl w:val="nil"/>
                  </w:tcBorders>
                  <w:noWrap w:val="0"/>
                  <w:vAlign w:val="center"/>
                </w:tcPr>
                <w:p w14:paraId="4665F3B4">
                  <w:pPr>
                    <w:adjustRightInd w:val="0"/>
                    <w:snapToGrid w:val="0"/>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p>
              </w:tc>
              <w:tc>
                <w:tcPr>
                  <w:tcW w:w="399" w:type="pct"/>
                  <w:tcBorders>
                    <w:tl2br w:val="nil"/>
                    <w:tr2bl w:val="nil"/>
                  </w:tcBorders>
                  <w:noWrap w:val="0"/>
                  <w:vAlign w:val="center"/>
                </w:tcPr>
                <w:p w14:paraId="1DDF97F6">
                  <w:pPr>
                    <w:adjustRightInd w:val="0"/>
                    <w:snapToGrid w:val="0"/>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生态治理</w:t>
                  </w:r>
                </w:p>
              </w:tc>
              <w:tc>
                <w:tcPr>
                  <w:tcW w:w="3799" w:type="pct"/>
                  <w:tcBorders>
                    <w:tl2br w:val="nil"/>
                    <w:tr2bl w:val="nil"/>
                  </w:tcBorders>
                  <w:noWrap w:val="0"/>
                  <w:vAlign w:val="center"/>
                </w:tcPr>
                <w:p w14:paraId="53266567">
                  <w:pPr>
                    <w:pStyle w:val="6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auto"/>
                      <w:szCs w:val="21"/>
                      <w:highlight w:val="none"/>
                      <w:vertAlign w:val="baseline"/>
                      <w:lang w:val="en-US" w:eastAsia="zh-CN"/>
                    </w:rPr>
                  </w:pPr>
                  <w:r>
                    <w:rPr>
                      <w:rFonts w:hint="default" w:ascii="Times New Roman" w:hAnsi="Times New Roman" w:cs="Times New Roman"/>
                      <w:color w:val="auto"/>
                      <w:szCs w:val="21"/>
                      <w:highlight w:val="none"/>
                      <w:vertAlign w:val="baseline"/>
                      <w:lang w:val="en-US" w:eastAsia="zh-CN"/>
                    </w:rPr>
                    <w:t>施工结束后对</w:t>
                  </w:r>
                  <w:r>
                    <w:rPr>
                      <w:rFonts w:hint="eastAsia" w:ascii="Times New Roman" w:cs="Times New Roman"/>
                      <w:color w:val="auto"/>
                      <w:szCs w:val="21"/>
                      <w:highlight w:val="none"/>
                      <w:vertAlign w:val="baseline"/>
                      <w:lang w:val="en-US" w:eastAsia="zh-CN"/>
                    </w:rPr>
                    <w:t>临时施工区</w:t>
                  </w:r>
                  <w:r>
                    <w:rPr>
                      <w:rFonts w:hint="default" w:ascii="Times New Roman" w:hAnsi="Times New Roman" w:cs="Times New Roman"/>
                      <w:color w:val="auto"/>
                      <w:szCs w:val="21"/>
                      <w:highlight w:val="none"/>
                      <w:vertAlign w:val="baseline"/>
                      <w:lang w:val="en-US" w:eastAsia="zh-CN"/>
                    </w:rPr>
                    <w:t>进行生态修复，根据临时占地施工前</w:t>
                  </w:r>
                  <w:r>
                    <w:rPr>
                      <w:rFonts w:hint="eastAsia" w:ascii="Times New Roman" w:cs="Times New Roman"/>
                      <w:color w:val="auto"/>
                      <w:szCs w:val="21"/>
                      <w:highlight w:val="none"/>
                      <w:vertAlign w:val="baseline"/>
                      <w:lang w:val="en-US" w:eastAsia="zh-CN"/>
                    </w:rPr>
                    <w:t>土地利用</w:t>
                  </w:r>
                  <w:r>
                    <w:rPr>
                      <w:rFonts w:hint="default" w:ascii="Times New Roman" w:hAnsi="Times New Roman" w:cs="Times New Roman"/>
                      <w:color w:val="auto"/>
                      <w:szCs w:val="21"/>
                      <w:highlight w:val="none"/>
                      <w:vertAlign w:val="baseline"/>
                      <w:lang w:val="en-US" w:eastAsia="zh-CN"/>
                    </w:rPr>
                    <w:t>现状恢复到工程前状态。同时对新建巡护道路两侧采取植树种草等生态措施。</w:t>
                  </w:r>
                </w:p>
              </w:tc>
            </w:tr>
            <w:tr w14:paraId="10A28C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1" w:type="pct"/>
                  <w:vMerge w:val="continue"/>
                  <w:tcBorders>
                    <w:tl2br w:val="nil"/>
                    <w:tr2bl w:val="nil"/>
                  </w:tcBorders>
                  <w:noWrap w:val="0"/>
                  <w:vAlign w:val="center"/>
                </w:tcPr>
                <w:p w14:paraId="488465E3">
                  <w:pPr>
                    <w:pStyle w:val="38"/>
                    <w:spacing w:before="0" w:line="240" w:lineRule="auto"/>
                    <w:ind w:firstLine="0" w:firstLineChars="0"/>
                    <w:rPr>
                      <w:rFonts w:hint="default" w:ascii="Times New Roman" w:hAnsi="Times New Roman" w:cs="Times New Roman"/>
                      <w:b/>
                      <w:bCs/>
                      <w:color w:val="auto"/>
                      <w:szCs w:val="21"/>
                      <w:highlight w:val="none"/>
                    </w:rPr>
                  </w:pPr>
                </w:p>
              </w:tc>
              <w:tc>
                <w:tcPr>
                  <w:tcW w:w="799" w:type="pct"/>
                  <w:gridSpan w:val="2"/>
                  <w:tcBorders>
                    <w:tl2br w:val="nil"/>
                    <w:tr2bl w:val="nil"/>
                  </w:tcBorders>
                  <w:noWrap w:val="0"/>
                  <w:vAlign w:val="center"/>
                </w:tcPr>
                <w:p w14:paraId="6DF7A89C">
                  <w:pPr>
                    <w:adjustRightInd w:val="0"/>
                    <w:snapToGrid w:val="0"/>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运营期</w:t>
                  </w:r>
                </w:p>
              </w:tc>
              <w:tc>
                <w:tcPr>
                  <w:tcW w:w="3799" w:type="pct"/>
                  <w:tcBorders>
                    <w:tl2br w:val="nil"/>
                    <w:tr2bl w:val="nil"/>
                  </w:tcBorders>
                  <w:noWrap w:val="0"/>
                  <w:vAlign w:val="center"/>
                </w:tcPr>
                <w:p w14:paraId="69AE27D8">
                  <w:pPr>
                    <w:pStyle w:val="6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auto"/>
                      <w:szCs w:val="21"/>
                      <w:highlight w:val="none"/>
                      <w:vertAlign w:val="baseline"/>
                      <w:lang w:val="en-US" w:eastAsia="zh-CN"/>
                    </w:rPr>
                  </w:pPr>
                  <w:r>
                    <w:rPr>
                      <w:rFonts w:hint="default" w:ascii="Times New Roman" w:hAnsi="Times New Roman" w:cs="Times New Roman"/>
                      <w:color w:val="auto"/>
                      <w:szCs w:val="21"/>
                      <w:highlight w:val="none"/>
                      <w:vertAlign w:val="baseline"/>
                      <w:lang w:val="en-US" w:eastAsia="zh-CN"/>
                    </w:rPr>
                    <w:t>本项目为河道修复</w:t>
                  </w:r>
                  <w:r>
                    <w:rPr>
                      <w:rFonts w:hint="eastAsia" w:ascii="Times New Roman" w:cs="Times New Roman"/>
                      <w:color w:val="auto"/>
                      <w:szCs w:val="21"/>
                      <w:highlight w:val="none"/>
                      <w:vertAlign w:val="baseline"/>
                      <w:lang w:val="en-US" w:eastAsia="zh-CN"/>
                    </w:rPr>
                    <w:t>及</w:t>
                  </w:r>
                  <w:r>
                    <w:rPr>
                      <w:rFonts w:hint="default" w:ascii="Times New Roman" w:hAnsi="Times New Roman" w:cs="Times New Roman"/>
                      <w:color w:val="auto"/>
                      <w:szCs w:val="21"/>
                      <w:highlight w:val="none"/>
                      <w:vertAlign w:val="baseline"/>
                      <w:lang w:val="en-US" w:eastAsia="zh-CN"/>
                    </w:rPr>
                    <w:t>清淤疏浚工程，运营期无废气、废水、噪声、固体废物等污染排放，且对增强区域水生态环境有正向效益。</w:t>
                  </w:r>
                  <w:r>
                    <w:rPr>
                      <w:rFonts w:hint="eastAsia" w:ascii="Times New Roman" w:cs="Times New Roman"/>
                      <w:color w:val="auto"/>
                      <w:szCs w:val="21"/>
                      <w:highlight w:val="none"/>
                      <w:vertAlign w:val="baseline"/>
                      <w:lang w:val="en-US" w:eastAsia="zh-CN"/>
                    </w:rPr>
                    <w:t>运营期主要为生态恢复工程跟踪监测及养护，待生态恢复至项目实施前水平后即停止监测及养护，一般约持续2～3年。</w:t>
                  </w:r>
                </w:p>
              </w:tc>
            </w:tr>
          </w:tbl>
          <w:p w14:paraId="282B449A">
            <w:pPr>
              <w:autoSpaceDE w:val="0"/>
              <w:autoSpaceDN w:val="0"/>
              <w:adjustRightInd w:val="0"/>
              <w:spacing w:line="360" w:lineRule="auto"/>
              <w:ind w:firstLine="480" w:firstLineChars="200"/>
              <w:rPr>
                <w:rFonts w:hint="default" w:ascii="Times New Roman" w:hAnsi="Times New Roman" w:eastAsia="黑体" w:cs="Times New Roman"/>
                <w:b w:val="0"/>
                <w:bCs w:val="0"/>
                <w:color w:val="auto"/>
                <w:sz w:val="24"/>
                <w:szCs w:val="20"/>
                <w:highlight w:val="none"/>
                <w:lang w:val="en-US" w:eastAsia="zh-CN" w:bidi="en-US"/>
              </w:rPr>
            </w:pPr>
            <w:r>
              <w:rPr>
                <w:rFonts w:hint="default" w:ascii="Times New Roman" w:hAnsi="Times New Roman" w:eastAsia="黑体" w:cs="Times New Roman"/>
                <w:b w:val="0"/>
                <w:bCs w:val="0"/>
                <w:color w:val="auto"/>
                <w:sz w:val="24"/>
                <w:szCs w:val="20"/>
                <w:highlight w:val="none"/>
                <w:lang w:val="en-US" w:eastAsia="zh-CN" w:bidi="en-US"/>
              </w:rPr>
              <w:t>2、主要工程参数</w:t>
            </w:r>
          </w:p>
          <w:p w14:paraId="53EA78AE">
            <w:pPr>
              <w:autoSpaceDE w:val="0"/>
              <w:autoSpaceDN w:val="0"/>
              <w:adjustRightInd w:val="0"/>
              <w:spacing w:line="360" w:lineRule="auto"/>
              <w:ind w:firstLine="480" w:firstLineChars="200"/>
              <w:rPr>
                <w:rFonts w:hint="default" w:ascii="Times New Roman" w:hAnsi="Times New Roman" w:eastAsia="黑体" w:cs="Times New Roman"/>
                <w:b w:val="0"/>
                <w:bCs w:val="0"/>
                <w:color w:val="auto"/>
                <w:sz w:val="24"/>
                <w:szCs w:val="20"/>
                <w:highlight w:val="none"/>
                <w:lang w:val="en-US" w:eastAsia="zh-CN" w:bidi="en-US"/>
              </w:rPr>
            </w:pPr>
            <w:r>
              <w:rPr>
                <w:rFonts w:hint="default" w:ascii="Times New Roman" w:hAnsi="Times New Roman" w:eastAsia="黑体" w:cs="Times New Roman"/>
                <w:b w:val="0"/>
                <w:bCs w:val="0"/>
                <w:color w:val="auto"/>
                <w:sz w:val="24"/>
                <w:szCs w:val="20"/>
                <w:highlight w:val="none"/>
                <w:lang w:val="en-US" w:eastAsia="zh-CN" w:bidi="en-US"/>
              </w:rPr>
              <w:t>①防洪标准</w:t>
            </w:r>
          </w:p>
          <w:p w14:paraId="0D2DD5BE">
            <w:pPr>
              <w:autoSpaceDE w:val="0"/>
              <w:autoSpaceDN w:val="0"/>
              <w:adjustRightInd w:val="0"/>
              <w:spacing w:line="360" w:lineRule="auto"/>
              <w:ind w:firstLine="480" w:firstLineChars="200"/>
              <w:rPr>
                <w:rFonts w:hint="default" w:ascii="Times New Roman" w:hAnsi="Times New Roman" w:cs="Times New Roman" w:eastAsiaTheme="minorEastAsia"/>
                <w:color w:val="auto"/>
                <w:sz w:val="24"/>
                <w:szCs w:val="20"/>
                <w:highlight w:val="none"/>
                <w:lang w:val="en-US" w:eastAsia="zh-CN" w:bidi="en-US"/>
              </w:rPr>
            </w:pPr>
            <w:r>
              <w:rPr>
                <w:rFonts w:hint="default" w:ascii="Times New Roman" w:hAnsi="Times New Roman" w:cs="Times New Roman" w:eastAsiaTheme="minorEastAsia"/>
                <w:color w:val="auto"/>
                <w:sz w:val="24"/>
                <w:szCs w:val="20"/>
                <w:highlight w:val="none"/>
                <w:lang w:val="en-US" w:eastAsia="zh-CN" w:bidi="en-US"/>
              </w:rPr>
              <w:t>根据《宁夏回族自治区中小河流治理总体方案》</w:t>
            </w:r>
            <w:r>
              <w:rPr>
                <w:rFonts w:hint="eastAsia" w:cs="Times New Roman" w:eastAsiaTheme="minorEastAsia"/>
                <w:color w:val="auto"/>
                <w:sz w:val="24"/>
                <w:szCs w:val="20"/>
                <w:highlight w:val="none"/>
                <w:lang w:val="en-US" w:eastAsia="zh-CN" w:bidi="en-US"/>
              </w:rPr>
              <w:t>：</w:t>
            </w:r>
            <w:r>
              <w:rPr>
                <w:rFonts w:hint="default" w:ascii="Times New Roman" w:hAnsi="Times New Roman" w:cs="Times New Roman" w:eastAsiaTheme="minorEastAsia"/>
                <w:color w:val="auto"/>
                <w:sz w:val="24"/>
                <w:szCs w:val="20"/>
                <w:highlight w:val="none"/>
                <w:lang w:val="en-US" w:eastAsia="zh-CN" w:bidi="en-US"/>
              </w:rPr>
              <w:t>高崖沟保护对象为乡村，治理标准为10年一遇</w:t>
            </w:r>
            <w:r>
              <w:rPr>
                <w:rFonts w:hint="eastAsia" w:cs="Times New Roman" w:eastAsiaTheme="minorEastAsia"/>
                <w:color w:val="auto"/>
                <w:sz w:val="24"/>
                <w:szCs w:val="20"/>
                <w:highlight w:val="none"/>
                <w:lang w:val="en-US" w:eastAsia="zh-CN" w:bidi="en-US"/>
              </w:rPr>
              <w:t>，本次项目为高崖沟边坡砌护及沟道清淤工程，项目实施前后不改变高崖沟现有防洪等级，因此项目实施后，高崖沟防洪等级与</w:t>
            </w:r>
            <w:r>
              <w:rPr>
                <w:rFonts w:hint="default" w:ascii="Times New Roman" w:hAnsi="Times New Roman" w:cs="Times New Roman" w:eastAsiaTheme="minorEastAsia"/>
                <w:color w:val="auto"/>
                <w:sz w:val="24"/>
                <w:szCs w:val="20"/>
                <w:highlight w:val="none"/>
                <w:lang w:val="en-US" w:eastAsia="zh-CN" w:bidi="en-US"/>
              </w:rPr>
              <w:t>《宁夏回族自治区中小河流治理总体方案》</w:t>
            </w:r>
            <w:r>
              <w:rPr>
                <w:rFonts w:hint="eastAsia" w:cs="Times New Roman" w:eastAsiaTheme="minorEastAsia"/>
                <w:color w:val="auto"/>
                <w:sz w:val="24"/>
                <w:szCs w:val="20"/>
                <w:highlight w:val="none"/>
                <w:lang w:val="en-US" w:eastAsia="zh-CN" w:bidi="en-US"/>
              </w:rPr>
              <w:t>保持一致，仍为</w:t>
            </w:r>
            <w:r>
              <w:rPr>
                <w:rFonts w:hint="default" w:ascii="Times New Roman" w:hAnsi="Times New Roman" w:cs="Times New Roman" w:eastAsiaTheme="minorEastAsia"/>
                <w:color w:val="auto"/>
                <w:sz w:val="24"/>
                <w:szCs w:val="20"/>
                <w:highlight w:val="none"/>
                <w:lang w:val="en-US" w:eastAsia="zh-CN" w:bidi="en-US"/>
              </w:rPr>
              <w:t>10年一遇。</w:t>
            </w:r>
          </w:p>
          <w:p w14:paraId="47F9CF2C">
            <w:pPr>
              <w:autoSpaceDE w:val="0"/>
              <w:autoSpaceDN w:val="0"/>
              <w:adjustRightInd w:val="0"/>
              <w:spacing w:line="360" w:lineRule="auto"/>
              <w:ind w:firstLine="480" w:firstLineChars="200"/>
              <w:rPr>
                <w:rFonts w:hint="default" w:ascii="Times New Roman" w:hAnsi="Times New Roman" w:eastAsia="黑体" w:cs="Times New Roman"/>
                <w:b w:val="0"/>
                <w:bCs w:val="0"/>
                <w:color w:val="auto"/>
                <w:sz w:val="24"/>
                <w:szCs w:val="20"/>
                <w:highlight w:val="none"/>
                <w:lang w:val="en-US" w:eastAsia="zh-CN" w:bidi="en-US"/>
              </w:rPr>
            </w:pPr>
            <w:r>
              <w:rPr>
                <w:rFonts w:hint="default" w:ascii="Times New Roman" w:hAnsi="Times New Roman" w:eastAsia="黑体" w:cs="Times New Roman"/>
                <w:b w:val="0"/>
                <w:bCs w:val="0"/>
                <w:color w:val="auto"/>
                <w:sz w:val="24"/>
                <w:szCs w:val="20"/>
                <w:highlight w:val="none"/>
                <w:lang w:val="en-US" w:eastAsia="zh-CN" w:bidi="en-US"/>
              </w:rPr>
              <w:t>②主要工程量</w:t>
            </w:r>
          </w:p>
          <w:p w14:paraId="430ECE77">
            <w:pPr>
              <w:autoSpaceDE w:val="0"/>
              <w:autoSpaceDN w:val="0"/>
              <w:adjustRightInd w:val="0"/>
              <w:spacing w:line="360" w:lineRule="auto"/>
              <w:ind w:firstLine="480" w:firstLineChars="200"/>
              <w:rPr>
                <w:rFonts w:hint="default" w:ascii="Times New Roman" w:hAnsi="Times New Roman" w:cs="Times New Roman" w:eastAsiaTheme="minorEastAsia"/>
                <w:color w:val="auto"/>
                <w:sz w:val="24"/>
                <w:szCs w:val="20"/>
                <w:highlight w:val="none"/>
                <w:lang w:val="en-US" w:eastAsia="zh-CN" w:bidi="en-US"/>
              </w:rPr>
            </w:pPr>
            <w:r>
              <w:rPr>
                <w:rFonts w:hint="default" w:ascii="Times New Roman" w:hAnsi="Times New Roman" w:cs="Times New Roman" w:eastAsiaTheme="minorEastAsia"/>
                <w:color w:val="auto"/>
                <w:sz w:val="24"/>
                <w:szCs w:val="20"/>
                <w:highlight w:val="none"/>
                <w:lang w:val="en-US" w:eastAsia="zh-CN" w:bidi="en-US"/>
              </w:rPr>
              <w:t>本项目主要工程量见表2-2。</w:t>
            </w:r>
          </w:p>
          <w:p w14:paraId="1D7665EB">
            <w:pPr>
              <w:pStyle w:val="11"/>
              <w:adjustRightInd w:val="0"/>
              <w:spacing w:before="0" w:after="0" w:line="240" w:lineRule="auto"/>
              <w:ind w:right="0"/>
              <w:jc w:val="center"/>
              <w:rPr>
                <w:rFonts w:hint="default" w:ascii="Times New Roman" w:hAnsi="Times New Roman" w:eastAsia="黑体" w:cs="Times New Roman"/>
                <w:color w:val="auto"/>
                <w:kern w:val="2"/>
                <w:sz w:val="24"/>
                <w:szCs w:val="24"/>
                <w:highlight w:val="none"/>
                <w:lang w:val="en-US" w:eastAsia="zh-CN" w:bidi="ar-SA"/>
              </w:rPr>
            </w:pPr>
            <w:r>
              <w:rPr>
                <w:rFonts w:hint="default" w:ascii="Times New Roman" w:hAnsi="Times New Roman" w:eastAsia="黑体" w:cs="Times New Roman"/>
                <w:color w:val="auto"/>
                <w:kern w:val="2"/>
                <w:sz w:val="24"/>
                <w:szCs w:val="24"/>
                <w:highlight w:val="none"/>
                <w:lang w:val="en-US" w:eastAsia="zh-CN" w:bidi="ar-SA"/>
              </w:rPr>
              <w:t>表2-2  本项目治理工程量清单</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9"/>
              <w:gridCol w:w="5355"/>
              <w:gridCol w:w="794"/>
              <w:gridCol w:w="1441"/>
            </w:tblGrid>
            <w:tr w14:paraId="68826E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49" w:type="pct"/>
                  <w:tcBorders>
                    <w:tl2br w:val="nil"/>
                    <w:tr2bl w:val="nil"/>
                  </w:tcBorders>
                  <w:vAlign w:val="top"/>
                </w:tcPr>
                <w:p w14:paraId="21AAAEC1">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序号</w:t>
                  </w:r>
                </w:p>
              </w:tc>
              <w:tc>
                <w:tcPr>
                  <w:tcW w:w="3210" w:type="pct"/>
                  <w:tcBorders>
                    <w:tl2br w:val="nil"/>
                    <w:tr2bl w:val="nil"/>
                  </w:tcBorders>
                  <w:vAlign w:val="top"/>
                </w:tcPr>
                <w:p w14:paraId="7934FC75">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工程名称</w:t>
                  </w:r>
                </w:p>
              </w:tc>
              <w:tc>
                <w:tcPr>
                  <w:tcW w:w="476" w:type="pct"/>
                  <w:tcBorders>
                    <w:tl2br w:val="nil"/>
                    <w:tr2bl w:val="nil"/>
                  </w:tcBorders>
                  <w:vAlign w:val="top"/>
                </w:tcPr>
                <w:p w14:paraId="2C3B2203">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单位</w:t>
                  </w:r>
                </w:p>
              </w:tc>
              <w:tc>
                <w:tcPr>
                  <w:tcW w:w="864" w:type="pct"/>
                  <w:tcBorders>
                    <w:tl2br w:val="nil"/>
                    <w:tr2bl w:val="nil"/>
                  </w:tcBorders>
                  <w:vAlign w:val="top"/>
                </w:tcPr>
                <w:p w14:paraId="7F59B295">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数量</w:t>
                  </w:r>
                </w:p>
              </w:tc>
            </w:tr>
            <w:tr w14:paraId="56EDB8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9" w:type="pct"/>
                  <w:tcBorders>
                    <w:tl2br w:val="nil"/>
                    <w:tr2bl w:val="nil"/>
                  </w:tcBorders>
                  <w:vAlign w:val="center"/>
                </w:tcPr>
                <w:p w14:paraId="2B0AFF13">
                  <w:pPr>
                    <w:pStyle w:val="15"/>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一</w:t>
                  </w:r>
                </w:p>
              </w:tc>
              <w:tc>
                <w:tcPr>
                  <w:tcW w:w="3210" w:type="pct"/>
                  <w:tcBorders>
                    <w:tl2br w:val="nil"/>
                    <w:tr2bl w:val="nil"/>
                  </w:tcBorders>
                  <w:vAlign w:val="center"/>
                </w:tcPr>
                <w:p w14:paraId="2CD39CAB">
                  <w:pPr>
                    <w:pStyle w:val="15"/>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高崖沟沟道清淤疏浚工程</w:t>
                  </w:r>
                </w:p>
              </w:tc>
              <w:tc>
                <w:tcPr>
                  <w:tcW w:w="476" w:type="pct"/>
                  <w:tcBorders>
                    <w:tl2br w:val="nil"/>
                    <w:tr2bl w:val="nil"/>
                  </w:tcBorders>
                  <w:shd w:val="clear" w:color="auto" w:fill="auto"/>
                  <w:vAlign w:val="center"/>
                </w:tcPr>
                <w:p w14:paraId="7B3D6378">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vertAlign w:val="baseline"/>
                      <w:lang w:val="en-US" w:eastAsia="zh-CN" w:bidi="ar-SA"/>
                    </w:rPr>
                  </w:pPr>
                </w:p>
              </w:tc>
              <w:tc>
                <w:tcPr>
                  <w:tcW w:w="864" w:type="pct"/>
                  <w:tcBorders>
                    <w:tl2br w:val="nil"/>
                    <w:tr2bl w:val="nil"/>
                  </w:tcBorders>
                  <w:shd w:val="clear" w:color="auto" w:fill="auto"/>
                  <w:vAlign w:val="center"/>
                </w:tcPr>
                <w:p w14:paraId="6DF924C6">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vertAlign w:val="baseline"/>
                      <w:lang w:val="en-US" w:eastAsia="zh-CN" w:bidi="ar-SA"/>
                    </w:rPr>
                  </w:pPr>
                </w:p>
              </w:tc>
            </w:tr>
            <w:tr w14:paraId="778519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49" w:type="pct"/>
                  <w:tcBorders>
                    <w:tl2br w:val="nil"/>
                    <w:tr2bl w:val="nil"/>
                  </w:tcBorders>
                  <w:vAlign w:val="center"/>
                </w:tcPr>
                <w:p w14:paraId="4560C7AA">
                  <w:pPr>
                    <w:pStyle w:val="15"/>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1</w:t>
                  </w:r>
                </w:p>
              </w:tc>
              <w:tc>
                <w:tcPr>
                  <w:tcW w:w="3210" w:type="pct"/>
                  <w:tcBorders>
                    <w:tl2br w:val="nil"/>
                    <w:tr2bl w:val="nil"/>
                  </w:tcBorders>
                  <w:vAlign w:val="center"/>
                </w:tcPr>
                <w:p w14:paraId="43ED9F7A">
                  <w:pPr>
                    <w:pStyle w:val="15"/>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上游GY0+000</w:t>
                  </w:r>
                  <w:r>
                    <w:rPr>
                      <w:rFonts w:hint="eastAsia" w:cs="Times New Roman"/>
                      <w:b/>
                      <w:bCs/>
                      <w:color w:val="auto"/>
                      <w:sz w:val="21"/>
                      <w:szCs w:val="21"/>
                      <w:highlight w:val="none"/>
                      <w:vertAlign w:val="baseline"/>
                      <w:lang w:val="en-US" w:eastAsia="zh-CN"/>
                    </w:rPr>
                    <w:t>~G</w:t>
                  </w:r>
                  <w:r>
                    <w:rPr>
                      <w:rFonts w:hint="default" w:ascii="Times New Roman" w:hAnsi="Times New Roman" w:cs="Times New Roman"/>
                      <w:b/>
                      <w:bCs/>
                      <w:color w:val="auto"/>
                      <w:sz w:val="21"/>
                      <w:szCs w:val="21"/>
                      <w:highlight w:val="none"/>
                      <w:vertAlign w:val="baseline"/>
                      <w:lang w:val="en-US" w:eastAsia="zh-CN"/>
                    </w:rPr>
                    <w:t>Y1+130、GY4+800</w:t>
                  </w:r>
                  <w:r>
                    <w:rPr>
                      <w:rFonts w:hint="eastAsia" w:cs="Times New Roman"/>
                      <w:b/>
                      <w:bCs/>
                      <w:color w:val="auto"/>
                      <w:sz w:val="21"/>
                      <w:szCs w:val="21"/>
                      <w:highlight w:val="none"/>
                      <w:vertAlign w:val="baseline"/>
                      <w:lang w:val="en-US" w:eastAsia="zh-CN"/>
                    </w:rPr>
                    <w:t>~G</w:t>
                  </w:r>
                  <w:r>
                    <w:rPr>
                      <w:rFonts w:hint="default" w:ascii="Times New Roman" w:hAnsi="Times New Roman" w:cs="Times New Roman"/>
                      <w:b/>
                      <w:bCs/>
                      <w:color w:val="auto"/>
                      <w:sz w:val="21"/>
                      <w:szCs w:val="21"/>
                      <w:highlight w:val="none"/>
                      <w:vertAlign w:val="baseline"/>
                      <w:lang w:val="en-US" w:eastAsia="zh-CN"/>
                    </w:rPr>
                    <w:t>Y5+800</w:t>
                  </w:r>
                </w:p>
              </w:tc>
              <w:tc>
                <w:tcPr>
                  <w:tcW w:w="476" w:type="pct"/>
                  <w:tcBorders>
                    <w:tl2br w:val="nil"/>
                    <w:tr2bl w:val="nil"/>
                  </w:tcBorders>
                  <w:shd w:val="clear" w:color="auto" w:fill="auto"/>
                  <w:vAlign w:val="center"/>
                </w:tcPr>
                <w:p w14:paraId="31501D43">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sz w:val="21"/>
                      <w:szCs w:val="21"/>
                      <w:highlight w:val="none"/>
                      <w:vertAlign w:val="baseline"/>
                      <w:lang w:val="en-US" w:eastAsia="zh-CN"/>
                    </w:rPr>
                    <w:t>km</w:t>
                  </w:r>
                </w:p>
              </w:tc>
              <w:tc>
                <w:tcPr>
                  <w:tcW w:w="864" w:type="pct"/>
                  <w:tcBorders>
                    <w:tl2br w:val="nil"/>
                    <w:tr2bl w:val="nil"/>
                  </w:tcBorders>
                  <w:shd w:val="clear" w:color="auto" w:fill="auto"/>
                  <w:vAlign w:val="center"/>
                </w:tcPr>
                <w:p w14:paraId="4EC7BF49">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sz w:val="21"/>
                      <w:szCs w:val="21"/>
                      <w:highlight w:val="none"/>
                      <w:vertAlign w:val="baseline"/>
                      <w:lang w:val="en-US" w:eastAsia="zh-CN"/>
                    </w:rPr>
                    <w:t>2.13</w:t>
                  </w:r>
                </w:p>
              </w:tc>
            </w:tr>
            <w:tr w14:paraId="0E8ECA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49" w:type="pct"/>
                  <w:tcBorders>
                    <w:tl2br w:val="nil"/>
                    <w:tr2bl w:val="nil"/>
                  </w:tcBorders>
                  <w:vAlign w:val="center"/>
                </w:tcPr>
                <w:p w14:paraId="3A81E405">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p>
              </w:tc>
              <w:tc>
                <w:tcPr>
                  <w:tcW w:w="3210" w:type="pct"/>
                  <w:tcBorders>
                    <w:tl2br w:val="nil"/>
                    <w:tr2bl w:val="nil"/>
                  </w:tcBorders>
                  <w:vAlign w:val="center"/>
                </w:tcPr>
                <w:p w14:paraId="2BCD9AB3">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淤泥开挖</w:t>
                  </w:r>
                </w:p>
              </w:tc>
              <w:tc>
                <w:tcPr>
                  <w:tcW w:w="476" w:type="pct"/>
                  <w:tcBorders>
                    <w:tl2br w:val="nil"/>
                    <w:tr2bl w:val="nil"/>
                  </w:tcBorders>
                  <w:shd w:val="clear" w:color="auto" w:fill="auto"/>
                  <w:vAlign w:val="center"/>
                </w:tcPr>
                <w:p w14:paraId="0784E6A3">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sz w:val="21"/>
                      <w:szCs w:val="21"/>
                      <w:highlight w:val="none"/>
                      <w:vertAlign w:val="baseline"/>
                      <w:lang w:val="en-US" w:eastAsia="zh-CN"/>
                    </w:rPr>
                    <w:t>m³</w:t>
                  </w:r>
                </w:p>
              </w:tc>
              <w:tc>
                <w:tcPr>
                  <w:tcW w:w="864" w:type="pct"/>
                  <w:tcBorders>
                    <w:tl2br w:val="nil"/>
                    <w:tr2bl w:val="nil"/>
                  </w:tcBorders>
                  <w:shd w:val="clear" w:color="auto" w:fill="auto"/>
                  <w:vAlign w:val="center"/>
                </w:tcPr>
                <w:p w14:paraId="1C448EE3">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8520</w:t>
                  </w:r>
                </w:p>
              </w:tc>
            </w:tr>
            <w:tr w14:paraId="5D1360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49" w:type="pct"/>
                  <w:tcBorders>
                    <w:tl2br w:val="nil"/>
                    <w:tr2bl w:val="nil"/>
                  </w:tcBorders>
                  <w:vAlign w:val="center"/>
                </w:tcPr>
                <w:p w14:paraId="3DBB70C4">
                  <w:pPr>
                    <w:pStyle w:val="15"/>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2</w:t>
                  </w:r>
                </w:p>
              </w:tc>
              <w:tc>
                <w:tcPr>
                  <w:tcW w:w="3210" w:type="pct"/>
                  <w:tcBorders>
                    <w:tl2br w:val="nil"/>
                    <w:tr2bl w:val="nil"/>
                  </w:tcBorders>
                  <w:vAlign w:val="center"/>
                </w:tcPr>
                <w:p w14:paraId="4ABDA7BE">
                  <w:pPr>
                    <w:pStyle w:val="15"/>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下游GY45+010~GY48+880</w:t>
                  </w:r>
                </w:p>
              </w:tc>
              <w:tc>
                <w:tcPr>
                  <w:tcW w:w="476" w:type="pct"/>
                  <w:tcBorders>
                    <w:tl2br w:val="nil"/>
                    <w:tr2bl w:val="nil"/>
                  </w:tcBorders>
                  <w:shd w:val="clear" w:color="auto" w:fill="auto"/>
                  <w:vAlign w:val="center"/>
                </w:tcPr>
                <w:p w14:paraId="472B6654">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sz w:val="21"/>
                      <w:szCs w:val="21"/>
                      <w:highlight w:val="none"/>
                      <w:vertAlign w:val="baseline"/>
                      <w:lang w:val="en-US" w:eastAsia="zh-CN"/>
                    </w:rPr>
                    <w:t>km</w:t>
                  </w:r>
                </w:p>
              </w:tc>
              <w:tc>
                <w:tcPr>
                  <w:tcW w:w="864" w:type="pct"/>
                  <w:tcBorders>
                    <w:tl2br w:val="nil"/>
                    <w:tr2bl w:val="nil"/>
                  </w:tcBorders>
                  <w:shd w:val="clear" w:color="auto" w:fill="auto"/>
                  <w:vAlign w:val="center"/>
                </w:tcPr>
                <w:p w14:paraId="2D8D9852">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sz w:val="21"/>
                      <w:szCs w:val="21"/>
                      <w:highlight w:val="none"/>
                      <w:vertAlign w:val="baseline"/>
                      <w:lang w:val="en-US" w:eastAsia="zh-CN"/>
                    </w:rPr>
                    <w:t>3.87</w:t>
                  </w:r>
                </w:p>
              </w:tc>
            </w:tr>
            <w:tr w14:paraId="7A2A8E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49" w:type="pct"/>
                  <w:tcBorders>
                    <w:tl2br w:val="nil"/>
                    <w:tr2bl w:val="nil"/>
                  </w:tcBorders>
                  <w:vAlign w:val="center"/>
                </w:tcPr>
                <w:p w14:paraId="3CD3A31F">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p>
              </w:tc>
              <w:tc>
                <w:tcPr>
                  <w:tcW w:w="3210" w:type="pct"/>
                  <w:tcBorders>
                    <w:tl2br w:val="nil"/>
                    <w:tr2bl w:val="nil"/>
                  </w:tcBorders>
                  <w:vAlign w:val="center"/>
                </w:tcPr>
                <w:p w14:paraId="4D0C7436">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淤泥开挖</w:t>
                  </w:r>
                </w:p>
              </w:tc>
              <w:tc>
                <w:tcPr>
                  <w:tcW w:w="476" w:type="pct"/>
                  <w:tcBorders>
                    <w:tl2br w:val="nil"/>
                    <w:tr2bl w:val="nil"/>
                  </w:tcBorders>
                  <w:shd w:val="clear" w:color="auto" w:fill="auto"/>
                  <w:vAlign w:val="center"/>
                </w:tcPr>
                <w:p w14:paraId="180C8969">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sz w:val="21"/>
                      <w:szCs w:val="21"/>
                      <w:highlight w:val="none"/>
                      <w:vertAlign w:val="baseline"/>
                      <w:lang w:val="en-US" w:eastAsia="zh-CN"/>
                    </w:rPr>
                    <w:t>m³</w:t>
                  </w:r>
                </w:p>
              </w:tc>
              <w:tc>
                <w:tcPr>
                  <w:tcW w:w="864" w:type="pct"/>
                  <w:tcBorders>
                    <w:tl2br w:val="nil"/>
                    <w:tr2bl w:val="nil"/>
                  </w:tcBorders>
                  <w:shd w:val="clear" w:color="auto" w:fill="auto"/>
                  <w:vAlign w:val="center"/>
                </w:tcPr>
                <w:p w14:paraId="35FDC75D">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15480</w:t>
                  </w:r>
                </w:p>
              </w:tc>
            </w:tr>
            <w:tr w14:paraId="4FAD9E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9" w:type="pct"/>
                  <w:tcBorders>
                    <w:tl2br w:val="nil"/>
                    <w:tr2bl w:val="nil"/>
                  </w:tcBorders>
                  <w:vAlign w:val="center"/>
                </w:tcPr>
                <w:p w14:paraId="6D97501C">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二</w:t>
                  </w:r>
                </w:p>
              </w:tc>
              <w:tc>
                <w:tcPr>
                  <w:tcW w:w="3210" w:type="pct"/>
                  <w:tcBorders>
                    <w:tl2br w:val="nil"/>
                    <w:tr2bl w:val="nil"/>
                  </w:tcBorders>
                  <w:vAlign w:val="center"/>
                </w:tcPr>
                <w:p w14:paraId="0066AD71">
                  <w:pPr>
                    <w:pStyle w:val="15"/>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沟道砌护工程</w:t>
                  </w:r>
                </w:p>
              </w:tc>
              <w:tc>
                <w:tcPr>
                  <w:tcW w:w="476" w:type="pct"/>
                  <w:tcBorders>
                    <w:tl2br w:val="nil"/>
                    <w:tr2bl w:val="nil"/>
                  </w:tcBorders>
                  <w:vAlign w:val="center"/>
                </w:tcPr>
                <w:p w14:paraId="6F7EFD92">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vertAlign w:val="baseline"/>
                      <w:lang w:val="en-US" w:eastAsia="zh-CN"/>
                    </w:rPr>
                  </w:pPr>
                </w:p>
              </w:tc>
              <w:tc>
                <w:tcPr>
                  <w:tcW w:w="864" w:type="pct"/>
                  <w:tcBorders>
                    <w:tl2br w:val="nil"/>
                    <w:tr2bl w:val="nil"/>
                  </w:tcBorders>
                  <w:vAlign w:val="center"/>
                </w:tcPr>
                <w:p w14:paraId="3FD61A1D">
                  <w:pPr>
                    <w:pStyle w:val="15"/>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vertAlign w:val="baseline"/>
                      <w:lang w:val="en-US" w:eastAsia="zh-CN"/>
                    </w:rPr>
                  </w:pPr>
                </w:p>
              </w:tc>
            </w:tr>
            <w:tr w14:paraId="305A12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9" w:type="pct"/>
                  <w:tcBorders>
                    <w:tl2br w:val="nil"/>
                    <w:tr2bl w:val="nil"/>
                  </w:tcBorders>
                  <w:vAlign w:val="center"/>
                </w:tcPr>
                <w:p w14:paraId="706706F2">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1</w:t>
                  </w:r>
                </w:p>
              </w:tc>
              <w:tc>
                <w:tcPr>
                  <w:tcW w:w="3210" w:type="pct"/>
                  <w:tcBorders>
                    <w:tl2br w:val="nil"/>
                    <w:tr2bl w:val="nil"/>
                  </w:tcBorders>
                  <w:vAlign w:val="center"/>
                </w:tcPr>
                <w:p w14:paraId="08E8F0ED">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上游段（GY2+000~GY3+000、GY3+200~GY3+600、GY4+400~GY5+340、GY6+840~GY8+240、GY8+500~GY8+900、GY10+400~GY10+800、GY11+200~GY11+600）</w:t>
                  </w:r>
                </w:p>
              </w:tc>
              <w:tc>
                <w:tcPr>
                  <w:tcW w:w="476" w:type="pct"/>
                  <w:tcBorders>
                    <w:tl2br w:val="nil"/>
                    <w:tr2bl w:val="nil"/>
                  </w:tcBorders>
                  <w:vAlign w:val="center"/>
                </w:tcPr>
                <w:p w14:paraId="4FC61AE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km</w:t>
                  </w:r>
                </w:p>
              </w:tc>
              <w:tc>
                <w:tcPr>
                  <w:tcW w:w="864" w:type="pct"/>
                  <w:tcBorders>
                    <w:tl2br w:val="nil"/>
                    <w:tr2bl w:val="nil"/>
                  </w:tcBorders>
                  <w:vAlign w:val="center"/>
                </w:tcPr>
                <w:p w14:paraId="4B25102E">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5</w:t>
                  </w:r>
                  <w:r>
                    <w:rPr>
                      <w:rFonts w:hint="default" w:ascii="Times New Roman" w:hAnsi="Times New Roman" w:cs="Times New Roman"/>
                      <w:b w:val="0"/>
                      <w:bCs w:val="0"/>
                      <w:color w:val="auto"/>
                      <w:sz w:val="21"/>
                      <w:szCs w:val="21"/>
                      <w:highlight w:val="none"/>
                      <w:vertAlign w:val="baseline"/>
                      <w:lang w:val="en-US" w:eastAsia="zh-CN"/>
                    </w:rPr>
                    <w:t>.52（左岸3.09+右岸2.43）</w:t>
                  </w:r>
                </w:p>
              </w:tc>
            </w:tr>
            <w:tr w14:paraId="21FAA9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9" w:type="pct"/>
                  <w:tcBorders>
                    <w:tl2br w:val="nil"/>
                    <w:tr2bl w:val="nil"/>
                  </w:tcBorders>
                  <w:vAlign w:val="center"/>
                </w:tcPr>
                <w:p w14:paraId="50AC3B6E">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1.1</w:t>
                  </w:r>
                </w:p>
              </w:tc>
              <w:tc>
                <w:tcPr>
                  <w:tcW w:w="3210" w:type="pct"/>
                  <w:tcBorders>
                    <w:tl2br w:val="nil"/>
                    <w:tr2bl w:val="nil"/>
                  </w:tcBorders>
                  <w:vAlign w:val="center"/>
                </w:tcPr>
                <w:p w14:paraId="29641BD2">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土方开挖</w:t>
                  </w:r>
                </w:p>
              </w:tc>
              <w:tc>
                <w:tcPr>
                  <w:tcW w:w="476" w:type="pct"/>
                  <w:tcBorders>
                    <w:tl2br w:val="nil"/>
                    <w:tr2bl w:val="nil"/>
                  </w:tcBorders>
                  <w:vAlign w:val="center"/>
                </w:tcPr>
                <w:p w14:paraId="05D6A3B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m³</w:t>
                  </w:r>
                </w:p>
              </w:tc>
              <w:tc>
                <w:tcPr>
                  <w:tcW w:w="864" w:type="pct"/>
                  <w:tcBorders>
                    <w:tl2br w:val="nil"/>
                    <w:tr2bl w:val="nil"/>
                  </w:tcBorders>
                  <w:vAlign w:val="center"/>
                </w:tcPr>
                <w:p w14:paraId="2A281ED5">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60858</w:t>
                  </w:r>
                </w:p>
              </w:tc>
            </w:tr>
            <w:tr w14:paraId="2FAE67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9" w:type="pct"/>
                  <w:tcBorders>
                    <w:tl2br w:val="nil"/>
                    <w:tr2bl w:val="nil"/>
                  </w:tcBorders>
                  <w:vAlign w:val="center"/>
                </w:tcPr>
                <w:p w14:paraId="75B6B12A">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1.2</w:t>
                  </w:r>
                </w:p>
              </w:tc>
              <w:tc>
                <w:tcPr>
                  <w:tcW w:w="3210" w:type="pct"/>
                  <w:tcBorders>
                    <w:tl2br w:val="nil"/>
                    <w:tr2bl w:val="nil"/>
                  </w:tcBorders>
                  <w:shd w:val="clear" w:color="auto" w:fill="auto"/>
                  <w:vAlign w:val="center"/>
                </w:tcPr>
                <w:p w14:paraId="0640967C">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土方回填</w:t>
                  </w:r>
                </w:p>
              </w:tc>
              <w:tc>
                <w:tcPr>
                  <w:tcW w:w="476" w:type="pct"/>
                  <w:tcBorders>
                    <w:tl2br w:val="nil"/>
                    <w:tr2bl w:val="nil"/>
                  </w:tcBorders>
                  <w:shd w:val="clear" w:color="auto" w:fill="auto"/>
                  <w:vAlign w:val="center"/>
                </w:tcPr>
                <w:p w14:paraId="58197F3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m³</w:t>
                  </w:r>
                </w:p>
              </w:tc>
              <w:tc>
                <w:tcPr>
                  <w:tcW w:w="864" w:type="pct"/>
                  <w:tcBorders>
                    <w:tl2br w:val="nil"/>
                    <w:tr2bl w:val="nil"/>
                  </w:tcBorders>
                  <w:shd w:val="clear" w:color="auto" w:fill="auto"/>
                  <w:vAlign w:val="center"/>
                </w:tcPr>
                <w:p w14:paraId="0300B537">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4</w:t>
                  </w:r>
                  <w:r>
                    <w:rPr>
                      <w:rFonts w:hint="default" w:ascii="Times New Roman" w:hAnsi="Times New Roman" w:eastAsia="宋体" w:cs="Times New Roman"/>
                      <w:color w:val="auto"/>
                      <w:sz w:val="21"/>
                      <w:szCs w:val="21"/>
                      <w:highlight w:val="none"/>
                      <w:vertAlign w:val="baseline"/>
                      <w:lang w:val="en-US" w:eastAsia="zh-CN"/>
                    </w:rPr>
                    <w:t>6229</w:t>
                  </w:r>
                </w:p>
              </w:tc>
            </w:tr>
            <w:tr w14:paraId="618C48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9" w:type="pct"/>
                  <w:tcBorders>
                    <w:tl2br w:val="nil"/>
                    <w:tr2bl w:val="nil"/>
                  </w:tcBorders>
                  <w:vAlign w:val="center"/>
                </w:tcPr>
                <w:p w14:paraId="35C1555D">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1.3</w:t>
                  </w:r>
                </w:p>
              </w:tc>
              <w:tc>
                <w:tcPr>
                  <w:tcW w:w="3210" w:type="pct"/>
                  <w:tcBorders>
                    <w:tl2br w:val="nil"/>
                    <w:tr2bl w:val="nil"/>
                  </w:tcBorders>
                  <w:shd w:val="clear" w:color="auto" w:fill="auto"/>
                  <w:vAlign w:val="center"/>
                </w:tcPr>
                <w:p w14:paraId="2B5C2009">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浆砌石护坡</w:t>
                  </w:r>
                </w:p>
              </w:tc>
              <w:tc>
                <w:tcPr>
                  <w:tcW w:w="476" w:type="pct"/>
                  <w:tcBorders>
                    <w:tl2br w:val="nil"/>
                    <w:tr2bl w:val="nil"/>
                  </w:tcBorders>
                  <w:shd w:val="clear" w:color="auto" w:fill="auto"/>
                  <w:vAlign w:val="center"/>
                </w:tcPr>
                <w:p w14:paraId="64ECD10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m³</w:t>
                  </w:r>
                </w:p>
              </w:tc>
              <w:tc>
                <w:tcPr>
                  <w:tcW w:w="864" w:type="pct"/>
                  <w:tcBorders>
                    <w:tl2br w:val="nil"/>
                    <w:tr2bl w:val="nil"/>
                  </w:tcBorders>
                  <w:shd w:val="clear" w:color="auto" w:fill="auto"/>
                  <w:vAlign w:val="center"/>
                </w:tcPr>
                <w:p w14:paraId="79E25575">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26082</w:t>
                  </w:r>
                </w:p>
              </w:tc>
            </w:tr>
            <w:tr w14:paraId="2964D7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9" w:type="pct"/>
                  <w:tcBorders>
                    <w:tl2br w:val="nil"/>
                    <w:tr2bl w:val="nil"/>
                  </w:tcBorders>
                  <w:vAlign w:val="center"/>
                </w:tcPr>
                <w:p w14:paraId="73FC37E5">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1.4</w:t>
                  </w:r>
                </w:p>
              </w:tc>
              <w:tc>
                <w:tcPr>
                  <w:tcW w:w="3210" w:type="pct"/>
                  <w:tcBorders>
                    <w:tl2br w:val="nil"/>
                    <w:tr2bl w:val="nil"/>
                  </w:tcBorders>
                  <w:shd w:val="clear" w:color="auto" w:fill="auto"/>
                  <w:vAlign w:val="center"/>
                </w:tcPr>
                <w:p w14:paraId="6BB6F6FF">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0.15m碎石垫层</w:t>
                  </w:r>
                </w:p>
              </w:tc>
              <w:tc>
                <w:tcPr>
                  <w:tcW w:w="476" w:type="pct"/>
                  <w:tcBorders>
                    <w:tl2br w:val="nil"/>
                    <w:tr2bl w:val="nil"/>
                  </w:tcBorders>
                  <w:shd w:val="clear" w:color="auto" w:fill="auto"/>
                  <w:vAlign w:val="center"/>
                </w:tcPr>
                <w:p w14:paraId="1D07C5E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m³</w:t>
                  </w:r>
                </w:p>
              </w:tc>
              <w:tc>
                <w:tcPr>
                  <w:tcW w:w="864" w:type="pct"/>
                  <w:tcBorders>
                    <w:tl2br w:val="nil"/>
                    <w:tr2bl w:val="nil"/>
                  </w:tcBorders>
                  <w:shd w:val="clear" w:color="auto" w:fill="auto"/>
                  <w:vAlign w:val="center"/>
                </w:tcPr>
                <w:p w14:paraId="72435D5F">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9274</w:t>
                  </w:r>
                </w:p>
              </w:tc>
            </w:tr>
            <w:tr w14:paraId="0EC2D7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9" w:type="pct"/>
                  <w:tcBorders>
                    <w:tl2br w:val="nil"/>
                    <w:tr2bl w:val="nil"/>
                  </w:tcBorders>
                  <w:vAlign w:val="center"/>
                </w:tcPr>
                <w:p w14:paraId="38467F0B">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1.5</w:t>
                  </w:r>
                </w:p>
              </w:tc>
              <w:tc>
                <w:tcPr>
                  <w:tcW w:w="3210" w:type="pct"/>
                  <w:tcBorders>
                    <w:tl2br w:val="nil"/>
                    <w:tr2bl w:val="nil"/>
                  </w:tcBorders>
                  <w:shd w:val="clear" w:color="auto" w:fill="auto"/>
                  <w:vAlign w:val="center"/>
                </w:tcPr>
                <w:p w14:paraId="730591DD">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现浇C20混凝土压顶</w:t>
                  </w:r>
                </w:p>
              </w:tc>
              <w:tc>
                <w:tcPr>
                  <w:tcW w:w="476" w:type="pct"/>
                  <w:tcBorders>
                    <w:tl2br w:val="nil"/>
                    <w:tr2bl w:val="nil"/>
                  </w:tcBorders>
                  <w:shd w:val="clear" w:color="auto" w:fill="auto"/>
                  <w:vAlign w:val="center"/>
                </w:tcPr>
                <w:p w14:paraId="0DDCAC3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m³</w:t>
                  </w:r>
                </w:p>
              </w:tc>
              <w:tc>
                <w:tcPr>
                  <w:tcW w:w="864" w:type="pct"/>
                  <w:tcBorders>
                    <w:tl2br w:val="nil"/>
                    <w:tr2bl w:val="nil"/>
                  </w:tcBorders>
                  <w:shd w:val="clear" w:color="auto" w:fill="auto"/>
                  <w:vAlign w:val="center"/>
                </w:tcPr>
                <w:p w14:paraId="182B51CB">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2087</w:t>
                  </w:r>
                </w:p>
              </w:tc>
            </w:tr>
            <w:tr w14:paraId="47A7B3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9" w:type="pct"/>
                  <w:tcBorders>
                    <w:tl2br w:val="nil"/>
                    <w:tr2bl w:val="nil"/>
                  </w:tcBorders>
                  <w:vAlign w:val="center"/>
                </w:tcPr>
                <w:p w14:paraId="2AE0459A">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1.6</w:t>
                  </w:r>
                </w:p>
              </w:tc>
              <w:tc>
                <w:tcPr>
                  <w:tcW w:w="3210" w:type="pct"/>
                  <w:tcBorders>
                    <w:tl2br w:val="nil"/>
                    <w:tr2bl w:val="nil"/>
                  </w:tcBorders>
                  <w:shd w:val="clear" w:color="auto" w:fill="auto"/>
                  <w:vAlign w:val="center"/>
                </w:tcPr>
                <w:p w14:paraId="405BC6EE">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20"/>
                      <w:highlight w:val="no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碎石土回填</w:t>
                  </w:r>
                </w:p>
              </w:tc>
              <w:tc>
                <w:tcPr>
                  <w:tcW w:w="476" w:type="pct"/>
                  <w:tcBorders>
                    <w:tl2br w:val="nil"/>
                    <w:tr2bl w:val="nil"/>
                  </w:tcBorders>
                  <w:shd w:val="clear" w:color="auto" w:fill="auto"/>
                  <w:vAlign w:val="center"/>
                </w:tcPr>
                <w:p w14:paraId="4EEB488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m³</w:t>
                  </w:r>
                </w:p>
              </w:tc>
              <w:tc>
                <w:tcPr>
                  <w:tcW w:w="864" w:type="pct"/>
                  <w:tcBorders>
                    <w:tl2br w:val="nil"/>
                    <w:tr2bl w:val="nil"/>
                  </w:tcBorders>
                  <w:shd w:val="clear" w:color="auto" w:fill="auto"/>
                  <w:vAlign w:val="center"/>
                </w:tcPr>
                <w:p w14:paraId="5075B32A">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4637</w:t>
                  </w:r>
                </w:p>
              </w:tc>
            </w:tr>
            <w:tr w14:paraId="222BBA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9" w:type="pct"/>
                  <w:tcBorders>
                    <w:tl2br w:val="nil"/>
                    <w:tr2bl w:val="nil"/>
                  </w:tcBorders>
                  <w:vAlign w:val="center"/>
                </w:tcPr>
                <w:p w14:paraId="54BA744F">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2</w:t>
                  </w:r>
                </w:p>
              </w:tc>
              <w:tc>
                <w:tcPr>
                  <w:tcW w:w="3210" w:type="pct"/>
                  <w:tcBorders>
                    <w:tl2br w:val="nil"/>
                    <w:tr2bl w:val="nil"/>
                  </w:tcBorders>
                  <w:vAlign w:val="center"/>
                </w:tcPr>
                <w:p w14:paraId="77EF7007">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下游段(GY45+000</w:t>
                  </w:r>
                  <w:r>
                    <w:rPr>
                      <w:rFonts w:hint="eastAsia" w:cs="Times New Roman"/>
                      <w:b/>
                      <w:bCs/>
                      <w:color w:val="auto"/>
                      <w:sz w:val="21"/>
                      <w:szCs w:val="21"/>
                      <w:highlight w:val="none"/>
                      <w:vertAlign w:val="baseline"/>
                      <w:lang w:val="en-US" w:eastAsia="zh-CN"/>
                    </w:rPr>
                    <w:t>~G</w:t>
                  </w:r>
                  <w:r>
                    <w:rPr>
                      <w:rFonts w:hint="default" w:ascii="Times New Roman" w:hAnsi="Times New Roman" w:eastAsia="宋体" w:cs="Times New Roman"/>
                      <w:b/>
                      <w:bCs/>
                      <w:color w:val="auto"/>
                      <w:sz w:val="21"/>
                      <w:szCs w:val="21"/>
                      <w:highlight w:val="none"/>
                      <w:vertAlign w:val="baseline"/>
                      <w:lang w:val="en-US" w:eastAsia="zh-CN"/>
                    </w:rPr>
                    <w:t>Y45+600</w:t>
                  </w:r>
                  <w:r>
                    <w:rPr>
                      <w:rFonts w:hint="default" w:ascii="Times New Roman" w:hAnsi="Times New Roman" w:cs="Times New Roman"/>
                      <w:b/>
                      <w:bCs/>
                      <w:color w:val="auto"/>
                      <w:sz w:val="21"/>
                      <w:szCs w:val="21"/>
                      <w:highlight w:val="none"/>
                      <w:vertAlign w:val="baseline"/>
                      <w:lang w:val="en-US" w:eastAsia="zh-CN"/>
                    </w:rPr>
                    <w:t>、</w:t>
                  </w:r>
                  <w:r>
                    <w:rPr>
                      <w:rFonts w:hint="default" w:ascii="Times New Roman" w:hAnsi="Times New Roman" w:eastAsia="宋体" w:cs="Times New Roman"/>
                      <w:b/>
                      <w:bCs/>
                      <w:color w:val="auto"/>
                      <w:sz w:val="21"/>
                      <w:szCs w:val="21"/>
                      <w:highlight w:val="none"/>
                      <w:vertAlign w:val="baseline"/>
                      <w:lang w:val="en-US" w:eastAsia="zh-CN"/>
                    </w:rPr>
                    <w:t>GY45+800</w:t>
                  </w:r>
                  <w:r>
                    <w:rPr>
                      <w:rFonts w:hint="eastAsia" w:cs="Times New Roman"/>
                      <w:b/>
                      <w:bCs/>
                      <w:color w:val="auto"/>
                      <w:sz w:val="21"/>
                      <w:szCs w:val="21"/>
                      <w:highlight w:val="none"/>
                      <w:vertAlign w:val="baseline"/>
                      <w:lang w:val="en-US" w:eastAsia="zh-CN"/>
                    </w:rPr>
                    <w:t>~G</w:t>
                  </w:r>
                  <w:r>
                    <w:rPr>
                      <w:rFonts w:hint="default" w:ascii="Times New Roman" w:hAnsi="Times New Roman" w:eastAsia="宋体" w:cs="Times New Roman"/>
                      <w:b/>
                      <w:bCs/>
                      <w:color w:val="auto"/>
                      <w:sz w:val="21"/>
                      <w:szCs w:val="21"/>
                      <w:highlight w:val="none"/>
                      <w:vertAlign w:val="baseline"/>
                      <w:lang w:val="en-US" w:eastAsia="zh-CN"/>
                    </w:rPr>
                    <w:t>Y46+000</w:t>
                  </w:r>
                  <w:r>
                    <w:rPr>
                      <w:rFonts w:hint="default" w:ascii="Times New Roman" w:hAnsi="Times New Roman" w:cs="Times New Roman"/>
                      <w:b/>
                      <w:bCs/>
                      <w:color w:val="auto"/>
                      <w:sz w:val="21"/>
                      <w:szCs w:val="21"/>
                      <w:highlight w:val="none"/>
                      <w:vertAlign w:val="baseline"/>
                      <w:lang w:val="en-US" w:eastAsia="zh-CN"/>
                    </w:rPr>
                    <w:t>、</w:t>
                  </w:r>
                  <w:r>
                    <w:rPr>
                      <w:rFonts w:hint="default" w:ascii="Times New Roman" w:hAnsi="Times New Roman" w:eastAsia="宋体" w:cs="Times New Roman"/>
                      <w:b/>
                      <w:bCs/>
                      <w:color w:val="auto"/>
                      <w:sz w:val="21"/>
                      <w:szCs w:val="21"/>
                      <w:highlight w:val="none"/>
                      <w:vertAlign w:val="baseline"/>
                      <w:lang w:val="en-US" w:eastAsia="zh-CN"/>
                    </w:rPr>
                    <w:t>GY46+200</w:t>
                  </w:r>
                  <w:r>
                    <w:rPr>
                      <w:rFonts w:hint="eastAsia" w:cs="Times New Roman"/>
                      <w:b/>
                      <w:bCs/>
                      <w:color w:val="auto"/>
                      <w:sz w:val="21"/>
                      <w:szCs w:val="21"/>
                      <w:highlight w:val="none"/>
                      <w:vertAlign w:val="baseline"/>
                      <w:lang w:val="en-US" w:eastAsia="zh-CN"/>
                    </w:rPr>
                    <w:t>~G</w:t>
                  </w:r>
                  <w:r>
                    <w:rPr>
                      <w:rFonts w:hint="default" w:ascii="Times New Roman" w:hAnsi="Times New Roman" w:eastAsia="宋体" w:cs="Times New Roman"/>
                      <w:b/>
                      <w:bCs/>
                      <w:color w:val="auto"/>
                      <w:sz w:val="21"/>
                      <w:szCs w:val="21"/>
                      <w:highlight w:val="none"/>
                      <w:vertAlign w:val="baseline"/>
                      <w:lang w:val="en-US" w:eastAsia="zh-CN"/>
                    </w:rPr>
                    <w:t>Y49+400</w:t>
                  </w:r>
                  <w:r>
                    <w:rPr>
                      <w:rFonts w:hint="default" w:ascii="Times New Roman" w:hAnsi="Times New Roman" w:cs="Times New Roman"/>
                      <w:b/>
                      <w:bCs/>
                      <w:color w:val="auto"/>
                      <w:sz w:val="21"/>
                      <w:szCs w:val="21"/>
                      <w:highlight w:val="none"/>
                      <w:vertAlign w:val="baseline"/>
                      <w:lang w:val="en-US" w:eastAsia="zh-CN"/>
                    </w:rPr>
                    <w:t>、</w:t>
                  </w:r>
                  <w:r>
                    <w:rPr>
                      <w:rFonts w:hint="default" w:ascii="Times New Roman" w:hAnsi="Times New Roman" w:eastAsia="宋体" w:cs="Times New Roman"/>
                      <w:b/>
                      <w:bCs/>
                      <w:color w:val="auto"/>
                      <w:sz w:val="21"/>
                      <w:szCs w:val="21"/>
                      <w:highlight w:val="none"/>
                      <w:vertAlign w:val="baseline"/>
                      <w:lang w:val="en-US" w:eastAsia="zh-CN"/>
                    </w:rPr>
                    <w:t>GY49+400</w:t>
                  </w:r>
                  <w:r>
                    <w:rPr>
                      <w:rFonts w:hint="eastAsia" w:cs="Times New Roman"/>
                      <w:b/>
                      <w:bCs/>
                      <w:color w:val="auto"/>
                      <w:sz w:val="21"/>
                      <w:szCs w:val="21"/>
                      <w:highlight w:val="none"/>
                      <w:vertAlign w:val="baseline"/>
                      <w:lang w:val="en-US" w:eastAsia="zh-CN"/>
                    </w:rPr>
                    <w:t>~G</w:t>
                  </w:r>
                  <w:r>
                    <w:rPr>
                      <w:rFonts w:hint="default" w:ascii="Times New Roman" w:hAnsi="Times New Roman" w:eastAsia="宋体" w:cs="Times New Roman"/>
                      <w:b/>
                      <w:bCs/>
                      <w:color w:val="auto"/>
                      <w:sz w:val="21"/>
                      <w:szCs w:val="21"/>
                      <w:highlight w:val="none"/>
                      <w:vertAlign w:val="baseline"/>
                      <w:lang w:val="en-US" w:eastAsia="zh-CN"/>
                    </w:rPr>
                    <w:t>Y54+200</w:t>
                  </w:r>
                  <w:r>
                    <w:rPr>
                      <w:rFonts w:hint="default" w:ascii="Times New Roman" w:hAnsi="Times New Roman" w:cs="Times New Roman"/>
                      <w:b/>
                      <w:bCs/>
                      <w:color w:val="auto"/>
                      <w:sz w:val="21"/>
                      <w:szCs w:val="21"/>
                      <w:highlight w:val="none"/>
                      <w:vertAlign w:val="baseline"/>
                      <w:lang w:val="en-US" w:eastAsia="zh-CN"/>
                    </w:rPr>
                    <w:t>、</w:t>
                  </w:r>
                  <w:r>
                    <w:rPr>
                      <w:rFonts w:hint="default" w:ascii="Times New Roman" w:hAnsi="Times New Roman" w:eastAsia="宋体" w:cs="Times New Roman"/>
                      <w:b/>
                      <w:bCs/>
                      <w:color w:val="auto"/>
                      <w:sz w:val="21"/>
                      <w:szCs w:val="21"/>
                      <w:highlight w:val="none"/>
                      <w:vertAlign w:val="baseline"/>
                      <w:lang w:val="en-US" w:eastAsia="zh-CN"/>
                    </w:rPr>
                    <w:t>GY54+500</w:t>
                  </w:r>
                  <w:r>
                    <w:rPr>
                      <w:rFonts w:hint="eastAsia" w:cs="Times New Roman"/>
                      <w:b/>
                      <w:bCs/>
                      <w:color w:val="auto"/>
                      <w:sz w:val="21"/>
                      <w:szCs w:val="21"/>
                      <w:highlight w:val="none"/>
                      <w:vertAlign w:val="baseline"/>
                      <w:lang w:val="en-US" w:eastAsia="zh-CN"/>
                    </w:rPr>
                    <w:t>~G</w:t>
                  </w:r>
                  <w:r>
                    <w:rPr>
                      <w:rFonts w:hint="default" w:ascii="Times New Roman" w:hAnsi="Times New Roman" w:eastAsia="宋体" w:cs="Times New Roman"/>
                      <w:b/>
                      <w:bCs/>
                      <w:color w:val="auto"/>
                      <w:sz w:val="21"/>
                      <w:szCs w:val="21"/>
                      <w:highlight w:val="none"/>
                      <w:vertAlign w:val="baseline"/>
                      <w:lang w:val="en-US" w:eastAsia="zh-CN"/>
                    </w:rPr>
                    <w:t>Y55+200</w:t>
                  </w:r>
                  <w:r>
                    <w:rPr>
                      <w:rFonts w:hint="default" w:ascii="Times New Roman" w:hAnsi="Times New Roman" w:cs="Times New Roman"/>
                      <w:b/>
                      <w:bCs/>
                      <w:color w:val="auto"/>
                      <w:sz w:val="21"/>
                      <w:szCs w:val="21"/>
                      <w:highlight w:val="none"/>
                      <w:vertAlign w:val="baseline"/>
                      <w:lang w:val="en-US" w:eastAsia="zh-CN"/>
                    </w:rPr>
                    <w:t>、</w:t>
                  </w:r>
                  <w:r>
                    <w:rPr>
                      <w:rFonts w:hint="default" w:ascii="Times New Roman" w:hAnsi="Times New Roman" w:eastAsia="宋体" w:cs="Times New Roman"/>
                      <w:b/>
                      <w:bCs/>
                      <w:color w:val="auto"/>
                      <w:sz w:val="21"/>
                      <w:szCs w:val="21"/>
                      <w:highlight w:val="none"/>
                      <w:vertAlign w:val="baseline"/>
                      <w:lang w:val="en-US" w:eastAsia="zh-CN"/>
                    </w:rPr>
                    <w:t>GY55+600</w:t>
                  </w:r>
                  <w:r>
                    <w:rPr>
                      <w:rFonts w:hint="eastAsia" w:cs="Times New Roman"/>
                      <w:b/>
                      <w:bCs/>
                      <w:color w:val="auto"/>
                      <w:sz w:val="21"/>
                      <w:szCs w:val="21"/>
                      <w:highlight w:val="none"/>
                      <w:vertAlign w:val="baseline"/>
                      <w:lang w:val="en-US" w:eastAsia="zh-CN"/>
                    </w:rPr>
                    <w:t>~G</w:t>
                  </w:r>
                  <w:r>
                    <w:rPr>
                      <w:rFonts w:hint="default" w:ascii="Times New Roman" w:hAnsi="Times New Roman" w:eastAsia="宋体" w:cs="Times New Roman"/>
                      <w:b/>
                      <w:bCs/>
                      <w:color w:val="auto"/>
                      <w:sz w:val="21"/>
                      <w:szCs w:val="21"/>
                      <w:highlight w:val="none"/>
                      <w:vertAlign w:val="baseline"/>
                      <w:lang w:val="en-US" w:eastAsia="zh-CN"/>
                    </w:rPr>
                    <w:t>Y57+600</w:t>
                  </w:r>
                  <w:r>
                    <w:rPr>
                      <w:rFonts w:hint="default" w:ascii="Times New Roman" w:hAnsi="Times New Roman" w:cs="Times New Roman"/>
                      <w:b/>
                      <w:bCs/>
                      <w:color w:val="auto"/>
                      <w:sz w:val="21"/>
                      <w:szCs w:val="21"/>
                      <w:highlight w:val="none"/>
                      <w:vertAlign w:val="baseline"/>
                      <w:lang w:val="en-US" w:eastAsia="zh-CN"/>
                    </w:rPr>
                    <w:t>、</w:t>
                  </w:r>
                  <w:r>
                    <w:rPr>
                      <w:rFonts w:hint="default" w:ascii="Times New Roman" w:hAnsi="Times New Roman" w:eastAsia="宋体" w:cs="Times New Roman"/>
                      <w:b/>
                      <w:bCs/>
                      <w:color w:val="auto"/>
                      <w:sz w:val="21"/>
                      <w:szCs w:val="21"/>
                      <w:highlight w:val="none"/>
                      <w:vertAlign w:val="baseline"/>
                      <w:lang w:val="en-US" w:eastAsia="zh-CN"/>
                    </w:rPr>
                    <w:t>GY58+400</w:t>
                  </w:r>
                  <w:r>
                    <w:rPr>
                      <w:rFonts w:hint="eastAsia" w:cs="Times New Roman"/>
                      <w:b/>
                      <w:bCs/>
                      <w:color w:val="auto"/>
                      <w:sz w:val="21"/>
                      <w:szCs w:val="21"/>
                      <w:highlight w:val="none"/>
                      <w:vertAlign w:val="baseline"/>
                      <w:lang w:val="en-US" w:eastAsia="zh-CN"/>
                    </w:rPr>
                    <w:t>~G</w:t>
                  </w:r>
                  <w:r>
                    <w:rPr>
                      <w:rFonts w:hint="default" w:ascii="Times New Roman" w:hAnsi="Times New Roman" w:eastAsia="宋体" w:cs="Times New Roman"/>
                      <w:b/>
                      <w:bCs/>
                      <w:color w:val="auto"/>
                      <w:sz w:val="21"/>
                      <w:szCs w:val="21"/>
                      <w:highlight w:val="none"/>
                      <w:vertAlign w:val="baseline"/>
                      <w:lang w:val="en-US" w:eastAsia="zh-CN"/>
                    </w:rPr>
                    <w:t>Y58+800</w:t>
                  </w:r>
                  <w:r>
                    <w:rPr>
                      <w:rFonts w:hint="default" w:ascii="Times New Roman" w:hAnsi="Times New Roman" w:cs="Times New Roman"/>
                      <w:b/>
                      <w:bCs/>
                      <w:color w:val="auto"/>
                      <w:sz w:val="21"/>
                      <w:szCs w:val="21"/>
                      <w:highlight w:val="none"/>
                      <w:vertAlign w:val="baseline"/>
                      <w:lang w:val="en-US" w:eastAsia="zh-CN"/>
                    </w:rPr>
                    <w:t>、</w:t>
                  </w:r>
                  <w:r>
                    <w:rPr>
                      <w:rFonts w:hint="default" w:ascii="Times New Roman" w:hAnsi="Times New Roman" w:eastAsia="宋体" w:cs="Times New Roman"/>
                      <w:b/>
                      <w:bCs/>
                      <w:color w:val="auto"/>
                      <w:sz w:val="21"/>
                      <w:szCs w:val="21"/>
                      <w:highlight w:val="none"/>
                      <w:vertAlign w:val="baseline"/>
                      <w:lang w:val="en-US" w:eastAsia="zh-CN"/>
                    </w:rPr>
                    <w:t>GY59+100</w:t>
                  </w:r>
                  <w:r>
                    <w:rPr>
                      <w:rFonts w:hint="eastAsia" w:cs="Times New Roman"/>
                      <w:b/>
                      <w:bCs/>
                      <w:color w:val="auto"/>
                      <w:sz w:val="21"/>
                      <w:szCs w:val="21"/>
                      <w:highlight w:val="none"/>
                      <w:vertAlign w:val="baseline"/>
                      <w:lang w:val="en-US" w:eastAsia="zh-CN"/>
                    </w:rPr>
                    <w:t>~G</w:t>
                  </w:r>
                  <w:r>
                    <w:rPr>
                      <w:rFonts w:hint="default" w:ascii="Times New Roman" w:hAnsi="Times New Roman" w:eastAsia="宋体" w:cs="Times New Roman"/>
                      <w:b/>
                      <w:bCs/>
                      <w:color w:val="auto"/>
                      <w:sz w:val="21"/>
                      <w:szCs w:val="21"/>
                      <w:highlight w:val="none"/>
                      <w:vertAlign w:val="baseline"/>
                      <w:lang w:val="en-US" w:eastAsia="zh-CN"/>
                    </w:rPr>
                    <w:t>Y65+210)</w:t>
                  </w:r>
                </w:p>
              </w:tc>
              <w:tc>
                <w:tcPr>
                  <w:tcW w:w="476" w:type="pct"/>
                  <w:tcBorders>
                    <w:tl2br w:val="nil"/>
                    <w:tr2bl w:val="nil"/>
                  </w:tcBorders>
                  <w:vAlign w:val="center"/>
                </w:tcPr>
                <w:p w14:paraId="33275874">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km</w:t>
                  </w:r>
                </w:p>
              </w:tc>
              <w:tc>
                <w:tcPr>
                  <w:tcW w:w="864" w:type="pct"/>
                  <w:tcBorders>
                    <w:tl2br w:val="nil"/>
                    <w:tr2bl w:val="nil"/>
                  </w:tcBorders>
                  <w:vAlign w:val="center"/>
                </w:tcPr>
                <w:p w14:paraId="4B160800">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17.08（左岸1.0+右岸16.08）</w:t>
                  </w:r>
                </w:p>
              </w:tc>
            </w:tr>
            <w:tr w14:paraId="07C54C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9" w:type="pct"/>
                  <w:tcBorders>
                    <w:tl2br w:val="nil"/>
                    <w:tr2bl w:val="nil"/>
                  </w:tcBorders>
                  <w:vAlign w:val="center"/>
                </w:tcPr>
                <w:p w14:paraId="2D4E5997">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2.1</w:t>
                  </w:r>
                </w:p>
              </w:tc>
              <w:tc>
                <w:tcPr>
                  <w:tcW w:w="3210" w:type="pct"/>
                  <w:tcBorders>
                    <w:tl2br w:val="nil"/>
                    <w:tr2bl w:val="nil"/>
                  </w:tcBorders>
                  <w:shd w:val="clear" w:color="auto" w:fill="auto"/>
                  <w:vAlign w:val="center"/>
                </w:tcPr>
                <w:p w14:paraId="02DFBDF5">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土方开挖</w:t>
                  </w:r>
                </w:p>
              </w:tc>
              <w:tc>
                <w:tcPr>
                  <w:tcW w:w="476" w:type="pct"/>
                  <w:tcBorders>
                    <w:tl2br w:val="nil"/>
                    <w:tr2bl w:val="nil"/>
                  </w:tcBorders>
                  <w:vAlign w:val="center"/>
                </w:tcPr>
                <w:p w14:paraId="5B69F31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m³</w:t>
                  </w:r>
                </w:p>
              </w:tc>
              <w:tc>
                <w:tcPr>
                  <w:tcW w:w="864" w:type="pct"/>
                  <w:tcBorders>
                    <w:tl2br w:val="nil"/>
                    <w:tr2bl w:val="nil"/>
                  </w:tcBorders>
                  <w:vAlign w:val="center"/>
                </w:tcPr>
                <w:p w14:paraId="22037C6B">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189486</w:t>
                  </w:r>
                </w:p>
              </w:tc>
            </w:tr>
            <w:tr w14:paraId="2B8A78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9" w:type="pct"/>
                  <w:tcBorders>
                    <w:tl2br w:val="nil"/>
                    <w:tr2bl w:val="nil"/>
                  </w:tcBorders>
                  <w:vAlign w:val="center"/>
                </w:tcPr>
                <w:p w14:paraId="2C1F383B">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2.2</w:t>
                  </w:r>
                </w:p>
              </w:tc>
              <w:tc>
                <w:tcPr>
                  <w:tcW w:w="3210" w:type="pct"/>
                  <w:tcBorders>
                    <w:tl2br w:val="nil"/>
                    <w:tr2bl w:val="nil"/>
                  </w:tcBorders>
                  <w:shd w:val="clear" w:color="auto" w:fill="auto"/>
                  <w:vAlign w:val="center"/>
                </w:tcPr>
                <w:p w14:paraId="458226E6">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土方回填</w:t>
                  </w:r>
                </w:p>
              </w:tc>
              <w:tc>
                <w:tcPr>
                  <w:tcW w:w="476" w:type="pct"/>
                  <w:tcBorders>
                    <w:tl2br w:val="nil"/>
                    <w:tr2bl w:val="nil"/>
                  </w:tcBorders>
                  <w:shd w:val="clear" w:color="auto" w:fill="auto"/>
                  <w:vAlign w:val="center"/>
                </w:tcPr>
                <w:p w14:paraId="58595D3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m³</w:t>
                  </w:r>
                </w:p>
              </w:tc>
              <w:tc>
                <w:tcPr>
                  <w:tcW w:w="864" w:type="pct"/>
                  <w:tcBorders>
                    <w:tl2br w:val="nil"/>
                    <w:tr2bl w:val="nil"/>
                  </w:tcBorders>
                  <w:shd w:val="clear" w:color="auto" w:fill="auto"/>
                  <w:vAlign w:val="center"/>
                </w:tcPr>
                <w:p w14:paraId="5C626C86">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1</w:t>
                  </w:r>
                  <w:r>
                    <w:rPr>
                      <w:rFonts w:hint="default" w:ascii="Times New Roman" w:hAnsi="Times New Roman" w:eastAsia="宋体" w:cs="Times New Roman"/>
                      <w:color w:val="auto"/>
                      <w:sz w:val="21"/>
                      <w:szCs w:val="21"/>
                      <w:highlight w:val="none"/>
                      <w:vertAlign w:val="baseline"/>
                      <w:lang w:val="en-US" w:eastAsia="zh-CN"/>
                    </w:rPr>
                    <w:t>29709</w:t>
                  </w:r>
                </w:p>
              </w:tc>
            </w:tr>
            <w:tr w14:paraId="0244BB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9" w:type="pct"/>
                  <w:tcBorders>
                    <w:tl2br w:val="nil"/>
                    <w:tr2bl w:val="nil"/>
                  </w:tcBorders>
                  <w:vAlign w:val="center"/>
                </w:tcPr>
                <w:p w14:paraId="40349535">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2.3</w:t>
                  </w:r>
                </w:p>
              </w:tc>
              <w:tc>
                <w:tcPr>
                  <w:tcW w:w="3210" w:type="pct"/>
                  <w:tcBorders>
                    <w:tl2br w:val="nil"/>
                    <w:tr2bl w:val="nil"/>
                  </w:tcBorders>
                  <w:shd w:val="clear" w:color="auto" w:fill="auto"/>
                  <w:vAlign w:val="center"/>
                </w:tcPr>
                <w:p w14:paraId="0B91308D">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浆砌石护坡</w:t>
                  </w:r>
                </w:p>
              </w:tc>
              <w:tc>
                <w:tcPr>
                  <w:tcW w:w="476" w:type="pct"/>
                  <w:tcBorders>
                    <w:tl2br w:val="nil"/>
                    <w:tr2bl w:val="nil"/>
                  </w:tcBorders>
                  <w:shd w:val="clear" w:color="auto" w:fill="auto"/>
                  <w:vAlign w:val="center"/>
                </w:tcPr>
                <w:p w14:paraId="3BC0A55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m³</w:t>
                  </w:r>
                </w:p>
              </w:tc>
              <w:tc>
                <w:tcPr>
                  <w:tcW w:w="864" w:type="pct"/>
                  <w:tcBorders>
                    <w:tl2br w:val="nil"/>
                    <w:tr2bl w:val="nil"/>
                  </w:tcBorders>
                  <w:shd w:val="clear" w:color="auto" w:fill="auto"/>
                  <w:vAlign w:val="center"/>
                </w:tcPr>
                <w:p w14:paraId="317B3745">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77966</w:t>
                  </w:r>
                </w:p>
              </w:tc>
            </w:tr>
            <w:tr w14:paraId="0DE065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9" w:type="pct"/>
                  <w:tcBorders>
                    <w:tl2br w:val="nil"/>
                    <w:tr2bl w:val="nil"/>
                  </w:tcBorders>
                  <w:vAlign w:val="center"/>
                </w:tcPr>
                <w:p w14:paraId="4FC733DD">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2.4</w:t>
                  </w:r>
                </w:p>
              </w:tc>
              <w:tc>
                <w:tcPr>
                  <w:tcW w:w="3210" w:type="pct"/>
                  <w:tcBorders>
                    <w:tl2br w:val="nil"/>
                    <w:tr2bl w:val="nil"/>
                  </w:tcBorders>
                  <w:shd w:val="clear" w:color="auto" w:fill="auto"/>
                  <w:vAlign w:val="center"/>
                </w:tcPr>
                <w:p w14:paraId="420B02D2">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0.15m碎石垫层</w:t>
                  </w:r>
                </w:p>
              </w:tc>
              <w:tc>
                <w:tcPr>
                  <w:tcW w:w="476" w:type="pct"/>
                  <w:tcBorders>
                    <w:tl2br w:val="nil"/>
                    <w:tr2bl w:val="nil"/>
                  </w:tcBorders>
                  <w:shd w:val="clear" w:color="auto" w:fill="auto"/>
                  <w:vAlign w:val="center"/>
                </w:tcPr>
                <w:p w14:paraId="7D3E547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m³</w:t>
                  </w:r>
                </w:p>
              </w:tc>
              <w:tc>
                <w:tcPr>
                  <w:tcW w:w="864" w:type="pct"/>
                  <w:tcBorders>
                    <w:tl2br w:val="nil"/>
                    <w:tr2bl w:val="nil"/>
                  </w:tcBorders>
                  <w:shd w:val="clear" w:color="auto" w:fill="auto"/>
                  <w:vAlign w:val="center"/>
                </w:tcPr>
                <w:p w14:paraId="4D42EA6F">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23864</w:t>
                  </w:r>
                </w:p>
              </w:tc>
            </w:tr>
            <w:tr w14:paraId="4D943F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9" w:type="pct"/>
                  <w:tcBorders>
                    <w:tl2br w:val="nil"/>
                    <w:tr2bl w:val="nil"/>
                  </w:tcBorders>
                  <w:vAlign w:val="center"/>
                </w:tcPr>
                <w:p w14:paraId="059A0213">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2.5</w:t>
                  </w:r>
                </w:p>
              </w:tc>
              <w:tc>
                <w:tcPr>
                  <w:tcW w:w="3210" w:type="pct"/>
                  <w:tcBorders>
                    <w:tl2br w:val="nil"/>
                    <w:tr2bl w:val="nil"/>
                  </w:tcBorders>
                  <w:shd w:val="clear" w:color="auto" w:fill="auto"/>
                  <w:vAlign w:val="center"/>
                </w:tcPr>
                <w:p w14:paraId="34399A31">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现浇C20混凝土压顶</w:t>
                  </w:r>
                </w:p>
              </w:tc>
              <w:tc>
                <w:tcPr>
                  <w:tcW w:w="476" w:type="pct"/>
                  <w:tcBorders>
                    <w:tl2br w:val="nil"/>
                    <w:tr2bl w:val="nil"/>
                  </w:tcBorders>
                  <w:shd w:val="clear" w:color="auto" w:fill="auto"/>
                  <w:vAlign w:val="center"/>
                </w:tcPr>
                <w:p w14:paraId="009A47E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m³</w:t>
                  </w:r>
                </w:p>
              </w:tc>
              <w:tc>
                <w:tcPr>
                  <w:tcW w:w="864" w:type="pct"/>
                  <w:tcBorders>
                    <w:tl2br w:val="nil"/>
                    <w:tr2bl w:val="nil"/>
                  </w:tcBorders>
                  <w:shd w:val="clear" w:color="auto" w:fill="auto"/>
                  <w:vAlign w:val="center"/>
                </w:tcPr>
                <w:p w14:paraId="69840987">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5153</w:t>
                  </w:r>
                </w:p>
              </w:tc>
            </w:tr>
            <w:tr w14:paraId="794318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9" w:type="pct"/>
                  <w:tcBorders>
                    <w:tl2br w:val="nil"/>
                    <w:tr2bl w:val="nil"/>
                  </w:tcBorders>
                  <w:vAlign w:val="center"/>
                </w:tcPr>
                <w:p w14:paraId="46DC196D">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2.6</w:t>
                  </w:r>
                </w:p>
              </w:tc>
              <w:tc>
                <w:tcPr>
                  <w:tcW w:w="3210" w:type="pct"/>
                  <w:tcBorders>
                    <w:tl2br w:val="nil"/>
                    <w:tr2bl w:val="nil"/>
                  </w:tcBorders>
                  <w:shd w:val="clear" w:color="auto" w:fill="auto"/>
                  <w:vAlign w:val="center"/>
                </w:tcPr>
                <w:p w14:paraId="402236FE">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20"/>
                      <w:highlight w:val="no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碎石土回填</w:t>
                  </w:r>
                </w:p>
              </w:tc>
              <w:tc>
                <w:tcPr>
                  <w:tcW w:w="476" w:type="pct"/>
                  <w:tcBorders>
                    <w:tl2br w:val="nil"/>
                    <w:tr2bl w:val="nil"/>
                  </w:tcBorders>
                  <w:shd w:val="clear" w:color="auto" w:fill="auto"/>
                  <w:vAlign w:val="center"/>
                </w:tcPr>
                <w:p w14:paraId="06D8ADF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m³</w:t>
                  </w:r>
                </w:p>
              </w:tc>
              <w:tc>
                <w:tcPr>
                  <w:tcW w:w="864" w:type="pct"/>
                  <w:tcBorders>
                    <w:tl2br w:val="nil"/>
                    <w:tr2bl w:val="nil"/>
                  </w:tcBorders>
                  <w:shd w:val="clear" w:color="auto" w:fill="auto"/>
                  <w:vAlign w:val="center"/>
                </w:tcPr>
                <w:p w14:paraId="099E2EF2">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55087</w:t>
                  </w:r>
                </w:p>
              </w:tc>
            </w:tr>
            <w:tr w14:paraId="59620A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9" w:type="pct"/>
                  <w:tcBorders>
                    <w:tl2br w:val="nil"/>
                    <w:tr2bl w:val="nil"/>
                  </w:tcBorders>
                  <w:vAlign w:val="center"/>
                </w:tcPr>
                <w:p w14:paraId="2321A5BE">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三</w:t>
                  </w:r>
                </w:p>
              </w:tc>
              <w:tc>
                <w:tcPr>
                  <w:tcW w:w="3210" w:type="pct"/>
                  <w:tcBorders>
                    <w:tl2br w:val="nil"/>
                    <w:tr2bl w:val="nil"/>
                  </w:tcBorders>
                  <w:vAlign w:val="center"/>
                </w:tcPr>
                <w:p w14:paraId="7FF1E22A">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巡护道路工程</w:t>
                  </w:r>
                </w:p>
              </w:tc>
              <w:tc>
                <w:tcPr>
                  <w:tcW w:w="476" w:type="pct"/>
                  <w:tcBorders>
                    <w:tl2br w:val="nil"/>
                    <w:tr2bl w:val="nil"/>
                  </w:tcBorders>
                  <w:vAlign w:val="center"/>
                </w:tcPr>
                <w:p w14:paraId="4C41144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km</w:t>
                  </w:r>
                </w:p>
              </w:tc>
              <w:tc>
                <w:tcPr>
                  <w:tcW w:w="864" w:type="pct"/>
                  <w:tcBorders>
                    <w:tl2br w:val="nil"/>
                    <w:tr2bl w:val="nil"/>
                  </w:tcBorders>
                  <w:vAlign w:val="center"/>
                </w:tcPr>
                <w:p w14:paraId="122E70B4">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20.2</w:t>
                  </w:r>
                </w:p>
              </w:tc>
            </w:tr>
            <w:tr w14:paraId="14DF2B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449" w:type="pct"/>
                  <w:tcBorders>
                    <w:tl2br w:val="nil"/>
                    <w:tr2bl w:val="nil"/>
                  </w:tcBorders>
                  <w:vAlign w:val="center"/>
                </w:tcPr>
                <w:p w14:paraId="23A6BB9E">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1</w:t>
                  </w:r>
                </w:p>
              </w:tc>
              <w:tc>
                <w:tcPr>
                  <w:tcW w:w="3210" w:type="pct"/>
                  <w:tcBorders>
                    <w:tl2br w:val="nil"/>
                    <w:tr2bl w:val="nil"/>
                  </w:tcBorders>
                  <w:vAlign w:val="center"/>
                </w:tcPr>
                <w:p w14:paraId="672FC822">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清基</w:t>
                  </w:r>
                </w:p>
              </w:tc>
              <w:tc>
                <w:tcPr>
                  <w:tcW w:w="476" w:type="pct"/>
                  <w:tcBorders>
                    <w:tl2br w:val="nil"/>
                    <w:tr2bl w:val="nil"/>
                  </w:tcBorders>
                  <w:vAlign w:val="center"/>
                </w:tcPr>
                <w:p w14:paraId="3034AA0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m³</w:t>
                  </w:r>
                </w:p>
              </w:tc>
              <w:tc>
                <w:tcPr>
                  <w:tcW w:w="864" w:type="pct"/>
                  <w:tcBorders>
                    <w:tl2br w:val="nil"/>
                    <w:tr2bl w:val="nil"/>
                  </w:tcBorders>
                  <w:vAlign w:val="center"/>
                </w:tcPr>
                <w:p w14:paraId="46D72F8B">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42513.45</w:t>
                  </w:r>
                </w:p>
              </w:tc>
            </w:tr>
            <w:tr w14:paraId="661776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449" w:type="pct"/>
                  <w:tcBorders>
                    <w:tl2br w:val="nil"/>
                    <w:tr2bl w:val="nil"/>
                  </w:tcBorders>
                  <w:vAlign w:val="center"/>
                </w:tcPr>
                <w:p w14:paraId="0A15EABD">
                  <w:pPr>
                    <w:pStyle w:val="15"/>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2</w:t>
                  </w:r>
                </w:p>
              </w:tc>
              <w:tc>
                <w:tcPr>
                  <w:tcW w:w="3210" w:type="pct"/>
                  <w:tcBorders>
                    <w:tl2br w:val="nil"/>
                    <w:tr2bl w:val="nil"/>
                  </w:tcBorders>
                  <w:vAlign w:val="center"/>
                </w:tcPr>
                <w:p w14:paraId="707037C0">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土方回填</w:t>
                  </w:r>
                  <w:r>
                    <w:rPr>
                      <w:rFonts w:hint="eastAsia" w:cs="Times New Roman"/>
                      <w:b w:val="0"/>
                      <w:bCs w:val="0"/>
                      <w:color w:val="auto"/>
                      <w:sz w:val="21"/>
                      <w:szCs w:val="21"/>
                      <w:highlight w:val="none"/>
                      <w:vertAlign w:val="baseline"/>
                      <w:lang w:val="en-US" w:eastAsia="zh-CN"/>
                    </w:rPr>
                    <w:t>（含砌护剩余土方及清淤淤泥回用）</w:t>
                  </w:r>
                </w:p>
              </w:tc>
              <w:tc>
                <w:tcPr>
                  <w:tcW w:w="476" w:type="pct"/>
                  <w:tcBorders>
                    <w:tl2br w:val="nil"/>
                    <w:tr2bl w:val="nil"/>
                  </w:tcBorders>
                  <w:vAlign w:val="center"/>
                </w:tcPr>
                <w:p w14:paraId="38CF910A">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m³</w:t>
                  </w:r>
                </w:p>
              </w:tc>
              <w:tc>
                <w:tcPr>
                  <w:tcW w:w="864" w:type="pct"/>
                  <w:tcBorders>
                    <w:tl2br w:val="nil"/>
                    <w:tr2bl w:val="nil"/>
                  </w:tcBorders>
                  <w:vAlign w:val="center"/>
                </w:tcPr>
                <w:p w14:paraId="3A375244">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140921.07</w:t>
                  </w:r>
                </w:p>
              </w:tc>
            </w:tr>
            <w:tr w14:paraId="06F07F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449" w:type="pct"/>
                  <w:tcBorders>
                    <w:tl2br w:val="nil"/>
                    <w:tr2bl w:val="nil"/>
                  </w:tcBorders>
                  <w:vAlign w:val="center"/>
                </w:tcPr>
                <w:p w14:paraId="72A9A93E">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3</w:t>
                  </w:r>
                </w:p>
              </w:tc>
              <w:tc>
                <w:tcPr>
                  <w:tcW w:w="3210" w:type="pct"/>
                  <w:tcBorders>
                    <w:tl2br w:val="nil"/>
                    <w:tr2bl w:val="nil"/>
                  </w:tcBorders>
                  <w:vAlign w:val="center"/>
                </w:tcPr>
                <w:p w14:paraId="2F2DFF3D">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砂石路  15cm厚</w:t>
                  </w:r>
                </w:p>
              </w:tc>
              <w:tc>
                <w:tcPr>
                  <w:tcW w:w="476" w:type="pct"/>
                  <w:tcBorders>
                    <w:tl2br w:val="nil"/>
                    <w:tr2bl w:val="nil"/>
                  </w:tcBorders>
                  <w:vAlign w:val="center"/>
                </w:tcPr>
                <w:p w14:paraId="188920C2">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m²</w:t>
                  </w:r>
                </w:p>
              </w:tc>
              <w:tc>
                <w:tcPr>
                  <w:tcW w:w="864" w:type="pct"/>
                  <w:tcBorders>
                    <w:tl2br w:val="nil"/>
                    <w:tr2bl w:val="nil"/>
                  </w:tcBorders>
                  <w:vAlign w:val="center"/>
                </w:tcPr>
                <w:p w14:paraId="27D64427">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36454.94</w:t>
                  </w:r>
                </w:p>
              </w:tc>
            </w:tr>
          </w:tbl>
          <w:p w14:paraId="4E549EE9">
            <w:pPr>
              <w:autoSpaceDE w:val="0"/>
              <w:autoSpaceDN w:val="0"/>
              <w:adjustRightInd w:val="0"/>
              <w:spacing w:line="360" w:lineRule="auto"/>
              <w:ind w:firstLine="480" w:firstLineChars="200"/>
              <w:rPr>
                <w:rFonts w:hint="default" w:ascii="Times New Roman" w:hAnsi="Times New Roman" w:eastAsia="黑体" w:cs="Times New Roman"/>
                <w:b w:val="0"/>
                <w:bCs w:val="0"/>
                <w:color w:val="auto"/>
                <w:kern w:val="0"/>
                <w:sz w:val="24"/>
                <w:szCs w:val="24"/>
                <w:highlight w:val="none"/>
                <w:lang w:val="en-US" w:eastAsia="zh-CN" w:bidi="ar-SA"/>
              </w:rPr>
            </w:pPr>
            <w:r>
              <w:rPr>
                <w:rFonts w:hint="default" w:ascii="Times New Roman" w:hAnsi="Times New Roman" w:eastAsia="黑体" w:cs="Times New Roman"/>
                <w:b w:val="0"/>
                <w:bCs w:val="0"/>
                <w:color w:val="auto"/>
                <w:kern w:val="0"/>
                <w:sz w:val="24"/>
                <w:szCs w:val="24"/>
                <w:highlight w:val="none"/>
                <w:lang w:val="en-US" w:eastAsia="zh-CN" w:bidi="ar-SA"/>
              </w:rPr>
              <w:t>③主要施工设备</w:t>
            </w:r>
          </w:p>
          <w:p w14:paraId="7252B440">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本项目主要设备为施工期间所用施工车辆以及施工机械设备，施工车辆全部停放在临时施工区内，施工机械设备全部存放在临时施工区内搭建的临时仓库内。具体设备一览表见表</w:t>
            </w:r>
            <w:r>
              <w:rPr>
                <w:rFonts w:hint="default" w:ascii="Times New Roman" w:hAnsi="Times New Roman" w:cs="Times New Roman"/>
                <w:color w:val="auto"/>
                <w:kern w:val="0"/>
                <w:sz w:val="24"/>
                <w:szCs w:val="24"/>
                <w:highlight w:val="none"/>
                <w:lang w:val="en-US" w:eastAsia="zh-CN" w:bidi="ar-SA"/>
              </w:rPr>
              <w:t>2-3</w:t>
            </w:r>
            <w:r>
              <w:rPr>
                <w:rFonts w:hint="default" w:ascii="Times New Roman" w:hAnsi="Times New Roman" w:eastAsia="宋体" w:cs="Times New Roman"/>
                <w:color w:val="auto"/>
                <w:kern w:val="0"/>
                <w:sz w:val="24"/>
                <w:szCs w:val="24"/>
                <w:highlight w:val="none"/>
                <w:lang w:val="en-US" w:eastAsia="zh-CN" w:bidi="ar-SA"/>
              </w:rPr>
              <w:t>。</w:t>
            </w:r>
          </w:p>
          <w:p w14:paraId="1F8BD03B">
            <w:pPr>
              <w:pStyle w:val="11"/>
              <w:adjustRightInd w:val="0"/>
              <w:spacing w:before="0" w:after="0" w:line="240" w:lineRule="auto"/>
              <w:ind w:right="0"/>
              <w:jc w:val="center"/>
              <w:rPr>
                <w:rFonts w:hint="default" w:ascii="Times New Roman" w:hAnsi="Times New Roman" w:eastAsia="黑体" w:cs="Times New Roman"/>
                <w:color w:val="auto"/>
                <w:kern w:val="2"/>
                <w:sz w:val="24"/>
                <w:szCs w:val="24"/>
                <w:highlight w:val="none"/>
                <w:lang w:val="en-US" w:eastAsia="zh-CN" w:bidi="ar-SA"/>
              </w:rPr>
            </w:pPr>
            <w:r>
              <w:rPr>
                <w:rFonts w:hint="default" w:ascii="Times New Roman" w:hAnsi="Times New Roman" w:eastAsia="黑体" w:cs="Times New Roman"/>
                <w:color w:val="auto"/>
                <w:kern w:val="2"/>
                <w:sz w:val="24"/>
                <w:szCs w:val="24"/>
                <w:highlight w:val="none"/>
                <w:lang w:val="en-US" w:eastAsia="zh-CN" w:bidi="ar-SA"/>
              </w:rPr>
              <w:t>表2-3  项目主要设备一览表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0"/>
              <w:gridCol w:w="2326"/>
              <w:gridCol w:w="3476"/>
              <w:gridCol w:w="932"/>
              <w:gridCol w:w="898"/>
            </w:tblGrid>
            <w:tr w14:paraId="40F3A2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0" w:type="dxa"/>
                  <w:tcBorders>
                    <w:tl2br w:val="nil"/>
                    <w:tr2bl w:val="nil"/>
                  </w:tcBorders>
                  <w:vAlign w:val="center"/>
                </w:tcPr>
                <w:p w14:paraId="7A9281E6">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highlight w:val="none"/>
                      <w:vertAlign w:val="baseline"/>
                      <w:lang w:val="en-US" w:eastAsia="zh-CN"/>
                    </w:rPr>
                  </w:pPr>
                  <w:r>
                    <w:rPr>
                      <w:rFonts w:hint="default" w:ascii="Times New Roman" w:hAnsi="Times New Roman" w:cs="Times New Roman"/>
                      <w:b/>
                      <w:bCs/>
                      <w:color w:val="auto"/>
                      <w:highlight w:val="none"/>
                      <w:vertAlign w:val="baseline"/>
                      <w:lang w:val="en-US" w:eastAsia="zh-CN"/>
                    </w:rPr>
                    <w:t>序号</w:t>
                  </w:r>
                </w:p>
              </w:tc>
              <w:tc>
                <w:tcPr>
                  <w:tcW w:w="2326" w:type="dxa"/>
                  <w:tcBorders>
                    <w:tl2br w:val="nil"/>
                    <w:tr2bl w:val="nil"/>
                  </w:tcBorders>
                  <w:vAlign w:val="center"/>
                </w:tcPr>
                <w:p w14:paraId="72349F6F">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highlight w:val="none"/>
                      <w:vertAlign w:val="baseline"/>
                      <w:lang w:val="en-US" w:eastAsia="zh-CN"/>
                    </w:rPr>
                  </w:pPr>
                  <w:r>
                    <w:rPr>
                      <w:rFonts w:hint="default" w:ascii="Times New Roman" w:hAnsi="Times New Roman" w:cs="Times New Roman"/>
                      <w:b/>
                      <w:bCs/>
                      <w:color w:val="auto"/>
                      <w:highlight w:val="none"/>
                      <w:vertAlign w:val="baseline"/>
                      <w:lang w:val="en-US" w:eastAsia="zh-CN"/>
                    </w:rPr>
                    <w:t>名称</w:t>
                  </w:r>
                </w:p>
              </w:tc>
              <w:tc>
                <w:tcPr>
                  <w:tcW w:w="3476" w:type="dxa"/>
                  <w:tcBorders>
                    <w:tl2br w:val="nil"/>
                    <w:tr2bl w:val="nil"/>
                  </w:tcBorders>
                  <w:vAlign w:val="center"/>
                </w:tcPr>
                <w:p w14:paraId="72B37E04">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highlight w:val="none"/>
                      <w:vertAlign w:val="baseline"/>
                      <w:lang w:val="en-US" w:eastAsia="zh-CN"/>
                    </w:rPr>
                  </w:pPr>
                  <w:r>
                    <w:rPr>
                      <w:rFonts w:hint="default" w:ascii="Times New Roman" w:hAnsi="Times New Roman" w:cs="Times New Roman"/>
                      <w:b/>
                      <w:bCs/>
                      <w:color w:val="auto"/>
                      <w:highlight w:val="none"/>
                      <w:vertAlign w:val="baseline"/>
                      <w:lang w:val="en-US" w:eastAsia="zh-CN"/>
                    </w:rPr>
                    <w:t>规格型号</w:t>
                  </w:r>
                </w:p>
              </w:tc>
              <w:tc>
                <w:tcPr>
                  <w:tcW w:w="932" w:type="dxa"/>
                  <w:tcBorders>
                    <w:tl2br w:val="nil"/>
                    <w:tr2bl w:val="nil"/>
                  </w:tcBorders>
                  <w:vAlign w:val="center"/>
                </w:tcPr>
                <w:p w14:paraId="44FD911A">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highlight w:val="none"/>
                      <w:vertAlign w:val="baseline"/>
                      <w:lang w:val="en-US" w:eastAsia="zh-CN"/>
                    </w:rPr>
                  </w:pPr>
                  <w:r>
                    <w:rPr>
                      <w:rFonts w:hint="default" w:ascii="Times New Roman" w:hAnsi="Times New Roman" w:cs="Times New Roman"/>
                      <w:b/>
                      <w:bCs/>
                      <w:color w:val="auto"/>
                      <w:highlight w:val="none"/>
                      <w:vertAlign w:val="baseline"/>
                      <w:lang w:val="en-US" w:eastAsia="zh-CN"/>
                    </w:rPr>
                    <w:t>单位</w:t>
                  </w:r>
                </w:p>
              </w:tc>
              <w:tc>
                <w:tcPr>
                  <w:tcW w:w="898" w:type="dxa"/>
                  <w:tcBorders>
                    <w:tl2br w:val="nil"/>
                    <w:tr2bl w:val="nil"/>
                  </w:tcBorders>
                  <w:vAlign w:val="center"/>
                </w:tcPr>
                <w:p w14:paraId="0837C7F2">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highlight w:val="none"/>
                      <w:vertAlign w:val="baseline"/>
                      <w:lang w:val="en-US" w:eastAsia="zh-CN"/>
                    </w:rPr>
                  </w:pPr>
                  <w:r>
                    <w:rPr>
                      <w:rFonts w:hint="default" w:ascii="Times New Roman" w:hAnsi="Times New Roman" w:cs="Times New Roman"/>
                      <w:b/>
                      <w:bCs/>
                      <w:color w:val="auto"/>
                      <w:highlight w:val="none"/>
                      <w:vertAlign w:val="baseline"/>
                      <w:lang w:val="en-US" w:eastAsia="zh-CN"/>
                    </w:rPr>
                    <w:t>数量</w:t>
                  </w:r>
                </w:p>
              </w:tc>
            </w:tr>
            <w:tr w14:paraId="09FD9D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0" w:type="dxa"/>
                  <w:tcBorders>
                    <w:tl2br w:val="nil"/>
                    <w:tr2bl w:val="nil"/>
                  </w:tcBorders>
                  <w:vAlign w:val="center"/>
                </w:tcPr>
                <w:p w14:paraId="770D2A88">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val="0"/>
                      <w:bCs w:val="0"/>
                      <w:color w:val="auto"/>
                      <w:highlight w:val="none"/>
                      <w:vertAlign w:val="baseline"/>
                      <w:lang w:val="en-US" w:eastAsia="zh-CN"/>
                    </w:rPr>
                  </w:pPr>
                  <w:r>
                    <w:rPr>
                      <w:rFonts w:hint="default" w:ascii="Times New Roman" w:hAnsi="Times New Roman" w:eastAsia="宋体" w:cs="Times New Roman"/>
                      <w:b w:val="0"/>
                      <w:bCs w:val="0"/>
                      <w:color w:val="auto"/>
                      <w:highlight w:val="none"/>
                      <w:vertAlign w:val="baseline"/>
                      <w:lang w:val="en-US" w:eastAsia="zh-CN"/>
                    </w:rPr>
                    <w:t>1</w:t>
                  </w:r>
                </w:p>
              </w:tc>
              <w:tc>
                <w:tcPr>
                  <w:tcW w:w="2326" w:type="dxa"/>
                  <w:tcBorders>
                    <w:tl2br w:val="nil"/>
                    <w:tr2bl w:val="nil"/>
                  </w:tcBorders>
                  <w:vAlign w:val="center"/>
                </w:tcPr>
                <w:p w14:paraId="7ED02E84">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挖掘机</w:t>
                  </w:r>
                </w:p>
              </w:tc>
              <w:tc>
                <w:tcPr>
                  <w:tcW w:w="3476" w:type="dxa"/>
                  <w:tcBorders>
                    <w:tl2br w:val="nil"/>
                    <w:tr2bl w:val="nil"/>
                  </w:tcBorders>
                  <w:vAlign w:val="center"/>
                </w:tcPr>
                <w:p w14:paraId="1F2FB9FC">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柳工180~220</w:t>
                  </w:r>
                </w:p>
              </w:tc>
              <w:tc>
                <w:tcPr>
                  <w:tcW w:w="932" w:type="dxa"/>
                  <w:tcBorders>
                    <w:tl2br w:val="nil"/>
                    <w:tr2bl w:val="nil"/>
                  </w:tcBorders>
                  <w:vAlign w:val="center"/>
                </w:tcPr>
                <w:p w14:paraId="1F820383">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辆</w:t>
                  </w:r>
                </w:p>
              </w:tc>
              <w:tc>
                <w:tcPr>
                  <w:tcW w:w="898" w:type="dxa"/>
                  <w:tcBorders>
                    <w:tl2br w:val="nil"/>
                    <w:tr2bl w:val="nil"/>
                  </w:tcBorders>
                  <w:vAlign w:val="center"/>
                </w:tcPr>
                <w:p w14:paraId="35BD5D76">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6</w:t>
                  </w:r>
                </w:p>
              </w:tc>
            </w:tr>
            <w:tr w14:paraId="227C64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0" w:type="dxa"/>
                  <w:tcBorders>
                    <w:tl2br w:val="nil"/>
                    <w:tr2bl w:val="nil"/>
                  </w:tcBorders>
                  <w:vAlign w:val="center"/>
                </w:tcPr>
                <w:p w14:paraId="7769EBE6">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val="0"/>
                      <w:bCs w:val="0"/>
                      <w:color w:val="auto"/>
                      <w:highlight w:val="none"/>
                      <w:vertAlign w:val="baseline"/>
                      <w:lang w:val="en-US" w:eastAsia="zh-CN"/>
                    </w:rPr>
                  </w:pPr>
                  <w:r>
                    <w:rPr>
                      <w:rFonts w:hint="default" w:ascii="Times New Roman" w:hAnsi="Times New Roman" w:eastAsia="宋体" w:cs="Times New Roman"/>
                      <w:b w:val="0"/>
                      <w:bCs w:val="0"/>
                      <w:color w:val="auto"/>
                      <w:highlight w:val="none"/>
                      <w:vertAlign w:val="baseline"/>
                      <w:lang w:val="en-US" w:eastAsia="zh-CN"/>
                    </w:rPr>
                    <w:t>2</w:t>
                  </w:r>
                </w:p>
              </w:tc>
              <w:tc>
                <w:tcPr>
                  <w:tcW w:w="2326" w:type="dxa"/>
                  <w:tcBorders>
                    <w:tl2br w:val="nil"/>
                    <w:tr2bl w:val="nil"/>
                  </w:tcBorders>
                  <w:vAlign w:val="center"/>
                </w:tcPr>
                <w:p w14:paraId="039F3B7B">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挖掘机</w:t>
                  </w:r>
                </w:p>
              </w:tc>
              <w:tc>
                <w:tcPr>
                  <w:tcW w:w="3476" w:type="dxa"/>
                  <w:tcBorders>
                    <w:tl2br w:val="nil"/>
                    <w:tr2bl w:val="nil"/>
                  </w:tcBorders>
                  <w:vAlign w:val="center"/>
                </w:tcPr>
                <w:p w14:paraId="505B099A">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沃尔沃330~370</w:t>
                  </w:r>
                </w:p>
              </w:tc>
              <w:tc>
                <w:tcPr>
                  <w:tcW w:w="932" w:type="dxa"/>
                  <w:tcBorders>
                    <w:tl2br w:val="nil"/>
                    <w:tr2bl w:val="nil"/>
                  </w:tcBorders>
                  <w:vAlign w:val="center"/>
                </w:tcPr>
                <w:p w14:paraId="7AF826D6">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辆</w:t>
                  </w:r>
                </w:p>
              </w:tc>
              <w:tc>
                <w:tcPr>
                  <w:tcW w:w="898" w:type="dxa"/>
                  <w:tcBorders>
                    <w:tl2br w:val="nil"/>
                    <w:tr2bl w:val="nil"/>
                  </w:tcBorders>
                  <w:vAlign w:val="center"/>
                </w:tcPr>
                <w:p w14:paraId="2AC892AA">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4</w:t>
                  </w:r>
                </w:p>
              </w:tc>
            </w:tr>
            <w:tr w14:paraId="10E66A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0" w:type="dxa"/>
                  <w:tcBorders>
                    <w:tl2br w:val="nil"/>
                    <w:tr2bl w:val="nil"/>
                  </w:tcBorders>
                  <w:vAlign w:val="center"/>
                </w:tcPr>
                <w:p w14:paraId="4E43A965">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val="0"/>
                      <w:bCs w:val="0"/>
                      <w:color w:val="auto"/>
                      <w:highlight w:val="none"/>
                      <w:vertAlign w:val="baseline"/>
                      <w:lang w:val="en-US" w:eastAsia="zh-CN"/>
                    </w:rPr>
                  </w:pPr>
                  <w:r>
                    <w:rPr>
                      <w:rFonts w:hint="default" w:ascii="Times New Roman" w:hAnsi="Times New Roman" w:eastAsia="宋体" w:cs="Times New Roman"/>
                      <w:b w:val="0"/>
                      <w:bCs w:val="0"/>
                      <w:color w:val="auto"/>
                      <w:highlight w:val="none"/>
                      <w:vertAlign w:val="baseline"/>
                      <w:lang w:val="en-US" w:eastAsia="zh-CN"/>
                    </w:rPr>
                    <w:t>3</w:t>
                  </w:r>
                </w:p>
              </w:tc>
              <w:tc>
                <w:tcPr>
                  <w:tcW w:w="2326" w:type="dxa"/>
                  <w:tcBorders>
                    <w:tl2br w:val="nil"/>
                    <w:tr2bl w:val="nil"/>
                  </w:tcBorders>
                  <w:shd w:val="clear" w:color="auto" w:fill="auto"/>
                  <w:vAlign w:val="center"/>
                </w:tcPr>
                <w:p w14:paraId="55F3F5A7">
                  <w:pPr>
                    <w:pStyle w:val="2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vertAlign w:val="baseline"/>
                      <w:lang w:val="en-US" w:eastAsia="zh-CN" w:bidi="ar-SA"/>
                    </w:rPr>
                  </w:pPr>
                  <w:r>
                    <w:rPr>
                      <w:rFonts w:hint="default" w:ascii="Times New Roman" w:hAnsi="Times New Roman" w:cs="Times New Roman"/>
                      <w:color w:val="auto"/>
                      <w:highlight w:val="none"/>
                      <w:vertAlign w:val="baseline"/>
                      <w:lang w:val="en-US" w:eastAsia="zh-CN"/>
                    </w:rPr>
                    <w:t>双桥载重汽车</w:t>
                  </w:r>
                </w:p>
              </w:tc>
              <w:tc>
                <w:tcPr>
                  <w:tcW w:w="3476" w:type="dxa"/>
                  <w:tcBorders>
                    <w:tl2br w:val="nil"/>
                    <w:tr2bl w:val="nil"/>
                  </w:tcBorders>
                  <w:shd w:val="clear" w:color="auto" w:fill="auto"/>
                  <w:vAlign w:val="center"/>
                </w:tcPr>
                <w:p w14:paraId="1146E96E">
                  <w:pPr>
                    <w:pStyle w:val="2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vertAlign w:val="baseline"/>
                      <w:lang w:val="en-US" w:eastAsia="zh-CN" w:bidi="ar-SA"/>
                    </w:rPr>
                  </w:pPr>
                  <w:r>
                    <w:rPr>
                      <w:rFonts w:hint="default" w:ascii="Times New Roman" w:hAnsi="Times New Roman" w:cs="Times New Roman"/>
                      <w:color w:val="auto"/>
                      <w:highlight w:val="none"/>
                      <w:vertAlign w:val="baseline"/>
                      <w:lang w:val="en-US" w:eastAsia="zh-CN"/>
                    </w:rPr>
                    <w:t>东风</w:t>
                  </w:r>
                </w:p>
              </w:tc>
              <w:tc>
                <w:tcPr>
                  <w:tcW w:w="932" w:type="dxa"/>
                  <w:tcBorders>
                    <w:tl2br w:val="nil"/>
                    <w:tr2bl w:val="nil"/>
                  </w:tcBorders>
                  <w:shd w:val="clear" w:color="auto" w:fill="auto"/>
                  <w:vAlign w:val="center"/>
                </w:tcPr>
                <w:p w14:paraId="741D8664">
                  <w:pPr>
                    <w:pStyle w:val="2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vertAlign w:val="baseline"/>
                      <w:lang w:val="en-US" w:eastAsia="zh-CN" w:bidi="ar-SA"/>
                    </w:rPr>
                  </w:pPr>
                  <w:r>
                    <w:rPr>
                      <w:rFonts w:hint="default" w:ascii="Times New Roman" w:hAnsi="Times New Roman" w:cs="Times New Roman"/>
                      <w:color w:val="auto"/>
                      <w:highlight w:val="none"/>
                      <w:vertAlign w:val="baseline"/>
                      <w:lang w:val="en-US" w:eastAsia="zh-CN"/>
                    </w:rPr>
                    <w:t>辆</w:t>
                  </w:r>
                </w:p>
              </w:tc>
              <w:tc>
                <w:tcPr>
                  <w:tcW w:w="898" w:type="dxa"/>
                  <w:tcBorders>
                    <w:tl2br w:val="nil"/>
                    <w:tr2bl w:val="nil"/>
                  </w:tcBorders>
                  <w:shd w:val="clear" w:color="auto" w:fill="auto"/>
                  <w:vAlign w:val="center"/>
                </w:tcPr>
                <w:p w14:paraId="45500368">
                  <w:pPr>
                    <w:pStyle w:val="2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vertAlign w:val="baseline"/>
                      <w:lang w:val="en-US" w:eastAsia="zh-CN" w:bidi="ar-SA"/>
                    </w:rPr>
                  </w:pPr>
                  <w:r>
                    <w:rPr>
                      <w:rFonts w:hint="default" w:ascii="Times New Roman" w:hAnsi="Times New Roman" w:cs="Times New Roman"/>
                      <w:color w:val="auto"/>
                      <w:highlight w:val="none"/>
                      <w:vertAlign w:val="baseline"/>
                      <w:lang w:val="en-US" w:eastAsia="zh-CN"/>
                    </w:rPr>
                    <w:t>8</w:t>
                  </w:r>
                </w:p>
              </w:tc>
            </w:tr>
            <w:tr w14:paraId="4B4D4D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0" w:type="dxa"/>
                  <w:tcBorders>
                    <w:tl2br w:val="nil"/>
                    <w:tr2bl w:val="nil"/>
                  </w:tcBorders>
                  <w:vAlign w:val="center"/>
                </w:tcPr>
                <w:p w14:paraId="0C377DC4">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val="0"/>
                      <w:bCs w:val="0"/>
                      <w:color w:val="auto"/>
                      <w:highlight w:val="none"/>
                      <w:vertAlign w:val="baseline"/>
                      <w:lang w:val="en-US" w:eastAsia="zh-CN"/>
                    </w:rPr>
                  </w:pPr>
                  <w:r>
                    <w:rPr>
                      <w:rFonts w:hint="default" w:ascii="Times New Roman" w:hAnsi="Times New Roman" w:eastAsia="宋体" w:cs="Times New Roman"/>
                      <w:b w:val="0"/>
                      <w:bCs w:val="0"/>
                      <w:color w:val="auto"/>
                      <w:highlight w:val="none"/>
                      <w:vertAlign w:val="baseline"/>
                      <w:lang w:val="en-US" w:eastAsia="zh-CN"/>
                    </w:rPr>
                    <w:t>4</w:t>
                  </w:r>
                </w:p>
              </w:tc>
              <w:tc>
                <w:tcPr>
                  <w:tcW w:w="2326" w:type="dxa"/>
                  <w:tcBorders>
                    <w:tl2br w:val="nil"/>
                    <w:tr2bl w:val="nil"/>
                  </w:tcBorders>
                  <w:shd w:val="clear" w:color="auto" w:fill="auto"/>
                  <w:vAlign w:val="center"/>
                </w:tcPr>
                <w:p w14:paraId="6C770DCB">
                  <w:pPr>
                    <w:pStyle w:val="2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vertAlign w:val="baseline"/>
                      <w:lang w:val="en-US" w:eastAsia="zh-CN" w:bidi="ar-SA"/>
                    </w:rPr>
                  </w:pPr>
                  <w:r>
                    <w:rPr>
                      <w:rFonts w:hint="default" w:ascii="Times New Roman" w:hAnsi="Times New Roman" w:cs="Times New Roman"/>
                      <w:color w:val="auto"/>
                      <w:highlight w:val="none"/>
                      <w:vertAlign w:val="baseline"/>
                      <w:lang w:val="en-US" w:eastAsia="zh-CN"/>
                    </w:rPr>
                    <w:t>装载机</w:t>
                  </w:r>
                </w:p>
              </w:tc>
              <w:tc>
                <w:tcPr>
                  <w:tcW w:w="3476" w:type="dxa"/>
                  <w:tcBorders>
                    <w:tl2br w:val="nil"/>
                    <w:tr2bl w:val="nil"/>
                  </w:tcBorders>
                  <w:shd w:val="clear" w:color="auto" w:fill="auto"/>
                  <w:vAlign w:val="center"/>
                </w:tcPr>
                <w:p w14:paraId="0D3A2049">
                  <w:pPr>
                    <w:pStyle w:val="2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vertAlign w:val="baseline"/>
                      <w:lang w:val="en-US" w:eastAsia="zh-CN" w:bidi="ar-SA"/>
                    </w:rPr>
                  </w:pPr>
                  <w:r>
                    <w:rPr>
                      <w:rFonts w:hint="default" w:ascii="Times New Roman" w:hAnsi="Times New Roman" w:cs="Times New Roman"/>
                      <w:color w:val="auto"/>
                      <w:highlight w:val="none"/>
                      <w:vertAlign w:val="baseline"/>
                      <w:lang w:val="en-US" w:eastAsia="zh-CN"/>
                    </w:rPr>
                    <w:t>龙工245</w:t>
                  </w:r>
                </w:p>
              </w:tc>
              <w:tc>
                <w:tcPr>
                  <w:tcW w:w="932" w:type="dxa"/>
                  <w:tcBorders>
                    <w:tl2br w:val="nil"/>
                    <w:tr2bl w:val="nil"/>
                  </w:tcBorders>
                  <w:shd w:val="clear" w:color="auto" w:fill="auto"/>
                  <w:vAlign w:val="center"/>
                </w:tcPr>
                <w:p w14:paraId="3145FFB3">
                  <w:pPr>
                    <w:pStyle w:val="2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vertAlign w:val="baseline"/>
                      <w:lang w:val="en-US" w:eastAsia="zh-CN" w:bidi="ar-SA"/>
                    </w:rPr>
                  </w:pPr>
                  <w:r>
                    <w:rPr>
                      <w:rFonts w:hint="default" w:ascii="Times New Roman" w:hAnsi="Times New Roman" w:cs="Times New Roman"/>
                      <w:color w:val="auto"/>
                      <w:highlight w:val="none"/>
                      <w:vertAlign w:val="baseline"/>
                      <w:lang w:val="en-US" w:eastAsia="zh-CN"/>
                    </w:rPr>
                    <w:t>辆</w:t>
                  </w:r>
                </w:p>
              </w:tc>
              <w:tc>
                <w:tcPr>
                  <w:tcW w:w="898" w:type="dxa"/>
                  <w:tcBorders>
                    <w:tl2br w:val="nil"/>
                    <w:tr2bl w:val="nil"/>
                  </w:tcBorders>
                  <w:shd w:val="clear" w:color="auto" w:fill="auto"/>
                  <w:vAlign w:val="center"/>
                </w:tcPr>
                <w:p w14:paraId="3E55A797">
                  <w:pPr>
                    <w:pStyle w:val="2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vertAlign w:val="baseline"/>
                      <w:lang w:val="en-US" w:eastAsia="zh-CN" w:bidi="ar-SA"/>
                    </w:rPr>
                  </w:pPr>
                  <w:r>
                    <w:rPr>
                      <w:rFonts w:hint="default" w:ascii="Times New Roman" w:hAnsi="Times New Roman" w:cs="Times New Roman"/>
                      <w:color w:val="auto"/>
                      <w:highlight w:val="none"/>
                      <w:vertAlign w:val="baseline"/>
                      <w:lang w:val="en-US" w:eastAsia="zh-CN"/>
                    </w:rPr>
                    <w:t>1</w:t>
                  </w:r>
                </w:p>
              </w:tc>
            </w:tr>
            <w:tr w14:paraId="0E494D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0" w:type="dxa"/>
                  <w:tcBorders>
                    <w:tl2br w:val="nil"/>
                    <w:tr2bl w:val="nil"/>
                  </w:tcBorders>
                  <w:vAlign w:val="center"/>
                </w:tcPr>
                <w:p w14:paraId="175C0637">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val="0"/>
                      <w:bCs w:val="0"/>
                      <w:color w:val="auto"/>
                      <w:highlight w:val="none"/>
                      <w:vertAlign w:val="baseline"/>
                      <w:lang w:val="en-US" w:eastAsia="zh-CN"/>
                    </w:rPr>
                  </w:pPr>
                  <w:r>
                    <w:rPr>
                      <w:rFonts w:hint="default" w:ascii="Times New Roman" w:hAnsi="Times New Roman" w:eastAsia="宋体" w:cs="Times New Roman"/>
                      <w:b w:val="0"/>
                      <w:bCs w:val="0"/>
                      <w:color w:val="auto"/>
                      <w:highlight w:val="none"/>
                      <w:vertAlign w:val="baseline"/>
                      <w:lang w:val="en-US" w:eastAsia="zh-CN"/>
                    </w:rPr>
                    <w:t>5</w:t>
                  </w:r>
                </w:p>
              </w:tc>
              <w:tc>
                <w:tcPr>
                  <w:tcW w:w="2326" w:type="dxa"/>
                  <w:tcBorders>
                    <w:tl2br w:val="nil"/>
                    <w:tr2bl w:val="nil"/>
                  </w:tcBorders>
                  <w:shd w:val="clear" w:color="auto" w:fill="auto"/>
                  <w:vAlign w:val="center"/>
                </w:tcPr>
                <w:p w14:paraId="3004C47A">
                  <w:pPr>
                    <w:pStyle w:val="2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vertAlign w:val="baseline"/>
                      <w:lang w:val="en-US" w:eastAsia="zh-CN" w:bidi="ar-SA"/>
                    </w:rPr>
                  </w:pPr>
                  <w:r>
                    <w:rPr>
                      <w:rFonts w:hint="default" w:ascii="Times New Roman" w:hAnsi="Times New Roman" w:cs="Times New Roman"/>
                      <w:color w:val="auto"/>
                      <w:highlight w:val="none"/>
                      <w:vertAlign w:val="baseline"/>
                      <w:lang w:val="en-US" w:eastAsia="zh-CN"/>
                    </w:rPr>
                    <w:t>装载机</w:t>
                  </w:r>
                </w:p>
              </w:tc>
              <w:tc>
                <w:tcPr>
                  <w:tcW w:w="3476" w:type="dxa"/>
                  <w:tcBorders>
                    <w:tl2br w:val="nil"/>
                    <w:tr2bl w:val="nil"/>
                  </w:tcBorders>
                  <w:shd w:val="clear" w:color="auto" w:fill="auto"/>
                  <w:vAlign w:val="center"/>
                </w:tcPr>
                <w:p w14:paraId="10968EAC">
                  <w:pPr>
                    <w:pStyle w:val="2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vertAlign w:val="baseline"/>
                      <w:lang w:val="en-US" w:eastAsia="zh-CN" w:bidi="ar-SA"/>
                    </w:rPr>
                  </w:pPr>
                  <w:r>
                    <w:rPr>
                      <w:rFonts w:hint="default" w:ascii="Times New Roman" w:hAnsi="Times New Roman" w:cs="Times New Roman"/>
                      <w:color w:val="auto"/>
                      <w:highlight w:val="none"/>
                      <w:vertAlign w:val="baseline"/>
                      <w:lang w:val="en-US" w:eastAsia="zh-CN"/>
                    </w:rPr>
                    <w:t>ZL50</w:t>
                  </w:r>
                </w:p>
              </w:tc>
              <w:tc>
                <w:tcPr>
                  <w:tcW w:w="932" w:type="dxa"/>
                  <w:tcBorders>
                    <w:tl2br w:val="nil"/>
                    <w:tr2bl w:val="nil"/>
                  </w:tcBorders>
                  <w:shd w:val="clear" w:color="auto" w:fill="auto"/>
                  <w:vAlign w:val="center"/>
                </w:tcPr>
                <w:p w14:paraId="2ACD356E">
                  <w:pPr>
                    <w:pStyle w:val="2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vertAlign w:val="baseline"/>
                      <w:lang w:val="en-US" w:eastAsia="zh-CN" w:bidi="ar-SA"/>
                    </w:rPr>
                  </w:pPr>
                  <w:r>
                    <w:rPr>
                      <w:rFonts w:hint="default" w:ascii="Times New Roman" w:hAnsi="Times New Roman" w:cs="Times New Roman"/>
                      <w:color w:val="auto"/>
                      <w:highlight w:val="none"/>
                      <w:vertAlign w:val="baseline"/>
                      <w:lang w:val="en-US" w:eastAsia="zh-CN"/>
                    </w:rPr>
                    <w:t>辆</w:t>
                  </w:r>
                </w:p>
              </w:tc>
              <w:tc>
                <w:tcPr>
                  <w:tcW w:w="898" w:type="dxa"/>
                  <w:tcBorders>
                    <w:tl2br w:val="nil"/>
                    <w:tr2bl w:val="nil"/>
                  </w:tcBorders>
                  <w:shd w:val="clear" w:color="auto" w:fill="auto"/>
                  <w:vAlign w:val="center"/>
                </w:tcPr>
                <w:p w14:paraId="38F6B477">
                  <w:pPr>
                    <w:pStyle w:val="2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vertAlign w:val="baseline"/>
                      <w:lang w:val="en-US" w:eastAsia="zh-CN" w:bidi="ar-SA"/>
                    </w:rPr>
                  </w:pPr>
                  <w:r>
                    <w:rPr>
                      <w:rFonts w:hint="default" w:ascii="Times New Roman" w:hAnsi="Times New Roman" w:cs="Times New Roman"/>
                      <w:color w:val="auto"/>
                      <w:highlight w:val="none"/>
                      <w:vertAlign w:val="baseline"/>
                      <w:lang w:val="en-US" w:eastAsia="zh-CN"/>
                    </w:rPr>
                    <w:t>4</w:t>
                  </w:r>
                </w:p>
              </w:tc>
            </w:tr>
            <w:tr w14:paraId="78979F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0" w:type="dxa"/>
                  <w:tcBorders>
                    <w:tl2br w:val="nil"/>
                    <w:tr2bl w:val="nil"/>
                  </w:tcBorders>
                  <w:vAlign w:val="center"/>
                </w:tcPr>
                <w:p w14:paraId="3B5DBE9B">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val="0"/>
                      <w:bCs w:val="0"/>
                      <w:color w:val="auto"/>
                      <w:highlight w:val="none"/>
                      <w:vertAlign w:val="baseline"/>
                      <w:lang w:val="en-US" w:eastAsia="zh-CN"/>
                    </w:rPr>
                  </w:pPr>
                  <w:r>
                    <w:rPr>
                      <w:rFonts w:hint="default" w:ascii="Times New Roman" w:hAnsi="Times New Roman" w:eastAsia="宋体" w:cs="Times New Roman"/>
                      <w:b w:val="0"/>
                      <w:bCs w:val="0"/>
                      <w:color w:val="auto"/>
                      <w:highlight w:val="none"/>
                      <w:vertAlign w:val="baseline"/>
                      <w:lang w:val="en-US" w:eastAsia="zh-CN"/>
                    </w:rPr>
                    <w:t>6</w:t>
                  </w:r>
                </w:p>
              </w:tc>
              <w:tc>
                <w:tcPr>
                  <w:tcW w:w="2326" w:type="dxa"/>
                  <w:tcBorders>
                    <w:tl2br w:val="nil"/>
                    <w:tr2bl w:val="nil"/>
                  </w:tcBorders>
                  <w:shd w:val="clear" w:color="auto" w:fill="auto"/>
                  <w:vAlign w:val="center"/>
                </w:tcPr>
                <w:p w14:paraId="60E277F8">
                  <w:pPr>
                    <w:pStyle w:val="2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vertAlign w:val="baseline"/>
                      <w:lang w:val="en-US" w:eastAsia="zh-CN" w:bidi="ar-SA"/>
                    </w:rPr>
                  </w:pPr>
                  <w:r>
                    <w:rPr>
                      <w:rFonts w:hint="default" w:ascii="Times New Roman" w:hAnsi="Times New Roman" w:cs="Times New Roman"/>
                      <w:color w:val="auto"/>
                      <w:highlight w:val="none"/>
                      <w:vertAlign w:val="baseline"/>
                      <w:lang w:val="en-US" w:eastAsia="zh-CN"/>
                    </w:rPr>
                    <w:t>推土机</w:t>
                  </w:r>
                </w:p>
              </w:tc>
              <w:tc>
                <w:tcPr>
                  <w:tcW w:w="3476" w:type="dxa"/>
                  <w:tcBorders>
                    <w:tl2br w:val="nil"/>
                    <w:tr2bl w:val="nil"/>
                  </w:tcBorders>
                  <w:shd w:val="clear" w:color="auto" w:fill="auto"/>
                  <w:vAlign w:val="center"/>
                </w:tcPr>
                <w:p w14:paraId="2CC2D43A">
                  <w:pPr>
                    <w:pStyle w:val="2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vertAlign w:val="baseline"/>
                      <w:lang w:val="en-US" w:eastAsia="zh-CN" w:bidi="ar-SA"/>
                    </w:rPr>
                  </w:pPr>
                  <w:r>
                    <w:rPr>
                      <w:rFonts w:hint="default" w:ascii="Times New Roman" w:hAnsi="Times New Roman" w:cs="Times New Roman"/>
                      <w:color w:val="auto"/>
                      <w:highlight w:val="none"/>
                      <w:vertAlign w:val="baseline"/>
                      <w:lang w:val="en-US" w:eastAsia="zh-CN"/>
                    </w:rPr>
                    <w:t>HW16DE</w:t>
                  </w:r>
                </w:p>
              </w:tc>
              <w:tc>
                <w:tcPr>
                  <w:tcW w:w="932" w:type="dxa"/>
                  <w:tcBorders>
                    <w:tl2br w:val="nil"/>
                    <w:tr2bl w:val="nil"/>
                  </w:tcBorders>
                  <w:shd w:val="clear" w:color="auto" w:fill="auto"/>
                  <w:vAlign w:val="center"/>
                </w:tcPr>
                <w:p w14:paraId="45E84F73">
                  <w:pPr>
                    <w:pStyle w:val="2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vertAlign w:val="baseline"/>
                      <w:lang w:val="en-US" w:eastAsia="zh-CN" w:bidi="ar-SA"/>
                    </w:rPr>
                  </w:pPr>
                  <w:r>
                    <w:rPr>
                      <w:rFonts w:hint="default" w:ascii="Times New Roman" w:hAnsi="Times New Roman" w:cs="Times New Roman"/>
                      <w:color w:val="auto"/>
                      <w:highlight w:val="none"/>
                      <w:vertAlign w:val="baseline"/>
                      <w:lang w:val="en-US" w:eastAsia="zh-CN"/>
                    </w:rPr>
                    <w:t>辆</w:t>
                  </w:r>
                </w:p>
              </w:tc>
              <w:tc>
                <w:tcPr>
                  <w:tcW w:w="898" w:type="dxa"/>
                  <w:tcBorders>
                    <w:tl2br w:val="nil"/>
                    <w:tr2bl w:val="nil"/>
                  </w:tcBorders>
                  <w:shd w:val="clear" w:color="auto" w:fill="auto"/>
                  <w:vAlign w:val="center"/>
                </w:tcPr>
                <w:p w14:paraId="28DA73F9">
                  <w:pPr>
                    <w:pStyle w:val="2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vertAlign w:val="baseline"/>
                      <w:lang w:val="en-US" w:eastAsia="zh-CN" w:bidi="ar-SA"/>
                    </w:rPr>
                  </w:pPr>
                  <w:r>
                    <w:rPr>
                      <w:rFonts w:hint="default" w:ascii="Times New Roman" w:hAnsi="Times New Roman" w:cs="Times New Roman"/>
                      <w:color w:val="auto"/>
                      <w:highlight w:val="none"/>
                      <w:vertAlign w:val="baseline"/>
                      <w:lang w:val="en-US" w:eastAsia="zh-CN"/>
                    </w:rPr>
                    <w:t>4</w:t>
                  </w:r>
                </w:p>
              </w:tc>
            </w:tr>
            <w:tr w14:paraId="782C03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0" w:type="dxa"/>
                  <w:tcBorders>
                    <w:tl2br w:val="nil"/>
                    <w:tr2bl w:val="nil"/>
                  </w:tcBorders>
                  <w:vAlign w:val="center"/>
                </w:tcPr>
                <w:p w14:paraId="09764E39">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val="0"/>
                      <w:bCs w:val="0"/>
                      <w:color w:val="auto"/>
                      <w:highlight w:val="none"/>
                      <w:vertAlign w:val="baseline"/>
                      <w:lang w:val="en-US" w:eastAsia="zh-CN"/>
                    </w:rPr>
                  </w:pPr>
                  <w:r>
                    <w:rPr>
                      <w:rFonts w:hint="default" w:ascii="Times New Roman" w:hAnsi="Times New Roman" w:eastAsia="宋体" w:cs="Times New Roman"/>
                      <w:b w:val="0"/>
                      <w:bCs w:val="0"/>
                      <w:color w:val="auto"/>
                      <w:highlight w:val="none"/>
                      <w:vertAlign w:val="baseline"/>
                      <w:lang w:val="en-US" w:eastAsia="zh-CN"/>
                    </w:rPr>
                    <w:t>7</w:t>
                  </w:r>
                </w:p>
              </w:tc>
              <w:tc>
                <w:tcPr>
                  <w:tcW w:w="2326" w:type="dxa"/>
                  <w:tcBorders>
                    <w:tl2br w:val="nil"/>
                    <w:tr2bl w:val="nil"/>
                  </w:tcBorders>
                  <w:vAlign w:val="center"/>
                </w:tcPr>
                <w:p w14:paraId="40741439">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柴油发电机</w:t>
                  </w:r>
                </w:p>
              </w:tc>
              <w:tc>
                <w:tcPr>
                  <w:tcW w:w="3476" w:type="dxa"/>
                  <w:tcBorders>
                    <w:tl2br w:val="nil"/>
                    <w:tr2bl w:val="nil"/>
                  </w:tcBorders>
                  <w:vAlign w:val="center"/>
                </w:tcPr>
                <w:p w14:paraId="1D391713">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TO28000ET，25kW，50L，1500r/min</w:t>
                  </w:r>
                </w:p>
              </w:tc>
              <w:tc>
                <w:tcPr>
                  <w:tcW w:w="932" w:type="dxa"/>
                  <w:tcBorders>
                    <w:tl2br w:val="nil"/>
                    <w:tr2bl w:val="nil"/>
                  </w:tcBorders>
                  <w:vAlign w:val="center"/>
                </w:tcPr>
                <w:p w14:paraId="55A87BB0">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台</w:t>
                  </w:r>
                </w:p>
              </w:tc>
              <w:tc>
                <w:tcPr>
                  <w:tcW w:w="898" w:type="dxa"/>
                  <w:tcBorders>
                    <w:tl2br w:val="nil"/>
                    <w:tr2bl w:val="nil"/>
                  </w:tcBorders>
                  <w:vAlign w:val="center"/>
                </w:tcPr>
                <w:p w14:paraId="2CD70AEE">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1</w:t>
                  </w:r>
                </w:p>
              </w:tc>
            </w:tr>
            <w:tr w14:paraId="372555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0" w:type="dxa"/>
                  <w:tcBorders>
                    <w:tl2br w:val="nil"/>
                    <w:tr2bl w:val="nil"/>
                  </w:tcBorders>
                  <w:vAlign w:val="center"/>
                </w:tcPr>
                <w:p w14:paraId="12BEF528">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val="0"/>
                      <w:bCs w:val="0"/>
                      <w:color w:val="auto"/>
                      <w:highlight w:val="none"/>
                      <w:vertAlign w:val="baseline"/>
                      <w:lang w:val="en-US" w:eastAsia="zh-CN"/>
                    </w:rPr>
                  </w:pPr>
                  <w:r>
                    <w:rPr>
                      <w:rFonts w:hint="default" w:ascii="Times New Roman" w:hAnsi="Times New Roman" w:eastAsia="宋体" w:cs="Times New Roman"/>
                      <w:b w:val="0"/>
                      <w:bCs w:val="0"/>
                      <w:color w:val="auto"/>
                      <w:highlight w:val="none"/>
                      <w:vertAlign w:val="baseline"/>
                      <w:lang w:val="en-US" w:eastAsia="zh-CN"/>
                    </w:rPr>
                    <w:t>8</w:t>
                  </w:r>
                </w:p>
              </w:tc>
              <w:tc>
                <w:tcPr>
                  <w:tcW w:w="2326" w:type="dxa"/>
                  <w:tcBorders>
                    <w:tl2br w:val="nil"/>
                    <w:tr2bl w:val="nil"/>
                  </w:tcBorders>
                  <w:vAlign w:val="center"/>
                </w:tcPr>
                <w:p w14:paraId="7A30B855">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电动振捣器</w:t>
                  </w:r>
                </w:p>
              </w:tc>
              <w:tc>
                <w:tcPr>
                  <w:tcW w:w="3476" w:type="dxa"/>
                  <w:tcBorders>
                    <w:tl2br w:val="nil"/>
                    <w:tr2bl w:val="nil"/>
                  </w:tcBorders>
                  <w:vAlign w:val="center"/>
                </w:tcPr>
                <w:p w14:paraId="34086F4F">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ZN25~35</w:t>
                  </w:r>
                </w:p>
              </w:tc>
              <w:tc>
                <w:tcPr>
                  <w:tcW w:w="932" w:type="dxa"/>
                  <w:tcBorders>
                    <w:tl2br w:val="nil"/>
                    <w:tr2bl w:val="nil"/>
                  </w:tcBorders>
                  <w:vAlign w:val="center"/>
                </w:tcPr>
                <w:p w14:paraId="586B772F">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台</w:t>
                  </w:r>
                </w:p>
              </w:tc>
              <w:tc>
                <w:tcPr>
                  <w:tcW w:w="898" w:type="dxa"/>
                  <w:tcBorders>
                    <w:tl2br w:val="nil"/>
                    <w:tr2bl w:val="nil"/>
                  </w:tcBorders>
                  <w:vAlign w:val="center"/>
                </w:tcPr>
                <w:p w14:paraId="3A1D048B">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6</w:t>
                  </w:r>
                </w:p>
              </w:tc>
            </w:tr>
            <w:tr w14:paraId="0E41BD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0" w:type="dxa"/>
                  <w:tcBorders>
                    <w:tl2br w:val="nil"/>
                    <w:tr2bl w:val="nil"/>
                  </w:tcBorders>
                  <w:vAlign w:val="center"/>
                </w:tcPr>
                <w:p w14:paraId="2D2CE797">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val="0"/>
                      <w:bCs w:val="0"/>
                      <w:color w:val="auto"/>
                      <w:highlight w:val="none"/>
                      <w:vertAlign w:val="baseline"/>
                      <w:lang w:val="en-US" w:eastAsia="zh-CN"/>
                    </w:rPr>
                  </w:pPr>
                  <w:r>
                    <w:rPr>
                      <w:rFonts w:hint="default" w:ascii="Times New Roman" w:hAnsi="Times New Roman" w:eastAsia="宋体" w:cs="Times New Roman"/>
                      <w:b w:val="0"/>
                      <w:bCs w:val="0"/>
                      <w:color w:val="auto"/>
                      <w:highlight w:val="none"/>
                      <w:vertAlign w:val="baseline"/>
                      <w:lang w:val="en-US" w:eastAsia="zh-CN"/>
                    </w:rPr>
                    <w:t>9</w:t>
                  </w:r>
                </w:p>
              </w:tc>
              <w:tc>
                <w:tcPr>
                  <w:tcW w:w="2326" w:type="dxa"/>
                  <w:tcBorders>
                    <w:tl2br w:val="nil"/>
                    <w:tr2bl w:val="nil"/>
                  </w:tcBorders>
                  <w:vAlign w:val="center"/>
                </w:tcPr>
                <w:p w14:paraId="6FEA10FD">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蛙式打夯机</w:t>
                  </w:r>
                </w:p>
              </w:tc>
              <w:tc>
                <w:tcPr>
                  <w:tcW w:w="3476" w:type="dxa"/>
                  <w:tcBorders>
                    <w:tl2br w:val="nil"/>
                    <w:tr2bl w:val="nil"/>
                  </w:tcBorders>
                  <w:vAlign w:val="center"/>
                </w:tcPr>
                <w:p w14:paraId="721ABE1F">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HW80-A，80kg，150-160次/min</w:t>
                  </w:r>
                </w:p>
              </w:tc>
              <w:tc>
                <w:tcPr>
                  <w:tcW w:w="932" w:type="dxa"/>
                  <w:tcBorders>
                    <w:tl2br w:val="nil"/>
                    <w:tr2bl w:val="nil"/>
                  </w:tcBorders>
                  <w:vAlign w:val="center"/>
                </w:tcPr>
                <w:p w14:paraId="16CFB62F">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台</w:t>
                  </w:r>
                </w:p>
              </w:tc>
              <w:tc>
                <w:tcPr>
                  <w:tcW w:w="898" w:type="dxa"/>
                  <w:tcBorders>
                    <w:tl2br w:val="nil"/>
                    <w:tr2bl w:val="nil"/>
                  </w:tcBorders>
                  <w:vAlign w:val="center"/>
                </w:tcPr>
                <w:p w14:paraId="63CC1A51">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8</w:t>
                  </w:r>
                </w:p>
              </w:tc>
            </w:tr>
            <w:tr w14:paraId="008E4E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0" w:type="dxa"/>
                  <w:tcBorders>
                    <w:tl2br w:val="nil"/>
                    <w:tr2bl w:val="nil"/>
                  </w:tcBorders>
                  <w:vAlign w:val="center"/>
                </w:tcPr>
                <w:p w14:paraId="33F92663">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10</w:t>
                  </w:r>
                </w:p>
              </w:tc>
              <w:tc>
                <w:tcPr>
                  <w:tcW w:w="2326" w:type="dxa"/>
                  <w:tcBorders>
                    <w:tl2br w:val="nil"/>
                    <w:tr2bl w:val="nil"/>
                  </w:tcBorders>
                  <w:vAlign w:val="center"/>
                </w:tcPr>
                <w:p w14:paraId="166DF6F0">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洒水车</w:t>
                  </w:r>
                </w:p>
              </w:tc>
              <w:tc>
                <w:tcPr>
                  <w:tcW w:w="3476" w:type="dxa"/>
                  <w:tcBorders>
                    <w:tl2br w:val="nil"/>
                    <w:tr2bl w:val="nil"/>
                  </w:tcBorders>
                  <w:vAlign w:val="center"/>
                </w:tcPr>
                <w:p w14:paraId="11A742B5">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KLF5162GPSE6，12m³</w:t>
                  </w:r>
                </w:p>
              </w:tc>
              <w:tc>
                <w:tcPr>
                  <w:tcW w:w="932" w:type="dxa"/>
                  <w:tcBorders>
                    <w:tl2br w:val="nil"/>
                    <w:tr2bl w:val="nil"/>
                  </w:tcBorders>
                  <w:vAlign w:val="center"/>
                </w:tcPr>
                <w:p w14:paraId="53ECEC9E">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辆</w:t>
                  </w:r>
                </w:p>
              </w:tc>
              <w:tc>
                <w:tcPr>
                  <w:tcW w:w="898" w:type="dxa"/>
                  <w:tcBorders>
                    <w:tl2br w:val="nil"/>
                    <w:tr2bl w:val="nil"/>
                  </w:tcBorders>
                  <w:vAlign w:val="center"/>
                </w:tcPr>
                <w:p w14:paraId="60A5C9F7">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4</w:t>
                  </w:r>
                </w:p>
              </w:tc>
            </w:tr>
          </w:tbl>
          <w:p w14:paraId="3CE7C8BF">
            <w:pPr>
              <w:autoSpaceDE w:val="0"/>
              <w:autoSpaceDN w:val="0"/>
              <w:adjustRightInd w:val="0"/>
              <w:spacing w:line="360" w:lineRule="auto"/>
              <w:ind w:firstLine="480" w:firstLineChars="200"/>
              <w:rPr>
                <w:rFonts w:hint="default" w:ascii="Times New Roman" w:hAnsi="Times New Roman" w:eastAsia="黑体" w:cs="Times New Roman"/>
                <w:b w:val="0"/>
                <w:bCs w:val="0"/>
                <w:color w:val="auto"/>
                <w:kern w:val="0"/>
                <w:sz w:val="24"/>
                <w:szCs w:val="24"/>
                <w:highlight w:val="none"/>
                <w:lang w:val="en-US" w:eastAsia="zh-CN" w:bidi="ar-SA"/>
              </w:rPr>
            </w:pPr>
            <w:r>
              <w:rPr>
                <w:rFonts w:hint="default" w:ascii="Times New Roman" w:hAnsi="Times New Roman" w:eastAsia="黑体" w:cs="Times New Roman"/>
                <w:b w:val="0"/>
                <w:bCs w:val="0"/>
                <w:color w:val="auto"/>
                <w:kern w:val="0"/>
                <w:sz w:val="24"/>
                <w:szCs w:val="24"/>
                <w:highlight w:val="none"/>
                <w:lang w:val="en-US" w:eastAsia="zh-CN" w:bidi="ar-SA"/>
              </w:rPr>
              <w:t>3、工程设计</w:t>
            </w:r>
          </w:p>
          <w:p w14:paraId="6722EA65">
            <w:pPr>
              <w:autoSpaceDE w:val="0"/>
              <w:autoSpaceDN w:val="0"/>
              <w:adjustRightInd w:val="0"/>
              <w:spacing w:line="360" w:lineRule="auto"/>
              <w:ind w:firstLine="480" w:firstLineChars="200"/>
              <w:rPr>
                <w:rFonts w:hint="default" w:ascii="Times New Roman" w:hAnsi="Times New Roman" w:eastAsia="黑体" w:cs="Times New Roman"/>
                <w:b w:val="0"/>
                <w:bCs w:val="0"/>
                <w:color w:val="auto"/>
                <w:kern w:val="0"/>
                <w:sz w:val="24"/>
                <w:szCs w:val="24"/>
                <w:highlight w:val="none"/>
                <w:lang w:val="en-US" w:eastAsia="zh-CN" w:bidi="ar-SA"/>
              </w:rPr>
            </w:pPr>
            <w:r>
              <w:rPr>
                <w:rFonts w:hint="default" w:ascii="Times New Roman" w:hAnsi="Times New Roman" w:eastAsia="黑体" w:cs="Times New Roman"/>
                <w:b w:val="0"/>
                <w:bCs w:val="0"/>
                <w:color w:val="auto"/>
                <w:kern w:val="0"/>
                <w:sz w:val="24"/>
                <w:szCs w:val="24"/>
                <w:highlight w:val="none"/>
                <w:lang w:val="en-US" w:eastAsia="zh-CN" w:bidi="ar-SA"/>
              </w:rPr>
              <w:t>①沟道清淤疏浚工程</w:t>
            </w:r>
          </w:p>
          <w:p w14:paraId="32869D6E">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根据河道整治工程总体布局，确定疏挖范围，在不改变整治河段的河道比降的前提下，使河槽与河岸保持稳定，边坡不应陡于1:1.5，且满足边坡稳定的要求。局部河段需要扩挖时，沿滩地较宽的一侧或沿凸岸</w:t>
            </w:r>
            <w:r>
              <w:rPr>
                <w:rFonts w:hint="eastAsia" w:cs="Times New Roman"/>
                <w:color w:val="auto"/>
                <w:kern w:val="0"/>
                <w:sz w:val="24"/>
                <w:szCs w:val="24"/>
                <w:highlight w:val="none"/>
                <w:lang w:val="en-US" w:eastAsia="zh-CN" w:bidi="ar-SA"/>
              </w:rPr>
              <w:t>进行轻微</w:t>
            </w:r>
            <w:r>
              <w:rPr>
                <w:rFonts w:hint="default" w:ascii="Times New Roman" w:hAnsi="Times New Roman" w:eastAsia="宋体" w:cs="Times New Roman"/>
                <w:color w:val="auto"/>
                <w:kern w:val="0"/>
                <w:sz w:val="24"/>
                <w:szCs w:val="24"/>
                <w:highlight w:val="none"/>
                <w:lang w:val="en-US" w:eastAsia="zh-CN" w:bidi="ar-SA"/>
              </w:rPr>
              <w:t>扩挖，</w:t>
            </w:r>
            <w:r>
              <w:rPr>
                <w:rFonts w:hint="eastAsia" w:cs="Times New Roman"/>
                <w:color w:val="auto"/>
                <w:kern w:val="0"/>
                <w:sz w:val="24"/>
                <w:szCs w:val="24"/>
                <w:highlight w:val="none"/>
                <w:lang w:val="en-US" w:eastAsia="zh-CN" w:bidi="ar-SA"/>
              </w:rPr>
              <w:t>并将扩挖后的土方回填至临近凹面</w:t>
            </w:r>
            <w:r>
              <w:rPr>
                <w:rFonts w:hint="default" w:ascii="Times New Roman" w:hAnsi="Times New Roman" w:eastAsia="宋体" w:cs="Times New Roman"/>
                <w:color w:val="auto"/>
                <w:kern w:val="0"/>
                <w:sz w:val="24"/>
                <w:szCs w:val="24"/>
                <w:highlight w:val="none"/>
                <w:lang w:val="en-US" w:eastAsia="zh-CN" w:bidi="ar-SA"/>
              </w:rPr>
              <w:t>尽可能</w:t>
            </w:r>
            <w:r>
              <w:rPr>
                <w:rFonts w:hint="eastAsia" w:cs="Times New Roman"/>
                <w:color w:val="auto"/>
                <w:kern w:val="0"/>
                <w:sz w:val="24"/>
                <w:szCs w:val="24"/>
                <w:highlight w:val="none"/>
                <w:lang w:val="en-US" w:eastAsia="zh-CN" w:bidi="ar-SA"/>
              </w:rPr>
              <w:t>使</w:t>
            </w:r>
            <w:r>
              <w:rPr>
                <w:rFonts w:hint="default" w:ascii="Times New Roman" w:hAnsi="Times New Roman" w:eastAsia="宋体" w:cs="Times New Roman"/>
                <w:color w:val="auto"/>
                <w:kern w:val="0"/>
                <w:sz w:val="24"/>
                <w:szCs w:val="24"/>
                <w:highlight w:val="none"/>
                <w:lang w:val="en-US" w:eastAsia="zh-CN" w:bidi="ar-SA"/>
              </w:rPr>
              <w:t>河线顺直</w:t>
            </w:r>
            <w:r>
              <w:rPr>
                <w:rFonts w:hint="eastAsia" w:cs="Times New Roman"/>
                <w:color w:val="auto"/>
                <w:kern w:val="0"/>
                <w:sz w:val="24"/>
                <w:szCs w:val="24"/>
                <w:highlight w:val="none"/>
                <w:lang w:val="en-US" w:eastAsia="zh-CN" w:bidi="ar-SA"/>
              </w:rPr>
              <w:t>，开挖的断面全部控制在沟道原有占地管理范围内，不新增永久占地</w:t>
            </w:r>
            <w:r>
              <w:rPr>
                <w:rFonts w:hint="default" w:ascii="Times New Roman" w:hAnsi="Times New Roman" w:eastAsia="宋体" w:cs="Times New Roman"/>
                <w:color w:val="auto"/>
                <w:kern w:val="0"/>
                <w:sz w:val="24"/>
                <w:szCs w:val="24"/>
                <w:highlight w:val="none"/>
                <w:lang w:val="en-US" w:eastAsia="zh-CN" w:bidi="ar-SA"/>
              </w:rPr>
              <w:t>。</w:t>
            </w:r>
          </w:p>
          <w:p w14:paraId="484565F5">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本工程对</w:t>
            </w:r>
            <w:r>
              <w:rPr>
                <w:rFonts w:hint="default" w:ascii="Times New Roman" w:hAnsi="Times New Roman" w:cs="Times New Roman"/>
                <w:color w:val="auto"/>
                <w:kern w:val="0"/>
                <w:sz w:val="24"/>
                <w:szCs w:val="24"/>
                <w:highlight w:val="none"/>
                <w:lang w:val="en-US" w:eastAsia="zh-CN" w:bidi="ar-SA"/>
              </w:rPr>
              <w:t>高崖沟</w:t>
            </w:r>
            <w:r>
              <w:rPr>
                <w:rFonts w:hint="default" w:ascii="Times New Roman" w:hAnsi="Times New Roman" w:eastAsia="宋体" w:cs="Times New Roman"/>
                <w:color w:val="auto"/>
                <w:kern w:val="0"/>
                <w:sz w:val="24"/>
                <w:szCs w:val="24"/>
                <w:highlight w:val="none"/>
                <w:lang w:val="en-US" w:eastAsia="zh-CN" w:bidi="ar-SA"/>
              </w:rPr>
              <w:t>桩号GY0+000</w:t>
            </w:r>
            <w:r>
              <w:rPr>
                <w:rFonts w:hint="eastAsia" w:cs="Times New Roman"/>
                <w:color w:val="auto"/>
                <w:kern w:val="0"/>
                <w:sz w:val="24"/>
                <w:szCs w:val="24"/>
                <w:highlight w:val="none"/>
                <w:lang w:val="en-US" w:eastAsia="zh-CN" w:bidi="ar-SA"/>
              </w:rPr>
              <w:t>~G</w:t>
            </w:r>
            <w:r>
              <w:rPr>
                <w:rFonts w:hint="default" w:ascii="Times New Roman" w:hAnsi="Times New Roman" w:eastAsia="宋体" w:cs="Times New Roman"/>
                <w:color w:val="auto"/>
                <w:kern w:val="0"/>
                <w:sz w:val="24"/>
                <w:szCs w:val="24"/>
                <w:highlight w:val="none"/>
                <w:lang w:val="en-US" w:eastAsia="zh-CN" w:bidi="ar-SA"/>
              </w:rPr>
              <w:t>Y1+130段、GY4+800</w:t>
            </w:r>
            <w:r>
              <w:rPr>
                <w:rFonts w:hint="eastAsia" w:cs="Times New Roman"/>
                <w:color w:val="auto"/>
                <w:kern w:val="0"/>
                <w:sz w:val="24"/>
                <w:szCs w:val="24"/>
                <w:highlight w:val="none"/>
                <w:lang w:val="en-US" w:eastAsia="zh-CN" w:bidi="ar-SA"/>
              </w:rPr>
              <w:t>~G</w:t>
            </w:r>
            <w:r>
              <w:rPr>
                <w:rFonts w:hint="default" w:ascii="Times New Roman" w:hAnsi="Times New Roman" w:eastAsia="宋体" w:cs="Times New Roman"/>
                <w:color w:val="auto"/>
                <w:kern w:val="0"/>
                <w:sz w:val="24"/>
                <w:szCs w:val="24"/>
                <w:highlight w:val="none"/>
                <w:lang w:val="en-US" w:eastAsia="zh-CN" w:bidi="ar-SA"/>
              </w:rPr>
              <w:t>Y5+800段位于兴仁镇上游，现状淤积严重，清淤长度2.13km</w:t>
            </w:r>
            <w:r>
              <w:rPr>
                <w:rFonts w:hint="eastAsia"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GY45+010~GY48+880段右岸位于宁夏境内，清淤长度3.87km，合计6km。</w:t>
            </w:r>
            <w:r>
              <w:rPr>
                <w:rFonts w:hint="default" w:ascii="Times New Roman" w:hAnsi="Times New Roman" w:cs="Times New Roman"/>
                <w:color w:val="auto"/>
                <w:kern w:val="0"/>
                <w:sz w:val="24"/>
                <w:szCs w:val="24"/>
                <w:highlight w:val="none"/>
                <w:lang w:val="en-US" w:eastAsia="zh-CN" w:bidi="ar-SA"/>
              </w:rPr>
              <w:t>本次</w:t>
            </w:r>
            <w:r>
              <w:rPr>
                <w:rFonts w:hint="eastAsia" w:cs="Times New Roman"/>
                <w:color w:val="auto"/>
                <w:kern w:val="0"/>
                <w:sz w:val="24"/>
                <w:szCs w:val="24"/>
                <w:highlight w:val="none"/>
                <w:lang w:val="en-US" w:eastAsia="zh-CN" w:bidi="ar-SA"/>
              </w:rPr>
              <w:t>平均清淤厚度0.4m，平均清淤宽度10m，清淤宽度</w:t>
            </w:r>
            <w:r>
              <w:rPr>
                <w:rFonts w:hint="default" w:ascii="Times New Roman" w:hAnsi="Times New Roman" w:cs="Times New Roman"/>
                <w:color w:val="auto"/>
                <w:kern w:val="0"/>
                <w:sz w:val="24"/>
                <w:szCs w:val="24"/>
                <w:highlight w:val="none"/>
                <w:lang w:val="en-US" w:eastAsia="zh-CN" w:bidi="ar-SA"/>
              </w:rPr>
              <w:t>产生的淤泥量约为</w:t>
            </w:r>
            <w:r>
              <w:rPr>
                <w:rFonts w:hint="eastAsia" w:cs="Times New Roman"/>
                <w:color w:val="auto"/>
                <w:kern w:val="0"/>
                <w:sz w:val="24"/>
                <w:szCs w:val="24"/>
                <w:highlight w:val="none"/>
                <w:lang w:val="en-US" w:eastAsia="zh-CN" w:bidi="ar-SA"/>
              </w:rPr>
              <w:t>24</w:t>
            </w:r>
            <w:r>
              <w:rPr>
                <w:rFonts w:hint="default" w:ascii="Times New Roman" w:hAnsi="Times New Roman" w:cs="Times New Roman"/>
                <w:color w:val="auto"/>
                <w:kern w:val="0"/>
                <w:sz w:val="24"/>
                <w:szCs w:val="24"/>
                <w:highlight w:val="none"/>
                <w:lang w:val="en-US" w:eastAsia="zh-CN" w:bidi="ar-SA"/>
              </w:rPr>
              <w:t>000m³，</w:t>
            </w:r>
            <w:r>
              <w:rPr>
                <w:rFonts w:hint="eastAsia" w:cs="Times New Roman"/>
                <w:color w:val="auto"/>
                <w:kern w:val="0"/>
                <w:sz w:val="24"/>
                <w:szCs w:val="24"/>
                <w:highlight w:val="none"/>
                <w:lang w:val="en-US" w:eastAsia="zh-CN" w:bidi="ar-SA"/>
              </w:rPr>
              <w:t>由于高崖沟为季节性泄洪沟道且地处黄土高原水土流失区，枯水期基本处于无水状态，沟道清淤淤泥主要为山洪冲击泥沙，且清淤施工期在枯水期，因此项目沟道清淤所清出的淤沙水分较低，堆放于沟道边坡沟拜上短暂</w:t>
            </w:r>
            <w:r>
              <w:rPr>
                <w:rFonts w:hint="default" w:ascii="Times New Roman" w:hAnsi="Times New Roman" w:eastAsia="宋体" w:cs="Times New Roman"/>
                <w:color w:val="auto"/>
                <w:kern w:val="0"/>
                <w:sz w:val="24"/>
                <w:szCs w:val="24"/>
                <w:highlight w:val="none"/>
                <w:lang w:val="en-US" w:eastAsia="zh-CN" w:bidi="ar-SA"/>
              </w:rPr>
              <w:t>晾晒干后</w:t>
            </w:r>
            <w:r>
              <w:rPr>
                <w:rFonts w:hint="eastAsia" w:cs="Times New Roman"/>
                <w:color w:val="auto"/>
                <w:kern w:val="0"/>
                <w:sz w:val="24"/>
                <w:szCs w:val="24"/>
                <w:highlight w:val="none"/>
                <w:lang w:val="en-US" w:eastAsia="zh-CN" w:bidi="ar-SA"/>
              </w:rPr>
              <w:t>因此清淤所清出淤泥以淤沙为主，水分含量较低，</w:t>
            </w:r>
            <w:r>
              <w:rPr>
                <w:rFonts w:hint="default" w:ascii="Times New Roman" w:hAnsi="Times New Roman" w:cs="Times New Roman"/>
                <w:color w:val="auto"/>
                <w:kern w:val="0"/>
                <w:sz w:val="24"/>
                <w:highlight w:val="none"/>
              </w:rPr>
              <w:t>清理的淤泥翻到沟道两侧沟拜堆放并</w:t>
            </w:r>
            <w:r>
              <w:rPr>
                <w:rFonts w:hint="eastAsia" w:cs="Times New Roman"/>
                <w:color w:val="auto"/>
                <w:kern w:val="0"/>
                <w:sz w:val="24"/>
                <w:highlight w:val="none"/>
                <w:lang w:val="en-US" w:eastAsia="zh-CN"/>
              </w:rPr>
              <w:t>短暂</w:t>
            </w:r>
            <w:r>
              <w:rPr>
                <w:rFonts w:hint="default" w:ascii="Times New Roman" w:hAnsi="Times New Roman" w:cs="Times New Roman"/>
                <w:color w:val="auto"/>
                <w:kern w:val="0"/>
                <w:sz w:val="24"/>
                <w:highlight w:val="none"/>
              </w:rPr>
              <w:t>晾晒，待淤泥晾晒干后，与砌护工程产生的多余土方一并拉运至项目修建巡护道路基础填筑综合利用</w:t>
            </w:r>
            <w:r>
              <w:rPr>
                <w:rFonts w:hint="eastAsia" w:cs="Times New Roman"/>
                <w:color w:val="auto"/>
                <w:kern w:val="0"/>
                <w:sz w:val="24"/>
                <w:highlight w:val="none"/>
                <w:lang w:eastAsia="zh-CN"/>
              </w:rPr>
              <w:t>，</w:t>
            </w:r>
            <w:r>
              <w:rPr>
                <w:rFonts w:hint="eastAsia" w:cs="Times New Roman"/>
                <w:color w:val="auto"/>
                <w:kern w:val="0"/>
                <w:sz w:val="24"/>
                <w:highlight w:val="none"/>
                <w:lang w:val="en-US" w:eastAsia="zh-CN"/>
              </w:rPr>
              <w:t>因此项目</w:t>
            </w:r>
            <w:r>
              <w:rPr>
                <w:rFonts w:hint="eastAsia" w:cs="Times New Roman"/>
                <w:color w:val="auto"/>
                <w:kern w:val="0"/>
                <w:sz w:val="24"/>
                <w:szCs w:val="24"/>
                <w:highlight w:val="none"/>
                <w:lang w:val="en-US" w:eastAsia="zh-CN" w:bidi="ar-SA"/>
              </w:rPr>
              <w:t>不新增设置弃土场</w:t>
            </w:r>
            <w:r>
              <w:rPr>
                <w:rFonts w:hint="default" w:ascii="Times New Roman" w:hAnsi="Times New Roman" w:eastAsia="宋体" w:cs="Times New Roman"/>
                <w:color w:val="auto"/>
                <w:kern w:val="0"/>
                <w:sz w:val="24"/>
                <w:szCs w:val="24"/>
                <w:highlight w:val="none"/>
                <w:lang w:val="en-US" w:eastAsia="zh-CN" w:bidi="ar-SA"/>
              </w:rPr>
              <w:t>。</w:t>
            </w:r>
          </w:p>
          <w:p w14:paraId="7BCE995E">
            <w:pPr>
              <w:autoSpaceDE w:val="0"/>
              <w:autoSpaceDN w:val="0"/>
              <w:adjustRightInd w:val="0"/>
              <w:spacing w:line="360" w:lineRule="auto"/>
              <w:ind w:firstLine="480" w:firstLineChars="200"/>
              <w:rPr>
                <w:rFonts w:hint="default" w:ascii="Times New Roman" w:hAnsi="Times New Roman" w:eastAsia="黑体" w:cs="Times New Roman"/>
                <w:b w:val="0"/>
                <w:bCs w:val="0"/>
                <w:color w:val="auto"/>
                <w:kern w:val="0"/>
                <w:sz w:val="24"/>
                <w:szCs w:val="24"/>
                <w:highlight w:val="none"/>
                <w:lang w:val="en-US" w:eastAsia="zh-CN" w:bidi="ar-SA"/>
              </w:rPr>
            </w:pPr>
            <w:r>
              <w:rPr>
                <w:rFonts w:hint="default" w:ascii="Times New Roman" w:hAnsi="Times New Roman" w:eastAsia="黑体" w:cs="Times New Roman"/>
                <w:b w:val="0"/>
                <w:bCs w:val="0"/>
                <w:color w:val="auto"/>
                <w:kern w:val="0"/>
                <w:sz w:val="24"/>
                <w:szCs w:val="24"/>
                <w:highlight w:val="none"/>
                <w:lang w:val="en-US" w:eastAsia="zh-CN" w:bidi="ar-SA"/>
              </w:rPr>
              <w:t>②护岸工程</w:t>
            </w:r>
          </w:p>
          <w:p w14:paraId="55EC4DE3">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根据风浪、水流作用、地质、地形情况、施工条件、运用要求等因素，本工程主要在边坡较陡、靠近主河槽凹岸处，为提高抗冲能力，减少开挖，采用贴坡式护岸</w:t>
            </w:r>
            <w:r>
              <w:rPr>
                <w:rFonts w:hint="default" w:ascii="Times New Roman" w:hAnsi="Times New Roman" w:cs="Times New Roman"/>
                <w:color w:val="auto"/>
                <w:kern w:val="0"/>
                <w:sz w:val="24"/>
                <w:szCs w:val="24"/>
                <w:highlight w:val="none"/>
                <w:lang w:val="en-US" w:eastAsia="zh-CN" w:bidi="ar-SA"/>
              </w:rPr>
              <w:t>及</w:t>
            </w:r>
            <w:r>
              <w:rPr>
                <w:rFonts w:hint="default" w:ascii="Times New Roman" w:hAnsi="Times New Roman" w:eastAsia="宋体" w:cs="Times New Roman"/>
                <w:color w:val="auto"/>
                <w:kern w:val="0"/>
                <w:sz w:val="24"/>
                <w:szCs w:val="24"/>
                <w:highlight w:val="none"/>
                <w:lang w:val="en-US" w:eastAsia="zh-CN" w:bidi="ar-SA"/>
              </w:rPr>
              <w:t>墙式护岸</w:t>
            </w:r>
            <w:r>
              <w:rPr>
                <w:rFonts w:hint="default" w:ascii="Times New Roman" w:hAnsi="Times New Roman" w:cs="Times New Roman"/>
                <w:color w:val="auto"/>
                <w:kern w:val="0"/>
                <w:sz w:val="24"/>
                <w:szCs w:val="24"/>
                <w:highlight w:val="none"/>
                <w:lang w:val="en-US" w:eastAsia="zh-CN" w:bidi="ar-SA"/>
              </w:rPr>
              <w:t>结合</w:t>
            </w:r>
            <w:r>
              <w:rPr>
                <w:rFonts w:hint="default" w:ascii="Times New Roman" w:hAnsi="Times New Roman" w:eastAsia="宋体" w:cs="Times New Roman"/>
                <w:color w:val="auto"/>
                <w:kern w:val="0"/>
                <w:sz w:val="24"/>
                <w:szCs w:val="24"/>
                <w:highlight w:val="none"/>
                <w:lang w:val="en-US" w:eastAsia="zh-CN" w:bidi="ar-SA"/>
              </w:rPr>
              <w:t>进行防护。结合本次护岸工程结合河段实际情况，对河道宽度不大，且两岸有耕地或者道路的情况，因用地受限，采用挡墙护岸；对河道较宽，不受用地限制的河段采用贴坡式护岸。</w:t>
            </w:r>
          </w:p>
          <w:p w14:paraId="0023C649">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根据工程布置，拟建护岸采用重力式挡土墙结构形式，断面选用M10浆砌石坡式砌护，岸线大体沿自然岸坡布置，填筑料采用河床开挖砂砾石、粉质壤土填筑，无粘性土土堤的填筑标准相对密度不应小于0.60，粘性土土堤的填筑压实度不应小于0.91。挡墙顶宽50cm，下部宽度依据岸高和迎水面边坡比来确定，齿脚宽度为0.5m，高度为0.3m，临水面内边坡比为1:0.3，临土面外边坡比为1:0.1</w:t>
            </w:r>
            <w:r>
              <w:rPr>
                <w:rFonts w:hint="default" w:ascii="Times New Roman" w:hAnsi="Times New Roman"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护岸每10m设1道伸缩缝，采用聚氯乙烯闭孔泡沫塑料板和聚氯乙烯胶泥填缝。</w:t>
            </w:r>
            <w:r>
              <w:rPr>
                <w:rFonts w:hint="default" w:ascii="Times New Roman" w:hAnsi="Times New Roman" w:cs="Times New Roman"/>
                <w:color w:val="auto"/>
                <w:kern w:val="0"/>
                <w:sz w:val="24"/>
                <w:szCs w:val="24"/>
                <w:highlight w:val="none"/>
                <w:lang w:val="en-US" w:eastAsia="zh-CN" w:bidi="ar-SA"/>
              </w:rPr>
              <w:t>项目护岸工程施工坡面设计如下：</w:t>
            </w:r>
          </w:p>
          <w:p w14:paraId="7149C791">
            <w:pPr>
              <w:autoSpaceDE w:val="0"/>
              <w:autoSpaceDN w:val="0"/>
              <w:adjustRightInd w:val="0"/>
              <w:spacing w:line="360" w:lineRule="auto"/>
              <w:ind w:firstLine="480" w:firstLineChars="200"/>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①仰斜式护岸（即挡墙式护岸）</w:t>
            </w:r>
          </w:p>
          <w:p w14:paraId="53644C65">
            <w:pPr>
              <w:autoSpaceDE w:val="0"/>
              <w:autoSpaceDN w:val="0"/>
              <w:adjustRightInd w:val="0"/>
              <w:spacing w:line="360" w:lineRule="auto"/>
              <w:ind w:firstLine="480" w:firstLineChars="200"/>
              <w:rPr>
                <w:rFonts w:hint="eastAsia"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当现状岸坡坡度陡于1:1.5时，采用仰斜式护岸。顶宽0.5m，底宽0.8m，迎水侧边坡为1:0.5，基座宽1.2m，厚0.8m。</w:t>
            </w:r>
            <w:r>
              <w:rPr>
                <w:rFonts w:hint="default" w:ascii="Times New Roman" w:hAnsi="Times New Roman" w:cs="Times New Roman"/>
                <w:color w:val="auto"/>
                <w:kern w:val="0"/>
                <w:sz w:val="24"/>
                <w:szCs w:val="24"/>
                <w:highlight w:val="none"/>
                <w:lang w:val="en-US" w:eastAsia="zh-CN" w:bidi="ar-SA"/>
              </w:rPr>
              <w:t>项目护岸工程施工坡面设计如下</w:t>
            </w:r>
            <w:r>
              <w:rPr>
                <w:rFonts w:hint="eastAsia" w:cs="Times New Roman"/>
                <w:color w:val="auto"/>
                <w:kern w:val="0"/>
                <w:sz w:val="24"/>
                <w:szCs w:val="24"/>
                <w:highlight w:val="none"/>
                <w:lang w:val="en-US" w:eastAsia="zh-CN" w:bidi="ar-SA"/>
              </w:rPr>
              <w:t>：</w:t>
            </w:r>
          </w:p>
          <w:p w14:paraId="5AE8730C">
            <w:pPr>
              <w:autoSpaceDE w:val="0"/>
              <w:autoSpaceDN w:val="0"/>
              <w:adjustRightInd w:val="0"/>
              <w:spacing w:line="360" w:lineRule="auto"/>
              <w:jc w:val="center"/>
              <w:rPr>
                <w:rFonts w:hint="default" w:ascii="Times New Roman" w:hAnsi="Times New Roman" w:eastAsia="黑体" w:cs="Times New Roman"/>
                <w:color w:val="auto"/>
                <w:kern w:val="0"/>
                <w:sz w:val="24"/>
                <w:szCs w:val="24"/>
                <w:highlight w:val="none"/>
                <w:lang w:val="en-US" w:eastAsia="zh-CN" w:bidi="ar-SA"/>
              </w:rPr>
            </w:pPr>
            <w:r>
              <w:rPr>
                <w:rFonts w:hint="default" w:ascii="Times New Roman" w:hAnsi="Times New Roman" w:eastAsia="黑体" w:cs="Times New Roman"/>
                <w:color w:val="auto"/>
                <w:kern w:val="0"/>
                <w:sz w:val="24"/>
                <w:szCs w:val="24"/>
                <w:highlight w:val="none"/>
                <w:lang w:val="en-US" w:eastAsia="zh-CN" w:bidi="ar-SA"/>
              </w:rPr>
              <w:drawing>
                <wp:inline distT="0" distB="0" distL="114300" distR="114300">
                  <wp:extent cx="5228590" cy="3973830"/>
                  <wp:effectExtent l="0" t="0" r="10160" b="7620"/>
                  <wp:docPr id="7" name="图片 7" descr="9eb30cbf280d40a9f6564ed439522d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eb30cbf280d40a9f6564ed439522d45"/>
                          <pic:cNvPicPr>
                            <a:picLocks noChangeAspect="1"/>
                          </pic:cNvPicPr>
                        </pic:nvPicPr>
                        <pic:blipFill>
                          <a:blip r:embed="rId10"/>
                          <a:stretch>
                            <a:fillRect/>
                          </a:stretch>
                        </pic:blipFill>
                        <pic:spPr>
                          <a:xfrm>
                            <a:off x="0" y="0"/>
                            <a:ext cx="5228590" cy="3973830"/>
                          </a:xfrm>
                          <a:prstGeom prst="rect">
                            <a:avLst/>
                          </a:prstGeom>
                        </pic:spPr>
                      </pic:pic>
                    </a:graphicData>
                  </a:graphic>
                </wp:inline>
              </w:drawing>
            </w:r>
          </w:p>
          <w:p w14:paraId="7B5F2D14">
            <w:pPr>
              <w:autoSpaceDE w:val="0"/>
              <w:autoSpaceDN w:val="0"/>
              <w:adjustRightInd w:val="0"/>
              <w:spacing w:line="360" w:lineRule="auto"/>
              <w:jc w:val="center"/>
              <w:rPr>
                <w:rFonts w:hint="default" w:ascii="Times New Roman" w:hAnsi="Times New Roman" w:eastAsia="黑体" w:cs="Times New Roman"/>
                <w:b w:val="0"/>
                <w:bCs/>
                <w:color w:val="auto"/>
                <w:sz w:val="24"/>
                <w:highlight w:val="none"/>
                <w:vertAlign w:val="baseline"/>
                <w:lang w:val="en-US" w:eastAsia="zh-CN"/>
              </w:rPr>
            </w:pPr>
            <w:r>
              <w:rPr>
                <w:rFonts w:hint="default" w:ascii="Times New Roman" w:hAnsi="Times New Roman" w:eastAsia="黑体" w:cs="Times New Roman"/>
                <w:b w:val="0"/>
                <w:bCs/>
                <w:color w:val="auto"/>
                <w:sz w:val="24"/>
                <w:highlight w:val="none"/>
                <w:vertAlign w:val="baseline"/>
                <w:lang w:val="en-US" w:eastAsia="zh-CN"/>
              </w:rPr>
              <w:t>图2-</w:t>
            </w:r>
            <w:r>
              <w:rPr>
                <w:rFonts w:hint="eastAsia" w:eastAsia="黑体" w:cs="Times New Roman"/>
                <w:b w:val="0"/>
                <w:bCs/>
                <w:color w:val="auto"/>
                <w:sz w:val="24"/>
                <w:highlight w:val="none"/>
                <w:vertAlign w:val="baseline"/>
                <w:lang w:val="en-US" w:eastAsia="zh-CN"/>
              </w:rPr>
              <w:t>4</w:t>
            </w:r>
            <w:r>
              <w:rPr>
                <w:rFonts w:hint="default" w:ascii="Times New Roman" w:hAnsi="Times New Roman" w:eastAsia="黑体" w:cs="Times New Roman"/>
                <w:b w:val="0"/>
                <w:bCs/>
                <w:color w:val="auto"/>
                <w:sz w:val="24"/>
                <w:highlight w:val="none"/>
                <w:vertAlign w:val="baseline"/>
                <w:lang w:val="en-US" w:eastAsia="zh-CN"/>
              </w:rPr>
              <w:t xml:space="preserve">  项目护岸砌护剖面示意图</w:t>
            </w:r>
          </w:p>
          <w:p w14:paraId="271D28E0">
            <w:pPr>
              <w:autoSpaceDE w:val="0"/>
              <w:autoSpaceDN w:val="0"/>
              <w:adjustRightInd w:val="0"/>
              <w:spacing w:line="360" w:lineRule="auto"/>
              <w:ind w:firstLine="480" w:firstLineChars="200"/>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②贴坡式护岸：</w:t>
            </w:r>
          </w:p>
          <w:p w14:paraId="11202D38">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现状岸坡坡度缓于1:1.5时，采用贴坡式护岸。迎水面法向厚度0.4m，坡脚基础尺寸宽1.0m，高1.0m。</w:t>
            </w:r>
            <w:r>
              <w:rPr>
                <w:rFonts w:hint="default" w:ascii="Times New Roman" w:hAnsi="Times New Roman" w:cs="Times New Roman"/>
                <w:color w:val="auto"/>
                <w:kern w:val="0"/>
                <w:sz w:val="24"/>
                <w:szCs w:val="24"/>
                <w:highlight w:val="none"/>
                <w:lang w:val="en-US" w:eastAsia="zh-CN" w:bidi="ar-SA"/>
              </w:rPr>
              <w:t>项目护岸工程施工坡面设计如下：</w:t>
            </w:r>
          </w:p>
          <w:p w14:paraId="5A111A58">
            <w:pPr>
              <w:autoSpaceDE w:val="0"/>
              <w:autoSpaceDN w:val="0"/>
              <w:adjustRightInd w:val="0"/>
              <w:spacing w:line="360" w:lineRule="auto"/>
              <w:rPr>
                <w:rFonts w:hint="default" w:ascii="Times New Roman" w:hAnsi="Times New Roman" w:eastAsia="黑体" w:cs="Times New Roman"/>
                <w:color w:val="auto"/>
                <w:kern w:val="0"/>
                <w:sz w:val="24"/>
                <w:szCs w:val="24"/>
                <w:highlight w:val="none"/>
                <w:lang w:val="en-US" w:eastAsia="zh-CN" w:bidi="ar-SA"/>
              </w:rPr>
            </w:pPr>
            <w:r>
              <w:rPr>
                <w:rFonts w:hint="default" w:ascii="Times New Roman" w:hAnsi="Times New Roman" w:eastAsia="黑体" w:cs="Times New Roman"/>
                <w:color w:val="auto"/>
                <w:kern w:val="0"/>
                <w:sz w:val="24"/>
                <w:szCs w:val="24"/>
                <w:highlight w:val="none"/>
                <w:lang w:val="en-US" w:eastAsia="zh-CN" w:bidi="ar-SA"/>
              </w:rPr>
              <w:drawing>
                <wp:inline distT="0" distB="0" distL="114300" distR="114300">
                  <wp:extent cx="5293995" cy="2765425"/>
                  <wp:effectExtent l="0" t="0" r="1905" b="15875"/>
                  <wp:docPr id="10" name="图片 10" descr="de7224b9b354fabe1a56a3352c7d9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e7224b9b354fabe1a56a3352c7d9329"/>
                          <pic:cNvPicPr>
                            <a:picLocks noChangeAspect="1"/>
                          </pic:cNvPicPr>
                        </pic:nvPicPr>
                        <pic:blipFill>
                          <a:blip r:embed="rId11"/>
                          <a:stretch>
                            <a:fillRect/>
                          </a:stretch>
                        </pic:blipFill>
                        <pic:spPr>
                          <a:xfrm>
                            <a:off x="0" y="0"/>
                            <a:ext cx="5293995" cy="2765425"/>
                          </a:xfrm>
                          <a:prstGeom prst="rect">
                            <a:avLst/>
                          </a:prstGeom>
                        </pic:spPr>
                      </pic:pic>
                    </a:graphicData>
                  </a:graphic>
                </wp:inline>
              </w:drawing>
            </w:r>
          </w:p>
          <w:p w14:paraId="46F497D7">
            <w:pPr>
              <w:autoSpaceDE w:val="0"/>
              <w:autoSpaceDN w:val="0"/>
              <w:adjustRightInd w:val="0"/>
              <w:spacing w:line="360" w:lineRule="auto"/>
              <w:jc w:val="center"/>
              <w:rPr>
                <w:rFonts w:hint="default" w:ascii="Times New Roman" w:hAnsi="Times New Roman" w:eastAsia="黑体" w:cs="Times New Roman"/>
                <w:b w:val="0"/>
                <w:bCs/>
                <w:color w:val="auto"/>
                <w:sz w:val="24"/>
                <w:highlight w:val="none"/>
                <w:vertAlign w:val="baseline"/>
                <w:lang w:val="en-US" w:eastAsia="zh-CN"/>
              </w:rPr>
            </w:pPr>
            <w:r>
              <w:rPr>
                <w:rFonts w:hint="default" w:ascii="Times New Roman" w:hAnsi="Times New Roman" w:eastAsia="黑体" w:cs="Times New Roman"/>
                <w:b w:val="0"/>
                <w:bCs/>
                <w:color w:val="auto"/>
                <w:sz w:val="24"/>
                <w:highlight w:val="none"/>
                <w:vertAlign w:val="baseline"/>
                <w:lang w:val="en-US" w:eastAsia="zh-CN"/>
              </w:rPr>
              <w:t>图2-</w:t>
            </w:r>
            <w:r>
              <w:rPr>
                <w:rFonts w:hint="eastAsia" w:eastAsia="黑体" w:cs="Times New Roman"/>
                <w:b w:val="0"/>
                <w:bCs/>
                <w:color w:val="auto"/>
                <w:sz w:val="24"/>
                <w:highlight w:val="none"/>
                <w:vertAlign w:val="baseline"/>
                <w:lang w:val="en-US" w:eastAsia="zh-CN"/>
              </w:rPr>
              <w:t>5</w:t>
            </w:r>
            <w:r>
              <w:rPr>
                <w:rFonts w:hint="default" w:ascii="Times New Roman" w:hAnsi="Times New Roman" w:eastAsia="黑体" w:cs="Times New Roman"/>
                <w:b w:val="0"/>
                <w:bCs/>
                <w:color w:val="auto"/>
                <w:sz w:val="24"/>
                <w:highlight w:val="none"/>
                <w:vertAlign w:val="baseline"/>
                <w:lang w:val="en-US" w:eastAsia="zh-CN"/>
              </w:rPr>
              <w:t xml:space="preserve">  项目护岸砌护剖面示意图</w:t>
            </w:r>
          </w:p>
          <w:p w14:paraId="091F9676">
            <w:pPr>
              <w:autoSpaceDE w:val="0"/>
              <w:autoSpaceDN w:val="0"/>
              <w:adjustRightInd w:val="0"/>
              <w:spacing w:line="360" w:lineRule="auto"/>
              <w:ind w:firstLine="480" w:firstLineChars="200"/>
              <w:rPr>
                <w:rFonts w:hint="default" w:ascii="Times New Roman" w:hAnsi="Times New Roman" w:eastAsia="黑体" w:cs="Times New Roman"/>
                <w:b w:val="0"/>
                <w:bCs w:val="0"/>
                <w:color w:val="auto"/>
                <w:kern w:val="0"/>
                <w:sz w:val="24"/>
                <w:szCs w:val="24"/>
                <w:highlight w:val="none"/>
                <w:lang w:val="en-US" w:eastAsia="zh-CN" w:bidi="ar-SA"/>
              </w:rPr>
            </w:pPr>
            <w:r>
              <w:rPr>
                <w:rFonts w:hint="default" w:ascii="Times New Roman" w:hAnsi="Times New Roman" w:eastAsia="黑体" w:cs="Times New Roman"/>
                <w:b w:val="0"/>
                <w:bCs w:val="0"/>
                <w:color w:val="auto"/>
                <w:kern w:val="0"/>
                <w:sz w:val="24"/>
                <w:szCs w:val="24"/>
                <w:highlight w:val="none"/>
                <w:lang w:val="en-US" w:eastAsia="zh-CN" w:bidi="ar-SA"/>
              </w:rPr>
              <w:t>③巡护道路工程</w:t>
            </w:r>
          </w:p>
          <w:p w14:paraId="55761B9D">
            <w:pPr>
              <w:autoSpaceDE w:val="0"/>
              <w:autoSpaceDN w:val="0"/>
              <w:adjustRightInd w:val="0"/>
              <w:spacing w:line="360" w:lineRule="auto"/>
              <w:ind w:firstLine="480" w:firstLineChars="200"/>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本次</w:t>
            </w:r>
            <w:r>
              <w:rPr>
                <w:rFonts w:hint="default" w:ascii="Times New Roman" w:hAnsi="Times New Roman" w:cs="Times New Roman" w:eastAsiaTheme="minorEastAsia"/>
                <w:color w:val="auto"/>
                <w:sz w:val="24"/>
                <w:szCs w:val="20"/>
                <w:highlight w:val="none"/>
                <w:lang w:val="en-US" w:eastAsia="zh-CN" w:bidi="en-US"/>
              </w:rPr>
              <w:t>在GY43+600</w:t>
            </w:r>
            <w:r>
              <w:rPr>
                <w:rFonts w:hint="eastAsia" w:cs="Times New Roman" w:eastAsiaTheme="minorEastAsia"/>
                <w:color w:val="auto"/>
                <w:sz w:val="24"/>
                <w:szCs w:val="20"/>
                <w:highlight w:val="none"/>
                <w:lang w:val="en-US" w:eastAsia="zh-CN" w:bidi="en-US"/>
              </w:rPr>
              <w:t>~G</w:t>
            </w:r>
            <w:r>
              <w:rPr>
                <w:rFonts w:hint="default" w:ascii="Times New Roman" w:hAnsi="Times New Roman" w:cs="Times New Roman" w:eastAsiaTheme="minorEastAsia"/>
                <w:color w:val="auto"/>
                <w:sz w:val="24"/>
                <w:szCs w:val="20"/>
                <w:highlight w:val="none"/>
                <w:lang w:val="en-US" w:eastAsia="zh-CN" w:bidi="en-US"/>
              </w:rPr>
              <w:t>Y65+990右岸布置新建巡护路长度约20.2km</w:t>
            </w:r>
            <w:r>
              <w:rPr>
                <w:rFonts w:hint="eastAsia" w:cs="Times New Roman" w:eastAsiaTheme="minorEastAsia"/>
                <w:color w:val="auto"/>
                <w:sz w:val="24"/>
                <w:szCs w:val="20"/>
                <w:highlight w:val="none"/>
                <w:lang w:val="en-US" w:eastAsia="zh-CN" w:bidi="en-US"/>
              </w:rPr>
              <w:t>，</w:t>
            </w:r>
            <w:r>
              <w:rPr>
                <w:rFonts w:hint="default" w:ascii="Times New Roman" w:hAnsi="Times New Roman" w:cs="Times New Roman"/>
                <w:color w:val="auto"/>
                <w:kern w:val="0"/>
                <w:sz w:val="24"/>
                <w:szCs w:val="24"/>
                <w:highlight w:val="none"/>
                <w:lang w:val="en-US" w:eastAsia="zh-CN" w:bidi="ar-SA"/>
              </w:rPr>
              <w:t>新增巡护路采用15cm厚泥结碎石路面，路面宽3.5m，路基宽4m。用于防汛抢险道路及农用机耕路，背水侧设计坡比为1:1.5，路面为3%的路拱横坡。</w:t>
            </w:r>
            <w:r>
              <w:rPr>
                <w:rFonts w:hint="eastAsia" w:cs="Times New Roman"/>
                <w:color w:val="auto"/>
                <w:kern w:val="0"/>
                <w:sz w:val="24"/>
                <w:szCs w:val="24"/>
                <w:highlight w:val="none"/>
                <w:lang w:val="en-US" w:eastAsia="zh-CN" w:bidi="ar-SA"/>
              </w:rPr>
              <w:t>新增巡护道路占地利用现状沟拜进行建设，因此占地范围处于现有沟道占地管理范围内，不新增永久占地。</w:t>
            </w:r>
          </w:p>
          <w:p w14:paraId="37E77B3D">
            <w:pPr>
              <w:autoSpaceDE w:val="0"/>
              <w:autoSpaceDN w:val="0"/>
              <w:adjustRightInd w:val="0"/>
              <w:spacing w:line="360" w:lineRule="auto"/>
              <w:ind w:firstLine="480" w:firstLineChars="200"/>
              <w:rPr>
                <w:rFonts w:hint="default" w:ascii="Times New Roman" w:hAnsi="Times New Roman" w:eastAsia="黑体" w:cs="Times New Roman"/>
                <w:b w:val="0"/>
                <w:bCs w:val="0"/>
                <w:color w:val="auto"/>
                <w:kern w:val="0"/>
                <w:sz w:val="24"/>
                <w:szCs w:val="24"/>
                <w:highlight w:val="none"/>
                <w:lang w:val="en-US" w:eastAsia="zh-CN" w:bidi="ar-SA"/>
              </w:rPr>
            </w:pPr>
            <w:r>
              <w:rPr>
                <w:rFonts w:hint="default" w:ascii="Times New Roman" w:hAnsi="Times New Roman" w:eastAsia="黑体" w:cs="Times New Roman"/>
                <w:b w:val="0"/>
                <w:bCs w:val="0"/>
                <w:color w:val="auto"/>
                <w:kern w:val="0"/>
                <w:sz w:val="24"/>
                <w:szCs w:val="24"/>
                <w:highlight w:val="none"/>
                <w:lang w:val="en-US" w:eastAsia="zh-CN" w:bidi="ar-SA"/>
              </w:rPr>
              <w:t>④视频监测系统建设</w:t>
            </w:r>
          </w:p>
          <w:p w14:paraId="1B62E339">
            <w:pPr>
              <w:autoSpaceDE w:val="0"/>
              <w:autoSpaceDN w:val="0"/>
              <w:adjustRightInd w:val="0"/>
              <w:spacing w:line="360" w:lineRule="auto"/>
              <w:ind w:firstLine="480" w:firstLineChars="200"/>
              <w:rPr>
                <w:rFonts w:hint="eastAsia"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在沿线新增布设自动雨量站8座，视频水位一体化监测站5座，河道水情监测站4座，采用无线网一体式视频监测设施。视频监测</w:t>
            </w:r>
            <w:r>
              <w:rPr>
                <w:rFonts w:hint="eastAsia" w:cs="Times New Roman"/>
                <w:color w:val="auto"/>
                <w:kern w:val="0"/>
                <w:sz w:val="24"/>
                <w:szCs w:val="24"/>
                <w:highlight w:val="none"/>
                <w:lang w:val="en-US" w:eastAsia="zh-CN" w:bidi="ar-SA"/>
              </w:rPr>
              <w:t>系统</w:t>
            </w:r>
            <w:r>
              <w:rPr>
                <w:rFonts w:hint="default" w:ascii="Times New Roman" w:hAnsi="Times New Roman" w:cs="Times New Roman"/>
                <w:color w:val="auto"/>
                <w:kern w:val="0"/>
                <w:sz w:val="24"/>
                <w:szCs w:val="24"/>
                <w:highlight w:val="none"/>
                <w:lang w:val="en-US" w:eastAsia="zh-CN" w:bidi="ar-SA"/>
              </w:rPr>
              <w:t>采用商品</w:t>
            </w:r>
            <w:r>
              <w:rPr>
                <w:rFonts w:hint="eastAsia" w:cs="Times New Roman"/>
                <w:color w:val="auto"/>
                <w:kern w:val="0"/>
                <w:sz w:val="24"/>
                <w:szCs w:val="24"/>
                <w:highlight w:val="none"/>
                <w:lang w:val="en-US" w:eastAsia="zh-CN" w:bidi="ar-SA"/>
              </w:rPr>
              <w:t>混凝土</w:t>
            </w:r>
            <w:r>
              <w:rPr>
                <w:rFonts w:hint="default" w:ascii="Times New Roman" w:hAnsi="Times New Roman" w:cs="Times New Roman"/>
                <w:color w:val="auto"/>
                <w:kern w:val="0"/>
                <w:sz w:val="24"/>
                <w:szCs w:val="24"/>
                <w:highlight w:val="none"/>
                <w:lang w:val="en-US" w:eastAsia="zh-CN" w:bidi="ar-SA"/>
              </w:rPr>
              <w:t>现浇预埋件+视频杆+无线网监测摄像头，每处预埋件尺寸均为0.6m×0.6m，占地面积0.36m²</w:t>
            </w:r>
            <w:r>
              <w:rPr>
                <w:rFonts w:hint="eastAsia" w:ascii="Times New Roman" w:hAnsi="Times New Roman" w:cs="Times New Roman"/>
                <w:color w:val="auto"/>
                <w:kern w:val="0"/>
                <w:sz w:val="24"/>
                <w:szCs w:val="24"/>
                <w:highlight w:val="none"/>
                <w:lang w:val="en-US" w:eastAsia="zh-CN" w:bidi="ar-SA"/>
              </w:rPr>
              <w:t>，预埋基础挖深0.5m</w:t>
            </w:r>
            <w:r>
              <w:rPr>
                <w:rFonts w:hint="default" w:ascii="Times New Roman" w:hAnsi="Times New Roman" w:cs="Times New Roman"/>
                <w:color w:val="auto"/>
                <w:kern w:val="0"/>
                <w:sz w:val="24"/>
                <w:szCs w:val="24"/>
                <w:highlight w:val="none"/>
                <w:lang w:val="en-US" w:eastAsia="zh-CN" w:bidi="ar-SA"/>
              </w:rPr>
              <w:t>。</w:t>
            </w:r>
            <w:r>
              <w:rPr>
                <w:rFonts w:hint="eastAsia" w:ascii="Times New Roman" w:hAnsi="Times New Roman" w:cs="Times New Roman"/>
                <w:color w:val="auto"/>
                <w:kern w:val="0"/>
                <w:sz w:val="24"/>
                <w:szCs w:val="24"/>
                <w:highlight w:val="none"/>
                <w:lang w:val="en-US" w:eastAsia="zh-CN" w:bidi="ar-SA"/>
              </w:rPr>
              <w:t>具体示例如下图。</w:t>
            </w:r>
          </w:p>
          <w:p w14:paraId="287DED49">
            <w:pPr>
              <w:autoSpaceDE w:val="0"/>
              <w:autoSpaceDN w:val="0"/>
              <w:adjustRightInd w:val="0"/>
              <w:spacing w:line="360" w:lineRule="auto"/>
              <w:ind w:firstLine="480" w:firstLineChars="200"/>
              <w:rPr>
                <w:rFonts w:hint="eastAsia" w:ascii="Times New Roman" w:hAnsi="Times New Roman" w:cs="Times New Roman"/>
                <w:color w:val="auto"/>
                <w:kern w:val="0"/>
                <w:sz w:val="24"/>
                <w:szCs w:val="24"/>
                <w:highlight w:val="none"/>
                <w:lang w:val="en-US" w:eastAsia="zh-CN" w:bidi="ar-SA"/>
              </w:rPr>
            </w:pPr>
          </w:p>
          <w:p w14:paraId="558C2D6F">
            <w:pPr>
              <w:autoSpaceDE w:val="0"/>
              <w:autoSpaceDN w:val="0"/>
              <w:adjustRightInd w:val="0"/>
              <w:spacing w:line="360" w:lineRule="auto"/>
              <w:ind w:firstLine="480" w:firstLineChars="200"/>
              <w:rPr>
                <w:rFonts w:hint="eastAsia" w:ascii="Times New Roman" w:hAnsi="Times New Roman" w:cs="Times New Roman"/>
                <w:color w:val="auto"/>
                <w:kern w:val="0"/>
                <w:sz w:val="24"/>
                <w:szCs w:val="24"/>
                <w:highlight w:val="none"/>
                <w:lang w:val="en-US" w:eastAsia="zh-CN" w:bidi="ar-SA"/>
              </w:rPr>
            </w:pPr>
          </w:p>
          <w:p w14:paraId="4FC10848">
            <w:pPr>
              <w:autoSpaceDE w:val="0"/>
              <w:autoSpaceDN w:val="0"/>
              <w:adjustRightInd w:val="0"/>
              <w:spacing w:line="360" w:lineRule="auto"/>
              <w:ind w:firstLine="480" w:firstLineChars="200"/>
              <w:rPr>
                <w:rFonts w:hint="eastAsia" w:ascii="Times New Roman" w:hAnsi="Times New Roman" w:cs="Times New Roman"/>
                <w:color w:val="auto"/>
                <w:kern w:val="0"/>
                <w:sz w:val="24"/>
                <w:szCs w:val="24"/>
                <w:highlight w:val="none"/>
                <w:lang w:val="en-US" w:eastAsia="zh-CN" w:bidi="ar-SA"/>
              </w:rPr>
            </w:pPr>
          </w:p>
          <w:p w14:paraId="7436E03E">
            <w:pPr>
              <w:autoSpaceDE w:val="0"/>
              <w:autoSpaceDN w:val="0"/>
              <w:adjustRightInd w:val="0"/>
              <w:spacing w:line="360" w:lineRule="auto"/>
              <w:ind w:firstLine="480" w:firstLineChars="200"/>
              <w:rPr>
                <w:rFonts w:hint="eastAsia" w:ascii="Times New Roman" w:hAnsi="Times New Roman" w:cs="Times New Roman"/>
                <w:color w:val="auto"/>
                <w:kern w:val="0"/>
                <w:sz w:val="24"/>
                <w:szCs w:val="24"/>
                <w:highlight w:val="none"/>
                <w:lang w:val="en-US" w:eastAsia="zh-CN" w:bidi="ar-SA"/>
              </w:rPr>
            </w:pPr>
          </w:p>
          <w:p w14:paraId="671604C4">
            <w:pPr>
              <w:autoSpaceDE w:val="0"/>
              <w:autoSpaceDN w:val="0"/>
              <w:adjustRightInd w:val="0"/>
              <w:spacing w:line="360" w:lineRule="auto"/>
              <w:jc w:val="center"/>
              <w:rPr>
                <w:rFonts w:hint="default" w:ascii="Times New Roman" w:hAnsi="Times New Roman" w:eastAsia="黑体" w:cs="Times New Roman"/>
                <w:b w:val="0"/>
                <w:bCs w:val="0"/>
                <w:color w:val="auto"/>
                <w:kern w:val="0"/>
                <w:sz w:val="24"/>
                <w:szCs w:val="24"/>
                <w:highlight w:val="none"/>
                <w:lang w:val="en-US" w:eastAsia="zh-CN" w:bidi="ar-SA"/>
              </w:rPr>
            </w:pPr>
            <w:r>
              <w:rPr>
                <w:rFonts w:hint="default" w:ascii="Times New Roman" w:hAnsi="Times New Roman" w:eastAsia="黑体" w:cs="Times New Roman"/>
                <w:b w:val="0"/>
                <w:bCs w:val="0"/>
                <w:color w:val="auto"/>
                <w:kern w:val="0"/>
                <w:sz w:val="24"/>
                <w:szCs w:val="24"/>
                <w:highlight w:val="none"/>
                <w:lang w:val="en-US" w:eastAsia="zh-CN" w:bidi="ar-SA"/>
              </w:rPr>
              <w:drawing>
                <wp:inline distT="0" distB="0" distL="114300" distR="114300">
                  <wp:extent cx="5158740" cy="2761615"/>
                  <wp:effectExtent l="0" t="0" r="3810" b="635"/>
                  <wp:docPr id="4" name="图片 4" descr="OIP-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OIP-C(1)"/>
                          <pic:cNvPicPr>
                            <a:picLocks noChangeAspect="1"/>
                          </pic:cNvPicPr>
                        </pic:nvPicPr>
                        <pic:blipFill>
                          <a:blip r:embed="rId12"/>
                          <a:stretch>
                            <a:fillRect/>
                          </a:stretch>
                        </pic:blipFill>
                        <pic:spPr>
                          <a:xfrm>
                            <a:off x="0" y="0"/>
                            <a:ext cx="5158740" cy="2761615"/>
                          </a:xfrm>
                          <a:prstGeom prst="rect">
                            <a:avLst/>
                          </a:prstGeom>
                        </pic:spPr>
                      </pic:pic>
                    </a:graphicData>
                  </a:graphic>
                </wp:inline>
              </w:drawing>
            </w:r>
          </w:p>
          <w:p w14:paraId="509BD257">
            <w:pPr>
              <w:adjustRightInd w:val="0"/>
              <w:snapToGrid w:val="0"/>
              <w:spacing w:line="240" w:lineRule="auto"/>
              <w:jc w:val="center"/>
              <w:rPr>
                <w:rFonts w:hint="default" w:ascii="Times New Roman" w:hAnsi="Times New Roman" w:eastAsia="黑体" w:cs="Times New Roman"/>
                <w:color w:val="auto"/>
                <w:sz w:val="24"/>
                <w:highlight w:val="none"/>
                <w:lang w:val="en-US" w:eastAsia="zh-CN"/>
              </w:rPr>
            </w:pPr>
            <w:r>
              <w:rPr>
                <w:rFonts w:hint="eastAsia" w:eastAsia="黑体" w:cs="Times New Roman"/>
                <w:color w:val="auto"/>
                <w:sz w:val="24"/>
                <w:highlight w:val="none"/>
                <w:lang w:val="en-US" w:eastAsia="zh-CN"/>
              </w:rPr>
              <w:t>图</w:t>
            </w:r>
            <w:r>
              <w:rPr>
                <w:rFonts w:hint="default" w:ascii="Times New Roman" w:hAnsi="Times New Roman" w:eastAsia="黑体" w:cs="Times New Roman"/>
                <w:color w:val="auto"/>
                <w:sz w:val="24"/>
                <w:highlight w:val="none"/>
                <w:lang w:val="en-US" w:eastAsia="zh-CN"/>
              </w:rPr>
              <w:t>2-</w:t>
            </w:r>
            <w:r>
              <w:rPr>
                <w:rFonts w:hint="eastAsia" w:eastAsia="黑体" w:cs="Times New Roman"/>
                <w:color w:val="auto"/>
                <w:sz w:val="24"/>
                <w:highlight w:val="none"/>
                <w:lang w:val="en-US" w:eastAsia="zh-CN"/>
              </w:rPr>
              <w:t>6</w:t>
            </w:r>
            <w:r>
              <w:rPr>
                <w:rFonts w:hint="default" w:ascii="Times New Roman" w:hAnsi="Times New Roman" w:eastAsia="黑体" w:cs="Times New Roman"/>
                <w:color w:val="auto"/>
                <w:sz w:val="24"/>
                <w:highlight w:val="none"/>
                <w:lang w:val="en-US" w:eastAsia="zh-CN"/>
              </w:rPr>
              <w:t xml:space="preserve">  </w:t>
            </w:r>
            <w:r>
              <w:rPr>
                <w:rFonts w:hint="eastAsia" w:eastAsia="黑体" w:cs="Times New Roman"/>
                <w:color w:val="auto"/>
                <w:sz w:val="24"/>
                <w:highlight w:val="none"/>
                <w:lang w:val="en-US" w:eastAsia="zh-CN"/>
              </w:rPr>
              <w:t>雨量、水文、水情视频监测设施示例图</w:t>
            </w:r>
          </w:p>
          <w:p w14:paraId="4CA2177A">
            <w:pPr>
              <w:autoSpaceDE w:val="0"/>
              <w:autoSpaceDN w:val="0"/>
              <w:adjustRightInd w:val="0"/>
              <w:spacing w:line="360" w:lineRule="auto"/>
              <w:ind w:firstLine="480" w:firstLineChars="200"/>
              <w:rPr>
                <w:rFonts w:hint="default" w:ascii="Times New Roman" w:hAnsi="Times New Roman" w:eastAsia="黑体" w:cs="Times New Roman"/>
                <w:b w:val="0"/>
                <w:bCs w:val="0"/>
                <w:color w:val="auto"/>
                <w:kern w:val="0"/>
                <w:sz w:val="24"/>
                <w:szCs w:val="24"/>
                <w:highlight w:val="none"/>
                <w:lang w:val="en-US" w:eastAsia="zh-CN" w:bidi="ar-SA"/>
              </w:rPr>
            </w:pPr>
            <w:r>
              <w:rPr>
                <w:rFonts w:hint="default" w:ascii="Times New Roman" w:hAnsi="Times New Roman" w:eastAsia="黑体" w:cs="Times New Roman"/>
                <w:b w:val="0"/>
                <w:bCs w:val="0"/>
                <w:color w:val="auto"/>
                <w:kern w:val="0"/>
                <w:sz w:val="24"/>
                <w:szCs w:val="24"/>
                <w:highlight w:val="none"/>
                <w:lang w:val="en-US" w:eastAsia="zh-CN" w:bidi="ar-SA"/>
              </w:rPr>
              <w:t>⑤运行方式</w:t>
            </w:r>
          </w:p>
          <w:p w14:paraId="7BDA3067">
            <w:pPr>
              <w:autoSpaceDE w:val="0"/>
              <w:autoSpaceDN w:val="0"/>
              <w:adjustRightInd w:val="0"/>
              <w:spacing w:line="360" w:lineRule="auto"/>
              <w:ind w:firstLine="480" w:firstLineChars="200"/>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本项目建成后，采用无人值守、少人巡检的运行方式。</w:t>
            </w:r>
          </w:p>
          <w:p w14:paraId="592EDC90">
            <w:pPr>
              <w:pStyle w:val="11"/>
              <w:adjustRightInd w:val="0"/>
              <w:spacing w:before="0" w:after="0" w:line="360" w:lineRule="auto"/>
              <w:ind w:right="0" w:firstLine="480" w:firstLineChars="200"/>
              <w:rPr>
                <w:rFonts w:hint="default" w:ascii="Times New Roman" w:hAnsi="Times New Roman" w:eastAsia="黑体" w:cs="Times New Roman"/>
                <w:b w:val="0"/>
                <w:bCs w:val="0"/>
                <w:color w:val="auto"/>
                <w:kern w:val="0"/>
                <w:sz w:val="24"/>
                <w:szCs w:val="24"/>
                <w:highlight w:val="none"/>
                <w:lang w:val="en-US" w:eastAsia="zh-CN" w:bidi="ar-SA"/>
              </w:rPr>
            </w:pPr>
            <w:r>
              <w:rPr>
                <w:rFonts w:hint="default" w:ascii="Times New Roman" w:hAnsi="Times New Roman" w:eastAsia="黑体" w:cs="Times New Roman"/>
                <w:b w:val="0"/>
                <w:bCs w:val="0"/>
                <w:color w:val="auto"/>
                <w:kern w:val="0"/>
                <w:sz w:val="24"/>
                <w:szCs w:val="24"/>
                <w:highlight w:val="none"/>
                <w:lang w:val="en-US" w:eastAsia="zh-CN" w:bidi="ar-SA"/>
              </w:rPr>
              <w:t>4、土石方平衡</w:t>
            </w:r>
          </w:p>
          <w:p w14:paraId="6BA24654">
            <w:pPr>
              <w:pStyle w:val="11"/>
              <w:adjustRightInd w:val="0"/>
              <w:spacing w:before="0" w:after="0" w:line="360" w:lineRule="auto"/>
              <w:ind w:right="0"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根据项目工程量统计表可知，本工程土方开挖316859.07m³，土方回填218451.45m³，借方量140606.56m³（含外来浆砌石、碎石、</w:t>
            </w:r>
            <w:r>
              <w:rPr>
                <w:rFonts w:hint="eastAsia" w:cs="Times New Roman"/>
                <w:color w:val="auto"/>
                <w:kern w:val="0"/>
                <w:sz w:val="24"/>
                <w:szCs w:val="24"/>
                <w:highlight w:val="none"/>
                <w:lang w:val="en-US" w:eastAsia="zh-CN" w:bidi="ar-SA"/>
              </w:rPr>
              <w:t>混凝土</w:t>
            </w:r>
            <w:r>
              <w:rPr>
                <w:rFonts w:hint="default" w:ascii="Times New Roman" w:hAnsi="Times New Roman" w:eastAsia="宋体" w:cs="Times New Roman"/>
                <w:color w:val="auto"/>
                <w:kern w:val="0"/>
                <w:sz w:val="24"/>
                <w:szCs w:val="24"/>
                <w:highlight w:val="none"/>
                <w:lang w:val="en-US" w:eastAsia="zh-CN" w:bidi="ar-SA"/>
              </w:rPr>
              <w:t>），综合利用土方（主要用于修建巡护道路基础填筑）98407.62m³。施工期开挖土方绝大部分</w:t>
            </w:r>
            <w:r>
              <w:rPr>
                <w:rFonts w:hint="eastAsia" w:cs="Times New Roman"/>
                <w:color w:val="auto"/>
                <w:kern w:val="0"/>
                <w:sz w:val="24"/>
                <w:szCs w:val="24"/>
                <w:highlight w:val="none"/>
                <w:lang w:val="en-US" w:eastAsia="zh-CN" w:bidi="ar-SA"/>
              </w:rPr>
              <w:t>现场</w:t>
            </w:r>
            <w:r>
              <w:rPr>
                <w:rFonts w:hint="default" w:ascii="Times New Roman" w:hAnsi="Times New Roman" w:eastAsia="宋体" w:cs="Times New Roman"/>
                <w:color w:val="auto"/>
                <w:kern w:val="0"/>
                <w:sz w:val="24"/>
                <w:szCs w:val="24"/>
                <w:highlight w:val="none"/>
                <w:lang w:val="en-US" w:eastAsia="zh-CN" w:bidi="ar-SA"/>
              </w:rPr>
              <w:t>回填</w:t>
            </w:r>
            <w:r>
              <w:rPr>
                <w:rFonts w:hint="eastAsia" w:cs="Times New Roman"/>
                <w:color w:val="auto"/>
                <w:kern w:val="0"/>
                <w:sz w:val="24"/>
                <w:szCs w:val="24"/>
                <w:highlight w:val="none"/>
                <w:lang w:val="en-US" w:eastAsia="zh-CN" w:bidi="ar-SA"/>
              </w:rPr>
              <w:t>于各自工程段边坡砌护工程边坡修整</w:t>
            </w:r>
            <w:r>
              <w:rPr>
                <w:rFonts w:hint="default" w:ascii="Times New Roman" w:hAnsi="Times New Roman" w:eastAsia="宋体" w:cs="Times New Roman"/>
                <w:color w:val="auto"/>
                <w:kern w:val="0"/>
                <w:sz w:val="24"/>
                <w:szCs w:val="24"/>
                <w:highlight w:val="none"/>
                <w:lang w:val="en-US" w:eastAsia="zh-CN" w:bidi="ar-SA"/>
              </w:rPr>
              <w:t>。</w:t>
            </w:r>
            <w:r>
              <w:rPr>
                <w:rFonts w:hint="eastAsia" w:cs="Times New Roman"/>
                <w:color w:val="auto"/>
                <w:kern w:val="0"/>
                <w:sz w:val="24"/>
                <w:szCs w:val="24"/>
                <w:highlight w:val="none"/>
                <w:lang w:val="en-US" w:eastAsia="zh-CN" w:bidi="ar-SA"/>
              </w:rPr>
              <w:t>沟道清淤清出淤沙堆放于沟道边坡沟拜上短暂</w:t>
            </w:r>
            <w:r>
              <w:rPr>
                <w:rFonts w:hint="default" w:ascii="Times New Roman" w:hAnsi="Times New Roman" w:eastAsia="宋体" w:cs="Times New Roman"/>
                <w:color w:val="auto"/>
                <w:kern w:val="0"/>
                <w:sz w:val="24"/>
                <w:szCs w:val="24"/>
                <w:highlight w:val="none"/>
                <w:lang w:val="en-US" w:eastAsia="zh-CN" w:bidi="ar-SA"/>
              </w:rPr>
              <w:t>晾晒干后</w:t>
            </w:r>
            <w:r>
              <w:rPr>
                <w:rFonts w:hint="eastAsia" w:cs="Times New Roman"/>
                <w:color w:val="auto"/>
                <w:kern w:val="0"/>
                <w:sz w:val="24"/>
                <w:szCs w:val="24"/>
                <w:highlight w:val="none"/>
                <w:lang w:val="en-US" w:eastAsia="zh-CN" w:bidi="ar-SA"/>
              </w:rPr>
              <w:t>因此清淤所清出淤泥以淤沙为主，水分含量较低，</w:t>
            </w:r>
            <w:r>
              <w:rPr>
                <w:rFonts w:hint="default" w:ascii="Times New Roman" w:hAnsi="Times New Roman" w:cs="Times New Roman"/>
                <w:color w:val="auto"/>
                <w:kern w:val="0"/>
                <w:sz w:val="24"/>
                <w:highlight w:val="none"/>
              </w:rPr>
              <w:t>清理的淤泥翻到沟道两侧沟拜堆放并</w:t>
            </w:r>
            <w:r>
              <w:rPr>
                <w:rFonts w:hint="eastAsia" w:cs="Times New Roman"/>
                <w:color w:val="auto"/>
                <w:kern w:val="0"/>
                <w:sz w:val="24"/>
                <w:highlight w:val="none"/>
                <w:lang w:val="en-US" w:eastAsia="zh-CN"/>
              </w:rPr>
              <w:t>短暂</w:t>
            </w:r>
            <w:r>
              <w:rPr>
                <w:rFonts w:hint="default" w:ascii="Times New Roman" w:hAnsi="Times New Roman" w:cs="Times New Roman"/>
                <w:color w:val="auto"/>
                <w:kern w:val="0"/>
                <w:sz w:val="24"/>
                <w:highlight w:val="none"/>
              </w:rPr>
              <w:t>晾晒，待淤泥晾晒干后，</w:t>
            </w:r>
            <w:r>
              <w:rPr>
                <w:rFonts w:hint="eastAsia" w:cs="Times New Roman"/>
                <w:color w:val="auto"/>
                <w:kern w:val="0"/>
                <w:sz w:val="24"/>
                <w:highlight w:val="none"/>
                <w:lang w:val="en-US" w:eastAsia="zh-CN"/>
              </w:rPr>
              <w:t>与砌护工程产生的多余土方一并</w:t>
            </w:r>
            <w:r>
              <w:rPr>
                <w:rFonts w:hint="default" w:ascii="Times New Roman" w:hAnsi="Times New Roman" w:cs="Times New Roman"/>
                <w:color w:val="auto"/>
                <w:kern w:val="0"/>
                <w:sz w:val="24"/>
                <w:highlight w:val="none"/>
              </w:rPr>
              <w:t>拉运至项目修建巡护道路基础填筑综合利用</w:t>
            </w:r>
            <w:r>
              <w:rPr>
                <w:rFonts w:hint="default" w:ascii="Times New Roman" w:hAnsi="Times New Roman" w:eastAsia="宋体" w:cs="Times New Roman"/>
                <w:color w:val="auto"/>
                <w:kern w:val="0"/>
                <w:sz w:val="24"/>
                <w:szCs w:val="24"/>
                <w:highlight w:val="none"/>
                <w:lang w:val="en-US" w:eastAsia="zh-CN" w:bidi="ar-SA"/>
              </w:rPr>
              <w:t>。本项目土石方平衡见表</w:t>
            </w:r>
            <w:r>
              <w:rPr>
                <w:rFonts w:hint="default" w:ascii="Times New Roman" w:hAnsi="Times New Roman" w:cs="Times New Roman"/>
                <w:color w:val="auto"/>
                <w:kern w:val="0"/>
                <w:sz w:val="24"/>
                <w:szCs w:val="24"/>
                <w:highlight w:val="none"/>
                <w:lang w:val="en-US" w:eastAsia="zh-CN" w:bidi="ar-SA"/>
              </w:rPr>
              <w:t>2-4</w:t>
            </w:r>
            <w:r>
              <w:rPr>
                <w:rFonts w:hint="eastAsia" w:cs="Times New Roman"/>
                <w:color w:val="auto"/>
                <w:kern w:val="0"/>
                <w:sz w:val="24"/>
                <w:szCs w:val="24"/>
                <w:highlight w:val="none"/>
                <w:lang w:val="en-US" w:eastAsia="zh-CN" w:bidi="ar-SA"/>
              </w:rPr>
              <w:t>、</w:t>
            </w:r>
            <w:r>
              <w:rPr>
                <w:rFonts w:hint="default" w:ascii="Times New Roman" w:hAnsi="Times New Roman" w:cs="Times New Roman"/>
                <w:color w:val="auto"/>
                <w:kern w:val="0"/>
                <w:sz w:val="24"/>
                <w:szCs w:val="24"/>
                <w:highlight w:val="none"/>
                <w:lang w:val="en-US" w:eastAsia="zh-CN" w:bidi="ar-SA"/>
              </w:rPr>
              <w:t>图2-</w:t>
            </w:r>
            <w:r>
              <w:rPr>
                <w:rFonts w:hint="eastAsia" w:cs="Times New Roman"/>
                <w:color w:val="auto"/>
                <w:kern w:val="0"/>
                <w:sz w:val="24"/>
                <w:szCs w:val="24"/>
                <w:highlight w:val="none"/>
                <w:lang w:val="en-US" w:eastAsia="zh-CN" w:bidi="ar-SA"/>
              </w:rPr>
              <w:t>7</w:t>
            </w:r>
            <w:r>
              <w:rPr>
                <w:rFonts w:hint="default" w:ascii="Times New Roman" w:hAnsi="Times New Roman" w:cs="Times New Roman"/>
                <w:color w:val="auto"/>
                <w:kern w:val="0"/>
                <w:sz w:val="24"/>
                <w:szCs w:val="24"/>
                <w:highlight w:val="none"/>
                <w:lang w:val="en-US" w:eastAsia="zh-CN" w:bidi="ar-SA"/>
              </w:rPr>
              <w:t>。</w:t>
            </w:r>
          </w:p>
          <w:p w14:paraId="0DC42482">
            <w:pPr>
              <w:adjustRightInd w:val="0"/>
              <w:snapToGrid w:val="0"/>
              <w:spacing w:line="240" w:lineRule="auto"/>
              <w:jc w:val="center"/>
              <w:rPr>
                <w:rFonts w:hint="default" w:ascii="Times New Roman" w:hAnsi="Times New Roman" w:eastAsia="黑体" w:cs="Times New Roman"/>
                <w:color w:val="auto"/>
                <w:sz w:val="24"/>
                <w:highlight w:val="none"/>
                <w:lang w:val="en-US" w:eastAsia="zh-CN"/>
              </w:rPr>
            </w:pPr>
            <w:r>
              <w:rPr>
                <w:rFonts w:hint="default" w:ascii="Times New Roman" w:hAnsi="Times New Roman" w:eastAsia="黑体" w:cs="Times New Roman"/>
                <w:color w:val="auto"/>
                <w:sz w:val="24"/>
                <w:highlight w:val="none"/>
                <w:lang w:val="en-US" w:eastAsia="zh-CN"/>
              </w:rPr>
              <w:t>表2-6  土石方平衡表</w:t>
            </w:r>
            <w:r>
              <w:rPr>
                <w:rFonts w:hint="eastAsia" w:eastAsia="黑体" w:cs="Times New Roman"/>
                <w:color w:val="auto"/>
                <w:sz w:val="24"/>
                <w:highlight w:val="none"/>
                <w:lang w:val="en-US" w:eastAsia="zh-CN"/>
              </w:rPr>
              <w:t xml:space="preserve">  单位：m³</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6"/>
              <w:gridCol w:w="930"/>
              <w:gridCol w:w="1155"/>
              <w:gridCol w:w="1200"/>
              <w:gridCol w:w="1200"/>
              <w:gridCol w:w="1065"/>
              <w:gridCol w:w="1110"/>
              <w:gridCol w:w="711"/>
            </w:tblGrid>
            <w:tr w14:paraId="4659C8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96" w:type="dxa"/>
                  <w:gridSpan w:val="2"/>
                  <w:vMerge w:val="restart"/>
                  <w:tcBorders>
                    <w:tl2br w:val="nil"/>
                    <w:tr2bl w:val="nil"/>
                  </w:tcBorders>
                  <w:vAlign w:val="center"/>
                </w:tcPr>
                <w:p w14:paraId="24A18526">
                  <w:pPr>
                    <w:pStyle w:val="11"/>
                    <w:adjustRightInd w:val="0"/>
                    <w:spacing w:before="0" w:after="0" w:line="240" w:lineRule="auto"/>
                    <w:ind w:right="0"/>
                    <w:jc w:val="center"/>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kern w:val="2"/>
                      <w:sz w:val="21"/>
                      <w:szCs w:val="21"/>
                      <w:highlight w:val="none"/>
                      <w:vertAlign w:val="baseline"/>
                      <w:lang w:val="en-US" w:eastAsia="zh-CN" w:bidi="ar-SA"/>
                    </w:rPr>
                    <w:t>项目名称</w:t>
                  </w:r>
                </w:p>
              </w:tc>
              <w:tc>
                <w:tcPr>
                  <w:tcW w:w="1155" w:type="dxa"/>
                  <w:vMerge w:val="restart"/>
                  <w:tcBorders>
                    <w:tl2br w:val="nil"/>
                    <w:tr2bl w:val="nil"/>
                  </w:tcBorders>
                  <w:vAlign w:val="center"/>
                </w:tcPr>
                <w:p w14:paraId="1FE1176A">
                  <w:pPr>
                    <w:pStyle w:val="11"/>
                    <w:adjustRightInd w:val="0"/>
                    <w:spacing w:before="0" w:after="0" w:line="240" w:lineRule="auto"/>
                    <w:ind w:right="0"/>
                    <w:jc w:val="center"/>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kern w:val="2"/>
                      <w:sz w:val="21"/>
                      <w:szCs w:val="21"/>
                      <w:highlight w:val="none"/>
                      <w:vertAlign w:val="baseline"/>
                      <w:lang w:val="en-US" w:eastAsia="zh-CN" w:bidi="ar-SA"/>
                    </w:rPr>
                    <w:t>挖方</w:t>
                  </w:r>
                </w:p>
              </w:tc>
              <w:tc>
                <w:tcPr>
                  <w:tcW w:w="2400" w:type="dxa"/>
                  <w:gridSpan w:val="2"/>
                  <w:tcBorders>
                    <w:tl2br w:val="nil"/>
                    <w:tr2bl w:val="nil"/>
                  </w:tcBorders>
                  <w:vAlign w:val="center"/>
                </w:tcPr>
                <w:p w14:paraId="34FC611E">
                  <w:pPr>
                    <w:pStyle w:val="11"/>
                    <w:adjustRightInd w:val="0"/>
                    <w:spacing w:before="0" w:after="0" w:line="240" w:lineRule="auto"/>
                    <w:ind w:right="0"/>
                    <w:jc w:val="center"/>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kern w:val="2"/>
                      <w:sz w:val="21"/>
                      <w:szCs w:val="21"/>
                      <w:highlight w:val="none"/>
                      <w:vertAlign w:val="baseline"/>
                      <w:lang w:val="en-US" w:eastAsia="zh-CN" w:bidi="ar-SA"/>
                    </w:rPr>
                    <w:t>填方</w:t>
                  </w:r>
                </w:p>
              </w:tc>
              <w:tc>
                <w:tcPr>
                  <w:tcW w:w="1065" w:type="dxa"/>
                  <w:vMerge w:val="restart"/>
                  <w:tcBorders>
                    <w:tl2br w:val="nil"/>
                    <w:tr2bl w:val="nil"/>
                  </w:tcBorders>
                  <w:vAlign w:val="center"/>
                </w:tcPr>
                <w:p w14:paraId="4494C45D">
                  <w:pPr>
                    <w:pStyle w:val="11"/>
                    <w:adjustRightInd w:val="0"/>
                    <w:spacing w:before="0" w:after="0" w:line="240" w:lineRule="auto"/>
                    <w:ind w:right="0"/>
                    <w:jc w:val="center"/>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cs="Times New Roman"/>
                      <w:b/>
                      <w:bCs/>
                      <w:color w:val="auto"/>
                      <w:kern w:val="2"/>
                      <w:sz w:val="21"/>
                      <w:szCs w:val="21"/>
                      <w:highlight w:val="none"/>
                      <w:vertAlign w:val="baseline"/>
                      <w:lang w:val="en-US" w:eastAsia="zh-CN" w:bidi="ar-SA"/>
                    </w:rPr>
                    <w:t>剩余土方</w:t>
                  </w:r>
                </w:p>
              </w:tc>
              <w:tc>
                <w:tcPr>
                  <w:tcW w:w="1110" w:type="dxa"/>
                  <w:vMerge w:val="restart"/>
                  <w:tcBorders>
                    <w:tl2br w:val="nil"/>
                    <w:tr2bl w:val="nil"/>
                  </w:tcBorders>
                  <w:vAlign w:val="center"/>
                </w:tcPr>
                <w:p w14:paraId="01F7792B">
                  <w:pPr>
                    <w:pStyle w:val="11"/>
                    <w:adjustRightInd w:val="0"/>
                    <w:spacing w:before="0" w:after="0" w:line="240" w:lineRule="auto"/>
                    <w:ind w:right="0"/>
                    <w:jc w:val="center"/>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cs="Times New Roman"/>
                      <w:b/>
                      <w:bCs/>
                      <w:color w:val="auto"/>
                      <w:kern w:val="2"/>
                      <w:sz w:val="21"/>
                      <w:szCs w:val="21"/>
                      <w:highlight w:val="none"/>
                      <w:vertAlign w:val="baseline"/>
                      <w:lang w:val="en-US" w:eastAsia="zh-CN" w:bidi="ar-SA"/>
                    </w:rPr>
                    <w:t>综合利用</w:t>
                  </w:r>
                </w:p>
              </w:tc>
              <w:tc>
                <w:tcPr>
                  <w:tcW w:w="711" w:type="dxa"/>
                  <w:vMerge w:val="restart"/>
                  <w:tcBorders>
                    <w:tl2br w:val="nil"/>
                    <w:tr2bl w:val="nil"/>
                  </w:tcBorders>
                  <w:vAlign w:val="center"/>
                </w:tcPr>
                <w:p w14:paraId="5256C7E4">
                  <w:pPr>
                    <w:pStyle w:val="11"/>
                    <w:adjustRightInd w:val="0"/>
                    <w:spacing w:before="0" w:after="0" w:line="240" w:lineRule="auto"/>
                    <w:ind w:right="0"/>
                    <w:jc w:val="center"/>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kern w:val="2"/>
                      <w:sz w:val="21"/>
                      <w:szCs w:val="21"/>
                      <w:highlight w:val="none"/>
                      <w:vertAlign w:val="baseline"/>
                      <w:lang w:val="en-US" w:eastAsia="zh-CN" w:bidi="ar-SA"/>
                    </w:rPr>
                    <w:t>弃方</w:t>
                  </w:r>
                </w:p>
              </w:tc>
            </w:tr>
            <w:tr w14:paraId="5CB848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96" w:type="dxa"/>
                  <w:gridSpan w:val="2"/>
                  <w:vMerge w:val="continue"/>
                  <w:tcBorders>
                    <w:tl2br w:val="nil"/>
                    <w:tr2bl w:val="nil"/>
                  </w:tcBorders>
                  <w:vAlign w:val="center"/>
                </w:tcPr>
                <w:p w14:paraId="1E678C24">
                  <w:pPr>
                    <w:pStyle w:val="11"/>
                    <w:adjustRightInd w:val="0"/>
                    <w:spacing w:before="0" w:after="0" w:line="240" w:lineRule="auto"/>
                    <w:ind w:right="0"/>
                    <w:jc w:val="center"/>
                    <w:rPr>
                      <w:color w:val="auto"/>
                    </w:rPr>
                  </w:pPr>
                </w:p>
              </w:tc>
              <w:tc>
                <w:tcPr>
                  <w:tcW w:w="1155" w:type="dxa"/>
                  <w:vMerge w:val="continue"/>
                  <w:tcBorders>
                    <w:tl2br w:val="nil"/>
                    <w:tr2bl w:val="nil"/>
                  </w:tcBorders>
                  <w:vAlign w:val="center"/>
                </w:tcPr>
                <w:p w14:paraId="2725D61C">
                  <w:pPr>
                    <w:pStyle w:val="11"/>
                    <w:adjustRightInd w:val="0"/>
                    <w:spacing w:before="0" w:after="0" w:line="240" w:lineRule="auto"/>
                    <w:ind w:right="0"/>
                    <w:jc w:val="center"/>
                    <w:rPr>
                      <w:color w:val="auto"/>
                    </w:rPr>
                  </w:pPr>
                </w:p>
              </w:tc>
              <w:tc>
                <w:tcPr>
                  <w:tcW w:w="1200" w:type="dxa"/>
                  <w:tcBorders>
                    <w:tl2br w:val="nil"/>
                    <w:tr2bl w:val="nil"/>
                  </w:tcBorders>
                  <w:vAlign w:val="center"/>
                </w:tcPr>
                <w:p w14:paraId="2CD2761F">
                  <w:pPr>
                    <w:pStyle w:val="11"/>
                    <w:adjustRightInd w:val="0"/>
                    <w:spacing w:before="0" w:after="0" w:line="240" w:lineRule="auto"/>
                    <w:ind w:right="0"/>
                    <w:jc w:val="center"/>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cs="Times New Roman"/>
                      <w:b/>
                      <w:bCs/>
                      <w:color w:val="auto"/>
                      <w:kern w:val="2"/>
                      <w:sz w:val="21"/>
                      <w:szCs w:val="21"/>
                      <w:highlight w:val="none"/>
                      <w:vertAlign w:val="baseline"/>
                      <w:lang w:val="en-US" w:eastAsia="zh-CN" w:bidi="ar-SA"/>
                    </w:rPr>
                    <w:t>回填</w:t>
                  </w:r>
                </w:p>
              </w:tc>
              <w:tc>
                <w:tcPr>
                  <w:tcW w:w="1200" w:type="dxa"/>
                  <w:tcBorders>
                    <w:tl2br w:val="nil"/>
                    <w:tr2bl w:val="nil"/>
                  </w:tcBorders>
                  <w:vAlign w:val="center"/>
                </w:tcPr>
                <w:p w14:paraId="03FC1EFF">
                  <w:pPr>
                    <w:pStyle w:val="11"/>
                    <w:adjustRightInd w:val="0"/>
                    <w:spacing w:before="0" w:after="0" w:line="240" w:lineRule="auto"/>
                    <w:ind w:right="0"/>
                    <w:jc w:val="center"/>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cs="Times New Roman"/>
                      <w:b/>
                      <w:bCs/>
                      <w:color w:val="auto"/>
                      <w:kern w:val="2"/>
                      <w:sz w:val="21"/>
                      <w:szCs w:val="21"/>
                      <w:highlight w:val="none"/>
                      <w:vertAlign w:val="baseline"/>
                      <w:lang w:val="en-US" w:eastAsia="zh-CN" w:bidi="ar-SA"/>
                    </w:rPr>
                    <w:t>借方</w:t>
                  </w:r>
                </w:p>
              </w:tc>
              <w:tc>
                <w:tcPr>
                  <w:tcW w:w="1065" w:type="dxa"/>
                  <w:vMerge w:val="continue"/>
                  <w:tcBorders>
                    <w:tl2br w:val="nil"/>
                    <w:tr2bl w:val="nil"/>
                  </w:tcBorders>
                  <w:vAlign w:val="center"/>
                </w:tcPr>
                <w:p w14:paraId="4A68EA97">
                  <w:pPr>
                    <w:pStyle w:val="11"/>
                    <w:adjustRightInd w:val="0"/>
                    <w:spacing w:before="0" w:after="0" w:line="240" w:lineRule="auto"/>
                    <w:ind w:right="0"/>
                    <w:jc w:val="center"/>
                    <w:rPr>
                      <w:rFonts w:hint="default" w:ascii="Times New Roman" w:hAnsi="Times New Roman" w:eastAsia="宋体" w:cs="Times New Roman"/>
                      <w:b/>
                      <w:bCs/>
                      <w:color w:val="auto"/>
                      <w:kern w:val="2"/>
                      <w:sz w:val="21"/>
                      <w:szCs w:val="21"/>
                      <w:highlight w:val="none"/>
                      <w:vertAlign w:val="baseline"/>
                      <w:lang w:val="en-US" w:eastAsia="zh-CN" w:bidi="ar-SA"/>
                    </w:rPr>
                  </w:pPr>
                </w:p>
              </w:tc>
              <w:tc>
                <w:tcPr>
                  <w:tcW w:w="1110" w:type="dxa"/>
                  <w:vMerge w:val="continue"/>
                  <w:tcBorders>
                    <w:tl2br w:val="nil"/>
                    <w:tr2bl w:val="nil"/>
                  </w:tcBorders>
                  <w:vAlign w:val="center"/>
                </w:tcPr>
                <w:p w14:paraId="53494CED">
                  <w:pPr>
                    <w:pStyle w:val="11"/>
                    <w:adjustRightInd w:val="0"/>
                    <w:spacing w:before="0" w:after="0" w:line="240" w:lineRule="auto"/>
                    <w:ind w:right="0"/>
                    <w:jc w:val="center"/>
                    <w:rPr>
                      <w:rFonts w:hint="default" w:ascii="Times New Roman" w:hAnsi="Times New Roman" w:eastAsia="宋体" w:cs="Times New Roman"/>
                      <w:b/>
                      <w:bCs/>
                      <w:color w:val="auto"/>
                      <w:kern w:val="2"/>
                      <w:sz w:val="21"/>
                      <w:szCs w:val="21"/>
                      <w:highlight w:val="none"/>
                      <w:vertAlign w:val="baseline"/>
                      <w:lang w:val="en-US" w:eastAsia="zh-CN" w:bidi="ar-SA"/>
                    </w:rPr>
                  </w:pPr>
                </w:p>
              </w:tc>
              <w:tc>
                <w:tcPr>
                  <w:tcW w:w="711" w:type="dxa"/>
                  <w:vMerge w:val="continue"/>
                  <w:tcBorders>
                    <w:tl2br w:val="nil"/>
                    <w:tr2bl w:val="nil"/>
                  </w:tcBorders>
                  <w:vAlign w:val="center"/>
                </w:tcPr>
                <w:p w14:paraId="124C6C7F">
                  <w:pPr>
                    <w:pStyle w:val="11"/>
                    <w:adjustRightInd w:val="0"/>
                    <w:spacing w:before="0" w:after="0" w:line="240" w:lineRule="auto"/>
                    <w:ind w:right="0"/>
                    <w:jc w:val="center"/>
                    <w:rPr>
                      <w:rFonts w:hint="default" w:ascii="Times New Roman" w:hAnsi="Times New Roman" w:eastAsia="宋体" w:cs="Times New Roman"/>
                      <w:b/>
                      <w:bCs/>
                      <w:color w:val="auto"/>
                      <w:kern w:val="2"/>
                      <w:sz w:val="21"/>
                      <w:szCs w:val="21"/>
                      <w:highlight w:val="none"/>
                      <w:vertAlign w:val="baseline"/>
                      <w:lang w:val="en-US" w:eastAsia="zh-CN" w:bidi="ar-SA"/>
                    </w:rPr>
                  </w:pPr>
                </w:p>
              </w:tc>
            </w:tr>
            <w:tr w14:paraId="4C5858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6" w:type="dxa"/>
                  <w:vMerge w:val="restart"/>
                  <w:tcBorders>
                    <w:tl2br w:val="nil"/>
                    <w:tr2bl w:val="nil"/>
                  </w:tcBorders>
                  <w:vAlign w:val="center"/>
                </w:tcPr>
                <w:p w14:paraId="011832AD">
                  <w:pPr>
                    <w:pStyle w:val="11"/>
                    <w:adjustRightInd w:val="0"/>
                    <w:spacing w:before="0" w:after="0" w:line="240" w:lineRule="auto"/>
                    <w:ind w:right="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cs="Times New Roman"/>
                      <w:b w:val="0"/>
                      <w:bCs w:val="0"/>
                      <w:color w:val="auto"/>
                      <w:kern w:val="2"/>
                      <w:sz w:val="21"/>
                      <w:szCs w:val="21"/>
                      <w:highlight w:val="none"/>
                      <w:vertAlign w:val="baseline"/>
                      <w:lang w:val="en-US" w:eastAsia="zh-CN" w:bidi="ar-SA"/>
                    </w:rPr>
                    <w:t>清淤疏浚工程</w:t>
                  </w:r>
                </w:p>
              </w:tc>
              <w:tc>
                <w:tcPr>
                  <w:tcW w:w="930" w:type="dxa"/>
                  <w:tcBorders>
                    <w:tl2br w:val="nil"/>
                    <w:tr2bl w:val="nil"/>
                  </w:tcBorders>
                  <w:vAlign w:val="center"/>
                </w:tcPr>
                <w:p w14:paraId="47E97B61">
                  <w:pPr>
                    <w:pStyle w:val="11"/>
                    <w:adjustRightInd w:val="0"/>
                    <w:spacing w:before="0" w:after="0" w:line="240" w:lineRule="auto"/>
                    <w:ind w:right="0"/>
                    <w:jc w:val="center"/>
                    <w:rPr>
                      <w:rFonts w:hint="default" w:ascii="Times New Roman" w:hAnsi="Times New Roman"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上游段</w:t>
                  </w:r>
                </w:p>
              </w:tc>
              <w:tc>
                <w:tcPr>
                  <w:tcW w:w="1155" w:type="dxa"/>
                  <w:tcBorders>
                    <w:tl2br w:val="nil"/>
                    <w:tr2bl w:val="nil"/>
                  </w:tcBorders>
                  <w:vAlign w:val="center"/>
                </w:tcPr>
                <w:p w14:paraId="6D2C064D">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8520</w:t>
                  </w:r>
                </w:p>
              </w:tc>
              <w:tc>
                <w:tcPr>
                  <w:tcW w:w="1200" w:type="dxa"/>
                  <w:tcBorders>
                    <w:tl2br w:val="nil"/>
                    <w:tr2bl w:val="nil"/>
                  </w:tcBorders>
                  <w:vAlign w:val="center"/>
                </w:tcPr>
                <w:p w14:paraId="44ADF4F2">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p>
              </w:tc>
              <w:tc>
                <w:tcPr>
                  <w:tcW w:w="1200" w:type="dxa"/>
                  <w:tcBorders>
                    <w:tl2br w:val="nil"/>
                    <w:tr2bl w:val="nil"/>
                  </w:tcBorders>
                  <w:vAlign w:val="center"/>
                </w:tcPr>
                <w:p w14:paraId="74D02A1D">
                  <w:pPr>
                    <w:keepNext w:val="0"/>
                    <w:keepLines w:val="0"/>
                    <w:widowControl/>
                    <w:suppressLineNumbers w:val="0"/>
                    <w:jc w:val="center"/>
                    <w:textAlignment w:val="center"/>
                    <w:rPr>
                      <w:rFonts w:hint="default"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p>
              </w:tc>
              <w:tc>
                <w:tcPr>
                  <w:tcW w:w="1065" w:type="dxa"/>
                  <w:tcBorders>
                    <w:tl2br w:val="nil"/>
                    <w:tr2bl w:val="nil"/>
                  </w:tcBorders>
                  <w:vAlign w:val="center"/>
                </w:tcPr>
                <w:p w14:paraId="28B0B22B">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8520</w:t>
                  </w:r>
                </w:p>
              </w:tc>
              <w:tc>
                <w:tcPr>
                  <w:tcW w:w="1110" w:type="dxa"/>
                  <w:tcBorders>
                    <w:tl2br w:val="nil"/>
                    <w:tr2bl w:val="nil"/>
                  </w:tcBorders>
                  <w:vAlign w:val="center"/>
                </w:tcPr>
                <w:p w14:paraId="66BFC877">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8520</w:t>
                  </w:r>
                </w:p>
              </w:tc>
              <w:tc>
                <w:tcPr>
                  <w:tcW w:w="711" w:type="dxa"/>
                  <w:tcBorders>
                    <w:tl2br w:val="nil"/>
                    <w:tr2bl w:val="nil"/>
                  </w:tcBorders>
                  <w:vAlign w:val="center"/>
                </w:tcPr>
                <w:p w14:paraId="7C9FDFAB">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i w:val="0"/>
                      <w:iCs w:val="0"/>
                      <w:color w:val="auto"/>
                      <w:kern w:val="0"/>
                      <w:sz w:val="21"/>
                      <w:szCs w:val="21"/>
                      <w:u w:val="none"/>
                      <w:lang w:val="en-US" w:eastAsia="zh-CN" w:bidi="ar"/>
                    </w:rPr>
                    <w:t>0</w:t>
                  </w:r>
                </w:p>
              </w:tc>
            </w:tr>
            <w:tr w14:paraId="414303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6" w:type="dxa"/>
                  <w:vMerge w:val="continue"/>
                  <w:tcBorders>
                    <w:tl2br w:val="nil"/>
                    <w:tr2bl w:val="nil"/>
                  </w:tcBorders>
                  <w:vAlign w:val="center"/>
                </w:tcPr>
                <w:p w14:paraId="116CDF5A">
                  <w:pPr>
                    <w:pStyle w:val="11"/>
                    <w:adjustRightInd w:val="0"/>
                    <w:spacing w:before="0" w:after="0" w:line="240" w:lineRule="auto"/>
                    <w:ind w:right="0"/>
                    <w:jc w:val="center"/>
                    <w:rPr>
                      <w:b w:val="0"/>
                      <w:bCs w:val="0"/>
                      <w:color w:val="auto"/>
                    </w:rPr>
                  </w:pPr>
                </w:p>
              </w:tc>
              <w:tc>
                <w:tcPr>
                  <w:tcW w:w="930" w:type="dxa"/>
                  <w:tcBorders>
                    <w:tl2br w:val="nil"/>
                    <w:tr2bl w:val="nil"/>
                  </w:tcBorders>
                  <w:vAlign w:val="center"/>
                </w:tcPr>
                <w:p w14:paraId="117D94B1">
                  <w:pPr>
                    <w:pStyle w:val="11"/>
                    <w:adjustRightInd w:val="0"/>
                    <w:spacing w:before="0" w:after="0" w:line="240" w:lineRule="auto"/>
                    <w:ind w:right="0"/>
                    <w:jc w:val="center"/>
                    <w:rPr>
                      <w:rFonts w:hint="default" w:ascii="Times New Roman" w:hAnsi="Times New Roman"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下游段</w:t>
                  </w:r>
                </w:p>
              </w:tc>
              <w:tc>
                <w:tcPr>
                  <w:tcW w:w="1155" w:type="dxa"/>
                  <w:tcBorders>
                    <w:tl2br w:val="nil"/>
                    <w:tr2bl w:val="nil"/>
                  </w:tcBorders>
                  <w:vAlign w:val="center"/>
                </w:tcPr>
                <w:p w14:paraId="41D8256C">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15480</w:t>
                  </w:r>
                </w:p>
              </w:tc>
              <w:tc>
                <w:tcPr>
                  <w:tcW w:w="1200" w:type="dxa"/>
                  <w:tcBorders>
                    <w:tl2br w:val="nil"/>
                    <w:tr2bl w:val="nil"/>
                  </w:tcBorders>
                  <w:vAlign w:val="center"/>
                </w:tcPr>
                <w:p w14:paraId="36111976">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p>
              </w:tc>
              <w:tc>
                <w:tcPr>
                  <w:tcW w:w="1200" w:type="dxa"/>
                  <w:tcBorders>
                    <w:tl2br w:val="nil"/>
                    <w:tr2bl w:val="nil"/>
                  </w:tcBorders>
                  <w:vAlign w:val="center"/>
                </w:tcPr>
                <w:p w14:paraId="18454205">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p>
              </w:tc>
              <w:tc>
                <w:tcPr>
                  <w:tcW w:w="1065" w:type="dxa"/>
                  <w:tcBorders>
                    <w:tl2br w:val="nil"/>
                    <w:tr2bl w:val="nil"/>
                  </w:tcBorders>
                  <w:vAlign w:val="center"/>
                </w:tcPr>
                <w:p w14:paraId="03AE7855">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15480</w:t>
                  </w:r>
                </w:p>
              </w:tc>
              <w:tc>
                <w:tcPr>
                  <w:tcW w:w="1110" w:type="dxa"/>
                  <w:tcBorders>
                    <w:tl2br w:val="nil"/>
                    <w:tr2bl w:val="nil"/>
                  </w:tcBorders>
                  <w:vAlign w:val="center"/>
                </w:tcPr>
                <w:p w14:paraId="4EC4CF49">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15480</w:t>
                  </w:r>
                </w:p>
              </w:tc>
              <w:tc>
                <w:tcPr>
                  <w:tcW w:w="711" w:type="dxa"/>
                  <w:tcBorders>
                    <w:tl2br w:val="nil"/>
                    <w:tr2bl w:val="nil"/>
                  </w:tcBorders>
                  <w:vAlign w:val="center"/>
                </w:tcPr>
                <w:p w14:paraId="344C9C80">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vertAlign w:val="baseline"/>
                      <w:lang w:val="en-US" w:eastAsia="zh-CN" w:bidi="ar-SA"/>
                    </w:rPr>
                  </w:pPr>
                  <w:r>
                    <w:rPr>
                      <w:rFonts w:hint="eastAsia" w:cs="Times New Roman"/>
                      <w:i w:val="0"/>
                      <w:iCs w:val="0"/>
                      <w:color w:val="auto"/>
                      <w:kern w:val="0"/>
                      <w:sz w:val="21"/>
                      <w:szCs w:val="21"/>
                      <w:u w:val="none"/>
                      <w:lang w:val="en-US" w:eastAsia="zh-CN" w:bidi="ar"/>
                    </w:rPr>
                    <w:t>0</w:t>
                  </w:r>
                </w:p>
              </w:tc>
            </w:tr>
            <w:tr w14:paraId="136E08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6" w:type="dxa"/>
                  <w:vMerge w:val="restart"/>
                  <w:tcBorders>
                    <w:tl2br w:val="nil"/>
                    <w:tr2bl w:val="nil"/>
                  </w:tcBorders>
                  <w:vAlign w:val="center"/>
                </w:tcPr>
                <w:p w14:paraId="6B0A3C5B">
                  <w:pPr>
                    <w:pStyle w:val="11"/>
                    <w:adjustRightInd w:val="0"/>
                    <w:spacing w:before="0" w:after="0" w:line="240" w:lineRule="auto"/>
                    <w:ind w:right="0"/>
                    <w:jc w:val="center"/>
                    <w:rPr>
                      <w:rFonts w:hint="default" w:ascii="Times New Roman" w:hAnsi="Times New Roman" w:cs="Times New Roman"/>
                      <w:b w:val="0"/>
                      <w:bCs w:val="0"/>
                      <w:color w:val="auto"/>
                      <w:kern w:val="2"/>
                      <w:sz w:val="21"/>
                      <w:szCs w:val="21"/>
                      <w:highlight w:val="none"/>
                      <w:vertAlign w:val="baseline"/>
                      <w:lang w:val="en-US" w:eastAsia="zh-CN" w:bidi="ar-SA"/>
                    </w:rPr>
                  </w:pPr>
                  <w:r>
                    <w:rPr>
                      <w:rFonts w:hint="default" w:ascii="Times New Roman" w:hAnsi="Times New Roman" w:cs="Times New Roman"/>
                      <w:b w:val="0"/>
                      <w:bCs w:val="0"/>
                      <w:color w:val="auto"/>
                      <w:kern w:val="2"/>
                      <w:sz w:val="21"/>
                      <w:szCs w:val="21"/>
                      <w:highlight w:val="none"/>
                      <w:vertAlign w:val="baseline"/>
                      <w:lang w:val="en-US" w:eastAsia="zh-CN" w:bidi="ar-SA"/>
                    </w:rPr>
                    <w:t>护岸砌筑工程</w:t>
                  </w:r>
                </w:p>
              </w:tc>
              <w:tc>
                <w:tcPr>
                  <w:tcW w:w="930" w:type="dxa"/>
                  <w:tcBorders>
                    <w:tl2br w:val="nil"/>
                    <w:tr2bl w:val="nil"/>
                  </w:tcBorders>
                  <w:shd w:val="clear" w:color="auto" w:fill="auto"/>
                  <w:vAlign w:val="center"/>
                </w:tcPr>
                <w:p w14:paraId="66DAB909">
                  <w:pPr>
                    <w:pStyle w:val="11"/>
                    <w:adjustRightInd w:val="0"/>
                    <w:spacing w:before="0" w:after="0" w:line="240" w:lineRule="auto"/>
                    <w:ind w:right="0" w:right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上游段</w:t>
                  </w:r>
                </w:p>
              </w:tc>
              <w:tc>
                <w:tcPr>
                  <w:tcW w:w="1155" w:type="dxa"/>
                  <w:tcBorders>
                    <w:tl2br w:val="nil"/>
                    <w:tr2bl w:val="nil"/>
                  </w:tcBorders>
                  <w:vAlign w:val="center"/>
                </w:tcPr>
                <w:p w14:paraId="77F0A54E">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60858</w:t>
                  </w:r>
                </w:p>
              </w:tc>
              <w:tc>
                <w:tcPr>
                  <w:tcW w:w="1200" w:type="dxa"/>
                  <w:tcBorders>
                    <w:tl2br w:val="nil"/>
                    <w:tr2bl w:val="nil"/>
                  </w:tcBorders>
                  <w:vAlign w:val="center"/>
                </w:tcPr>
                <w:p w14:paraId="755A4801">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46229</w:t>
                  </w:r>
                </w:p>
              </w:tc>
              <w:tc>
                <w:tcPr>
                  <w:tcW w:w="1200" w:type="dxa"/>
                  <w:tcBorders>
                    <w:tl2br w:val="nil"/>
                    <w:tr2bl w:val="nil"/>
                  </w:tcBorders>
                  <w:vAlign w:val="center"/>
                </w:tcPr>
                <w:p w14:paraId="7BF3A1F7">
                  <w:pPr>
                    <w:keepNext w:val="0"/>
                    <w:keepLines w:val="0"/>
                    <w:widowControl/>
                    <w:suppressLineNumbers w:val="0"/>
                    <w:jc w:val="center"/>
                    <w:textAlignment w:val="center"/>
                    <w:rPr>
                      <w:rFonts w:hint="eastAsia"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42080</w:t>
                  </w:r>
                </w:p>
              </w:tc>
              <w:tc>
                <w:tcPr>
                  <w:tcW w:w="1065" w:type="dxa"/>
                  <w:tcBorders>
                    <w:tl2br w:val="nil"/>
                    <w:tr2bl w:val="nil"/>
                  </w:tcBorders>
                  <w:vAlign w:val="center"/>
                </w:tcPr>
                <w:p w14:paraId="6D7D216A">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14629</w:t>
                  </w:r>
                </w:p>
              </w:tc>
              <w:tc>
                <w:tcPr>
                  <w:tcW w:w="1110" w:type="dxa"/>
                  <w:tcBorders>
                    <w:tl2br w:val="nil"/>
                    <w:tr2bl w:val="nil"/>
                  </w:tcBorders>
                  <w:vAlign w:val="center"/>
                </w:tcPr>
                <w:p w14:paraId="730BB0AA">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14629</w:t>
                  </w:r>
                </w:p>
              </w:tc>
              <w:tc>
                <w:tcPr>
                  <w:tcW w:w="711" w:type="dxa"/>
                  <w:tcBorders>
                    <w:tl2br w:val="nil"/>
                    <w:tr2bl w:val="nil"/>
                  </w:tcBorders>
                  <w:vAlign w:val="center"/>
                </w:tcPr>
                <w:p w14:paraId="5BF699D7">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i w:val="0"/>
                      <w:iCs w:val="0"/>
                      <w:color w:val="auto"/>
                      <w:kern w:val="0"/>
                      <w:sz w:val="21"/>
                      <w:szCs w:val="21"/>
                      <w:u w:val="none"/>
                      <w:lang w:val="en-US" w:eastAsia="zh-CN" w:bidi="ar"/>
                    </w:rPr>
                    <w:t>0</w:t>
                  </w:r>
                </w:p>
              </w:tc>
            </w:tr>
            <w:tr w14:paraId="2B483F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6" w:type="dxa"/>
                  <w:vMerge w:val="continue"/>
                  <w:tcBorders>
                    <w:tl2br w:val="nil"/>
                    <w:tr2bl w:val="nil"/>
                  </w:tcBorders>
                  <w:vAlign w:val="center"/>
                </w:tcPr>
                <w:p w14:paraId="2D0D71ED">
                  <w:pPr>
                    <w:pStyle w:val="11"/>
                    <w:adjustRightInd w:val="0"/>
                    <w:spacing w:before="0" w:after="0" w:line="240" w:lineRule="auto"/>
                    <w:ind w:right="0"/>
                    <w:jc w:val="center"/>
                    <w:rPr>
                      <w:b w:val="0"/>
                      <w:bCs w:val="0"/>
                      <w:color w:val="auto"/>
                    </w:rPr>
                  </w:pPr>
                </w:p>
              </w:tc>
              <w:tc>
                <w:tcPr>
                  <w:tcW w:w="930" w:type="dxa"/>
                  <w:tcBorders>
                    <w:tl2br w:val="nil"/>
                    <w:tr2bl w:val="nil"/>
                  </w:tcBorders>
                  <w:shd w:val="clear" w:color="auto" w:fill="auto"/>
                  <w:vAlign w:val="center"/>
                </w:tcPr>
                <w:p w14:paraId="0CB94610">
                  <w:pPr>
                    <w:pStyle w:val="11"/>
                    <w:adjustRightInd w:val="0"/>
                    <w:spacing w:before="0" w:after="0" w:line="240" w:lineRule="auto"/>
                    <w:ind w:right="0" w:right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下游段</w:t>
                  </w:r>
                </w:p>
              </w:tc>
              <w:tc>
                <w:tcPr>
                  <w:tcW w:w="1155" w:type="dxa"/>
                  <w:tcBorders>
                    <w:tl2br w:val="nil"/>
                    <w:tr2bl w:val="nil"/>
                  </w:tcBorders>
                  <w:vAlign w:val="center"/>
                </w:tcPr>
                <w:p w14:paraId="5A5739AB">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189486</w:t>
                  </w:r>
                </w:p>
              </w:tc>
              <w:tc>
                <w:tcPr>
                  <w:tcW w:w="1200" w:type="dxa"/>
                  <w:tcBorders>
                    <w:tl2br w:val="nil"/>
                    <w:tr2bl w:val="nil"/>
                  </w:tcBorders>
                  <w:vAlign w:val="center"/>
                </w:tcPr>
                <w:p w14:paraId="7AFCDB7B">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129709</w:t>
                  </w:r>
                </w:p>
              </w:tc>
              <w:tc>
                <w:tcPr>
                  <w:tcW w:w="1200" w:type="dxa"/>
                  <w:tcBorders>
                    <w:tl2br w:val="nil"/>
                    <w:tr2bl w:val="nil"/>
                  </w:tcBorders>
                  <w:vAlign w:val="center"/>
                </w:tcPr>
                <w:p w14:paraId="33B60FEF">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62070</w:t>
                  </w:r>
                </w:p>
              </w:tc>
              <w:tc>
                <w:tcPr>
                  <w:tcW w:w="1065" w:type="dxa"/>
                  <w:tcBorders>
                    <w:tl2br w:val="nil"/>
                    <w:tr2bl w:val="nil"/>
                  </w:tcBorders>
                  <w:vAlign w:val="center"/>
                </w:tcPr>
                <w:p w14:paraId="1B7EA3BD">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59777</w:t>
                  </w:r>
                </w:p>
              </w:tc>
              <w:tc>
                <w:tcPr>
                  <w:tcW w:w="1110" w:type="dxa"/>
                  <w:tcBorders>
                    <w:tl2br w:val="nil"/>
                    <w:tr2bl w:val="nil"/>
                  </w:tcBorders>
                  <w:vAlign w:val="center"/>
                </w:tcPr>
                <w:p w14:paraId="58D1C1A3">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59777</w:t>
                  </w:r>
                </w:p>
              </w:tc>
              <w:tc>
                <w:tcPr>
                  <w:tcW w:w="711" w:type="dxa"/>
                  <w:tcBorders>
                    <w:tl2br w:val="nil"/>
                    <w:tr2bl w:val="nil"/>
                  </w:tcBorders>
                  <w:vAlign w:val="center"/>
                </w:tcPr>
                <w:p w14:paraId="06CEAA5B">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vertAlign w:val="baseline"/>
                      <w:lang w:val="en-US" w:eastAsia="zh-CN" w:bidi="ar-SA"/>
                    </w:rPr>
                  </w:pPr>
                  <w:r>
                    <w:rPr>
                      <w:rFonts w:hint="eastAsia" w:cs="Times New Roman"/>
                      <w:i w:val="0"/>
                      <w:iCs w:val="0"/>
                      <w:color w:val="auto"/>
                      <w:kern w:val="0"/>
                      <w:sz w:val="21"/>
                      <w:szCs w:val="21"/>
                      <w:u w:val="none"/>
                      <w:lang w:val="en-US" w:eastAsia="zh-CN" w:bidi="ar"/>
                    </w:rPr>
                    <w:t>0</w:t>
                  </w:r>
                </w:p>
              </w:tc>
            </w:tr>
            <w:tr w14:paraId="265F28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1896" w:type="dxa"/>
                  <w:gridSpan w:val="2"/>
                  <w:tcBorders>
                    <w:tl2br w:val="nil"/>
                    <w:tr2bl w:val="nil"/>
                  </w:tcBorders>
                  <w:vAlign w:val="center"/>
                </w:tcPr>
                <w:p w14:paraId="75ED854E">
                  <w:pPr>
                    <w:pStyle w:val="11"/>
                    <w:adjustRightInd w:val="0"/>
                    <w:spacing w:before="0" w:after="0" w:line="240" w:lineRule="auto"/>
                    <w:ind w:right="0"/>
                    <w:jc w:val="center"/>
                    <w:rPr>
                      <w:rFonts w:hint="default" w:ascii="Times New Roman" w:hAnsi="Times New Roman" w:cs="Times New Roman"/>
                      <w:b w:val="0"/>
                      <w:bCs w:val="0"/>
                      <w:color w:val="auto"/>
                      <w:kern w:val="2"/>
                      <w:sz w:val="21"/>
                      <w:szCs w:val="21"/>
                      <w:highlight w:val="none"/>
                      <w:vertAlign w:val="baseline"/>
                      <w:lang w:val="en-US" w:eastAsia="zh-CN" w:bidi="ar-SA"/>
                    </w:rPr>
                  </w:pPr>
                  <w:r>
                    <w:rPr>
                      <w:rFonts w:hint="default" w:ascii="Times New Roman" w:hAnsi="Times New Roman" w:cs="Times New Roman"/>
                      <w:b w:val="0"/>
                      <w:bCs w:val="0"/>
                      <w:color w:val="auto"/>
                      <w:kern w:val="2"/>
                      <w:sz w:val="21"/>
                      <w:szCs w:val="21"/>
                      <w:highlight w:val="none"/>
                      <w:vertAlign w:val="baseline"/>
                      <w:lang w:val="en-US" w:eastAsia="zh-CN" w:bidi="ar-SA"/>
                    </w:rPr>
                    <w:t>巡护道路工程</w:t>
                  </w:r>
                </w:p>
              </w:tc>
              <w:tc>
                <w:tcPr>
                  <w:tcW w:w="1155" w:type="dxa"/>
                  <w:tcBorders>
                    <w:tl2br w:val="nil"/>
                    <w:tr2bl w:val="nil"/>
                  </w:tcBorders>
                  <w:vAlign w:val="center"/>
                </w:tcPr>
                <w:p w14:paraId="488CC3CB">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42513.45</w:t>
                  </w:r>
                </w:p>
              </w:tc>
              <w:tc>
                <w:tcPr>
                  <w:tcW w:w="1200" w:type="dxa"/>
                  <w:tcBorders>
                    <w:tl2br w:val="nil"/>
                    <w:tr2bl w:val="nil"/>
                  </w:tcBorders>
                  <w:vAlign w:val="center"/>
                </w:tcPr>
                <w:p w14:paraId="5FDC9C08">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42513.45</w:t>
                  </w:r>
                </w:p>
              </w:tc>
              <w:tc>
                <w:tcPr>
                  <w:tcW w:w="1200" w:type="dxa"/>
                  <w:tcBorders>
                    <w:tl2br w:val="nil"/>
                    <w:tr2bl w:val="nil"/>
                  </w:tcBorders>
                  <w:vAlign w:val="center"/>
                </w:tcPr>
                <w:p w14:paraId="7C5B3E7F">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36454.94</w:t>
                  </w:r>
                </w:p>
              </w:tc>
              <w:tc>
                <w:tcPr>
                  <w:tcW w:w="1065" w:type="dxa"/>
                  <w:tcBorders>
                    <w:tl2br w:val="nil"/>
                    <w:tr2bl w:val="nil"/>
                  </w:tcBorders>
                  <w:vAlign w:val="center"/>
                </w:tcPr>
                <w:p w14:paraId="02CB49D7">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p>
              </w:tc>
              <w:tc>
                <w:tcPr>
                  <w:tcW w:w="1110" w:type="dxa"/>
                  <w:tcBorders>
                    <w:tl2br w:val="nil"/>
                    <w:tr2bl w:val="nil"/>
                  </w:tcBorders>
                  <w:vAlign w:val="center"/>
                </w:tcPr>
                <w:p w14:paraId="3FD5E01F">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p>
              </w:tc>
              <w:tc>
                <w:tcPr>
                  <w:tcW w:w="711" w:type="dxa"/>
                  <w:tcBorders>
                    <w:tl2br w:val="nil"/>
                    <w:tr2bl w:val="nil"/>
                  </w:tcBorders>
                  <w:vAlign w:val="center"/>
                </w:tcPr>
                <w:p w14:paraId="52FD31BA">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p>
              </w:tc>
            </w:tr>
            <w:tr w14:paraId="4B8347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96" w:type="dxa"/>
                  <w:gridSpan w:val="2"/>
                  <w:tcBorders>
                    <w:tl2br w:val="nil"/>
                    <w:tr2bl w:val="nil"/>
                  </w:tcBorders>
                  <w:vAlign w:val="center"/>
                </w:tcPr>
                <w:p w14:paraId="44E5EA72">
                  <w:pPr>
                    <w:pStyle w:val="11"/>
                    <w:adjustRightInd w:val="0"/>
                    <w:spacing w:before="0" w:after="0" w:line="240" w:lineRule="auto"/>
                    <w:ind w:right="0"/>
                    <w:jc w:val="center"/>
                    <w:rPr>
                      <w:rFonts w:hint="default" w:ascii="Times New Roman" w:hAnsi="Times New Roman"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视频监测系统</w:t>
                  </w:r>
                </w:p>
              </w:tc>
              <w:tc>
                <w:tcPr>
                  <w:tcW w:w="1155" w:type="dxa"/>
                  <w:tcBorders>
                    <w:tl2br w:val="nil"/>
                    <w:tr2bl w:val="nil"/>
                  </w:tcBorders>
                  <w:vAlign w:val="center"/>
                </w:tcPr>
                <w:p w14:paraId="1215F4D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1.62</w:t>
                  </w:r>
                </w:p>
              </w:tc>
              <w:tc>
                <w:tcPr>
                  <w:tcW w:w="1200" w:type="dxa"/>
                  <w:tcBorders>
                    <w:tl2br w:val="nil"/>
                    <w:tr2bl w:val="nil"/>
                  </w:tcBorders>
                  <w:vAlign w:val="center"/>
                </w:tcPr>
                <w:p w14:paraId="77BADA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1200" w:type="dxa"/>
                  <w:tcBorders>
                    <w:tl2br w:val="nil"/>
                    <w:tr2bl w:val="nil"/>
                  </w:tcBorders>
                  <w:vAlign w:val="center"/>
                </w:tcPr>
                <w:p w14:paraId="4AFAD7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1.62</w:t>
                  </w:r>
                </w:p>
              </w:tc>
              <w:tc>
                <w:tcPr>
                  <w:tcW w:w="1065" w:type="dxa"/>
                  <w:tcBorders>
                    <w:tl2br w:val="nil"/>
                    <w:tr2bl w:val="nil"/>
                  </w:tcBorders>
                  <w:vAlign w:val="center"/>
                </w:tcPr>
                <w:p w14:paraId="271939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1.62</w:t>
                  </w:r>
                </w:p>
              </w:tc>
              <w:tc>
                <w:tcPr>
                  <w:tcW w:w="1110" w:type="dxa"/>
                  <w:tcBorders>
                    <w:tl2br w:val="nil"/>
                    <w:tr2bl w:val="nil"/>
                  </w:tcBorders>
                  <w:vAlign w:val="center"/>
                </w:tcPr>
                <w:p w14:paraId="7B3D44C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1.62</w:t>
                  </w:r>
                </w:p>
              </w:tc>
              <w:tc>
                <w:tcPr>
                  <w:tcW w:w="711" w:type="dxa"/>
                  <w:tcBorders>
                    <w:tl2br w:val="nil"/>
                    <w:tr2bl w:val="nil"/>
                  </w:tcBorders>
                  <w:vAlign w:val="center"/>
                </w:tcPr>
                <w:p w14:paraId="622EF1B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w:t>
                  </w:r>
                </w:p>
              </w:tc>
            </w:tr>
            <w:tr w14:paraId="144B6B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96" w:type="dxa"/>
                  <w:gridSpan w:val="2"/>
                  <w:tcBorders>
                    <w:tl2br w:val="nil"/>
                    <w:tr2bl w:val="nil"/>
                  </w:tcBorders>
                  <w:vAlign w:val="center"/>
                </w:tcPr>
                <w:p w14:paraId="1F3BFA93">
                  <w:pPr>
                    <w:pStyle w:val="11"/>
                    <w:adjustRightInd w:val="0"/>
                    <w:spacing w:before="0" w:after="0" w:line="240" w:lineRule="auto"/>
                    <w:ind w:right="0"/>
                    <w:jc w:val="center"/>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kern w:val="2"/>
                      <w:sz w:val="21"/>
                      <w:szCs w:val="21"/>
                      <w:highlight w:val="none"/>
                      <w:vertAlign w:val="baseline"/>
                      <w:lang w:val="en-US" w:eastAsia="zh-CN" w:bidi="ar-SA"/>
                    </w:rPr>
                    <w:t>合计</w:t>
                  </w:r>
                </w:p>
              </w:tc>
              <w:tc>
                <w:tcPr>
                  <w:tcW w:w="1155" w:type="dxa"/>
                  <w:tcBorders>
                    <w:tl2br w:val="nil"/>
                    <w:tr2bl w:val="nil"/>
                  </w:tcBorders>
                  <w:vAlign w:val="center"/>
                </w:tcPr>
                <w:p w14:paraId="0AA37437">
                  <w:pPr>
                    <w:keepNext w:val="0"/>
                    <w:keepLines w:val="0"/>
                    <w:widowControl/>
                    <w:suppressLineNumbers w:val="0"/>
                    <w:jc w:val="center"/>
                    <w:textAlignment w:val="center"/>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316859.07</w:t>
                  </w:r>
                </w:p>
              </w:tc>
              <w:tc>
                <w:tcPr>
                  <w:tcW w:w="1200" w:type="dxa"/>
                  <w:tcBorders>
                    <w:tl2br w:val="nil"/>
                    <w:tr2bl w:val="nil"/>
                  </w:tcBorders>
                  <w:vAlign w:val="center"/>
                </w:tcPr>
                <w:p w14:paraId="19C9EC40">
                  <w:pPr>
                    <w:keepNext w:val="0"/>
                    <w:keepLines w:val="0"/>
                    <w:widowControl/>
                    <w:suppressLineNumbers w:val="0"/>
                    <w:jc w:val="center"/>
                    <w:textAlignment w:val="center"/>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218451.45</w:t>
                  </w:r>
                </w:p>
              </w:tc>
              <w:tc>
                <w:tcPr>
                  <w:tcW w:w="1200" w:type="dxa"/>
                  <w:tcBorders>
                    <w:tl2br w:val="nil"/>
                    <w:tr2bl w:val="nil"/>
                  </w:tcBorders>
                  <w:vAlign w:val="center"/>
                </w:tcPr>
                <w:p w14:paraId="6F571D14">
                  <w:pPr>
                    <w:keepNext w:val="0"/>
                    <w:keepLines w:val="0"/>
                    <w:widowControl/>
                    <w:suppressLineNumbers w:val="0"/>
                    <w:jc w:val="center"/>
                    <w:textAlignment w:val="center"/>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cs="Times New Roman"/>
                      <w:b/>
                      <w:bCs/>
                      <w:i w:val="0"/>
                      <w:iCs w:val="0"/>
                      <w:color w:val="auto"/>
                      <w:kern w:val="0"/>
                      <w:sz w:val="21"/>
                      <w:szCs w:val="21"/>
                      <w:u w:val="none"/>
                      <w:lang w:val="en-US" w:eastAsia="zh-CN" w:bidi="ar"/>
                    </w:rPr>
                    <w:t>1</w:t>
                  </w:r>
                  <w:r>
                    <w:rPr>
                      <w:rFonts w:hint="default" w:ascii="Times New Roman" w:hAnsi="Times New Roman" w:eastAsia="宋体" w:cs="Times New Roman"/>
                      <w:b/>
                      <w:bCs/>
                      <w:i w:val="0"/>
                      <w:iCs w:val="0"/>
                      <w:color w:val="auto"/>
                      <w:kern w:val="0"/>
                      <w:sz w:val="21"/>
                      <w:szCs w:val="21"/>
                      <w:u w:val="none"/>
                      <w:lang w:val="en-US" w:eastAsia="zh-CN" w:bidi="ar"/>
                    </w:rPr>
                    <w:t>40606.56</w:t>
                  </w:r>
                </w:p>
              </w:tc>
              <w:tc>
                <w:tcPr>
                  <w:tcW w:w="1065" w:type="dxa"/>
                  <w:tcBorders>
                    <w:tl2br w:val="nil"/>
                    <w:tr2bl w:val="nil"/>
                  </w:tcBorders>
                  <w:vAlign w:val="center"/>
                </w:tcPr>
                <w:p w14:paraId="1645CDBC">
                  <w:pPr>
                    <w:keepNext w:val="0"/>
                    <w:keepLines w:val="0"/>
                    <w:widowControl/>
                    <w:suppressLineNumbers w:val="0"/>
                    <w:jc w:val="center"/>
                    <w:textAlignment w:val="center"/>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98407.62</w:t>
                  </w:r>
                </w:p>
              </w:tc>
              <w:tc>
                <w:tcPr>
                  <w:tcW w:w="1110" w:type="dxa"/>
                  <w:tcBorders>
                    <w:tl2br w:val="nil"/>
                    <w:tr2bl w:val="nil"/>
                  </w:tcBorders>
                  <w:vAlign w:val="center"/>
                </w:tcPr>
                <w:p w14:paraId="58E0FAFD">
                  <w:pPr>
                    <w:keepNext w:val="0"/>
                    <w:keepLines w:val="0"/>
                    <w:widowControl/>
                    <w:suppressLineNumbers w:val="0"/>
                    <w:jc w:val="center"/>
                    <w:textAlignment w:val="center"/>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98407.62</w:t>
                  </w:r>
                </w:p>
              </w:tc>
              <w:tc>
                <w:tcPr>
                  <w:tcW w:w="711" w:type="dxa"/>
                  <w:tcBorders>
                    <w:tl2br w:val="nil"/>
                    <w:tr2bl w:val="nil"/>
                  </w:tcBorders>
                  <w:vAlign w:val="center"/>
                </w:tcPr>
                <w:p w14:paraId="3009459D">
                  <w:pPr>
                    <w:keepNext w:val="0"/>
                    <w:keepLines w:val="0"/>
                    <w:widowControl/>
                    <w:suppressLineNumbers w:val="0"/>
                    <w:jc w:val="center"/>
                    <w:textAlignment w:val="center"/>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0</w:t>
                  </w:r>
                </w:p>
              </w:tc>
            </w:tr>
          </w:tbl>
          <w:p w14:paraId="55B2BEFA">
            <w:pPr>
              <w:pStyle w:val="11"/>
              <w:adjustRightInd w:val="0"/>
              <w:spacing w:before="0" w:after="0" w:line="360" w:lineRule="auto"/>
              <w:ind w:right="0"/>
              <w:jc w:val="center"/>
              <w:rPr>
                <w:rFonts w:hint="default" w:ascii="Times New Roman" w:hAnsi="Times New Roman" w:eastAsia="宋体" w:cs="Times New Roman"/>
                <w:b/>
                <w:bCs/>
                <w:color w:val="auto"/>
                <w:kern w:val="0"/>
                <w:sz w:val="24"/>
                <w:szCs w:val="24"/>
                <w:highlight w:val="none"/>
                <w:lang w:val="en-US" w:eastAsia="zh-CN" w:bidi="ar-SA"/>
              </w:rPr>
            </w:pPr>
            <w:r>
              <w:rPr>
                <w:rFonts w:hint="default" w:ascii="Times New Roman" w:hAnsi="Times New Roman" w:eastAsia="宋体" w:cs="Times New Roman"/>
                <w:b/>
                <w:bCs/>
                <w:color w:val="auto"/>
                <w:kern w:val="0"/>
                <w:sz w:val="24"/>
                <w:szCs w:val="24"/>
                <w:highlight w:val="none"/>
                <w:lang w:val="en-US" w:eastAsia="zh-CN" w:bidi="ar-SA"/>
              </w:rPr>
              <w:object>
                <v:shape id="_x0000_i1025" o:spt="75" type="#_x0000_t75" style="height:233.3pt;width:416.9pt;" o:ole="t" filled="f" o:preferrelative="t" stroked="f" coordsize="21600,21600">
                  <v:path/>
                  <v:fill on="f" focussize="0,0"/>
                  <v:stroke on="f"/>
                  <v:imagedata r:id="rId14" o:title=""/>
                  <o:lock v:ext="edit" aspectratio="f"/>
                  <w10:wrap type="none"/>
                  <w10:anchorlock/>
                </v:shape>
                <o:OLEObject Type="Embed" ProgID="Visio.Drawing.11" ShapeID="_x0000_i1025" DrawAspect="Content" ObjectID="_1468075725" r:id="rId13">
                  <o:LockedField>false</o:LockedField>
                </o:OLEObject>
              </w:object>
            </w:r>
          </w:p>
          <w:p w14:paraId="6304BFEA">
            <w:pPr>
              <w:autoSpaceDE w:val="0"/>
              <w:autoSpaceDN w:val="0"/>
              <w:adjustRightInd w:val="0"/>
              <w:spacing w:line="360" w:lineRule="auto"/>
              <w:jc w:val="center"/>
              <w:rPr>
                <w:rFonts w:hint="default" w:ascii="Times New Roman" w:hAnsi="Times New Roman" w:eastAsia="黑体" w:cs="Times New Roman"/>
                <w:b w:val="0"/>
                <w:bCs/>
                <w:color w:val="auto"/>
                <w:sz w:val="24"/>
                <w:highlight w:val="none"/>
                <w:vertAlign w:val="baseline"/>
                <w:lang w:val="en-US" w:eastAsia="zh-CN"/>
              </w:rPr>
            </w:pPr>
            <w:r>
              <w:rPr>
                <w:rFonts w:hint="default" w:ascii="Times New Roman" w:hAnsi="Times New Roman" w:eastAsia="黑体" w:cs="Times New Roman"/>
                <w:b w:val="0"/>
                <w:bCs/>
                <w:color w:val="auto"/>
                <w:sz w:val="24"/>
                <w:highlight w:val="none"/>
                <w:vertAlign w:val="baseline"/>
                <w:lang w:val="en-US" w:eastAsia="zh-CN"/>
              </w:rPr>
              <w:t>图2-</w:t>
            </w:r>
            <w:r>
              <w:rPr>
                <w:rFonts w:hint="eastAsia" w:eastAsia="黑体" w:cs="Times New Roman"/>
                <w:b w:val="0"/>
                <w:bCs/>
                <w:color w:val="auto"/>
                <w:sz w:val="24"/>
                <w:highlight w:val="none"/>
                <w:vertAlign w:val="baseline"/>
                <w:lang w:val="en-US" w:eastAsia="zh-CN"/>
              </w:rPr>
              <w:t>7</w:t>
            </w:r>
            <w:r>
              <w:rPr>
                <w:rFonts w:hint="default" w:ascii="Times New Roman" w:hAnsi="Times New Roman" w:eastAsia="黑体" w:cs="Times New Roman"/>
                <w:b w:val="0"/>
                <w:bCs/>
                <w:color w:val="auto"/>
                <w:sz w:val="24"/>
                <w:highlight w:val="none"/>
                <w:vertAlign w:val="baseline"/>
                <w:lang w:val="en-US" w:eastAsia="zh-CN"/>
              </w:rPr>
              <w:t xml:space="preserve">  项目土石方平衡图</w:t>
            </w:r>
            <w:r>
              <w:rPr>
                <w:rFonts w:hint="eastAsia" w:eastAsia="黑体" w:cs="Times New Roman"/>
                <w:b w:val="0"/>
                <w:bCs/>
                <w:color w:val="auto"/>
                <w:sz w:val="24"/>
                <w:highlight w:val="none"/>
                <w:vertAlign w:val="baseline"/>
                <w:lang w:val="en-US" w:eastAsia="zh-CN"/>
              </w:rPr>
              <w:t xml:space="preserve">  单位：m³</w:t>
            </w:r>
          </w:p>
          <w:p w14:paraId="213C73A7">
            <w:pPr>
              <w:pStyle w:val="11"/>
              <w:adjustRightInd w:val="0"/>
              <w:spacing w:before="0" w:after="0" w:line="360" w:lineRule="auto"/>
              <w:ind w:right="0" w:firstLine="480" w:firstLineChars="200"/>
              <w:rPr>
                <w:rFonts w:hint="default" w:ascii="Times New Roman" w:hAnsi="Times New Roman" w:eastAsia="黑体" w:cs="Times New Roman"/>
                <w:b w:val="0"/>
                <w:bCs w:val="0"/>
                <w:color w:val="auto"/>
                <w:kern w:val="0"/>
                <w:sz w:val="24"/>
                <w:szCs w:val="24"/>
                <w:highlight w:val="none"/>
                <w:lang w:val="en-US" w:eastAsia="zh-CN" w:bidi="ar-SA"/>
              </w:rPr>
            </w:pPr>
            <w:r>
              <w:rPr>
                <w:rFonts w:hint="eastAsia" w:eastAsia="黑体" w:cs="Times New Roman"/>
                <w:b w:val="0"/>
                <w:bCs w:val="0"/>
                <w:color w:val="auto"/>
                <w:kern w:val="0"/>
                <w:sz w:val="24"/>
                <w:szCs w:val="24"/>
                <w:highlight w:val="none"/>
                <w:lang w:val="en-US" w:eastAsia="zh-CN" w:bidi="ar-SA"/>
              </w:rPr>
              <w:t>5</w:t>
            </w:r>
            <w:r>
              <w:rPr>
                <w:rFonts w:hint="default" w:ascii="Times New Roman" w:hAnsi="Times New Roman" w:eastAsia="黑体" w:cs="Times New Roman"/>
                <w:b w:val="0"/>
                <w:bCs w:val="0"/>
                <w:color w:val="auto"/>
                <w:kern w:val="0"/>
                <w:sz w:val="24"/>
                <w:szCs w:val="24"/>
                <w:highlight w:val="none"/>
                <w:lang w:val="en-US" w:eastAsia="zh-CN" w:bidi="ar-SA"/>
              </w:rPr>
              <w:t>、占地类型及建设征地</w:t>
            </w:r>
          </w:p>
          <w:p w14:paraId="24783F25">
            <w:pPr>
              <w:pStyle w:val="11"/>
              <w:adjustRightInd w:val="0"/>
              <w:spacing w:before="0" w:after="0" w:line="360" w:lineRule="auto"/>
              <w:ind w:right="0"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（1）永久占地</w:t>
            </w:r>
          </w:p>
          <w:p w14:paraId="263984A0">
            <w:pPr>
              <w:pStyle w:val="11"/>
              <w:adjustRightInd w:val="0"/>
              <w:spacing w:before="0" w:after="0" w:line="360" w:lineRule="auto"/>
              <w:ind w:right="0"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本项目所有工程</w:t>
            </w:r>
            <w:r>
              <w:rPr>
                <w:rFonts w:hint="default" w:ascii="Times New Roman" w:hAnsi="Times New Roman" w:cs="Times New Roman"/>
                <w:color w:val="auto"/>
                <w:kern w:val="0"/>
                <w:sz w:val="24"/>
                <w:szCs w:val="24"/>
                <w:highlight w:val="none"/>
                <w:lang w:val="en-US" w:eastAsia="zh-CN" w:bidi="ar-SA"/>
              </w:rPr>
              <w:t>永久</w:t>
            </w:r>
            <w:r>
              <w:rPr>
                <w:rFonts w:hint="default" w:ascii="Times New Roman" w:hAnsi="Times New Roman" w:eastAsia="宋体" w:cs="Times New Roman"/>
                <w:color w:val="auto"/>
                <w:kern w:val="0"/>
                <w:sz w:val="24"/>
                <w:szCs w:val="24"/>
                <w:highlight w:val="none"/>
                <w:lang w:val="en-US" w:eastAsia="zh-CN" w:bidi="ar-SA"/>
              </w:rPr>
              <w:t>占地均在原沟道管理范围内建设，</w:t>
            </w:r>
            <w:r>
              <w:rPr>
                <w:rFonts w:hint="default" w:ascii="Times New Roman" w:hAnsi="Times New Roman" w:cs="Times New Roman"/>
                <w:color w:val="auto"/>
                <w:kern w:val="0"/>
                <w:sz w:val="24"/>
                <w:szCs w:val="24"/>
                <w:highlight w:val="none"/>
                <w:lang w:val="en-US" w:eastAsia="zh-CN" w:bidi="ar-SA"/>
              </w:rPr>
              <w:t>总占地面积474.68亩，因此不</w:t>
            </w:r>
            <w:r>
              <w:rPr>
                <w:rFonts w:hint="default" w:ascii="Times New Roman" w:hAnsi="Times New Roman" w:eastAsia="宋体" w:cs="Times New Roman"/>
                <w:color w:val="auto"/>
                <w:kern w:val="0"/>
                <w:sz w:val="24"/>
                <w:szCs w:val="24"/>
                <w:highlight w:val="none"/>
                <w:lang w:val="en-US" w:eastAsia="zh-CN" w:bidi="ar-SA"/>
              </w:rPr>
              <w:t>新增永久占地</w:t>
            </w:r>
            <w:r>
              <w:rPr>
                <w:rFonts w:hint="default" w:ascii="Times New Roman" w:hAnsi="Times New Roman" w:cs="Times New Roman"/>
                <w:color w:val="auto"/>
                <w:kern w:val="0"/>
                <w:sz w:val="24"/>
                <w:szCs w:val="24"/>
                <w:highlight w:val="none"/>
                <w:lang w:val="en-US" w:eastAsia="zh-CN" w:bidi="ar-SA"/>
              </w:rPr>
              <w:t>，不涉及永久占地征地</w:t>
            </w:r>
            <w:r>
              <w:rPr>
                <w:rFonts w:hint="default" w:ascii="Times New Roman" w:hAnsi="Times New Roman" w:eastAsia="宋体" w:cs="Times New Roman"/>
                <w:color w:val="auto"/>
                <w:kern w:val="0"/>
                <w:sz w:val="24"/>
                <w:szCs w:val="24"/>
                <w:highlight w:val="none"/>
                <w:lang w:val="en-US" w:eastAsia="zh-CN" w:bidi="ar-SA"/>
              </w:rPr>
              <w:t>。</w:t>
            </w:r>
          </w:p>
          <w:p w14:paraId="4ABEB2EF">
            <w:pPr>
              <w:pStyle w:val="11"/>
              <w:adjustRightInd w:val="0"/>
              <w:spacing w:before="0" w:after="0" w:line="360" w:lineRule="auto"/>
              <w:ind w:right="0"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（2）临时占地</w:t>
            </w:r>
          </w:p>
          <w:p w14:paraId="3CF48250">
            <w:pPr>
              <w:pStyle w:val="11"/>
              <w:adjustRightInd w:val="0"/>
              <w:spacing w:before="0" w:after="0" w:line="360" w:lineRule="auto"/>
              <w:ind w:right="0" w:firstLine="480" w:firstLineChars="200"/>
              <w:rPr>
                <w:rFonts w:hint="default" w:ascii="Times New Roman" w:hAnsi="Times New Roman" w:cs="Times New Roman"/>
                <w:color w:val="auto"/>
                <w:kern w:val="0"/>
                <w:sz w:val="24"/>
                <w:szCs w:val="24"/>
                <w:highlight w:val="none"/>
                <w:vertAlign w:val="baseline"/>
                <w:lang w:val="en-US" w:eastAsia="zh-CN" w:bidi="ar-SA"/>
              </w:rPr>
            </w:pPr>
            <w:r>
              <w:rPr>
                <w:rFonts w:hint="default" w:ascii="Times New Roman" w:hAnsi="Times New Roman" w:cs="Times New Roman"/>
                <w:color w:val="auto"/>
                <w:kern w:val="0"/>
                <w:sz w:val="24"/>
                <w:szCs w:val="24"/>
                <w:highlight w:val="none"/>
                <w:vertAlign w:val="baseline"/>
                <w:lang w:val="en-US" w:eastAsia="zh-CN" w:bidi="ar-SA"/>
              </w:rPr>
              <w:t>临时占地主要为工程施工而划定的临时施工用地，包括生产生活设施用地。</w:t>
            </w:r>
          </w:p>
          <w:p w14:paraId="357C2DA9">
            <w:pPr>
              <w:pStyle w:val="11"/>
              <w:adjustRightInd w:val="0"/>
              <w:spacing w:before="0" w:after="0" w:line="360" w:lineRule="auto"/>
              <w:ind w:right="0" w:firstLine="480" w:firstLineChars="200"/>
              <w:rPr>
                <w:rFonts w:hint="eastAsia" w:cs="Times New Roman"/>
                <w:color w:val="auto"/>
                <w:kern w:val="0"/>
                <w:sz w:val="24"/>
                <w:szCs w:val="24"/>
                <w:highlight w:val="none"/>
                <w:vertAlign w:val="baseline"/>
                <w:lang w:val="en-US" w:eastAsia="zh-CN" w:bidi="ar-SA"/>
              </w:rPr>
            </w:pPr>
            <w:r>
              <w:rPr>
                <w:rFonts w:hint="default" w:ascii="Times New Roman" w:hAnsi="Times New Roman" w:cs="Times New Roman"/>
                <w:color w:val="auto"/>
                <w:kern w:val="0"/>
                <w:sz w:val="24"/>
                <w:szCs w:val="24"/>
                <w:highlight w:val="none"/>
                <w:vertAlign w:val="baseline"/>
                <w:lang w:val="en-US" w:eastAsia="zh-CN" w:bidi="ar-SA"/>
              </w:rPr>
              <w:t>本项目施工营地分6个布置</w:t>
            </w:r>
            <w:r>
              <w:rPr>
                <w:rFonts w:hint="eastAsia" w:cs="Times New Roman"/>
                <w:color w:val="auto"/>
                <w:kern w:val="0"/>
                <w:sz w:val="24"/>
                <w:szCs w:val="24"/>
                <w:highlight w:val="none"/>
                <w:vertAlign w:val="baseline"/>
                <w:lang w:val="en-US" w:eastAsia="zh-CN" w:bidi="ar-SA"/>
              </w:rPr>
              <w:t>，具体项目图2-8</w:t>
            </w:r>
            <w:r>
              <w:rPr>
                <w:rFonts w:hint="default" w:ascii="Times New Roman" w:hAnsi="Times New Roman" w:cs="Times New Roman"/>
                <w:color w:val="auto"/>
                <w:kern w:val="0"/>
                <w:sz w:val="24"/>
                <w:szCs w:val="24"/>
                <w:highlight w:val="none"/>
                <w:vertAlign w:val="baseline"/>
                <w:lang w:val="en-US" w:eastAsia="zh-CN" w:bidi="ar-SA"/>
              </w:rPr>
              <w:t>，每个</w:t>
            </w:r>
            <w:r>
              <w:rPr>
                <w:rFonts w:hint="eastAsia" w:cs="Times New Roman"/>
                <w:color w:val="auto"/>
                <w:kern w:val="0"/>
                <w:sz w:val="24"/>
                <w:szCs w:val="24"/>
                <w:highlight w:val="none"/>
                <w:vertAlign w:val="baseline"/>
                <w:lang w:val="en-US" w:eastAsia="zh-CN" w:bidi="ar-SA"/>
              </w:rPr>
              <w:t>施工营地</w:t>
            </w:r>
            <w:r>
              <w:rPr>
                <w:rFonts w:hint="default" w:ascii="Times New Roman" w:hAnsi="Times New Roman" w:cs="Times New Roman"/>
                <w:color w:val="auto"/>
                <w:kern w:val="0"/>
                <w:sz w:val="24"/>
                <w:szCs w:val="24"/>
                <w:highlight w:val="none"/>
                <w:vertAlign w:val="baseline"/>
                <w:lang w:val="en-US" w:eastAsia="zh-CN" w:bidi="ar-SA"/>
              </w:rPr>
              <w:t>内布置生产区、生活区</w:t>
            </w:r>
            <w:r>
              <w:rPr>
                <w:rFonts w:hint="eastAsia" w:cs="Times New Roman"/>
                <w:color w:val="auto"/>
                <w:kern w:val="0"/>
                <w:sz w:val="24"/>
                <w:szCs w:val="24"/>
                <w:highlight w:val="none"/>
                <w:vertAlign w:val="baseline"/>
                <w:lang w:val="en-US" w:eastAsia="zh-CN" w:bidi="ar-SA"/>
              </w:rPr>
              <w:t>、</w:t>
            </w:r>
            <w:r>
              <w:rPr>
                <w:rFonts w:hint="default" w:ascii="Times New Roman" w:hAnsi="Times New Roman" w:cs="Times New Roman"/>
                <w:color w:val="auto"/>
                <w:kern w:val="0"/>
                <w:sz w:val="24"/>
                <w:szCs w:val="24"/>
                <w:highlight w:val="none"/>
                <w:vertAlign w:val="baseline"/>
                <w:lang w:val="en-US" w:eastAsia="zh-CN" w:bidi="ar-SA"/>
              </w:rPr>
              <w:t>机械停放场、施工仓库等，单个</w:t>
            </w:r>
            <w:r>
              <w:rPr>
                <w:rFonts w:hint="eastAsia" w:cs="Times New Roman"/>
                <w:color w:val="auto"/>
                <w:kern w:val="0"/>
                <w:sz w:val="24"/>
                <w:szCs w:val="24"/>
                <w:highlight w:val="none"/>
                <w:vertAlign w:val="baseline"/>
                <w:lang w:val="en-US" w:eastAsia="zh-CN" w:bidi="ar-SA"/>
              </w:rPr>
              <w:t>施工营地</w:t>
            </w:r>
            <w:r>
              <w:rPr>
                <w:rFonts w:hint="default" w:ascii="Times New Roman" w:hAnsi="Times New Roman" w:cs="Times New Roman"/>
                <w:color w:val="auto"/>
                <w:kern w:val="0"/>
                <w:sz w:val="24"/>
                <w:szCs w:val="24"/>
                <w:highlight w:val="none"/>
                <w:vertAlign w:val="baseline"/>
                <w:lang w:val="en-US" w:eastAsia="zh-CN" w:bidi="ar-SA"/>
              </w:rPr>
              <w:t>占地</w:t>
            </w:r>
            <w:r>
              <w:rPr>
                <w:rFonts w:hint="eastAsia" w:cs="Times New Roman"/>
                <w:color w:val="auto"/>
                <w:kern w:val="0"/>
                <w:sz w:val="24"/>
                <w:szCs w:val="24"/>
                <w:highlight w:val="none"/>
                <w:vertAlign w:val="baseline"/>
                <w:lang w:val="en-US" w:eastAsia="zh-CN" w:bidi="ar-SA"/>
              </w:rPr>
              <w:t>5.7亩（3800</w:t>
            </w:r>
            <w:r>
              <w:rPr>
                <w:rFonts w:hint="default" w:ascii="Times New Roman" w:hAnsi="Times New Roman" w:cs="Times New Roman"/>
                <w:color w:val="auto"/>
                <w:kern w:val="0"/>
                <w:sz w:val="24"/>
                <w:szCs w:val="24"/>
                <w:highlight w:val="none"/>
                <w:vertAlign w:val="baseline"/>
                <w:lang w:val="en-US" w:eastAsia="zh-CN" w:bidi="ar-SA"/>
              </w:rPr>
              <w:t>m²</w:t>
            </w:r>
            <w:r>
              <w:rPr>
                <w:rFonts w:hint="eastAsia" w:cs="Times New Roman"/>
                <w:color w:val="auto"/>
                <w:kern w:val="0"/>
                <w:sz w:val="24"/>
                <w:szCs w:val="24"/>
                <w:highlight w:val="none"/>
                <w:vertAlign w:val="baseline"/>
                <w:lang w:val="en-US" w:eastAsia="zh-CN" w:bidi="ar-SA"/>
              </w:rPr>
              <w:t>）</w:t>
            </w:r>
            <w:r>
              <w:rPr>
                <w:rFonts w:hint="default" w:ascii="Times New Roman" w:hAnsi="Times New Roman" w:cs="Times New Roman"/>
                <w:color w:val="auto"/>
                <w:kern w:val="0"/>
                <w:sz w:val="24"/>
                <w:szCs w:val="24"/>
                <w:highlight w:val="none"/>
                <w:vertAlign w:val="baseline"/>
                <w:lang w:val="en-US" w:eastAsia="zh-CN" w:bidi="ar-SA"/>
              </w:rPr>
              <w:t>，共计占地</w:t>
            </w:r>
            <w:r>
              <w:rPr>
                <w:rFonts w:hint="eastAsia" w:cs="Times New Roman"/>
                <w:color w:val="auto"/>
                <w:kern w:val="0"/>
                <w:sz w:val="24"/>
                <w:szCs w:val="24"/>
                <w:highlight w:val="none"/>
                <w:vertAlign w:val="baseline"/>
                <w:lang w:val="en-US" w:eastAsia="zh-CN" w:bidi="ar-SA"/>
              </w:rPr>
              <w:t>34.20亩（</w:t>
            </w:r>
            <w:r>
              <w:rPr>
                <w:rFonts w:hint="default" w:ascii="Times New Roman" w:hAnsi="Times New Roman" w:cs="Times New Roman"/>
                <w:color w:val="auto"/>
                <w:kern w:val="0"/>
                <w:sz w:val="24"/>
                <w:szCs w:val="24"/>
                <w:highlight w:val="none"/>
                <w:vertAlign w:val="baseline"/>
                <w:lang w:val="en-US" w:eastAsia="zh-CN" w:bidi="ar-SA"/>
              </w:rPr>
              <w:t>22800m²</w:t>
            </w:r>
            <w:r>
              <w:rPr>
                <w:rFonts w:hint="eastAsia" w:cs="Times New Roman"/>
                <w:color w:val="auto"/>
                <w:kern w:val="0"/>
                <w:sz w:val="24"/>
                <w:szCs w:val="24"/>
                <w:highlight w:val="none"/>
                <w:vertAlign w:val="baseline"/>
                <w:lang w:val="en-US" w:eastAsia="zh-CN" w:bidi="ar-SA"/>
              </w:rPr>
              <w:t>）</w:t>
            </w:r>
            <w:r>
              <w:rPr>
                <w:rFonts w:hint="default" w:ascii="Times New Roman" w:hAnsi="Times New Roman" w:cs="Times New Roman"/>
                <w:color w:val="auto"/>
                <w:kern w:val="0"/>
                <w:sz w:val="24"/>
                <w:szCs w:val="24"/>
                <w:highlight w:val="none"/>
                <w:vertAlign w:val="baseline"/>
                <w:lang w:val="en-US" w:eastAsia="zh-CN" w:bidi="ar-SA"/>
              </w:rPr>
              <w:t>。</w:t>
            </w:r>
            <w:r>
              <w:rPr>
                <w:rFonts w:hint="eastAsia" w:cs="Times New Roman"/>
                <w:color w:val="auto"/>
                <w:kern w:val="0"/>
                <w:sz w:val="24"/>
                <w:szCs w:val="24"/>
                <w:highlight w:val="none"/>
                <w:vertAlign w:val="baseline"/>
                <w:lang w:val="en-US" w:eastAsia="zh-CN" w:bidi="ar-SA"/>
              </w:rPr>
              <w:t>占地类型主要为草地及荒地。项目永久占地及临时占地类型见下表。</w:t>
            </w:r>
          </w:p>
          <w:p w14:paraId="0EE4DE48">
            <w:pPr>
              <w:pStyle w:val="11"/>
              <w:adjustRightInd w:val="0"/>
              <w:spacing w:before="0" w:after="0" w:line="240" w:lineRule="auto"/>
              <w:ind w:right="0"/>
              <w:jc w:val="center"/>
              <w:rPr>
                <w:rFonts w:hint="default" w:ascii="Times New Roman" w:hAnsi="Times New Roman" w:eastAsia="黑体" w:cs="Times New Roman"/>
                <w:color w:val="auto"/>
                <w:kern w:val="2"/>
                <w:sz w:val="24"/>
                <w:szCs w:val="24"/>
                <w:highlight w:val="none"/>
                <w:lang w:val="en-US" w:eastAsia="zh-CN" w:bidi="ar-SA"/>
              </w:rPr>
            </w:pPr>
            <w:r>
              <w:rPr>
                <w:rFonts w:hint="default" w:ascii="Times New Roman" w:hAnsi="Times New Roman" w:eastAsia="黑体" w:cs="Times New Roman"/>
                <w:color w:val="auto"/>
                <w:kern w:val="2"/>
                <w:sz w:val="24"/>
                <w:szCs w:val="24"/>
                <w:highlight w:val="none"/>
                <w:lang w:val="en-US" w:eastAsia="zh-CN" w:bidi="ar-SA"/>
              </w:rPr>
              <w:t>表2-</w:t>
            </w:r>
            <w:r>
              <w:rPr>
                <w:rFonts w:hint="eastAsia" w:eastAsia="黑体" w:cs="Times New Roman"/>
                <w:color w:val="auto"/>
                <w:kern w:val="2"/>
                <w:sz w:val="24"/>
                <w:szCs w:val="24"/>
                <w:highlight w:val="none"/>
                <w:lang w:val="en-US" w:eastAsia="zh-CN" w:bidi="ar-SA"/>
              </w:rPr>
              <w:t>7</w:t>
            </w:r>
            <w:r>
              <w:rPr>
                <w:rFonts w:hint="default" w:ascii="Times New Roman" w:hAnsi="Times New Roman" w:eastAsia="黑体" w:cs="Times New Roman"/>
                <w:color w:val="auto"/>
                <w:kern w:val="2"/>
                <w:sz w:val="24"/>
                <w:szCs w:val="24"/>
                <w:highlight w:val="none"/>
                <w:lang w:val="en-US" w:eastAsia="zh-CN" w:bidi="ar-SA"/>
              </w:rPr>
              <w:t xml:space="preserve">  本项目永久占地及临时占地类型</w:t>
            </w:r>
            <w:r>
              <w:rPr>
                <w:rFonts w:hint="eastAsia" w:eastAsia="黑体" w:cs="Times New Roman"/>
                <w:color w:val="auto"/>
                <w:kern w:val="2"/>
                <w:sz w:val="24"/>
                <w:szCs w:val="24"/>
                <w:highlight w:val="none"/>
                <w:lang w:val="en-US" w:eastAsia="zh-CN" w:bidi="ar-SA"/>
              </w:rPr>
              <w:t>一览表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6"/>
              <w:gridCol w:w="1243"/>
              <w:gridCol w:w="1622"/>
              <w:gridCol w:w="1515"/>
              <w:gridCol w:w="2653"/>
            </w:tblGrid>
            <w:tr w14:paraId="084A18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783" w:type="pct"/>
                  <w:tcBorders>
                    <w:tl2br w:val="nil"/>
                    <w:tr2bl w:val="nil"/>
                  </w:tcBorders>
                  <w:vAlign w:val="top"/>
                </w:tcPr>
                <w:p w14:paraId="399DB1CF">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占地类别</w:t>
                  </w:r>
                </w:p>
              </w:tc>
              <w:tc>
                <w:tcPr>
                  <w:tcW w:w="1717" w:type="pct"/>
                  <w:gridSpan w:val="2"/>
                  <w:tcBorders>
                    <w:tl2br w:val="nil"/>
                    <w:tr2bl w:val="nil"/>
                  </w:tcBorders>
                  <w:vAlign w:val="top"/>
                </w:tcPr>
                <w:p w14:paraId="7060FE0C">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地类类型</w:t>
                  </w:r>
                </w:p>
              </w:tc>
              <w:tc>
                <w:tcPr>
                  <w:tcW w:w="908" w:type="pct"/>
                  <w:tcBorders>
                    <w:tl2br w:val="nil"/>
                    <w:tr2bl w:val="nil"/>
                  </w:tcBorders>
                  <w:vAlign w:val="top"/>
                </w:tcPr>
                <w:p w14:paraId="34FAE90A">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面积（亩）</w:t>
                  </w:r>
                </w:p>
              </w:tc>
              <w:tc>
                <w:tcPr>
                  <w:tcW w:w="1590" w:type="pct"/>
                  <w:tcBorders>
                    <w:tl2br w:val="nil"/>
                    <w:tr2bl w:val="nil"/>
                  </w:tcBorders>
                  <w:vAlign w:val="top"/>
                </w:tcPr>
                <w:p w14:paraId="549C7A66">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备注</w:t>
                  </w:r>
                </w:p>
              </w:tc>
            </w:tr>
            <w:tr w14:paraId="7D459C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3" w:type="pct"/>
                  <w:tcBorders>
                    <w:tl2br w:val="nil"/>
                    <w:tr2bl w:val="nil"/>
                  </w:tcBorders>
                  <w:vAlign w:val="center"/>
                </w:tcPr>
                <w:p w14:paraId="4BACE3AB">
                  <w:pPr>
                    <w:pStyle w:val="15"/>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永久占地</w:t>
                  </w:r>
                </w:p>
              </w:tc>
              <w:tc>
                <w:tcPr>
                  <w:tcW w:w="1717" w:type="pct"/>
                  <w:gridSpan w:val="2"/>
                  <w:tcBorders>
                    <w:tl2br w:val="nil"/>
                    <w:tr2bl w:val="nil"/>
                  </w:tcBorders>
                  <w:vAlign w:val="center"/>
                </w:tcPr>
                <w:p w14:paraId="103736D7">
                  <w:pPr>
                    <w:pStyle w:val="15"/>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项目沟道主体实施工程</w:t>
                  </w:r>
                </w:p>
              </w:tc>
              <w:tc>
                <w:tcPr>
                  <w:tcW w:w="908" w:type="pct"/>
                  <w:tcBorders>
                    <w:tl2br w:val="nil"/>
                    <w:tr2bl w:val="nil"/>
                  </w:tcBorders>
                  <w:shd w:val="clear" w:color="auto" w:fill="auto"/>
                  <w:vAlign w:val="center"/>
                </w:tcPr>
                <w:p w14:paraId="06A34072">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474.68</w:t>
                  </w:r>
                </w:p>
              </w:tc>
              <w:tc>
                <w:tcPr>
                  <w:tcW w:w="1590" w:type="pct"/>
                  <w:tcBorders>
                    <w:tl2br w:val="nil"/>
                    <w:tr2bl w:val="nil"/>
                  </w:tcBorders>
                  <w:shd w:val="clear" w:color="auto" w:fill="auto"/>
                  <w:vAlign w:val="center"/>
                </w:tcPr>
                <w:p w14:paraId="303A2079">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沟道管理范围内沟道占地</w:t>
                  </w:r>
                </w:p>
              </w:tc>
            </w:tr>
            <w:tr w14:paraId="29921D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783" w:type="pct"/>
                  <w:vMerge w:val="restart"/>
                  <w:tcBorders>
                    <w:tl2br w:val="nil"/>
                    <w:tr2bl w:val="nil"/>
                  </w:tcBorders>
                  <w:vAlign w:val="center"/>
                </w:tcPr>
                <w:p w14:paraId="14194AE7">
                  <w:pPr>
                    <w:pStyle w:val="15"/>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临时占地</w:t>
                  </w:r>
                </w:p>
              </w:tc>
              <w:tc>
                <w:tcPr>
                  <w:tcW w:w="745" w:type="pct"/>
                  <w:vMerge w:val="restart"/>
                  <w:tcBorders>
                    <w:tl2br w:val="nil"/>
                    <w:tr2bl w:val="nil"/>
                  </w:tcBorders>
                  <w:vAlign w:val="center"/>
                </w:tcPr>
                <w:p w14:paraId="5DD843A0">
                  <w:pPr>
                    <w:pStyle w:val="15"/>
                    <w:keepNext w:val="0"/>
                    <w:keepLines w:val="0"/>
                    <w:suppressLineNumbers w:val="0"/>
                    <w:spacing w:before="0" w:beforeAutospacing="0" w:after="0" w:afterAutospacing="0"/>
                    <w:ind w:left="0" w:right="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施工营地</w:t>
                  </w:r>
                </w:p>
              </w:tc>
              <w:tc>
                <w:tcPr>
                  <w:tcW w:w="971" w:type="pct"/>
                  <w:tcBorders>
                    <w:tl2br w:val="nil"/>
                    <w:tr2bl w:val="nil"/>
                  </w:tcBorders>
                  <w:shd w:val="clear" w:color="auto" w:fill="auto"/>
                  <w:vAlign w:val="center"/>
                </w:tcPr>
                <w:p w14:paraId="10D7B4FC">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草地</w:t>
                  </w:r>
                </w:p>
              </w:tc>
              <w:tc>
                <w:tcPr>
                  <w:tcW w:w="908" w:type="pct"/>
                  <w:tcBorders>
                    <w:tl2br w:val="nil"/>
                    <w:tr2bl w:val="nil"/>
                  </w:tcBorders>
                  <w:shd w:val="clear" w:color="auto" w:fill="auto"/>
                  <w:vAlign w:val="center"/>
                </w:tcPr>
                <w:p w14:paraId="699B699E">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bidi="ar-SA"/>
                    </w:rPr>
                    <w:t>10.26</w:t>
                  </w:r>
                </w:p>
              </w:tc>
              <w:tc>
                <w:tcPr>
                  <w:tcW w:w="1590" w:type="pct"/>
                  <w:vMerge w:val="restart"/>
                  <w:tcBorders>
                    <w:tl2br w:val="nil"/>
                    <w:tr2bl w:val="nil"/>
                  </w:tcBorders>
                  <w:shd w:val="clear" w:color="auto" w:fill="auto"/>
                  <w:vAlign w:val="center"/>
                </w:tcPr>
                <w:p w14:paraId="3DDDDDE0">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bidi="ar-SA"/>
                    </w:rPr>
                    <w:t>沟道一侧内占地，施工结束后进行生态修复，恢复原有土地类型及使用功能</w:t>
                  </w:r>
                </w:p>
              </w:tc>
            </w:tr>
            <w:tr w14:paraId="0F7829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783" w:type="pct"/>
                  <w:vMerge w:val="continue"/>
                  <w:tcBorders>
                    <w:tl2br w:val="nil"/>
                    <w:tr2bl w:val="nil"/>
                  </w:tcBorders>
                  <w:vAlign w:val="center"/>
                </w:tcPr>
                <w:p w14:paraId="362FBC81">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p>
              </w:tc>
              <w:tc>
                <w:tcPr>
                  <w:tcW w:w="745" w:type="pct"/>
                  <w:vMerge w:val="continue"/>
                  <w:tcBorders>
                    <w:tl2br w:val="nil"/>
                    <w:tr2bl w:val="nil"/>
                  </w:tcBorders>
                  <w:vAlign w:val="center"/>
                </w:tcPr>
                <w:p w14:paraId="1065A75F">
                  <w:pPr>
                    <w:pStyle w:val="15"/>
                    <w:keepNext w:val="0"/>
                    <w:keepLines w:val="0"/>
                    <w:suppressLineNumbers w:val="0"/>
                    <w:spacing w:before="0" w:beforeAutospacing="0" w:after="0" w:afterAutospacing="0"/>
                    <w:ind w:left="0" w:right="0"/>
                    <w:jc w:val="center"/>
                    <w:rPr>
                      <w:rFonts w:hint="default" w:cs="Times New Roman"/>
                      <w:b w:val="0"/>
                      <w:bCs w:val="0"/>
                      <w:color w:val="auto"/>
                      <w:sz w:val="21"/>
                      <w:szCs w:val="21"/>
                      <w:highlight w:val="none"/>
                      <w:vertAlign w:val="baseline"/>
                      <w:lang w:val="en-US" w:eastAsia="zh-CN"/>
                    </w:rPr>
                  </w:pPr>
                </w:p>
              </w:tc>
              <w:tc>
                <w:tcPr>
                  <w:tcW w:w="971" w:type="pct"/>
                  <w:tcBorders>
                    <w:tl2br w:val="nil"/>
                    <w:tr2bl w:val="nil"/>
                  </w:tcBorders>
                  <w:shd w:val="clear" w:color="auto" w:fill="auto"/>
                  <w:vAlign w:val="center"/>
                </w:tcPr>
                <w:p w14:paraId="2C28CEFC">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荒地</w:t>
                  </w:r>
                </w:p>
              </w:tc>
              <w:tc>
                <w:tcPr>
                  <w:tcW w:w="908" w:type="pct"/>
                  <w:tcBorders>
                    <w:tl2br w:val="nil"/>
                    <w:tr2bl w:val="nil"/>
                  </w:tcBorders>
                  <w:shd w:val="clear" w:color="auto" w:fill="auto"/>
                  <w:vAlign w:val="center"/>
                </w:tcPr>
                <w:p w14:paraId="00C3C87F">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bidi="ar-SA"/>
                    </w:rPr>
                    <w:t>23.94</w:t>
                  </w:r>
                </w:p>
              </w:tc>
              <w:tc>
                <w:tcPr>
                  <w:tcW w:w="1590" w:type="pct"/>
                  <w:vMerge w:val="continue"/>
                  <w:tcBorders>
                    <w:tl2br w:val="nil"/>
                    <w:tr2bl w:val="nil"/>
                  </w:tcBorders>
                  <w:shd w:val="clear" w:color="auto" w:fill="auto"/>
                  <w:vAlign w:val="center"/>
                </w:tcPr>
                <w:p w14:paraId="23E16025">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p>
              </w:tc>
            </w:tr>
            <w:tr w14:paraId="629550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783" w:type="pct"/>
                  <w:vMerge w:val="continue"/>
                  <w:tcBorders>
                    <w:tl2br w:val="nil"/>
                    <w:tr2bl w:val="nil"/>
                  </w:tcBorders>
                  <w:vAlign w:val="center"/>
                </w:tcPr>
                <w:p w14:paraId="02713965">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p>
              </w:tc>
              <w:tc>
                <w:tcPr>
                  <w:tcW w:w="1717" w:type="pct"/>
                  <w:gridSpan w:val="2"/>
                  <w:tcBorders>
                    <w:tl2br w:val="nil"/>
                    <w:tr2bl w:val="nil"/>
                  </w:tcBorders>
                  <w:vAlign w:val="center"/>
                </w:tcPr>
                <w:p w14:paraId="34F2D05A">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小计</w:t>
                  </w:r>
                </w:p>
              </w:tc>
              <w:tc>
                <w:tcPr>
                  <w:tcW w:w="908" w:type="pct"/>
                  <w:tcBorders>
                    <w:tl2br w:val="nil"/>
                    <w:tr2bl w:val="nil"/>
                  </w:tcBorders>
                  <w:shd w:val="clear" w:color="auto" w:fill="auto"/>
                  <w:vAlign w:val="center"/>
                </w:tcPr>
                <w:p w14:paraId="0F478BF3">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bidi="ar-SA"/>
                    </w:rPr>
                    <w:t>34.20</w:t>
                  </w:r>
                </w:p>
              </w:tc>
              <w:tc>
                <w:tcPr>
                  <w:tcW w:w="1590" w:type="pct"/>
                  <w:vMerge w:val="continue"/>
                  <w:tcBorders>
                    <w:tl2br w:val="nil"/>
                    <w:tr2bl w:val="nil"/>
                  </w:tcBorders>
                  <w:shd w:val="clear" w:color="auto" w:fill="auto"/>
                  <w:vAlign w:val="center"/>
                </w:tcPr>
                <w:p w14:paraId="240DE975">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p>
              </w:tc>
            </w:tr>
            <w:tr w14:paraId="748F6D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0" w:type="pct"/>
                  <w:gridSpan w:val="3"/>
                  <w:tcBorders>
                    <w:tl2br w:val="nil"/>
                    <w:tr2bl w:val="nil"/>
                  </w:tcBorders>
                  <w:vAlign w:val="center"/>
                </w:tcPr>
                <w:p w14:paraId="42DB667C">
                  <w:pPr>
                    <w:pStyle w:val="15"/>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总计</w:t>
                  </w:r>
                </w:p>
              </w:tc>
              <w:tc>
                <w:tcPr>
                  <w:tcW w:w="908" w:type="pct"/>
                  <w:tcBorders>
                    <w:tl2br w:val="nil"/>
                    <w:tr2bl w:val="nil"/>
                  </w:tcBorders>
                  <w:vAlign w:val="center"/>
                </w:tcPr>
                <w:p w14:paraId="003AFDA9">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508.88</w:t>
                  </w:r>
                </w:p>
              </w:tc>
              <w:tc>
                <w:tcPr>
                  <w:tcW w:w="1590" w:type="pct"/>
                  <w:tcBorders>
                    <w:tl2br w:val="nil"/>
                    <w:tr2bl w:val="nil"/>
                  </w:tcBorders>
                  <w:vAlign w:val="center"/>
                </w:tcPr>
                <w:p w14:paraId="7E64ED54">
                  <w:pPr>
                    <w:pStyle w:val="15"/>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w:t>
                  </w:r>
                </w:p>
              </w:tc>
            </w:tr>
          </w:tbl>
          <w:p w14:paraId="692769BA">
            <w:pPr>
              <w:pStyle w:val="11"/>
              <w:adjustRightInd w:val="0"/>
              <w:spacing w:before="0" w:after="0" w:line="360" w:lineRule="auto"/>
              <w:ind w:right="0" w:firstLine="480" w:firstLineChars="200"/>
              <w:rPr>
                <w:rFonts w:hint="default" w:ascii="Times New Roman" w:hAnsi="Times New Roman" w:eastAsia="仿宋_GB2312" w:cs="Times New Roman"/>
                <w:bCs/>
                <w:color w:val="auto"/>
                <w:sz w:val="24"/>
                <w:highlight w:val="none"/>
                <w:vertAlign w:val="baseline"/>
                <w:lang w:val="en-US" w:eastAsia="zh-CN"/>
              </w:rPr>
            </w:pPr>
          </w:p>
        </w:tc>
      </w:tr>
      <w:tr w14:paraId="6559EAC9">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0" w:hRule="atLeast"/>
          <w:jc w:val="center"/>
        </w:trPr>
        <w:tc>
          <w:tcPr>
            <w:tcW w:w="485" w:type="dxa"/>
            <w:tcBorders>
              <w:tl2br w:val="nil"/>
              <w:tr2bl w:val="nil"/>
            </w:tcBorders>
            <w:vAlign w:val="center"/>
          </w:tcPr>
          <w:p w14:paraId="76767370">
            <w:pPr>
              <w:pStyle w:val="22"/>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r>
              <w:rPr>
                <w:rFonts w:hint="default" w:ascii="Times New Roman" w:hAnsi="Times New Roman" w:cs="Times New Roman" w:eastAsiaTheme="minorEastAsia"/>
                <w:b/>
                <w:bCs/>
                <w:color w:val="auto"/>
                <w:szCs w:val="24"/>
                <w:highlight w:val="none"/>
                <w:lang w:eastAsia="zh-CN"/>
              </w:rPr>
              <w:t>总平面及现场布置</w:t>
            </w:r>
          </w:p>
        </w:tc>
        <w:tc>
          <w:tcPr>
            <w:tcW w:w="8558" w:type="dxa"/>
            <w:tcBorders>
              <w:tl2br w:val="nil"/>
              <w:tr2bl w:val="nil"/>
            </w:tcBorders>
          </w:tcPr>
          <w:p w14:paraId="355634B4">
            <w:pPr>
              <w:pStyle w:val="11"/>
              <w:adjustRightInd w:val="0"/>
              <w:spacing w:before="0" w:after="0" w:line="360" w:lineRule="auto"/>
              <w:ind w:right="0" w:firstLine="480" w:firstLineChars="200"/>
              <w:rPr>
                <w:rFonts w:hint="default" w:ascii="Times New Roman" w:hAnsi="Times New Roman" w:eastAsia="黑体" w:cs="Times New Roman"/>
                <w:color w:val="auto"/>
                <w:kern w:val="0"/>
                <w:sz w:val="24"/>
                <w:szCs w:val="24"/>
                <w:highlight w:val="none"/>
                <w:lang w:val="en-US" w:eastAsia="zh-CN" w:bidi="ar-SA"/>
              </w:rPr>
            </w:pPr>
            <w:r>
              <w:rPr>
                <w:rFonts w:hint="default" w:ascii="Times New Roman" w:hAnsi="Times New Roman" w:eastAsia="黑体" w:cs="Times New Roman"/>
                <w:color w:val="auto"/>
                <w:kern w:val="0"/>
                <w:sz w:val="24"/>
                <w:szCs w:val="24"/>
                <w:highlight w:val="none"/>
                <w:lang w:val="en-US" w:eastAsia="zh-CN" w:bidi="ar-SA"/>
              </w:rPr>
              <w:t>1、工程布局情况</w:t>
            </w:r>
          </w:p>
          <w:p w14:paraId="59C78CC5">
            <w:pPr>
              <w:pStyle w:val="11"/>
              <w:adjustRightInd w:val="0"/>
              <w:spacing w:before="0" w:after="0" w:line="360" w:lineRule="auto"/>
              <w:ind w:right="0" w:firstLine="480" w:firstLineChars="200"/>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（1）</w:t>
            </w:r>
            <w:r>
              <w:rPr>
                <w:rFonts w:hint="default" w:ascii="Times New Roman" w:hAnsi="Times New Roman" w:cs="Times New Roman"/>
                <w:color w:val="auto"/>
                <w:kern w:val="0"/>
                <w:sz w:val="24"/>
                <w:szCs w:val="24"/>
                <w:highlight w:val="none"/>
                <w:lang w:val="en-US" w:eastAsia="zh-CN" w:bidi="ar-SA"/>
              </w:rPr>
              <w:t>工程</w:t>
            </w:r>
            <w:r>
              <w:rPr>
                <w:rFonts w:hint="eastAsia" w:cs="Times New Roman"/>
                <w:color w:val="auto"/>
                <w:kern w:val="0"/>
                <w:sz w:val="24"/>
                <w:szCs w:val="24"/>
                <w:highlight w:val="none"/>
                <w:lang w:val="en-US" w:eastAsia="zh-CN" w:bidi="ar-SA"/>
              </w:rPr>
              <w:t>总体</w:t>
            </w:r>
            <w:r>
              <w:rPr>
                <w:rFonts w:hint="default" w:ascii="Times New Roman" w:hAnsi="Times New Roman" w:cs="Times New Roman"/>
                <w:color w:val="auto"/>
                <w:kern w:val="0"/>
                <w:sz w:val="24"/>
                <w:szCs w:val="24"/>
                <w:highlight w:val="none"/>
                <w:lang w:val="en-US" w:eastAsia="zh-CN" w:bidi="ar-SA"/>
              </w:rPr>
              <w:t>布置</w:t>
            </w:r>
          </w:p>
          <w:p w14:paraId="2DBA00EF">
            <w:pPr>
              <w:pStyle w:val="11"/>
              <w:adjustRightInd w:val="0"/>
              <w:spacing w:before="0" w:after="0" w:line="360" w:lineRule="auto"/>
              <w:ind w:right="0"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高崖沟为黄河1级支流，发源于甘肃省靖远县靖安乡新丰村，途经甘肃省靖远县、宁夏中卫市沙坡头区兴仁镇后经香山乡黄泉村流入黄河，高崖沟主流河长120.00km，上游约25km在甘肃境内，下游约26km在宁夏境内，但属于山区河道，无防护对象。中游67.36km分布有城镇、村庄及农田，对此段进行治理。</w:t>
            </w:r>
          </w:p>
          <w:p w14:paraId="14104D99">
            <w:pPr>
              <w:pStyle w:val="11"/>
              <w:adjustRightInd w:val="0"/>
              <w:spacing w:before="0" w:after="0" w:line="360" w:lineRule="auto"/>
              <w:ind w:right="0"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宁夏段高崖沟治理范围为沙坡头区兴仁镇西里村至香山乡景庄村，涉及河长67.36km，宁夏段高崖沟有防洪任务长度33.80km，已治理河长度约1.50km，未治理河长约32.30km。未治理河长分为3段，其中河道上游长度约13.60km，桩号范围GYO+000~GY13+600</w:t>
            </w:r>
            <w:r>
              <w:rPr>
                <w:rFonts w:hint="eastAsia"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下游长度20.2km，桩号范围GY45+010~GY65+210。</w:t>
            </w:r>
          </w:p>
          <w:p w14:paraId="42B8C9D3">
            <w:pPr>
              <w:pStyle w:val="11"/>
              <w:adjustRightInd w:val="0"/>
              <w:spacing w:before="0" w:after="0" w:line="360" w:lineRule="auto"/>
              <w:ind w:right="0"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高崖沟兴仁镇桩号GY5+340~GY6+840为已治理河道，河长度约1.50km。中游GY13+600~GY42+300无沟型，不在本次设计范围。GY42+300</w:t>
            </w:r>
            <w:r>
              <w:rPr>
                <w:rFonts w:hint="eastAsia" w:cs="Times New Roman"/>
                <w:color w:val="auto"/>
                <w:kern w:val="0"/>
                <w:sz w:val="24"/>
                <w:szCs w:val="24"/>
                <w:highlight w:val="none"/>
                <w:lang w:val="en-US" w:eastAsia="zh-CN" w:bidi="ar-SA"/>
              </w:rPr>
              <w:t>~G</w:t>
            </w:r>
            <w:r>
              <w:rPr>
                <w:rFonts w:hint="default" w:ascii="Times New Roman" w:hAnsi="Times New Roman" w:eastAsia="宋体" w:cs="Times New Roman"/>
                <w:color w:val="auto"/>
                <w:kern w:val="0"/>
                <w:sz w:val="24"/>
                <w:szCs w:val="24"/>
                <w:highlight w:val="none"/>
                <w:lang w:val="en-US" w:eastAsia="zh-CN" w:bidi="ar-SA"/>
              </w:rPr>
              <w:t>Y44+240河道两岸分布碱滩地，无防护对象。</w:t>
            </w:r>
          </w:p>
          <w:p w14:paraId="1E3A212E">
            <w:pPr>
              <w:pStyle w:val="11"/>
              <w:adjustRightInd w:val="0"/>
              <w:spacing w:before="0" w:after="0" w:line="360" w:lineRule="auto"/>
              <w:ind w:right="0"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对高崖沟有防洪任务未治理段32.30km进行综合治理，对冲刷严重的凹岸进行防护，新建浆砌石护岸总长约22.6km，其中左岸新建护岸长4.09</w:t>
            </w:r>
            <w:r>
              <w:rPr>
                <w:rFonts w:hint="eastAsia" w:cs="Times New Roman"/>
                <w:color w:val="auto"/>
                <w:kern w:val="0"/>
                <w:sz w:val="24"/>
                <w:szCs w:val="24"/>
                <w:highlight w:val="none"/>
                <w:lang w:val="en-US" w:eastAsia="zh-CN" w:bidi="ar-SA"/>
              </w:rPr>
              <w:t>k</w:t>
            </w:r>
            <w:r>
              <w:rPr>
                <w:rFonts w:hint="default" w:ascii="Times New Roman" w:hAnsi="Times New Roman" w:eastAsia="宋体" w:cs="Times New Roman"/>
                <w:color w:val="auto"/>
                <w:kern w:val="0"/>
                <w:sz w:val="24"/>
                <w:szCs w:val="24"/>
                <w:highlight w:val="none"/>
                <w:lang w:val="en-US" w:eastAsia="zh-CN" w:bidi="ar-SA"/>
              </w:rPr>
              <w:t>m，右岸新建护岸长18.51</w:t>
            </w:r>
            <w:r>
              <w:rPr>
                <w:rFonts w:hint="eastAsia" w:cs="Times New Roman"/>
                <w:color w:val="auto"/>
                <w:kern w:val="0"/>
                <w:sz w:val="24"/>
                <w:szCs w:val="24"/>
                <w:highlight w:val="none"/>
                <w:lang w:val="en-US" w:eastAsia="zh-CN" w:bidi="ar-SA"/>
              </w:rPr>
              <w:t>k</w:t>
            </w:r>
            <w:r>
              <w:rPr>
                <w:rFonts w:hint="default" w:ascii="Times New Roman" w:hAnsi="Times New Roman" w:eastAsia="宋体" w:cs="Times New Roman"/>
                <w:color w:val="auto"/>
                <w:kern w:val="0"/>
                <w:sz w:val="24"/>
                <w:szCs w:val="24"/>
                <w:highlight w:val="none"/>
                <w:lang w:val="en-US" w:eastAsia="zh-CN" w:bidi="ar-SA"/>
              </w:rPr>
              <w:t>m</w:t>
            </w:r>
            <w:r>
              <w:rPr>
                <w:rFonts w:hint="eastAsia"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河道过流能力不足的河段进行清淤疏浚，清淤长约6km。为了便于工程抢修，根据工程管理的需要，结合已建护岸及现有生产道路的布置，新建巡护路长度约20.2km。</w:t>
            </w:r>
          </w:p>
          <w:p w14:paraId="40DBDD78">
            <w:pPr>
              <w:pStyle w:val="11"/>
              <w:adjustRightInd w:val="0"/>
              <w:spacing w:before="0" w:after="0" w:line="360" w:lineRule="auto"/>
              <w:ind w:right="0"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项目治理总体布局统计情况见表</w:t>
            </w:r>
            <w:r>
              <w:rPr>
                <w:rFonts w:hint="eastAsia" w:cs="Times New Roman"/>
                <w:color w:val="auto"/>
                <w:kern w:val="0"/>
                <w:sz w:val="24"/>
                <w:szCs w:val="24"/>
                <w:highlight w:val="none"/>
                <w:lang w:val="en-US" w:eastAsia="zh-CN" w:bidi="ar-SA"/>
              </w:rPr>
              <w:t>2-8</w:t>
            </w:r>
            <w:r>
              <w:rPr>
                <w:rFonts w:hint="default" w:ascii="Times New Roman" w:hAnsi="Times New Roman" w:cs="Times New Roman"/>
                <w:color w:val="auto"/>
                <w:kern w:val="0"/>
                <w:sz w:val="24"/>
                <w:szCs w:val="24"/>
                <w:highlight w:val="none"/>
                <w:lang w:val="en-US" w:eastAsia="zh-CN" w:bidi="ar-SA"/>
              </w:rPr>
              <w:t>，总体平面布局见图2-</w:t>
            </w:r>
            <w:r>
              <w:rPr>
                <w:rFonts w:hint="eastAsia" w:cs="Times New Roman"/>
                <w:color w:val="auto"/>
                <w:kern w:val="0"/>
                <w:sz w:val="24"/>
                <w:szCs w:val="24"/>
                <w:highlight w:val="none"/>
                <w:lang w:val="en-US" w:eastAsia="zh-CN" w:bidi="ar-SA"/>
              </w:rPr>
              <w:t>9</w:t>
            </w:r>
            <w:r>
              <w:rPr>
                <w:rFonts w:hint="default" w:ascii="Times New Roman" w:hAnsi="Times New Roman" w:cs="Times New Roman"/>
                <w:color w:val="auto"/>
                <w:kern w:val="0"/>
                <w:sz w:val="24"/>
                <w:szCs w:val="24"/>
                <w:highlight w:val="none"/>
                <w:lang w:val="en-US" w:eastAsia="zh-CN" w:bidi="ar-SA"/>
              </w:rPr>
              <w:t>。</w:t>
            </w:r>
          </w:p>
          <w:p w14:paraId="1C32245B">
            <w:pPr>
              <w:pStyle w:val="11"/>
              <w:adjustRightInd w:val="0"/>
              <w:spacing w:before="0" w:after="0" w:line="240" w:lineRule="auto"/>
              <w:ind w:right="0"/>
              <w:jc w:val="center"/>
              <w:rPr>
                <w:rFonts w:hint="default" w:ascii="Times New Roman" w:hAnsi="Times New Roman" w:eastAsia="黑体" w:cs="Times New Roman"/>
                <w:color w:val="auto"/>
                <w:kern w:val="0"/>
                <w:sz w:val="24"/>
                <w:szCs w:val="24"/>
                <w:highlight w:val="none"/>
                <w:lang w:val="en-US" w:eastAsia="zh-CN" w:bidi="ar-SA"/>
              </w:rPr>
            </w:pPr>
            <w:r>
              <w:rPr>
                <w:rFonts w:hint="default" w:ascii="Times New Roman" w:hAnsi="Times New Roman" w:eastAsia="黑体" w:cs="Times New Roman"/>
                <w:color w:val="auto"/>
                <w:kern w:val="0"/>
                <w:sz w:val="24"/>
                <w:szCs w:val="24"/>
                <w:highlight w:val="none"/>
                <w:lang w:val="en-US" w:eastAsia="zh-CN" w:bidi="ar-SA"/>
              </w:rPr>
              <w:t>表</w:t>
            </w:r>
            <w:r>
              <w:rPr>
                <w:rFonts w:hint="eastAsia" w:eastAsia="黑体" w:cs="Times New Roman"/>
                <w:color w:val="auto"/>
                <w:kern w:val="0"/>
                <w:sz w:val="24"/>
                <w:szCs w:val="24"/>
                <w:highlight w:val="none"/>
                <w:lang w:val="en-US" w:eastAsia="zh-CN" w:bidi="ar-SA"/>
              </w:rPr>
              <w:t>2-8</w:t>
            </w:r>
            <w:r>
              <w:rPr>
                <w:rFonts w:hint="default" w:ascii="Times New Roman" w:hAnsi="Times New Roman" w:eastAsia="黑体" w:cs="Times New Roman"/>
                <w:color w:val="auto"/>
                <w:kern w:val="0"/>
                <w:sz w:val="24"/>
                <w:szCs w:val="24"/>
                <w:highlight w:val="none"/>
                <w:lang w:val="en-US" w:eastAsia="zh-CN" w:bidi="ar-SA"/>
              </w:rPr>
              <w:t xml:space="preserve">  项目治理总体布局统计情况一览表</w:t>
            </w:r>
          </w:p>
          <w:tbl>
            <w:tblPr>
              <w:tblStyle w:val="27"/>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9"/>
              <w:gridCol w:w="2361"/>
              <w:gridCol w:w="2748"/>
              <w:gridCol w:w="1844"/>
              <w:gridCol w:w="847"/>
            </w:tblGrid>
            <w:tr w14:paraId="2539BF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6" w:type="pct"/>
                  <w:tcBorders>
                    <w:tl2br w:val="nil"/>
                    <w:tr2bl w:val="nil"/>
                  </w:tcBorders>
                  <w:vAlign w:val="center"/>
                </w:tcPr>
                <w:p w14:paraId="0C787430">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SA"/>
                    </w:rPr>
                  </w:pPr>
                  <w:r>
                    <w:rPr>
                      <w:rFonts w:hint="default" w:ascii="Times New Roman" w:hAnsi="Times New Roman" w:eastAsia="宋体" w:cs="Times New Roman"/>
                      <w:b/>
                      <w:bCs/>
                      <w:color w:val="auto"/>
                      <w:kern w:val="0"/>
                      <w:sz w:val="21"/>
                      <w:szCs w:val="21"/>
                      <w:highlight w:val="none"/>
                      <w:vertAlign w:val="baseline"/>
                      <w:lang w:val="en-US" w:eastAsia="zh-CN" w:bidi="ar-SA"/>
                    </w:rPr>
                    <w:t>序号</w:t>
                  </w:r>
                </w:p>
              </w:tc>
              <w:tc>
                <w:tcPr>
                  <w:tcW w:w="1420" w:type="pct"/>
                  <w:tcBorders>
                    <w:tl2br w:val="nil"/>
                    <w:tr2bl w:val="nil"/>
                  </w:tcBorders>
                  <w:vAlign w:val="center"/>
                </w:tcPr>
                <w:p w14:paraId="0331E5F9">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SA"/>
                    </w:rPr>
                  </w:pPr>
                  <w:r>
                    <w:rPr>
                      <w:rFonts w:hint="default" w:ascii="Times New Roman" w:hAnsi="Times New Roman" w:eastAsia="宋体" w:cs="Times New Roman"/>
                      <w:b/>
                      <w:bCs/>
                      <w:color w:val="auto"/>
                      <w:kern w:val="0"/>
                      <w:sz w:val="21"/>
                      <w:szCs w:val="21"/>
                      <w:highlight w:val="none"/>
                      <w:vertAlign w:val="baseline"/>
                      <w:lang w:val="en-US" w:eastAsia="zh-CN" w:bidi="ar-SA"/>
                    </w:rPr>
                    <w:t>桩号</w:t>
                  </w:r>
                  <w:r>
                    <w:rPr>
                      <w:rFonts w:hint="default" w:ascii="Times New Roman" w:hAnsi="Times New Roman" w:cs="Times New Roman"/>
                      <w:b/>
                      <w:bCs/>
                      <w:color w:val="auto"/>
                      <w:kern w:val="0"/>
                      <w:sz w:val="21"/>
                      <w:szCs w:val="21"/>
                      <w:highlight w:val="none"/>
                      <w:vertAlign w:val="baseline"/>
                      <w:lang w:val="en-US" w:eastAsia="zh-CN" w:bidi="ar-SA"/>
                    </w:rPr>
                    <w:t>（km+m）</w:t>
                  </w:r>
                </w:p>
              </w:tc>
              <w:tc>
                <w:tcPr>
                  <w:tcW w:w="1653" w:type="pct"/>
                  <w:tcBorders>
                    <w:tl2br w:val="nil"/>
                    <w:tr2bl w:val="nil"/>
                  </w:tcBorders>
                  <w:vAlign w:val="center"/>
                </w:tcPr>
                <w:p w14:paraId="481A840D">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SA"/>
                    </w:rPr>
                  </w:pPr>
                  <w:r>
                    <w:rPr>
                      <w:rFonts w:hint="default" w:ascii="Times New Roman" w:hAnsi="Times New Roman" w:eastAsia="宋体" w:cs="Times New Roman"/>
                      <w:b/>
                      <w:bCs/>
                      <w:color w:val="auto"/>
                      <w:kern w:val="0"/>
                      <w:sz w:val="21"/>
                      <w:szCs w:val="21"/>
                      <w:highlight w:val="none"/>
                      <w:vertAlign w:val="baseline"/>
                      <w:lang w:val="en-US" w:eastAsia="zh-CN" w:bidi="ar-SA"/>
                    </w:rPr>
                    <w:t>现状情况</w:t>
                  </w:r>
                </w:p>
              </w:tc>
              <w:tc>
                <w:tcPr>
                  <w:tcW w:w="1109" w:type="pct"/>
                  <w:tcBorders>
                    <w:tl2br w:val="nil"/>
                    <w:tr2bl w:val="nil"/>
                  </w:tcBorders>
                  <w:vAlign w:val="center"/>
                </w:tcPr>
                <w:p w14:paraId="4A7AC53F">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SA"/>
                    </w:rPr>
                  </w:pPr>
                  <w:r>
                    <w:rPr>
                      <w:rFonts w:hint="default" w:ascii="Times New Roman" w:hAnsi="Times New Roman" w:eastAsia="宋体" w:cs="Times New Roman"/>
                      <w:b/>
                      <w:bCs/>
                      <w:color w:val="auto"/>
                      <w:kern w:val="0"/>
                      <w:sz w:val="21"/>
                      <w:szCs w:val="21"/>
                      <w:highlight w:val="none"/>
                      <w:vertAlign w:val="baseline"/>
                      <w:lang w:val="en-US" w:eastAsia="zh-CN" w:bidi="ar-SA"/>
                    </w:rPr>
                    <w:t>治理措施</w:t>
                  </w:r>
                </w:p>
              </w:tc>
              <w:tc>
                <w:tcPr>
                  <w:tcW w:w="509" w:type="pct"/>
                  <w:tcBorders>
                    <w:tl2br w:val="nil"/>
                    <w:tr2bl w:val="nil"/>
                  </w:tcBorders>
                  <w:vAlign w:val="center"/>
                </w:tcPr>
                <w:p w14:paraId="51428CEF">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SA"/>
                    </w:rPr>
                  </w:pPr>
                  <w:r>
                    <w:rPr>
                      <w:rFonts w:hint="default" w:ascii="Times New Roman" w:hAnsi="Times New Roman" w:cs="Times New Roman"/>
                      <w:b/>
                      <w:bCs/>
                      <w:color w:val="auto"/>
                      <w:kern w:val="0"/>
                      <w:sz w:val="21"/>
                      <w:szCs w:val="21"/>
                      <w:highlight w:val="none"/>
                      <w:vertAlign w:val="baseline"/>
                      <w:lang w:val="en-US" w:eastAsia="zh-CN" w:bidi="ar-SA"/>
                    </w:rPr>
                    <w:t>长度（km）</w:t>
                  </w:r>
                </w:p>
              </w:tc>
            </w:tr>
            <w:tr w14:paraId="2ABF52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6" w:type="pct"/>
                  <w:tcBorders>
                    <w:tl2br w:val="nil"/>
                    <w:tr2bl w:val="nil"/>
                  </w:tcBorders>
                  <w:vAlign w:val="center"/>
                </w:tcPr>
                <w:p w14:paraId="0A46B351">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1</w:t>
                  </w:r>
                </w:p>
              </w:tc>
              <w:tc>
                <w:tcPr>
                  <w:tcW w:w="1420" w:type="pct"/>
                  <w:tcBorders>
                    <w:tl2br w:val="nil"/>
                    <w:tr2bl w:val="nil"/>
                  </w:tcBorders>
                  <w:vAlign w:val="center"/>
                </w:tcPr>
                <w:p w14:paraId="4A44996B">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GY0+000</w:t>
                  </w:r>
                  <w:r>
                    <w:rPr>
                      <w:rFonts w:hint="eastAsia" w:cs="Times New Roman"/>
                      <w:color w:val="auto"/>
                      <w:kern w:val="0"/>
                      <w:sz w:val="21"/>
                      <w:szCs w:val="21"/>
                      <w:highlight w:val="none"/>
                      <w:vertAlign w:val="baseline"/>
                      <w:lang w:val="en-US" w:eastAsia="zh-CN" w:bidi="ar-SA"/>
                    </w:rPr>
                    <w:t>~G</w:t>
                  </w:r>
                  <w:r>
                    <w:rPr>
                      <w:rFonts w:hint="default" w:ascii="Times New Roman" w:hAnsi="Times New Roman" w:eastAsia="宋体" w:cs="Times New Roman"/>
                      <w:color w:val="auto"/>
                      <w:kern w:val="0"/>
                      <w:sz w:val="21"/>
                      <w:szCs w:val="21"/>
                      <w:highlight w:val="none"/>
                      <w:vertAlign w:val="baseline"/>
                      <w:lang w:val="en-US" w:eastAsia="zh-CN" w:bidi="ar-SA"/>
                    </w:rPr>
                    <w:t>Y5+340</w:t>
                  </w:r>
                </w:p>
              </w:tc>
              <w:tc>
                <w:tcPr>
                  <w:tcW w:w="1653" w:type="pct"/>
                  <w:tcBorders>
                    <w:tl2br w:val="nil"/>
                    <w:tr2bl w:val="nil"/>
                  </w:tcBorders>
                  <w:vAlign w:val="center"/>
                </w:tcPr>
                <w:p w14:paraId="0129CF89">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河道有沟型，未治理</w:t>
                  </w:r>
                </w:p>
              </w:tc>
              <w:tc>
                <w:tcPr>
                  <w:tcW w:w="1109" w:type="pct"/>
                  <w:tcBorders>
                    <w:tl2br w:val="nil"/>
                    <w:tr2bl w:val="nil"/>
                  </w:tcBorders>
                  <w:vAlign w:val="center"/>
                </w:tcPr>
                <w:p w14:paraId="3C891E9A">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凹岸浆砌石护砌，局部疏浚</w:t>
                  </w:r>
                </w:p>
              </w:tc>
              <w:tc>
                <w:tcPr>
                  <w:tcW w:w="509" w:type="pct"/>
                  <w:tcBorders>
                    <w:tl2br w:val="nil"/>
                    <w:tr2bl w:val="nil"/>
                  </w:tcBorders>
                  <w:vAlign w:val="center"/>
                </w:tcPr>
                <w:p w14:paraId="1F02EE31">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5.34</w:t>
                  </w:r>
                </w:p>
              </w:tc>
            </w:tr>
            <w:tr w14:paraId="0D069D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6" w:type="pct"/>
                  <w:tcBorders>
                    <w:tl2br w:val="nil"/>
                    <w:tr2bl w:val="nil"/>
                  </w:tcBorders>
                  <w:vAlign w:val="center"/>
                </w:tcPr>
                <w:p w14:paraId="57C1E2AD">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2</w:t>
                  </w:r>
                </w:p>
              </w:tc>
              <w:tc>
                <w:tcPr>
                  <w:tcW w:w="1420" w:type="pct"/>
                  <w:tcBorders>
                    <w:tl2br w:val="nil"/>
                    <w:tr2bl w:val="nil"/>
                  </w:tcBorders>
                  <w:vAlign w:val="center"/>
                </w:tcPr>
                <w:p w14:paraId="05E3168D">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GY5+340</w:t>
                  </w:r>
                  <w:r>
                    <w:rPr>
                      <w:rFonts w:hint="eastAsia" w:cs="Times New Roman"/>
                      <w:color w:val="auto"/>
                      <w:kern w:val="0"/>
                      <w:sz w:val="21"/>
                      <w:szCs w:val="21"/>
                      <w:highlight w:val="none"/>
                      <w:vertAlign w:val="baseline"/>
                      <w:lang w:val="en-US" w:eastAsia="zh-CN" w:bidi="ar-SA"/>
                    </w:rPr>
                    <w:t>~G</w:t>
                  </w:r>
                  <w:r>
                    <w:rPr>
                      <w:rFonts w:hint="default" w:ascii="Times New Roman" w:hAnsi="Times New Roman" w:eastAsia="宋体" w:cs="Times New Roman"/>
                      <w:color w:val="auto"/>
                      <w:kern w:val="0"/>
                      <w:sz w:val="21"/>
                      <w:szCs w:val="21"/>
                      <w:highlight w:val="none"/>
                      <w:vertAlign w:val="baseline"/>
                      <w:lang w:val="en-US" w:eastAsia="zh-CN" w:bidi="ar-SA"/>
                    </w:rPr>
                    <w:t>Y6+840</w:t>
                  </w:r>
                </w:p>
              </w:tc>
              <w:tc>
                <w:tcPr>
                  <w:tcW w:w="1653" w:type="pct"/>
                  <w:tcBorders>
                    <w:tl2br w:val="nil"/>
                    <w:tr2bl w:val="nil"/>
                  </w:tcBorders>
                  <w:vAlign w:val="center"/>
                </w:tcPr>
                <w:p w14:paraId="0AC5194A">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河道已治理</w:t>
                  </w:r>
                </w:p>
              </w:tc>
              <w:tc>
                <w:tcPr>
                  <w:tcW w:w="1109" w:type="pct"/>
                  <w:tcBorders>
                    <w:tl2br w:val="nil"/>
                    <w:tr2bl w:val="nil"/>
                  </w:tcBorders>
                  <w:vAlign w:val="center"/>
                </w:tcPr>
                <w:p w14:paraId="31B01FA7">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w:t>
                  </w:r>
                </w:p>
              </w:tc>
              <w:tc>
                <w:tcPr>
                  <w:tcW w:w="509" w:type="pct"/>
                  <w:tcBorders>
                    <w:tl2br w:val="nil"/>
                    <w:tr2bl w:val="nil"/>
                  </w:tcBorders>
                  <w:vAlign w:val="center"/>
                </w:tcPr>
                <w:p w14:paraId="0BAF1B6F">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1.50</w:t>
                  </w:r>
                </w:p>
              </w:tc>
            </w:tr>
            <w:tr w14:paraId="6E4DA9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6" w:type="pct"/>
                  <w:tcBorders>
                    <w:tl2br w:val="nil"/>
                    <w:tr2bl w:val="nil"/>
                  </w:tcBorders>
                  <w:vAlign w:val="center"/>
                </w:tcPr>
                <w:p w14:paraId="734ADEF7">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3</w:t>
                  </w:r>
                </w:p>
              </w:tc>
              <w:tc>
                <w:tcPr>
                  <w:tcW w:w="1420" w:type="pct"/>
                  <w:tcBorders>
                    <w:tl2br w:val="nil"/>
                    <w:tr2bl w:val="nil"/>
                  </w:tcBorders>
                  <w:vAlign w:val="center"/>
                </w:tcPr>
                <w:p w14:paraId="672E4F8C">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GY6+840</w:t>
                  </w:r>
                  <w:r>
                    <w:rPr>
                      <w:rFonts w:hint="eastAsia" w:cs="Times New Roman"/>
                      <w:color w:val="auto"/>
                      <w:kern w:val="0"/>
                      <w:sz w:val="21"/>
                      <w:szCs w:val="21"/>
                      <w:highlight w:val="none"/>
                      <w:vertAlign w:val="baseline"/>
                      <w:lang w:val="en-US" w:eastAsia="zh-CN" w:bidi="ar-SA"/>
                    </w:rPr>
                    <w:t>~G</w:t>
                  </w:r>
                  <w:r>
                    <w:rPr>
                      <w:rFonts w:hint="default" w:ascii="Times New Roman" w:hAnsi="Times New Roman" w:eastAsia="宋体" w:cs="Times New Roman"/>
                      <w:color w:val="auto"/>
                      <w:kern w:val="0"/>
                      <w:sz w:val="21"/>
                      <w:szCs w:val="21"/>
                      <w:highlight w:val="none"/>
                      <w:vertAlign w:val="baseline"/>
                      <w:lang w:val="en-US" w:eastAsia="zh-CN" w:bidi="ar-SA"/>
                    </w:rPr>
                    <w:t>Y8+240</w:t>
                  </w:r>
                </w:p>
              </w:tc>
              <w:tc>
                <w:tcPr>
                  <w:tcW w:w="1653" w:type="pct"/>
                  <w:tcBorders>
                    <w:tl2br w:val="nil"/>
                    <w:tr2bl w:val="nil"/>
                  </w:tcBorders>
                  <w:vAlign w:val="center"/>
                </w:tcPr>
                <w:p w14:paraId="31EF556C">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右岸浆砌石护砌长1.40km，左岸未防护，基本无淤积</w:t>
                  </w:r>
                </w:p>
              </w:tc>
              <w:tc>
                <w:tcPr>
                  <w:tcW w:w="1109" w:type="pct"/>
                  <w:tcBorders>
                    <w:tl2br w:val="nil"/>
                    <w:tr2bl w:val="nil"/>
                  </w:tcBorders>
                  <w:vAlign w:val="center"/>
                </w:tcPr>
                <w:p w14:paraId="1BC953F2">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对左岸1.4kmn进行浆砌石防护</w:t>
                  </w:r>
                </w:p>
              </w:tc>
              <w:tc>
                <w:tcPr>
                  <w:tcW w:w="509" w:type="pct"/>
                  <w:tcBorders>
                    <w:tl2br w:val="nil"/>
                    <w:tr2bl w:val="nil"/>
                  </w:tcBorders>
                  <w:vAlign w:val="center"/>
                </w:tcPr>
                <w:p w14:paraId="2A39D9B8">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1.40</w:t>
                  </w:r>
                </w:p>
              </w:tc>
            </w:tr>
            <w:tr w14:paraId="67516D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6" w:type="pct"/>
                  <w:tcBorders>
                    <w:tl2br w:val="nil"/>
                    <w:tr2bl w:val="nil"/>
                  </w:tcBorders>
                  <w:vAlign w:val="center"/>
                </w:tcPr>
                <w:p w14:paraId="668FEA68">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4</w:t>
                  </w:r>
                </w:p>
              </w:tc>
              <w:tc>
                <w:tcPr>
                  <w:tcW w:w="1420" w:type="pct"/>
                  <w:tcBorders>
                    <w:tl2br w:val="nil"/>
                    <w:tr2bl w:val="nil"/>
                  </w:tcBorders>
                  <w:vAlign w:val="center"/>
                </w:tcPr>
                <w:p w14:paraId="490606AF">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GY8+240</w:t>
                  </w:r>
                  <w:r>
                    <w:rPr>
                      <w:rFonts w:hint="eastAsia" w:cs="Times New Roman"/>
                      <w:color w:val="auto"/>
                      <w:kern w:val="0"/>
                      <w:sz w:val="21"/>
                      <w:szCs w:val="21"/>
                      <w:highlight w:val="none"/>
                      <w:vertAlign w:val="baseline"/>
                      <w:lang w:val="en-US" w:eastAsia="zh-CN" w:bidi="ar-SA"/>
                    </w:rPr>
                    <w:t>~G</w:t>
                  </w:r>
                  <w:r>
                    <w:rPr>
                      <w:rFonts w:hint="default" w:ascii="Times New Roman" w:hAnsi="Times New Roman" w:eastAsia="宋体" w:cs="Times New Roman"/>
                      <w:color w:val="auto"/>
                      <w:kern w:val="0"/>
                      <w:sz w:val="21"/>
                      <w:szCs w:val="21"/>
                      <w:highlight w:val="none"/>
                      <w:vertAlign w:val="baseline"/>
                      <w:lang w:val="en-US" w:eastAsia="zh-CN" w:bidi="ar-SA"/>
                    </w:rPr>
                    <w:t>Y13+600</w:t>
                  </w:r>
                </w:p>
              </w:tc>
              <w:tc>
                <w:tcPr>
                  <w:tcW w:w="1653" w:type="pct"/>
                  <w:tcBorders>
                    <w:tl2br w:val="nil"/>
                    <w:tr2bl w:val="nil"/>
                  </w:tcBorders>
                  <w:vAlign w:val="center"/>
                </w:tcPr>
                <w:p w14:paraId="19AEF063">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两岸为堤防，无防护</w:t>
                  </w:r>
                </w:p>
              </w:tc>
              <w:tc>
                <w:tcPr>
                  <w:tcW w:w="1109" w:type="pct"/>
                  <w:tcBorders>
                    <w:tl2br w:val="nil"/>
                    <w:tr2bl w:val="nil"/>
                  </w:tcBorders>
                  <w:vAlign w:val="center"/>
                </w:tcPr>
                <w:p w14:paraId="22668234">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凹岸浆砌石护砌</w:t>
                  </w:r>
                </w:p>
              </w:tc>
              <w:tc>
                <w:tcPr>
                  <w:tcW w:w="509" w:type="pct"/>
                  <w:tcBorders>
                    <w:tl2br w:val="nil"/>
                    <w:tr2bl w:val="nil"/>
                  </w:tcBorders>
                  <w:vAlign w:val="center"/>
                </w:tcPr>
                <w:p w14:paraId="6330ADEA">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5.36</w:t>
                  </w:r>
                </w:p>
              </w:tc>
            </w:tr>
            <w:tr w14:paraId="5722F3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306" w:type="pct"/>
                  <w:tcBorders>
                    <w:tl2br w:val="nil"/>
                    <w:tr2bl w:val="nil"/>
                  </w:tcBorders>
                  <w:vAlign w:val="center"/>
                </w:tcPr>
                <w:p w14:paraId="76C2FB4B">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5</w:t>
                  </w:r>
                </w:p>
              </w:tc>
              <w:tc>
                <w:tcPr>
                  <w:tcW w:w="1420" w:type="pct"/>
                  <w:tcBorders>
                    <w:tl2br w:val="nil"/>
                    <w:tr2bl w:val="nil"/>
                  </w:tcBorders>
                  <w:vAlign w:val="center"/>
                </w:tcPr>
                <w:p w14:paraId="34B7489A">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GY13+600</w:t>
                  </w:r>
                  <w:r>
                    <w:rPr>
                      <w:rFonts w:hint="eastAsia" w:cs="Times New Roman"/>
                      <w:color w:val="auto"/>
                      <w:kern w:val="0"/>
                      <w:sz w:val="21"/>
                      <w:szCs w:val="21"/>
                      <w:highlight w:val="none"/>
                      <w:vertAlign w:val="baseline"/>
                      <w:lang w:val="en-US" w:eastAsia="zh-CN" w:bidi="ar-SA"/>
                    </w:rPr>
                    <w:t>~G</w:t>
                  </w:r>
                  <w:r>
                    <w:rPr>
                      <w:rFonts w:hint="default" w:ascii="Times New Roman" w:hAnsi="Times New Roman" w:eastAsia="宋体" w:cs="Times New Roman"/>
                      <w:color w:val="auto"/>
                      <w:kern w:val="0"/>
                      <w:sz w:val="21"/>
                      <w:szCs w:val="21"/>
                      <w:highlight w:val="none"/>
                      <w:vertAlign w:val="baseline"/>
                      <w:lang w:val="en-US" w:eastAsia="zh-CN" w:bidi="ar-SA"/>
                    </w:rPr>
                    <w:t>Y17+090</w:t>
                  </w:r>
                </w:p>
              </w:tc>
              <w:tc>
                <w:tcPr>
                  <w:tcW w:w="1653" w:type="pct"/>
                  <w:tcBorders>
                    <w:tl2br w:val="nil"/>
                    <w:tr2bl w:val="nil"/>
                  </w:tcBorders>
                  <w:vAlign w:val="center"/>
                </w:tcPr>
                <w:p w14:paraId="62131564">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河道无沟型</w:t>
                  </w:r>
                </w:p>
              </w:tc>
              <w:tc>
                <w:tcPr>
                  <w:tcW w:w="1109" w:type="pct"/>
                  <w:tcBorders>
                    <w:tl2br w:val="nil"/>
                    <w:tr2bl w:val="nil"/>
                  </w:tcBorders>
                  <w:vAlign w:val="center"/>
                </w:tcPr>
                <w:p w14:paraId="05B9D581">
                  <w:pPr>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w:t>
                  </w:r>
                </w:p>
              </w:tc>
              <w:tc>
                <w:tcPr>
                  <w:tcW w:w="509" w:type="pct"/>
                  <w:tcBorders>
                    <w:tl2br w:val="nil"/>
                    <w:tr2bl w:val="nil"/>
                  </w:tcBorders>
                  <w:vAlign w:val="center"/>
                </w:tcPr>
                <w:p w14:paraId="19F3BE41">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3.49</w:t>
                  </w:r>
                </w:p>
              </w:tc>
            </w:tr>
            <w:tr w14:paraId="18A104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6" w:type="pct"/>
                  <w:tcBorders>
                    <w:tl2br w:val="nil"/>
                    <w:tr2bl w:val="nil"/>
                  </w:tcBorders>
                  <w:vAlign w:val="center"/>
                </w:tcPr>
                <w:p w14:paraId="54BD966E">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6</w:t>
                  </w:r>
                </w:p>
              </w:tc>
              <w:tc>
                <w:tcPr>
                  <w:tcW w:w="1420" w:type="pct"/>
                  <w:tcBorders>
                    <w:tl2br w:val="nil"/>
                    <w:tr2bl w:val="nil"/>
                  </w:tcBorders>
                  <w:vAlign w:val="center"/>
                </w:tcPr>
                <w:p w14:paraId="469819A9">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GY17+090</w:t>
                  </w:r>
                  <w:r>
                    <w:rPr>
                      <w:rFonts w:hint="eastAsia" w:cs="Times New Roman"/>
                      <w:color w:val="auto"/>
                      <w:kern w:val="0"/>
                      <w:sz w:val="21"/>
                      <w:szCs w:val="21"/>
                      <w:highlight w:val="none"/>
                      <w:vertAlign w:val="baseline"/>
                      <w:lang w:val="en-US" w:eastAsia="zh-CN" w:bidi="ar-SA"/>
                    </w:rPr>
                    <w:t>~G</w:t>
                  </w:r>
                  <w:r>
                    <w:rPr>
                      <w:rFonts w:hint="default" w:ascii="Times New Roman" w:hAnsi="Times New Roman" w:eastAsia="宋体" w:cs="Times New Roman"/>
                      <w:color w:val="auto"/>
                      <w:kern w:val="0"/>
                      <w:sz w:val="21"/>
                      <w:szCs w:val="21"/>
                      <w:highlight w:val="none"/>
                      <w:vertAlign w:val="baseline"/>
                      <w:lang w:val="en-US" w:eastAsia="zh-CN" w:bidi="ar-SA"/>
                    </w:rPr>
                    <w:t>Y28+000</w:t>
                  </w:r>
                </w:p>
              </w:tc>
              <w:tc>
                <w:tcPr>
                  <w:tcW w:w="1653" w:type="pct"/>
                  <w:tcBorders>
                    <w:tl2br w:val="nil"/>
                    <w:tr2bl w:val="nil"/>
                  </w:tcBorders>
                  <w:vAlign w:val="center"/>
                </w:tcPr>
                <w:p w14:paraId="76FB00B8">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河道无沟型</w:t>
                  </w:r>
                </w:p>
              </w:tc>
              <w:tc>
                <w:tcPr>
                  <w:tcW w:w="1109" w:type="pct"/>
                  <w:tcBorders>
                    <w:tl2br w:val="nil"/>
                    <w:tr2bl w:val="nil"/>
                  </w:tcBorders>
                  <w:vAlign w:val="center"/>
                </w:tcPr>
                <w:p w14:paraId="7D51B37A">
                  <w:pPr>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w:t>
                  </w:r>
                </w:p>
              </w:tc>
              <w:tc>
                <w:tcPr>
                  <w:tcW w:w="509" w:type="pct"/>
                  <w:tcBorders>
                    <w:tl2br w:val="nil"/>
                    <w:tr2bl w:val="nil"/>
                  </w:tcBorders>
                  <w:vAlign w:val="center"/>
                </w:tcPr>
                <w:p w14:paraId="68DF8D6D">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10.91</w:t>
                  </w:r>
                </w:p>
              </w:tc>
            </w:tr>
            <w:tr w14:paraId="01DADC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6" w:type="pct"/>
                  <w:tcBorders>
                    <w:tl2br w:val="nil"/>
                    <w:tr2bl w:val="nil"/>
                  </w:tcBorders>
                  <w:vAlign w:val="center"/>
                </w:tcPr>
                <w:p w14:paraId="6B8ACEA3">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7</w:t>
                  </w:r>
                </w:p>
              </w:tc>
              <w:tc>
                <w:tcPr>
                  <w:tcW w:w="1420" w:type="pct"/>
                  <w:tcBorders>
                    <w:tl2br w:val="nil"/>
                    <w:tr2bl w:val="nil"/>
                  </w:tcBorders>
                  <w:vAlign w:val="center"/>
                </w:tcPr>
                <w:p w14:paraId="33C22C7E">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GY28+000</w:t>
                  </w:r>
                  <w:r>
                    <w:rPr>
                      <w:rFonts w:hint="eastAsia" w:cs="Times New Roman"/>
                      <w:color w:val="auto"/>
                      <w:kern w:val="0"/>
                      <w:sz w:val="21"/>
                      <w:szCs w:val="21"/>
                      <w:highlight w:val="none"/>
                      <w:vertAlign w:val="baseline"/>
                      <w:lang w:val="en-US" w:eastAsia="zh-CN" w:bidi="ar-SA"/>
                    </w:rPr>
                    <w:t>~G</w:t>
                  </w:r>
                  <w:r>
                    <w:rPr>
                      <w:rFonts w:hint="default" w:ascii="Times New Roman" w:hAnsi="Times New Roman" w:eastAsia="宋体" w:cs="Times New Roman"/>
                      <w:color w:val="auto"/>
                      <w:kern w:val="0"/>
                      <w:sz w:val="21"/>
                      <w:szCs w:val="21"/>
                      <w:highlight w:val="none"/>
                      <w:vertAlign w:val="baseline"/>
                      <w:lang w:val="en-US" w:eastAsia="zh-CN" w:bidi="ar-SA"/>
                    </w:rPr>
                    <w:t>Y35+310</w:t>
                  </w:r>
                </w:p>
              </w:tc>
              <w:tc>
                <w:tcPr>
                  <w:tcW w:w="1653" w:type="pct"/>
                  <w:tcBorders>
                    <w:tl2br w:val="nil"/>
                    <w:tr2bl w:val="nil"/>
                  </w:tcBorders>
                  <w:vAlign w:val="center"/>
                </w:tcPr>
                <w:p w14:paraId="3FF16A09">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河道无沟型</w:t>
                  </w:r>
                </w:p>
              </w:tc>
              <w:tc>
                <w:tcPr>
                  <w:tcW w:w="1109" w:type="pct"/>
                  <w:tcBorders>
                    <w:tl2br w:val="nil"/>
                    <w:tr2bl w:val="nil"/>
                  </w:tcBorders>
                  <w:vAlign w:val="center"/>
                </w:tcPr>
                <w:p w14:paraId="0B926481">
                  <w:pPr>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w:t>
                  </w:r>
                </w:p>
              </w:tc>
              <w:tc>
                <w:tcPr>
                  <w:tcW w:w="509" w:type="pct"/>
                  <w:tcBorders>
                    <w:tl2br w:val="nil"/>
                    <w:tr2bl w:val="nil"/>
                  </w:tcBorders>
                  <w:vAlign w:val="center"/>
                </w:tcPr>
                <w:p w14:paraId="6B371652">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7.31</w:t>
                  </w:r>
                </w:p>
              </w:tc>
            </w:tr>
            <w:tr w14:paraId="2A2B9B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6" w:type="pct"/>
                  <w:tcBorders>
                    <w:tl2br w:val="nil"/>
                    <w:tr2bl w:val="nil"/>
                  </w:tcBorders>
                  <w:vAlign w:val="center"/>
                </w:tcPr>
                <w:p w14:paraId="4FABA3E1">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8</w:t>
                  </w:r>
                </w:p>
              </w:tc>
              <w:tc>
                <w:tcPr>
                  <w:tcW w:w="1420" w:type="pct"/>
                  <w:tcBorders>
                    <w:tl2br w:val="nil"/>
                    <w:tr2bl w:val="nil"/>
                  </w:tcBorders>
                  <w:vAlign w:val="center"/>
                </w:tcPr>
                <w:p w14:paraId="411C3F34">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GY35+310</w:t>
                  </w:r>
                  <w:r>
                    <w:rPr>
                      <w:rFonts w:hint="eastAsia" w:cs="Times New Roman"/>
                      <w:color w:val="auto"/>
                      <w:kern w:val="0"/>
                      <w:sz w:val="21"/>
                      <w:szCs w:val="21"/>
                      <w:highlight w:val="none"/>
                      <w:vertAlign w:val="baseline"/>
                      <w:lang w:val="en-US" w:eastAsia="zh-CN" w:bidi="ar-SA"/>
                    </w:rPr>
                    <w:t>~G</w:t>
                  </w:r>
                  <w:r>
                    <w:rPr>
                      <w:rFonts w:hint="default" w:ascii="Times New Roman" w:hAnsi="Times New Roman" w:eastAsia="宋体" w:cs="Times New Roman"/>
                      <w:color w:val="auto"/>
                      <w:kern w:val="0"/>
                      <w:sz w:val="21"/>
                      <w:szCs w:val="21"/>
                      <w:highlight w:val="none"/>
                      <w:vertAlign w:val="baseline"/>
                      <w:lang w:val="en-US" w:eastAsia="zh-CN" w:bidi="ar-SA"/>
                    </w:rPr>
                    <w:t>Y39+100</w:t>
                  </w:r>
                </w:p>
              </w:tc>
              <w:tc>
                <w:tcPr>
                  <w:tcW w:w="1653" w:type="pct"/>
                  <w:tcBorders>
                    <w:tl2br w:val="nil"/>
                    <w:tr2bl w:val="nil"/>
                  </w:tcBorders>
                  <w:vAlign w:val="center"/>
                </w:tcPr>
                <w:p w14:paraId="550FA180">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河道基本无沟型</w:t>
                  </w:r>
                </w:p>
              </w:tc>
              <w:tc>
                <w:tcPr>
                  <w:tcW w:w="1109" w:type="pct"/>
                  <w:tcBorders>
                    <w:tl2br w:val="nil"/>
                    <w:tr2bl w:val="nil"/>
                  </w:tcBorders>
                  <w:vAlign w:val="center"/>
                </w:tcPr>
                <w:p w14:paraId="4BB90F90">
                  <w:pPr>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w:t>
                  </w:r>
                </w:p>
              </w:tc>
              <w:tc>
                <w:tcPr>
                  <w:tcW w:w="509" w:type="pct"/>
                  <w:tcBorders>
                    <w:tl2br w:val="nil"/>
                    <w:tr2bl w:val="nil"/>
                  </w:tcBorders>
                  <w:vAlign w:val="center"/>
                </w:tcPr>
                <w:p w14:paraId="21682DB1">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3.79</w:t>
                  </w:r>
                </w:p>
              </w:tc>
            </w:tr>
            <w:tr w14:paraId="7EA21A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6" w:type="pct"/>
                  <w:tcBorders>
                    <w:tl2br w:val="nil"/>
                    <w:tr2bl w:val="nil"/>
                  </w:tcBorders>
                  <w:vAlign w:val="center"/>
                </w:tcPr>
                <w:p w14:paraId="1588D6E4">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9</w:t>
                  </w:r>
                </w:p>
              </w:tc>
              <w:tc>
                <w:tcPr>
                  <w:tcW w:w="1420" w:type="pct"/>
                  <w:tcBorders>
                    <w:tl2br w:val="nil"/>
                    <w:tr2bl w:val="nil"/>
                  </w:tcBorders>
                  <w:vAlign w:val="center"/>
                </w:tcPr>
                <w:p w14:paraId="00C13EBA">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GY39+100</w:t>
                  </w:r>
                  <w:r>
                    <w:rPr>
                      <w:rFonts w:hint="eastAsia" w:cs="Times New Roman"/>
                      <w:color w:val="auto"/>
                      <w:kern w:val="0"/>
                      <w:sz w:val="21"/>
                      <w:szCs w:val="21"/>
                      <w:highlight w:val="none"/>
                      <w:vertAlign w:val="baseline"/>
                      <w:lang w:val="en-US" w:eastAsia="zh-CN" w:bidi="ar-SA"/>
                    </w:rPr>
                    <w:t>~G</w:t>
                  </w:r>
                  <w:r>
                    <w:rPr>
                      <w:rFonts w:hint="default" w:ascii="Times New Roman" w:hAnsi="Times New Roman" w:eastAsia="宋体" w:cs="Times New Roman"/>
                      <w:color w:val="auto"/>
                      <w:kern w:val="0"/>
                      <w:sz w:val="21"/>
                      <w:szCs w:val="21"/>
                      <w:highlight w:val="none"/>
                      <w:vertAlign w:val="baseline"/>
                      <w:lang w:val="en-US" w:eastAsia="zh-CN" w:bidi="ar-SA"/>
                    </w:rPr>
                    <w:t>Y41+000</w:t>
                  </w:r>
                </w:p>
              </w:tc>
              <w:tc>
                <w:tcPr>
                  <w:tcW w:w="1653" w:type="pct"/>
                  <w:tcBorders>
                    <w:tl2br w:val="nil"/>
                    <w:tr2bl w:val="nil"/>
                  </w:tcBorders>
                  <w:vAlign w:val="center"/>
                </w:tcPr>
                <w:p w14:paraId="0648C01C">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河道无沟型</w:t>
                  </w:r>
                </w:p>
              </w:tc>
              <w:tc>
                <w:tcPr>
                  <w:tcW w:w="1109" w:type="pct"/>
                  <w:tcBorders>
                    <w:tl2br w:val="nil"/>
                    <w:tr2bl w:val="nil"/>
                  </w:tcBorders>
                  <w:vAlign w:val="center"/>
                </w:tcPr>
                <w:p w14:paraId="1DBC89B0">
                  <w:pPr>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w:t>
                  </w:r>
                </w:p>
              </w:tc>
              <w:tc>
                <w:tcPr>
                  <w:tcW w:w="509" w:type="pct"/>
                  <w:tcBorders>
                    <w:tl2br w:val="nil"/>
                    <w:tr2bl w:val="nil"/>
                  </w:tcBorders>
                  <w:vAlign w:val="center"/>
                </w:tcPr>
                <w:p w14:paraId="6B7C13F8">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1.9</w:t>
                  </w:r>
                </w:p>
              </w:tc>
            </w:tr>
            <w:tr w14:paraId="5AEC33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6" w:type="pct"/>
                  <w:tcBorders>
                    <w:tl2br w:val="nil"/>
                    <w:tr2bl w:val="nil"/>
                  </w:tcBorders>
                  <w:vAlign w:val="center"/>
                </w:tcPr>
                <w:p w14:paraId="18535E6C">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10</w:t>
                  </w:r>
                </w:p>
              </w:tc>
              <w:tc>
                <w:tcPr>
                  <w:tcW w:w="1420" w:type="pct"/>
                  <w:tcBorders>
                    <w:tl2br w:val="nil"/>
                    <w:tr2bl w:val="nil"/>
                  </w:tcBorders>
                  <w:vAlign w:val="center"/>
                </w:tcPr>
                <w:p w14:paraId="4226996B">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GY41+000</w:t>
                  </w:r>
                  <w:r>
                    <w:rPr>
                      <w:rFonts w:hint="eastAsia" w:cs="Times New Roman"/>
                      <w:color w:val="auto"/>
                      <w:kern w:val="0"/>
                      <w:sz w:val="21"/>
                      <w:szCs w:val="21"/>
                      <w:highlight w:val="none"/>
                      <w:vertAlign w:val="baseline"/>
                      <w:lang w:val="en-US" w:eastAsia="zh-CN" w:bidi="ar-SA"/>
                    </w:rPr>
                    <w:t>~G</w:t>
                  </w:r>
                  <w:r>
                    <w:rPr>
                      <w:rFonts w:hint="default" w:ascii="Times New Roman" w:hAnsi="Times New Roman" w:eastAsia="宋体" w:cs="Times New Roman"/>
                      <w:color w:val="auto"/>
                      <w:kern w:val="0"/>
                      <w:sz w:val="21"/>
                      <w:szCs w:val="21"/>
                      <w:highlight w:val="none"/>
                      <w:vertAlign w:val="baseline"/>
                      <w:lang w:val="en-US" w:eastAsia="zh-CN" w:bidi="ar-SA"/>
                    </w:rPr>
                    <w:t>Y42+300</w:t>
                  </w:r>
                </w:p>
              </w:tc>
              <w:tc>
                <w:tcPr>
                  <w:tcW w:w="1653" w:type="pct"/>
                  <w:tcBorders>
                    <w:tl2br w:val="nil"/>
                    <w:tr2bl w:val="nil"/>
                  </w:tcBorders>
                  <w:vAlign w:val="center"/>
                </w:tcPr>
                <w:p w14:paraId="19ED9B45">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河道基本无沟型</w:t>
                  </w:r>
                </w:p>
              </w:tc>
              <w:tc>
                <w:tcPr>
                  <w:tcW w:w="1109" w:type="pct"/>
                  <w:tcBorders>
                    <w:tl2br w:val="nil"/>
                    <w:tr2bl w:val="nil"/>
                  </w:tcBorders>
                  <w:vAlign w:val="center"/>
                </w:tcPr>
                <w:p w14:paraId="2F42DEE3">
                  <w:pPr>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w:t>
                  </w:r>
                </w:p>
              </w:tc>
              <w:tc>
                <w:tcPr>
                  <w:tcW w:w="509" w:type="pct"/>
                  <w:tcBorders>
                    <w:tl2br w:val="nil"/>
                    <w:tr2bl w:val="nil"/>
                  </w:tcBorders>
                  <w:vAlign w:val="center"/>
                </w:tcPr>
                <w:p w14:paraId="7F0359BC">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1.3</w:t>
                  </w:r>
                </w:p>
              </w:tc>
            </w:tr>
            <w:tr w14:paraId="2A0715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6" w:type="pct"/>
                  <w:tcBorders>
                    <w:tl2br w:val="nil"/>
                    <w:tr2bl w:val="nil"/>
                  </w:tcBorders>
                  <w:vAlign w:val="center"/>
                </w:tcPr>
                <w:p w14:paraId="33FB3980">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11</w:t>
                  </w:r>
                </w:p>
              </w:tc>
              <w:tc>
                <w:tcPr>
                  <w:tcW w:w="1420" w:type="pct"/>
                  <w:tcBorders>
                    <w:tl2br w:val="nil"/>
                    <w:tr2bl w:val="nil"/>
                  </w:tcBorders>
                  <w:vAlign w:val="center"/>
                </w:tcPr>
                <w:p w14:paraId="7F6B3252">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GY42+300</w:t>
                  </w:r>
                  <w:r>
                    <w:rPr>
                      <w:rFonts w:hint="eastAsia" w:cs="Times New Roman"/>
                      <w:color w:val="auto"/>
                      <w:kern w:val="0"/>
                      <w:sz w:val="21"/>
                      <w:szCs w:val="21"/>
                      <w:highlight w:val="none"/>
                      <w:vertAlign w:val="baseline"/>
                      <w:lang w:val="en-US" w:eastAsia="zh-CN" w:bidi="ar-SA"/>
                    </w:rPr>
                    <w:t>~G</w:t>
                  </w:r>
                  <w:r>
                    <w:rPr>
                      <w:rFonts w:hint="default" w:ascii="Times New Roman" w:hAnsi="Times New Roman" w:eastAsia="宋体" w:cs="Times New Roman"/>
                      <w:color w:val="auto"/>
                      <w:kern w:val="0"/>
                      <w:sz w:val="21"/>
                      <w:szCs w:val="21"/>
                      <w:highlight w:val="none"/>
                      <w:vertAlign w:val="baseline"/>
                      <w:lang w:val="en-US" w:eastAsia="zh-CN" w:bidi="ar-SA"/>
                    </w:rPr>
                    <w:t>Y44+240</w:t>
                  </w:r>
                </w:p>
              </w:tc>
              <w:tc>
                <w:tcPr>
                  <w:tcW w:w="1653" w:type="pct"/>
                  <w:tcBorders>
                    <w:tl2br w:val="nil"/>
                    <w:tr2bl w:val="nil"/>
                  </w:tcBorders>
                  <w:vAlign w:val="center"/>
                </w:tcPr>
                <w:p w14:paraId="24A501F6">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河道有沟型，未治理</w:t>
                  </w:r>
                </w:p>
              </w:tc>
              <w:tc>
                <w:tcPr>
                  <w:tcW w:w="1109" w:type="pct"/>
                  <w:tcBorders>
                    <w:tl2br w:val="nil"/>
                    <w:tr2bl w:val="nil"/>
                  </w:tcBorders>
                  <w:vAlign w:val="center"/>
                </w:tcPr>
                <w:p w14:paraId="137CAFF4">
                  <w:pPr>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w:t>
                  </w:r>
                </w:p>
              </w:tc>
              <w:tc>
                <w:tcPr>
                  <w:tcW w:w="509" w:type="pct"/>
                  <w:tcBorders>
                    <w:tl2br w:val="nil"/>
                    <w:tr2bl w:val="nil"/>
                  </w:tcBorders>
                  <w:vAlign w:val="center"/>
                </w:tcPr>
                <w:p w14:paraId="2BC9A2FD">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1.94</w:t>
                  </w:r>
                </w:p>
              </w:tc>
            </w:tr>
            <w:tr w14:paraId="52F4E1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6" w:type="pct"/>
                  <w:tcBorders>
                    <w:tl2br w:val="nil"/>
                    <w:tr2bl w:val="nil"/>
                  </w:tcBorders>
                  <w:vAlign w:val="center"/>
                </w:tcPr>
                <w:p w14:paraId="6A37DF2D">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12</w:t>
                  </w:r>
                </w:p>
              </w:tc>
              <w:tc>
                <w:tcPr>
                  <w:tcW w:w="1420" w:type="pct"/>
                  <w:tcBorders>
                    <w:tl2br w:val="nil"/>
                    <w:tr2bl w:val="nil"/>
                  </w:tcBorders>
                  <w:vAlign w:val="center"/>
                </w:tcPr>
                <w:p w14:paraId="02D1664B">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GY44+240</w:t>
                  </w:r>
                  <w:r>
                    <w:rPr>
                      <w:rFonts w:hint="eastAsia" w:cs="Times New Roman"/>
                      <w:color w:val="auto"/>
                      <w:kern w:val="0"/>
                      <w:sz w:val="21"/>
                      <w:szCs w:val="21"/>
                      <w:highlight w:val="none"/>
                      <w:vertAlign w:val="baseline"/>
                      <w:lang w:val="en-US" w:eastAsia="zh-CN" w:bidi="ar-SA"/>
                    </w:rPr>
                    <w:t>~G</w:t>
                  </w:r>
                  <w:r>
                    <w:rPr>
                      <w:rFonts w:hint="default" w:ascii="Times New Roman" w:hAnsi="Times New Roman" w:eastAsia="宋体" w:cs="Times New Roman"/>
                      <w:color w:val="auto"/>
                      <w:kern w:val="0"/>
                      <w:sz w:val="21"/>
                      <w:szCs w:val="21"/>
                      <w:highlight w:val="none"/>
                      <w:vertAlign w:val="baseline"/>
                      <w:lang w:val="en-US" w:eastAsia="zh-CN" w:bidi="ar-SA"/>
                    </w:rPr>
                    <w:t>Y45+010</w:t>
                  </w:r>
                </w:p>
              </w:tc>
              <w:tc>
                <w:tcPr>
                  <w:tcW w:w="1653" w:type="pct"/>
                  <w:tcBorders>
                    <w:tl2br w:val="nil"/>
                    <w:tr2bl w:val="nil"/>
                  </w:tcBorders>
                  <w:vAlign w:val="center"/>
                </w:tcPr>
                <w:p w14:paraId="4586F410">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河道有沟型</w:t>
                  </w:r>
                </w:p>
              </w:tc>
              <w:tc>
                <w:tcPr>
                  <w:tcW w:w="1109" w:type="pct"/>
                  <w:tcBorders>
                    <w:tl2br w:val="nil"/>
                    <w:tr2bl w:val="nil"/>
                  </w:tcBorders>
                  <w:vAlign w:val="center"/>
                </w:tcPr>
                <w:p w14:paraId="70EFD526">
                  <w:pPr>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w:t>
                  </w:r>
                </w:p>
              </w:tc>
              <w:tc>
                <w:tcPr>
                  <w:tcW w:w="509" w:type="pct"/>
                  <w:tcBorders>
                    <w:tl2br w:val="nil"/>
                    <w:tr2bl w:val="nil"/>
                  </w:tcBorders>
                  <w:vAlign w:val="center"/>
                </w:tcPr>
                <w:p w14:paraId="0EC4DA9F">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0.774</w:t>
                  </w:r>
                </w:p>
              </w:tc>
            </w:tr>
            <w:tr w14:paraId="411AD9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6" w:type="pct"/>
                  <w:tcBorders>
                    <w:tl2br w:val="nil"/>
                    <w:tr2bl w:val="nil"/>
                  </w:tcBorders>
                  <w:vAlign w:val="center"/>
                </w:tcPr>
                <w:p w14:paraId="1BC6CA05">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13</w:t>
                  </w:r>
                </w:p>
              </w:tc>
              <w:tc>
                <w:tcPr>
                  <w:tcW w:w="1420" w:type="pct"/>
                  <w:tcBorders>
                    <w:tl2br w:val="nil"/>
                    <w:tr2bl w:val="nil"/>
                  </w:tcBorders>
                  <w:vAlign w:val="center"/>
                </w:tcPr>
                <w:p w14:paraId="16DB7A9A">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GY45+010</w:t>
                  </w:r>
                  <w:r>
                    <w:rPr>
                      <w:rFonts w:hint="eastAsia" w:cs="Times New Roman"/>
                      <w:color w:val="auto"/>
                      <w:kern w:val="0"/>
                      <w:sz w:val="21"/>
                      <w:szCs w:val="21"/>
                      <w:highlight w:val="none"/>
                      <w:vertAlign w:val="baseline"/>
                      <w:lang w:val="en-US" w:eastAsia="zh-CN" w:bidi="ar-SA"/>
                    </w:rPr>
                    <w:t>~G</w:t>
                  </w:r>
                  <w:r>
                    <w:rPr>
                      <w:rFonts w:hint="default" w:ascii="Times New Roman" w:hAnsi="Times New Roman" w:eastAsia="宋体" w:cs="Times New Roman"/>
                      <w:color w:val="auto"/>
                      <w:kern w:val="0"/>
                      <w:sz w:val="21"/>
                      <w:szCs w:val="21"/>
                      <w:highlight w:val="none"/>
                      <w:vertAlign w:val="baseline"/>
                      <w:lang w:val="en-US" w:eastAsia="zh-CN" w:bidi="ar-SA"/>
                    </w:rPr>
                    <w:t>Y65+210</w:t>
                  </w:r>
                </w:p>
              </w:tc>
              <w:tc>
                <w:tcPr>
                  <w:tcW w:w="1653" w:type="pct"/>
                  <w:tcBorders>
                    <w:tl2br w:val="nil"/>
                    <w:tr2bl w:val="nil"/>
                  </w:tcBorders>
                  <w:vAlign w:val="center"/>
                </w:tcPr>
                <w:p w14:paraId="73FEBEF7">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河道有沟型，未治理</w:t>
                  </w:r>
                </w:p>
              </w:tc>
              <w:tc>
                <w:tcPr>
                  <w:tcW w:w="1109" w:type="pct"/>
                  <w:tcBorders>
                    <w:tl2br w:val="nil"/>
                    <w:tr2bl w:val="nil"/>
                  </w:tcBorders>
                  <w:vAlign w:val="center"/>
                </w:tcPr>
                <w:p w14:paraId="22659BA9">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局部凹岸浆砌石护砌，局部疏浚</w:t>
                  </w:r>
                </w:p>
              </w:tc>
              <w:tc>
                <w:tcPr>
                  <w:tcW w:w="509" w:type="pct"/>
                  <w:tcBorders>
                    <w:tl2br w:val="nil"/>
                    <w:tr2bl w:val="nil"/>
                  </w:tcBorders>
                  <w:vAlign w:val="center"/>
                </w:tcPr>
                <w:p w14:paraId="2E9CA501">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20.2</w:t>
                  </w:r>
                </w:p>
              </w:tc>
            </w:tr>
            <w:tr w14:paraId="612B22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6" w:type="pct"/>
                  <w:tcBorders>
                    <w:tl2br w:val="nil"/>
                    <w:tr2bl w:val="nil"/>
                  </w:tcBorders>
                  <w:vAlign w:val="center"/>
                </w:tcPr>
                <w:p w14:paraId="4060377E">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14</w:t>
                  </w:r>
                </w:p>
              </w:tc>
              <w:tc>
                <w:tcPr>
                  <w:tcW w:w="1420" w:type="pct"/>
                  <w:tcBorders>
                    <w:tl2br w:val="nil"/>
                    <w:tr2bl w:val="nil"/>
                  </w:tcBorders>
                  <w:vAlign w:val="center"/>
                </w:tcPr>
                <w:p w14:paraId="7BFBD2D5">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GY65+210</w:t>
                  </w:r>
                  <w:r>
                    <w:rPr>
                      <w:rFonts w:hint="eastAsia" w:cs="Times New Roman"/>
                      <w:color w:val="auto"/>
                      <w:kern w:val="0"/>
                      <w:sz w:val="21"/>
                      <w:szCs w:val="21"/>
                      <w:highlight w:val="none"/>
                      <w:vertAlign w:val="baseline"/>
                      <w:lang w:val="en-US" w:eastAsia="zh-CN" w:bidi="ar-SA"/>
                    </w:rPr>
                    <w:t>~G</w:t>
                  </w:r>
                  <w:r>
                    <w:rPr>
                      <w:rFonts w:hint="default" w:ascii="Times New Roman" w:hAnsi="Times New Roman" w:eastAsia="宋体" w:cs="Times New Roman"/>
                      <w:color w:val="auto"/>
                      <w:kern w:val="0"/>
                      <w:sz w:val="21"/>
                      <w:szCs w:val="21"/>
                      <w:highlight w:val="none"/>
                      <w:vertAlign w:val="baseline"/>
                      <w:lang w:val="en-US" w:eastAsia="zh-CN" w:bidi="ar-SA"/>
                    </w:rPr>
                    <w:t>Y67+360</w:t>
                  </w:r>
                </w:p>
              </w:tc>
              <w:tc>
                <w:tcPr>
                  <w:tcW w:w="1653" w:type="pct"/>
                  <w:tcBorders>
                    <w:tl2br w:val="nil"/>
                    <w:tr2bl w:val="nil"/>
                  </w:tcBorders>
                  <w:vAlign w:val="center"/>
                </w:tcPr>
                <w:p w14:paraId="1C57327C">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山体无防护对象</w:t>
                  </w:r>
                </w:p>
              </w:tc>
              <w:tc>
                <w:tcPr>
                  <w:tcW w:w="1109" w:type="pct"/>
                  <w:tcBorders>
                    <w:tl2br w:val="nil"/>
                    <w:tr2bl w:val="nil"/>
                  </w:tcBorders>
                  <w:vAlign w:val="center"/>
                </w:tcPr>
                <w:p w14:paraId="7E0FB7DC">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p>
              </w:tc>
              <w:tc>
                <w:tcPr>
                  <w:tcW w:w="509" w:type="pct"/>
                  <w:tcBorders>
                    <w:tl2br w:val="nil"/>
                    <w:tr2bl w:val="nil"/>
                  </w:tcBorders>
                  <w:vAlign w:val="center"/>
                </w:tcPr>
                <w:p w14:paraId="47EA7E75">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2.15</w:t>
                  </w:r>
                </w:p>
              </w:tc>
            </w:tr>
          </w:tbl>
          <w:p w14:paraId="2320B7D9">
            <w:pPr>
              <w:pStyle w:val="11"/>
              <w:adjustRightInd w:val="0"/>
              <w:spacing w:before="0" w:after="0" w:line="360" w:lineRule="auto"/>
              <w:ind w:right="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drawing>
                <wp:inline distT="0" distB="0" distL="114300" distR="114300">
                  <wp:extent cx="5290820" cy="5568950"/>
                  <wp:effectExtent l="0" t="0" r="5080" b="12700"/>
                  <wp:docPr id="8" name="图片 8" descr="工程平面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工程平面布置图"/>
                          <pic:cNvPicPr>
                            <a:picLocks noChangeAspect="1"/>
                          </pic:cNvPicPr>
                        </pic:nvPicPr>
                        <pic:blipFill>
                          <a:blip r:embed="rId15"/>
                          <a:stretch>
                            <a:fillRect/>
                          </a:stretch>
                        </pic:blipFill>
                        <pic:spPr>
                          <a:xfrm>
                            <a:off x="0" y="0"/>
                            <a:ext cx="5290820" cy="5568950"/>
                          </a:xfrm>
                          <a:prstGeom prst="rect">
                            <a:avLst/>
                          </a:prstGeom>
                        </pic:spPr>
                      </pic:pic>
                    </a:graphicData>
                  </a:graphic>
                </wp:inline>
              </w:drawing>
            </w:r>
          </w:p>
          <w:p w14:paraId="7D97703D">
            <w:pPr>
              <w:pStyle w:val="11"/>
              <w:adjustRightInd w:val="0"/>
              <w:spacing w:before="0" w:after="0" w:line="240" w:lineRule="auto"/>
              <w:ind w:right="0"/>
              <w:jc w:val="center"/>
              <w:rPr>
                <w:rFonts w:hint="default" w:ascii="Times New Roman" w:hAnsi="Times New Roman" w:eastAsia="黑体" w:cs="Times New Roman"/>
                <w:color w:val="auto"/>
                <w:kern w:val="0"/>
                <w:sz w:val="24"/>
                <w:szCs w:val="24"/>
                <w:highlight w:val="none"/>
                <w:lang w:val="en-US" w:eastAsia="zh-CN" w:bidi="ar-SA"/>
              </w:rPr>
            </w:pPr>
            <w:r>
              <w:rPr>
                <w:rFonts w:hint="eastAsia" w:eastAsia="黑体" w:cs="Times New Roman"/>
                <w:color w:val="auto"/>
                <w:kern w:val="0"/>
                <w:sz w:val="24"/>
                <w:szCs w:val="24"/>
                <w:highlight w:val="none"/>
                <w:lang w:val="en-US" w:eastAsia="zh-CN" w:bidi="ar-SA"/>
              </w:rPr>
              <w:t>图2-9</w:t>
            </w:r>
            <w:r>
              <w:rPr>
                <w:rFonts w:hint="default" w:ascii="Times New Roman" w:hAnsi="Times New Roman" w:eastAsia="黑体" w:cs="Times New Roman"/>
                <w:color w:val="auto"/>
                <w:kern w:val="0"/>
                <w:sz w:val="24"/>
                <w:szCs w:val="24"/>
                <w:highlight w:val="none"/>
                <w:lang w:val="en-US" w:eastAsia="zh-CN" w:bidi="ar-SA"/>
              </w:rPr>
              <w:t xml:space="preserve">  项目总体平面布局图</w:t>
            </w:r>
          </w:p>
          <w:p w14:paraId="6F15D791">
            <w:pPr>
              <w:pStyle w:val="11"/>
              <w:adjustRightInd w:val="0"/>
              <w:spacing w:before="0" w:after="0" w:line="360" w:lineRule="auto"/>
              <w:ind w:right="0"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（2）</w:t>
            </w:r>
            <w:r>
              <w:rPr>
                <w:rFonts w:hint="eastAsia" w:ascii="Times New Roman" w:hAnsi="Times New Roman" w:eastAsia="宋体" w:cs="Times New Roman"/>
                <w:color w:val="auto"/>
                <w:kern w:val="0"/>
                <w:sz w:val="24"/>
                <w:szCs w:val="24"/>
                <w:highlight w:val="none"/>
                <w:lang w:val="en-US" w:eastAsia="zh-CN" w:bidi="ar-SA"/>
              </w:rPr>
              <w:t>边坡砌护</w:t>
            </w:r>
            <w:r>
              <w:rPr>
                <w:rFonts w:hint="default" w:ascii="Times New Roman" w:hAnsi="Times New Roman" w:eastAsia="宋体" w:cs="Times New Roman"/>
                <w:color w:val="auto"/>
                <w:kern w:val="0"/>
                <w:sz w:val="24"/>
                <w:szCs w:val="24"/>
                <w:highlight w:val="none"/>
                <w:lang w:val="en-US" w:eastAsia="zh-CN" w:bidi="ar-SA"/>
              </w:rPr>
              <w:t>工程：</w:t>
            </w:r>
          </w:p>
          <w:p w14:paraId="4A9E5CE8">
            <w:pPr>
              <w:pStyle w:val="11"/>
              <w:adjustRightInd w:val="0"/>
              <w:spacing w:before="0" w:after="0" w:line="360" w:lineRule="auto"/>
              <w:ind w:right="0"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对高崖沟有防洪任务未治理段32.30km 进行综合治理，对冲刷严重的凹岸进行防护，本次工程拟新建浆砌石护岸</w:t>
            </w:r>
            <w:r>
              <w:rPr>
                <w:rFonts w:hint="eastAsia" w:ascii="Times New Roman" w:hAnsi="Times New Roman" w:eastAsia="宋体" w:cs="Times New Roman"/>
                <w:color w:val="auto"/>
                <w:kern w:val="0"/>
                <w:sz w:val="24"/>
                <w:szCs w:val="24"/>
                <w:highlight w:val="none"/>
                <w:lang w:val="en-US" w:eastAsia="zh-CN" w:bidi="ar-SA"/>
              </w:rPr>
              <w:t>29</w:t>
            </w:r>
            <w:r>
              <w:rPr>
                <w:rFonts w:hint="default" w:ascii="Times New Roman" w:hAnsi="Times New Roman" w:eastAsia="宋体" w:cs="Times New Roman"/>
                <w:color w:val="auto"/>
                <w:kern w:val="0"/>
                <w:sz w:val="24"/>
                <w:szCs w:val="24"/>
                <w:highlight w:val="none"/>
                <w:lang w:val="en-US" w:eastAsia="zh-CN" w:bidi="ar-SA"/>
              </w:rPr>
              <w:t>段，总长约22.60km，其中左岸新建护岸长4.09m，右岸新建护岸长18.51m。具体工程布置见表</w:t>
            </w:r>
            <w:r>
              <w:rPr>
                <w:rFonts w:hint="eastAsia" w:ascii="Times New Roman" w:hAnsi="Times New Roman" w:eastAsia="宋体" w:cs="Times New Roman"/>
                <w:color w:val="auto"/>
                <w:kern w:val="0"/>
                <w:sz w:val="24"/>
                <w:szCs w:val="24"/>
                <w:highlight w:val="none"/>
                <w:lang w:val="en-US" w:eastAsia="zh-CN" w:bidi="ar-SA"/>
              </w:rPr>
              <w:t>2-9</w:t>
            </w:r>
            <w:r>
              <w:rPr>
                <w:rFonts w:hint="default" w:ascii="Times New Roman" w:hAnsi="Times New Roman" w:eastAsia="宋体" w:cs="Times New Roman"/>
                <w:color w:val="auto"/>
                <w:kern w:val="0"/>
                <w:sz w:val="24"/>
                <w:szCs w:val="24"/>
                <w:highlight w:val="none"/>
                <w:lang w:val="en-US" w:eastAsia="zh-CN" w:bidi="ar-SA"/>
              </w:rPr>
              <w:t>。</w:t>
            </w:r>
          </w:p>
          <w:p w14:paraId="4AFF7EB7">
            <w:pPr>
              <w:pStyle w:val="11"/>
              <w:adjustRightInd w:val="0"/>
              <w:spacing w:before="0" w:after="0" w:line="240" w:lineRule="auto"/>
              <w:ind w:right="0"/>
              <w:jc w:val="center"/>
              <w:rPr>
                <w:rFonts w:hint="default" w:ascii="Times New Roman" w:hAnsi="Times New Roman" w:eastAsia="黑体" w:cs="Times New Roman"/>
                <w:color w:val="auto"/>
                <w:kern w:val="0"/>
                <w:sz w:val="24"/>
                <w:szCs w:val="24"/>
                <w:highlight w:val="none"/>
                <w:lang w:val="en-US" w:eastAsia="zh-CN" w:bidi="ar-SA"/>
              </w:rPr>
            </w:pPr>
            <w:r>
              <w:rPr>
                <w:rFonts w:hint="default" w:ascii="Times New Roman" w:hAnsi="Times New Roman" w:eastAsia="黑体" w:cs="Times New Roman"/>
                <w:color w:val="auto"/>
                <w:kern w:val="0"/>
                <w:sz w:val="24"/>
                <w:szCs w:val="24"/>
                <w:highlight w:val="none"/>
                <w:lang w:val="en-US" w:eastAsia="zh-CN" w:bidi="ar-SA"/>
              </w:rPr>
              <w:t>表</w:t>
            </w:r>
            <w:r>
              <w:rPr>
                <w:rFonts w:hint="eastAsia" w:eastAsia="黑体" w:cs="Times New Roman"/>
                <w:color w:val="auto"/>
                <w:kern w:val="0"/>
                <w:sz w:val="24"/>
                <w:szCs w:val="24"/>
                <w:highlight w:val="none"/>
                <w:lang w:val="en-US" w:eastAsia="zh-CN" w:bidi="ar-SA"/>
              </w:rPr>
              <w:t>2-9</w:t>
            </w:r>
            <w:r>
              <w:rPr>
                <w:rFonts w:hint="default" w:ascii="Times New Roman" w:hAnsi="Times New Roman" w:eastAsia="黑体" w:cs="Times New Roman"/>
                <w:color w:val="auto"/>
                <w:kern w:val="0"/>
                <w:sz w:val="24"/>
                <w:szCs w:val="24"/>
                <w:highlight w:val="none"/>
                <w:lang w:val="en-US" w:eastAsia="zh-CN" w:bidi="ar-SA"/>
              </w:rPr>
              <w:t xml:space="preserve">  项目边坡砌护工程统计一览表</w:t>
            </w:r>
          </w:p>
          <w:tbl>
            <w:tblPr>
              <w:tblStyle w:val="27"/>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3"/>
              <w:gridCol w:w="2816"/>
              <w:gridCol w:w="1066"/>
              <w:gridCol w:w="1069"/>
              <w:gridCol w:w="2575"/>
            </w:tblGrid>
            <w:tr w14:paraId="6A3954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71" w:type="pct"/>
                  <w:vMerge w:val="restart"/>
                  <w:tcBorders>
                    <w:tl2br w:val="nil"/>
                    <w:tr2bl w:val="nil"/>
                  </w:tcBorders>
                  <w:vAlign w:val="center"/>
                </w:tcPr>
                <w:p w14:paraId="3FD7CAB5">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SA"/>
                    </w:rPr>
                  </w:pPr>
                  <w:r>
                    <w:rPr>
                      <w:rFonts w:hint="default" w:ascii="Times New Roman" w:hAnsi="Times New Roman" w:eastAsia="宋体" w:cs="Times New Roman"/>
                      <w:b/>
                      <w:bCs/>
                      <w:color w:val="auto"/>
                      <w:kern w:val="0"/>
                      <w:sz w:val="21"/>
                      <w:szCs w:val="21"/>
                      <w:highlight w:val="none"/>
                      <w:vertAlign w:val="baseline"/>
                      <w:lang w:val="en-US" w:eastAsia="zh-CN" w:bidi="ar-SA"/>
                    </w:rPr>
                    <w:t>序号</w:t>
                  </w:r>
                </w:p>
              </w:tc>
              <w:tc>
                <w:tcPr>
                  <w:tcW w:w="1694" w:type="pct"/>
                  <w:vMerge w:val="restart"/>
                  <w:tcBorders>
                    <w:tl2br w:val="nil"/>
                    <w:tr2bl w:val="nil"/>
                  </w:tcBorders>
                  <w:vAlign w:val="center"/>
                </w:tcPr>
                <w:p w14:paraId="72B9DF96">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SA"/>
                    </w:rPr>
                  </w:pPr>
                  <w:r>
                    <w:rPr>
                      <w:rFonts w:hint="default" w:ascii="Times New Roman" w:hAnsi="Times New Roman" w:cs="Times New Roman"/>
                      <w:b/>
                      <w:bCs/>
                      <w:color w:val="auto"/>
                      <w:kern w:val="0"/>
                      <w:sz w:val="21"/>
                      <w:szCs w:val="21"/>
                      <w:highlight w:val="none"/>
                      <w:vertAlign w:val="baseline"/>
                      <w:lang w:val="en-US" w:eastAsia="zh-CN" w:bidi="ar-SA"/>
                    </w:rPr>
                    <w:t>河道中心</w:t>
                  </w:r>
                  <w:r>
                    <w:rPr>
                      <w:rFonts w:hint="default" w:ascii="Times New Roman" w:hAnsi="Times New Roman" w:eastAsia="宋体" w:cs="Times New Roman"/>
                      <w:b/>
                      <w:bCs/>
                      <w:color w:val="auto"/>
                      <w:kern w:val="0"/>
                      <w:sz w:val="21"/>
                      <w:szCs w:val="21"/>
                      <w:highlight w:val="none"/>
                      <w:vertAlign w:val="baseline"/>
                      <w:lang w:val="en-US" w:eastAsia="zh-CN" w:bidi="ar-SA"/>
                    </w:rPr>
                    <w:t>桩号</w:t>
                  </w:r>
                  <w:r>
                    <w:rPr>
                      <w:rFonts w:hint="default" w:ascii="Times New Roman" w:hAnsi="Times New Roman" w:cs="Times New Roman"/>
                      <w:b/>
                      <w:bCs/>
                      <w:color w:val="auto"/>
                      <w:kern w:val="0"/>
                      <w:sz w:val="21"/>
                      <w:szCs w:val="21"/>
                      <w:highlight w:val="none"/>
                      <w:vertAlign w:val="baseline"/>
                      <w:lang w:val="en-US" w:eastAsia="zh-CN" w:bidi="ar-SA"/>
                    </w:rPr>
                    <w:t>（km+m）</w:t>
                  </w:r>
                </w:p>
              </w:tc>
              <w:tc>
                <w:tcPr>
                  <w:tcW w:w="1284" w:type="pct"/>
                  <w:gridSpan w:val="2"/>
                  <w:tcBorders>
                    <w:tl2br w:val="nil"/>
                    <w:tr2bl w:val="nil"/>
                  </w:tcBorders>
                  <w:vAlign w:val="center"/>
                </w:tcPr>
                <w:p w14:paraId="0054EBDF">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b/>
                      <w:bCs/>
                      <w:color w:val="auto"/>
                      <w:kern w:val="0"/>
                      <w:sz w:val="21"/>
                      <w:szCs w:val="21"/>
                      <w:highlight w:val="none"/>
                      <w:vertAlign w:val="baseline"/>
                      <w:lang w:val="en-US" w:eastAsia="zh-CN" w:bidi="ar-SA"/>
                    </w:rPr>
                  </w:pPr>
                  <w:r>
                    <w:rPr>
                      <w:rFonts w:hint="eastAsia" w:cs="Times New Roman"/>
                      <w:b/>
                      <w:bCs/>
                      <w:color w:val="auto"/>
                      <w:kern w:val="0"/>
                      <w:sz w:val="21"/>
                      <w:szCs w:val="21"/>
                      <w:highlight w:val="none"/>
                      <w:vertAlign w:val="baseline"/>
                      <w:lang w:val="en-US" w:eastAsia="zh-CN" w:bidi="ar-SA"/>
                    </w:rPr>
                    <w:t>护岸</w:t>
                  </w:r>
                  <w:r>
                    <w:rPr>
                      <w:rFonts w:hint="default" w:ascii="Times New Roman" w:hAnsi="Times New Roman" w:cs="Times New Roman"/>
                      <w:b/>
                      <w:bCs/>
                      <w:color w:val="auto"/>
                      <w:kern w:val="0"/>
                      <w:sz w:val="21"/>
                      <w:szCs w:val="21"/>
                      <w:highlight w:val="none"/>
                      <w:vertAlign w:val="baseline"/>
                      <w:lang w:val="en-US" w:eastAsia="zh-CN" w:bidi="ar-SA"/>
                    </w:rPr>
                    <w:t>长度（km）</w:t>
                  </w:r>
                </w:p>
              </w:tc>
              <w:tc>
                <w:tcPr>
                  <w:tcW w:w="1549" w:type="pct"/>
                  <w:vMerge w:val="restart"/>
                  <w:tcBorders>
                    <w:tl2br w:val="nil"/>
                    <w:tr2bl w:val="nil"/>
                  </w:tcBorders>
                  <w:vAlign w:val="center"/>
                </w:tcPr>
                <w:p w14:paraId="5038638F">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b/>
                      <w:bCs/>
                      <w:color w:val="auto"/>
                      <w:kern w:val="0"/>
                      <w:sz w:val="21"/>
                      <w:szCs w:val="21"/>
                      <w:highlight w:val="none"/>
                      <w:vertAlign w:val="baseline"/>
                      <w:lang w:val="en-US" w:eastAsia="zh-CN" w:bidi="ar-SA"/>
                    </w:rPr>
                  </w:pPr>
                  <w:r>
                    <w:rPr>
                      <w:rFonts w:hint="default" w:ascii="Times New Roman" w:hAnsi="Times New Roman" w:cs="Times New Roman"/>
                      <w:b/>
                      <w:bCs/>
                      <w:color w:val="auto"/>
                      <w:kern w:val="0"/>
                      <w:sz w:val="21"/>
                      <w:szCs w:val="21"/>
                      <w:highlight w:val="none"/>
                      <w:vertAlign w:val="baseline"/>
                      <w:lang w:val="en-US" w:eastAsia="zh-CN" w:bidi="ar-SA"/>
                    </w:rPr>
                    <w:t>备注</w:t>
                  </w:r>
                </w:p>
              </w:tc>
            </w:tr>
            <w:tr w14:paraId="139E01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71" w:type="pct"/>
                  <w:vMerge w:val="continue"/>
                  <w:tcBorders>
                    <w:tl2br w:val="nil"/>
                    <w:tr2bl w:val="nil"/>
                  </w:tcBorders>
                  <w:vAlign w:val="center"/>
                </w:tcPr>
                <w:p w14:paraId="0401F08E">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color w:val="auto"/>
                    </w:rPr>
                  </w:pPr>
                </w:p>
              </w:tc>
              <w:tc>
                <w:tcPr>
                  <w:tcW w:w="1694" w:type="pct"/>
                  <w:vMerge w:val="continue"/>
                  <w:tcBorders>
                    <w:tl2br w:val="nil"/>
                    <w:tr2bl w:val="nil"/>
                  </w:tcBorders>
                  <w:vAlign w:val="center"/>
                </w:tcPr>
                <w:p w14:paraId="57DE1D28">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color w:val="auto"/>
                    </w:rPr>
                  </w:pPr>
                </w:p>
              </w:tc>
              <w:tc>
                <w:tcPr>
                  <w:tcW w:w="641" w:type="pct"/>
                  <w:tcBorders>
                    <w:tl2br w:val="nil"/>
                    <w:tr2bl w:val="nil"/>
                  </w:tcBorders>
                  <w:vAlign w:val="center"/>
                </w:tcPr>
                <w:p w14:paraId="0ED2D872">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b/>
                      <w:bCs/>
                      <w:color w:val="auto"/>
                      <w:kern w:val="0"/>
                      <w:sz w:val="21"/>
                      <w:szCs w:val="21"/>
                      <w:highlight w:val="none"/>
                      <w:vertAlign w:val="baseline"/>
                      <w:lang w:val="en-US" w:eastAsia="zh-CN" w:bidi="ar-SA"/>
                    </w:rPr>
                  </w:pPr>
                  <w:r>
                    <w:rPr>
                      <w:rFonts w:hint="eastAsia" w:cs="Times New Roman"/>
                      <w:b/>
                      <w:bCs/>
                      <w:color w:val="auto"/>
                      <w:kern w:val="0"/>
                      <w:sz w:val="21"/>
                      <w:szCs w:val="21"/>
                      <w:highlight w:val="none"/>
                      <w:vertAlign w:val="baseline"/>
                      <w:lang w:val="en-US" w:eastAsia="zh-CN" w:bidi="ar-SA"/>
                    </w:rPr>
                    <w:t>左岸</w:t>
                  </w:r>
                </w:p>
              </w:tc>
              <w:tc>
                <w:tcPr>
                  <w:tcW w:w="643" w:type="pct"/>
                  <w:tcBorders>
                    <w:tl2br w:val="nil"/>
                    <w:tr2bl w:val="nil"/>
                  </w:tcBorders>
                  <w:vAlign w:val="center"/>
                </w:tcPr>
                <w:p w14:paraId="2C997869">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b/>
                      <w:bCs/>
                      <w:color w:val="auto"/>
                      <w:kern w:val="0"/>
                      <w:sz w:val="21"/>
                      <w:szCs w:val="21"/>
                      <w:highlight w:val="none"/>
                      <w:vertAlign w:val="baseline"/>
                      <w:lang w:val="en-US" w:eastAsia="zh-CN" w:bidi="ar-SA"/>
                    </w:rPr>
                  </w:pPr>
                  <w:r>
                    <w:rPr>
                      <w:rFonts w:hint="eastAsia" w:cs="Times New Roman"/>
                      <w:b/>
                      <w:bCs/>
                      <w:color w:val="auto"/>
                      <w:kern w:val="0"/>
                      <w:sz w:val="21"/>
                      <w:szCs w:val="21"/>
                      <w:highlight w:val="none"/>
                      <w:vertAlign w:val="baseline"/>
                      <w:lang w:val="en-US" w:eastAsia="zh-CN" w:bidi="ar-SA"/>
                    </w:rPr>
                    <w:t>右岸</w:t>
                  </w:r>
                </w:p>
              </w:tc>
              <w:tc>
                <w:tcPr>
                  <w:tcW w:w="1549" w:type="pct"/>
                  <w:vMerge w:val="continue"/>
                  <w:tcBorders>
                    <w:tl2br w:val="nil"/>
                    <w:tr2bl w:val="nil"/>
                  </w:tcBorders>
                  <w:vAlign w:val="center"/>
                </w:tcPr>
                <w:p w14:paraId="22E4E9A6">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b/>
                      <w:bCs/>
                      <w:color w:val="auto"/>
                      <w:kern w:val="0"/>
                      <w:sz w:val="21"/>
                      <w:szCs w:val="21"/>
                      <w:highlight w:val="none"/>
                      <w:vertAlign w:val="baseline"/>
                      <w:lang w:val="en-US" w:eastAsia="zh-CN" w:bidi="ar-SA"/>
                    </w:rPr>
                  </w:pPr>
                </w:p>
              </w:tc>
            </w:tr>
            <w:tr w14:paraId="3C4FE8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1" w:type="pct"/>
                  <w:tcBorders>
                    <w:tl2br w:val="nil"/>
                    <w:tr2bl w:val="nil"/>
                  </w:tcBorders>
                  <w:vAlign w:val="center"/>
                </w:tcPr>
                <w:p w14:paraId="6C8F28BA">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1</w:t>
                  </w:r>
                </w:p>
              </w:tc>
              <w:tc>
                <w:tcPr>
                  <w:tcW w:w="1694" w:type="pct"/>
                  <w:tcBorders>
                    <w:tl2br w:val="nil"/>
                    <w:tr2bl w:val="nil"/>
                  </w:tcBorders>
                  <w:vAlign w:val="center"/>
                </w:tcPr>
                <w:p w14:paraId="793724BE">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GY2+000</w:t>
                  </w:r>
                  <w:r>
                    <w:rPr>
                      <w:rFonts w:hint="eastAsia" w:cs="Times New Roman"/>
                      <w:color w:val="auto"/>
                      <w:kern w:val="0"/>
                      <w:sz w:val="21"/>
                      <w:szCs w:val="21"/>
                      <w:highlight w:val="none"/>
                      <w:vertAlign w:val="baseline"/>
                      <w:lang w:val="en-US" w:eastAsia="zh-CN" w:bidi="ar-SA"/>
                    </w:rPr>
                    <w:t>~</w:t>
                  </w:r>
                  <w:r>
                    <w:rPr>
                      <w:rFonts w:hint="default" w:ascii="Times New Roman" w:hAnsi="Times New Roman" w:eastAsia="宋体" w:cs="Times New Roman"/>
                      <w:color w:val="auto"/>
                      <w:kern w:val="0"/>
                      <w:sz w:val="21"/>
                      <w:szCs w:val="21"/>
                      <w:highlight w:val="none"/>
                      <w:vertAlign w:val="baseline"/>
                      <w:lang w:val="en-US" w:eastAsia="zh-CN" w:bidi="ar-SA"/>
                    </w:rPr>
                    <w:t>GY3+000</w:t>
                  </w:r>
                </w:p>
              </w:tc>
              <w:tc>
                <w:tcPr>
                  <w:tcW w:w="641" w:type="pct"/>
                  <w:tcBorders>
                    <w:tl2br w:val="nil"/>
                    <w:tr2bl w:val="nil"/>
                  </w:tcBorders>
                  <w:vAlign w:val="center"/>
                </w:tcPr>
                <w:p w14:paraId="59BD2706">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0.73</w:t>
                  </w:r>
                </w:p>
              </w:tc>
              <w:tc>
                <w:tcPr>
                  <w:tcW w:w="643" w:type="pct"/>
                  <w:tcBorders>
                    <w:tl2br w:val="nil"/>
                    <w:tr2bl w:val="nil"/>
                  </w:tcBorders>
                  <w:vAlign w:val="center"/>
                </w:tcPr>
                <w:p w14:paraId="0D23E495">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0.42</w:t>
                  </w:r>
                </w:p>
              </w:tc>
              <w:tc>
                <w:tcPr>
                  <w:tcW w:w="1549" w:type="pct"/>
                  <w:tcBorders>
                    <w:tl2br w:val="nil"/>
                    <w:tr2bl w:val="nil"/>
                  </w:tcBorders>
                  <w:vAlign w:val="center"/>
                </w:tcPr>
                <w:p w14:paraId="75F63192">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左岸1段，右岸1段</w:t>
                  </w:r>
                </w:p>
              </w:tc>
            </w:tr>
            <w:tr w14:paraId="0D6763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1" w:type="pct"/>
                  <w:tcBorders>
                    <w:tl2br w:val="nil"/>
                    <w:tr2bl w:val="nil"/>
                  </w:tcBorders>
                  <w:vAlign w:val="center"/>
                </w:tcPr>
                <w:p w14:paraId="2278BA10">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2</w:t>
                  </w:r>
                </w:p>
              </w:tc>
              <w:tc>
                <w:tcPr>
                  <w:tcW w:w="1694" w:type="pct"/>
                  <w:tcBorders>
                    <w:tl2br w:val="nil"/>
                    <w:tr2bl w:val="nil"/>
                  </w:tcBorders>
                  <w:vAlign w:val="center"/>
                </w:tcPr>
                <w:p w14:paraId="166DD229">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GY3+200</w:t>
                  </w:r>
                  <w:r>
                    <w:rPr>
                      <w:rFonts w:hint="eastAsia" w:cs="Times New Roman"/>
                      <w:color w:val="auto"/>
                      <w:kern w:val="0"/>
                      <w:sz w:val="21"/>
                      <w:szCs w:val="21"/>
                      <w:highlight w:val="none"/>
                      <w:vertAlign w:val="baseline"/>
                      <w:lang w:val="en-US" w:eastAsia="zh-CN" w:bidi="ar-SA"/>
                    </w:rPr>
                    <w:t>~</w:t>
                  </w:r>
                  <w:r>
                    <w:rPr>
                      <w:rFonts w:hint="default" w:ascii="Times New Roman" w:hAnsi="Times New Roman" w:eastAsia="宋体" w:cs="Times New Roman"/>
                      <w:color w:val="auto"/>
                      <w:kern w:val="0"/>
                      <w:sz w:val="21"/>
                      <w:szCs w:val="21"/>
                      <w:highlight w:val="none"/>
                      <w:vertAlign w:val="baseline"/>
                      <w:lang w:val="en-US" w:eastAsia="zh-CN" w:bidi="ar-SA"/>
                    </w:rPr>
                    <w:t>GY3+600</w:t>
                  </w:r>
                </w:p>
              </w:tc>
              <w:tc>
                <w:tcPr>
                  <w:tcW w:w="641" w:type="pct"/>
                  <w:tcBorders>
                    <w:tl2br w:val="nil"/>
                    <w:tr2bl w:val="nil"/>
                  </w:tcBorders>
                  <w:vAlign w:val="center"/>
                </w:tcPr>
                <w:p w14:paraId="11D84A1C">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0.21</w:t>
                  </w:r>
                </w:p>
              </w:tc>
              <w:tc>
                <w:tcPr>
                  <w:tcW w:w="643" w:type="pct"/>
                  <w:tcBorders>
                    <w:tl2br w:val="nil"/>
                    <w:tr2bl w:val="nil"/>
                  </w:tcBorders>
                  <w:vAlign w:val="center"/>
                </w:tcPr>
                <w:p w14:paraId="3C594F39">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0.22</w:t>
                  </w:r>
                </w:p>
              </w:tc>
              <w:tc>
                <w:tcPr>
                  <w:tcW w:w="1549" w:type="pct"/>
                  <w:tcBorders>
                    <w:tl2br w:val="nil"/>
                    <w:tr2bl w:val="nil"/>
                  </w:tcBorders>
                  <w:vAlign w:val="center"/>
                </w:tcPr>
                <w:p w14:paraId="7D2E570B">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左岸1段，右岸1段</w:t>
                  </w:r>
                </w:p>
              </w:tc>
            </w:tr>
            <w:tr w14:paraId="118B1D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1" w:type="pct"/>
                  <w:tcBorders>
                    <w:tl2br w:val="nil"/>
                    <w:tr2bl w:val="nil"/>
                  </w:tcBorders>
                  <w:vAlign w:val="center"/>
                </w:tcPr>
                <w:p w14:paraId="449D2DD8">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3</w:t>
                  </w:r>
                </w:p>
              </w:tc>
              <w:tc>
                <w:tcPr>
                  <w:tcW w:w="1694" w:type="pct"/>
                  <w:tcBorders>
                    <w:tl2br w:val="nil"/>
                    <w:tr2bl w:val="nil"/>
                  </w:tcBorders>
                  <w:vAlign w:val="center"/>
                </w:tcPr>
                <w:p w14:paraId="4565FF2D">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GY4+400</w:t>
                  </w:r>
                  <w:r>
                    <w:rPr>
                      <w:rFonts w:hint="eastAsia" w:cs="Times New Roman"/>
                      <w:color w:val="auto"/>
                      <w:kern w:val="0"/>
                      <w:sz w:val="21"/>
                      <w:szCs w:val="21"/>
                      <w:highlight w:val="none"/>
                      <w:vertAlign w:val="baseline"/>
                      <w:lang w:val="en-US" w:eastAsia="zh-CN" w:bidi="ar-SA"/>
                    </w:rPr>
                    <w:t>~</w:t>
                  </w:r>
                  <w:r>
                    <w:rPr>
                      <w:rFonts w:hint="default" w:ascii="Times New Roman" w:hAnsi="Times New Roman" w:eastAsia="宋体" w:cs="Times New Roman"/>
                      <w:color w:val="auto"/>
                      <w:kern w:val="0"/>
                      <w:sz w:val="21"/>
                      <w:szCs w:val="21"/>
                      <w:highlight w:val="none"/>
                      <w:vertAlign w:val="baseline"/>
                      <w:lang w:val="en-US" w:eastAsia="zh-CN" w:bidi="ar-SA"/>
                    </w:rPr>
                    <w:t>GY5+340</w:t>
                  </w:r>
                </w:p>
              </w:tc>
              <w:tc>
                <w:tcPr>
                  <w:tcW w:w="641" w:type="pct"/>
                  <w:tcBorders>
                    <w:tl2br w:val="nil"/>
                    <w:tr2bl w:val="nil"/>
                  </w:tcBorders>
                  <w:vAlign w:val="center"/>
                </w:tcPr>
                <w:p w14:paraId="488C3595">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0.38</w:t>
                  </w:r>
                </w:p>
              </w:tc>
              <w:tc>
                <w:tcPr>
                  <w:tcW w:w="643" w:type="pct"/>
                  <w:tcBorders>
                    <w:tl2br w:val="nil"/>
                    <w:tr2bl w:val="nil"/>
                  </w:tcBorders>
                  <w:vAlign w:val="center"/>
                </w:tcPr>
                <w:p w14:paraId="7C14C610">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0.9</w:t>
                  </w:r>
                </w:p>
              </w:tc>
              <w:tc>
                <w:tcPr>
                  <w:tcW w:w="1549" w:type="pct"/>
                  <w:tcBorders>
                    <w:tl2br w:val="nil"/>
                    <w:tr2bl w:val="nil"/>
                  </w:tcBorders>
                  <w:vAlign w:val="center"/>
                </w:tcPr>
                <w:p w14:paraId="3E47735D">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左岸1段，右岸2段</w:t>
                  </w:r>
                </w:p>
              </w:tc>
            </w:tr>
            <w:tr w14:paraId="16E9D8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1" w:type="pct"/>
                  <w:tcBorders>
                    <w:tl2br w:val="nil"/>
                    <w:tr2bl w:val="nil"/>
                  </w:tcBorders>
                  <w:vAlign w:val="center"/>
                </w:tcPr>
                <w:p w14:paraId="3C63D335">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4</w:t>
                  </w:r>
                </w:p>
              </w:tc>
              <w:tc>
                <w:tcPr>
                  <w:tcW w:w="1694" w:type="pct"/>
                  <w:tcBorders>
                    <w:tl2br w:val="nil"/>
                    <w:tr2bl w:val="nil"/>
                  </w:tcBorders>
                  <w:vAlign w:val="center"/>
                </w:tcPr>
                <w:p w14:paraId="2E7299E5">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GY6+840</w:t>
                  </w:r>
                  <w:r>
                    <w:rPr>
                      <w:rFonts w:hint="eastAsia" w:cs="Times New Roman"/>
                      <w:color w:val="auto"/>
                      <w:kern w:val="0"/>
                      <w:sz w:val="21"/>
                      <w:szCs w:val="21"/>
                      <w:highlight w:val="none"/>
                      <w:vertAlign w:val="baseline"/>
                      <w:lang w:val="en-US" w:eastAsia="zh-CN" w:bidi="ar-SA"/>
                    </w:rPr>
                    <w:t>~</w:t>
                  </w:r>
                  <w:r>
                    <w:rPr>
                      <w:rFonts w:hint="default" w:ascii="Times New Roman" w:hAnsi="Times New Roman" w:eastAsia="宋体" w:cs="Times New Roman"/>
                      <w:color w:val="auto"/>
                      <w:kern w:val="0"/>
                      <w:sz w:val="21"/>
                      <w:szCs w:val="21"/>
                      <w:highlight w:val="none"/>
                      <w:vertAlign w:val="baseline"/>
                      <w:lang w:val="en-US" w:eastAsia="zh-CN" w:bidi="ar-SA"/>
                    </w:rPr>
                    <w:t>GY8+240</w:t>
                  </w:r>
                </w:p>
              </w:tc>
              <w:tc>
                <w:tcPr>
                  <w:tcW w:w="641" w:type="pct"/>
                  <w:tcBorders>
                    <w:tl2br w:val="nil"/>
                    <w:tr2bl w:val="nil"/>
                  </w:tcBorders>
                  <w:vAlign w:val="center"/>
                </w:tcPr>
                <w:p w14:paraId="1CC74BD5">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1.37</w:t>
                  </w:r>
                </w:p>
              </w:tc>
              <w:tc>
                <w:tcPr>
                  <w:tcW w:w="643" w:type="pct"/>
                  <w:tcBorders>
                    <w:tl2br w:val="nil"/>
                    <w:tr2bl w:val="nil"/>
                  </w:tcBorders>
                  <w:vAlign w:val="center"/>
                </w:tcPr>
                <w:p w14:paraId="5CABB22C">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0.08</w:t>
                  </w:r>
                </w:p>
              </w:tc>
              <w:tc>
                <w:tcPr>
                  <w:tcW w:w="1549" w:type="pct"/>
                  <w:tcBorders>
                    <w:tl2br w:val="nil"/>
                    <w:tr2bl w:val="nil"/>
                  </w:tcBorders>
                  <w:vAlign w:val="center"/>
                </w:tcPr>
                <w:p w14:paraId="6C523E42">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左岸1段，右岸1段</w:t>
                  </w:r>
                </w:p>
              </w:tc>
            </w:tr>
            <w:tr w14:paraId="0D1D04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1" w:type="pct"/>
                  <w:tcBorders>
                    <w:tl2br w:val="nil"/>
                    <w:tr2bl w:val="nil"/>
                  </w:tcBorders>
                  <w:vAlign w:val="center"/>
                </w:tcPr>
                <w:p w14:paraId="4B7F66F6">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5</w:t>
                  </w:r>
                </w:p>
              </w:tc>
              <w:tc>
                <w:tcPr>
                  <w:tcW w:w="1694" w:type="pct"/>
                  <w:tcBorders>
                    <w:tl2br w:val="nil"/>
                    <w:tr2bl w:val="nil"/>
                  </w:tcBorders>
                  <w:vAlign w:val="center"/>
                </w:tcPr>
                <w:p w14:paraId="3F72DEF4">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GY8+500</w:t>
                  </w:r>
                  <w:r>
                    <w:rPr>
                      <w:rFonts w:hint="eastAsia" w:cs="Times New Roman"/>
                      <w:color w:val="auto"/>
                      <w:kern w:val="0"/>
                      <w:sz w:val="21"/>
                      <w:szCs w:val="21"/>
                      <w:highlight w:val="none"/>
                      <w:vertAlign w:val="baseline"/>
                      <w:lang w:val="en-US" w:eastAsia="zh-CN" w:bidi="ar-SA"/>
                    </w:rPr>
                    <w:t>~</w:t>
                  </w:r>
                  <w:r>
                    <w:rPr>
                      <w:rFonts w:hint="default" w:ascii="Times New Roman" w:hAnsi="Times New Roman" w:eastAsia="宋体" w:cs="Times New Roman"/>
                      <w:color w:val="auto"/>
                      <w:kern w:val="0"/>
                      <w:sz w:val="21"/>
                      <w:szCs w:val="21"/>
                      <w:highlight w:val="none"/>
                      <w:vertAlign w:val="baseline"/>
                      <w:lang w:val="en-US" w:eastAsia="zh-CN" w:bidi="ar-SA"/>
                    </w:rPr>
                    <w:t>GY8+900</w:t>
                  </w:r>
                </w:p>
              </w:tc>
              <w:tc>
                <w:tcPr>
                  <w:tcW w:w="641" w:type="pct"/>
                  <w:tcBorders>
                    <w:tl2br w:val="nil"/>
                    <w:tr2bl w:val="nil"/>
                  </w:tcBorders>
                  <w:vAlign w:val="center"/>
                </w:tcPr>
                <w:p w14:paraId="12B464D3">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w:t>
                  </w:r>
                </w:p>
              </w:tc>
              <w:tc>
                <w:tcPr>
                  <w:tcW w:w="643" w:type="pct"/>
                  <w:tcBorders>
                    <w:tl2br w:val="nil"/>
                    <w:tr2bl w:val="nil"/>
                  </w:tcBorders>
                  <w:vAlign w:val="center"/>
                </w:tcPr>
                <w:p w14:paraId="45734DB1">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0.41</w:t>
                  </w:r>
                </w:p>
              </w:tc>
              <w:tc>
                <w:tcPr>
                  <w:tcW w:w="1549" w:type="pct"/>
                  <w:tcBorders>
                    <w:tl2br w:val="nil"/>
                    <w:tr2bl w:val="nil"/>
                  </w:tcBorders>
                  <w:vAlign w:val="center"/>
                </w:tcPr>
                <w:p w14:paraId="75B84A36">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右岸1段</w:t>
                  </w:r>
                </w:p>
              </w:tc>
            </w:tr>
            <w:tr w14:paraId="4A5856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1" w:type="pct"/>
                  <w:tcBorders>
                    <w:tl2br w:val="nil"/>
                    <w:tr2bl w:val="nil"/>
                  </w:tcBorders>
                  <w:vAlign w:val="center"/>
                </w:tcPr>
                <w:p w14:paraId="0C40CFDF">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6</w:t>
                  </w:r>
                </w:p>
              </w:tc>
              <w:tc>
                <w:tcPr>
                  <w:tcW w:w="1694" w:type="pct"/>
                  <w:tcBorders>
                    <w:tl2br w:val="nil"/>
                    <w:tr2bl w:val="nil"/>
                  </w:tcBorders>
                  <w:vAlign w:val="center"/>
                </w:tcPr>
                <w:p w14:paraId="5E2A2C7A">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GY10+400</w:t>
                  </w:r>
                  <w:r>
                    <w:rPr>
                      <w:rFonts w:hint="eastAsia" w:cs="Times New Roman"/>
                      <w:color w:val="auto"/>
                      <w:kern w:val="0"/>
                      <w:sz w:val="21"/>
                      <w:szCs w:val="21"/>
                      <w:highlight w:val="none"/>
                      <w:vertAlign w:val="baseline"/>
                      <w:lang w:val="en-US" w:eastAsia="zh-CN" w:bidi="ar-SA"/>
                    </w:rPr>
                    <w:t>~</w:t>
                  </w:r>
                  <w:r>
                    <w:rPr>
                      <w:rFonts w:hint="default" w:ascii="Times New Roman" w:hAnsi="Times New Roman" w:eastAsia="宋体" w:cs="Times New Roman"/>
                      <w:color w:val="auto"/>
                      <w:kern w:val="0"/>
                      <w:sz w:val="21"/>
                      <w:szCs w:val="21"/>
                      <w:highlight w:val="none"/>
                      <w:vertAlign w:val="baseline"/>
                      <w:lang w:val="en-US" w:eastAsia="zh-CN" w:bidi="ar-SA"/>
                    </w:rPr>
                    <w:t>GY10+800</w:t>
                  </w:r>
                </w:p>
              </w:tc>
              <w:tc>
                <w:tcPr>
                  <w:tcW w:w="641" w:type="pct"/>
                  <w:tcBorders>
                    <w:tl2br w:val="nil"/>
                    <w:tr2bl w:val="nil"/>
                  </w:tcBorders>
                  <w:vAlign w:val="center"/>
                </w:tcPr>
                <w:p w14:paraId="1EAF2D71">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0.4</w:t>
                  </w:r>
                </w:p>
              </w:tc>
              <w:tc>
                <w:tcPr>
                  <w:tcW w:w="643" w:type="pct"/>
                  <w:tcBorders>
                    <w:tl2br w:val="nil"/>
                    <w:tr2bl w:val="nil"/>
                  </w:tcBorders>
                  <w:vAlign w:val="center"/>
                </w:tcPr>
                <w:p w14:paraId="5ECAB7E0">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w:t>
                  </w:r>
                </w:p>
              </w:tc>
              <w:tc>
                <w:tcPr>
                  <w:tcW w:w="1549" w:type="pct"/>
                  <w:tcBorders>
                    <w:tl2br w:val="nil"/>
                    <w:tr2bl w:val="nil"/>
                  </w:tcBorders>
                  <w:vAlign w:val="center"/>
                </w:tcPr>
                <w:p w14:paraId="58263922">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左岸1段</w:t>
                  </w:r>
                </w:p>
              </w:tc>
            </w:tr>
            <w:tr w14:paraId="583C8E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1" w:type="pct"/>
                  <w:tcBorders>
                    <w:tl2br w:val="nil"/>
                    <w:tr2bl w:val="nil"/>
                  </w:tcBorders>
                  <w:vAlign w:val="center"/>
                </w:tcPr>
                <w:p w14:paraId="130764DE">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7</w:t>
                  </w:r>
                </w:p>
              </w:tc>
              <w:tc>
                <w:tcPr>
                  <w:tcW w:w="1694" w:type="pct"/>
                  <w:tcBorders>
                    <w:tl2br w:val="nil"/>
                    <w:tr2bl w:val="nil"/>
                  </w:tcBorders>
                  <w:vAlign w:val="center"/>
                </w:tcPr>
                <w:p w14:paraId="381D90B5">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GY11+200</w:t>
                  </w:r>
                  <w:r>
                    <w:rPr>
                      <w:rFonts w:hint="eastAsia" w:cs="Times New Roman"/>
                      <w:color w:val="auto"/>
                      <w:kern w:val="0"/>
                      <w:sz w:val="21"/>
                      <w:szCs w:val="21"/>
                      <w:highlight w:val="none"/>
                      <w:vertAlign w:val="baseline"/>
                      <w:lang w:val="en-US" w:eastAsia="zh-CN" w:bidi="ar-SA"/>
                    </w:rPr>
                    <w:t>~</w:t>
                  </w:r>
                  <w:r>
                    <w:rPr>
                      <w:rFonts w:hint="default" w:ascii="Times New Roman" w:hAnsi="Times New Roman" w:eastAsia="宋体" w:cs="Times New Roman"/>
                      <w:color w:val="auto"/>
                      <w:kern w:val="0"/>
                      <w:sz w:val="21"/>
                      <w:szCs w:val="21"/>
                      <w:highlight w:val="none"/>
                      <w:vertAlign w:val="baseline"/>
                      <w:lang w:val="en-US" w:eastAsia="zh-CN" w:bidi="ar-SA"/>
                    </w:rPr>
                    <w:t>GY11+600</w:t>
                  </w:r>
                </w:p>
              </w:tc>
              <w:tc>
                <w:tcPr>
                  <w:tcW w:w="641" w:type="pct"/>
                  <w:tcBorders>
                    <w:tl2br w:val="nil"/>
                    <w:tr2bl w:val="nil"/>
                  </w:tcBorders>
                  <w:vAlign w:val="center"/>
                </w:tcPr>
                <w:p w14:paraId="7D6E225C">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w:t>
                  </w:r>
                </w:p>
              </w:tc>
              <w:tc>
                <w:tcPr>
                  <w:tcW w:w="643" w:type="pct"/>
                  <w:tcBorders>
                    <w:tl2br w:val="nil"/>
                    <w:tr2bl w:val="nil"/>
                  </w:tcBorders>
                  <w:vAlign w:val="center"/>
                </w:tcPr>
                <w:p w14:paraId="5B58D489">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0.4</w:t>
                  </w:r>
                </w:p>
              </w:tc>
              <w:tc>
                <w:tcPr>
                  <w:tcW w:w="1549" w:type="pct"/>
                  <w:tcBorders>
                    <w:tl2br w:val="nil"/>
                    <w:tr2bl w:val="nil"/>
                  </w:tcBorders>
                  <w:vAlign w:val="center"/>
                </w:tcPr>
                <w:p w14:paraId="048F541E">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右岸2段</w:t>
                  </w:r>
                </w:p>
              </w:tc>
            </w:tr>
            <w:tr w14:paraId="37AF3D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1" w:type="pct"/>
                  <w:tcBorders>
                    <w:tl2br w:val="nil"/>
                    <w:tr2bl w:val="nil"/>
                  </w:tcBorders>
                  <w:vAlign w:val="center"/>
                </w:tcPr>
                <w:p w14:paraId="49754BC2">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8</w:t>
                  </w:r>
                </w:p>
              </w:tc>
              <w:tc>
                <w:tcPr>
                  <w:tcW w:w="1694" w:type="pct"/>
                  <w:tcBorders>
                    <w:tl2br w:val="nil"/>
                    <w:tr2bl w:val="nil"/>
                  </w:tcBorders>
                  <w:vAlign w:val="center"/>
                </w:tcPr>
                <w:p w14:paraId="17A14285">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GY45+000</w:t>
                  </w:r>
                  <w:r>
                    <w:rPr>
                      <w:rFonts w:hint="eastAsia" w:cs="Times New Roman"/>
                      <w:color w:val="auto"/>
                      <w:kern w:val="0"/>
                      <w:sz w:val="21"/>
                      <w:szCs w:val="21"/>
                      <w:highlight w:val="none"/>
                      <w:vertAlign w:val="baseline"/>
                      <w:lang w:val="en-US" w:eastAsia="zh-CN" w:bidi="ar-SA"/>
                    </w:rPr>
                    <w:t>~</w:t>
                  </w:r>
                  <w:r>
                    <w:rPr>
                      <w:rFonts w:hint="default" w:ascii="Times New Roman" w:hAnsi="Times New Roman" w:eastAsia="宋体" w:cs="Times New Roman"/>
                      <w:color w:val="auto"/>
                      <w:kern w:val="0"/>
                      <w:sz w:val="21"/>
                      <w:szCs w:val="21"/>
                      <w:highlight w:val="none"/>
                      <w:vertAlign w:val="baseline"/>
                      <w:lang w:val="en-US" w:eastAsia="zh-CN" w:bidi="ar-SA"/>
                    </w:rPr>
                    <w:t>GY45+600</w:t>
                  </w:r>
                </w:p>
              </w:tc>
              <w:tc>
                <w:tcPr>
                  <w:tcW w:w="641" w:type="pct"/>
                  <w:tcBorders>
                    <w:tl2br w:val="nil"/>
                    <w:tr2bl w:val="nil"/>
                  </w:tcBorders>
                  <w:vAlign w:val="center"/>
                </w:tcPr>
                <w:p w14:paraId="0C81F6AE">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w:t>
                  </w:r>
                </w:p>
              </w:tc>
              <w:tc>
                <w:tcPr>
                  <w:tcW w:w="643" w:type="pct"/>
                  <w:tcBorders>
                    <w:tl2br w:val="nil"/>
                    <w:tr2bl w:val="nil"/>
                  </w:tcBorders>
                  <w:vAlign w:val="center"/>
                </w:tcPr>
                <w:p w14:paraId="2549179F">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0.4</w:t>
                  </w:r>
                </w:p>
              </w:tc>
              <w:tc>
                <w:tcPr>
                  <w:tcW w:w="1549" w:type="pct"/>
                  <w:tcBorders>
                    <w:tl2br w:val="nil"/>
                    <w:tr2bl w:val="nil"/>
                  </w:tcBorders>
                  <w:vAlign w:val="center"/>
                </w:tcPr>
                <w:p w14:paraId="6FF8B4F8">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右岸1段</w:t>
                  </w:r>
                </w:p>
              </w:tc>
            </w:tr>
            <w:tr w14:paraId="39B505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1" w:type="pct"/>
                  <w:tcBorders>
                    <w:tl2br w:val="nil"/>
                    <w:tr2bl w:val="nil"/>
                  </w:tcBorders>
                  <w:vAlign w:val="center"/>
                </w:tcPr>
                <w:p w14:paraId="57B3F007">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9</w:t>
                  </w:r>
                </w:p>
              </w:tc>
              <w:tc>
                <w:tcPr>
                  <w:tcW w:w="1694" w:type="pct"/>
                  <w:tcBorders>
                    <w:tl2br w:val="nil"/>
                    <w:tr2bl w:val="nil"/>
                  </w:tcBorders>
                  <w:vAlign w:val="center"/>
                </w:tcPr>
                <w:p w14:paraId="63FF1E8A">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GY45+800</w:t>
                  </w:r>
                  <w:r>
                    <w:rPr>
                      <w:rFonts w:hint="eastAsia" w:cs="Times New Roman"/>
                      <w:color w:val="auto"/>
                      <w:kern w:val="0"/>
                      <w:sz w:val="21"/>
                      <w:szCs w:val="21"/>
                      <w:highlight w:val="none"/>
                      <w:vertAlign w:val="baseline"/>
                      <w:lang w:val="en-US" w:eastAsia="zh-CN" w:bidi="ar-SA"/>
                    </w:rPr>
                    <w:t>~</w:t>
                  </w:r>
                  <w:r>
                    <w:rPr>
                      <w:rFonts w:hint="default" w:ascii="Times New Roman" w:hAnsi="Times New Roman" w:eastAsia="宋体" w:cs="Times New Roman"/>
                      <w:color w:val="auto"/>
                      <w:kern w:val="0"/>
                      <w:sz w:val="21"/>
                      <w:szCs w:val="21"/>
                      <w:highlight w:val="none"/>
                      <w:vertAlign w:val="baseline"/>
                      <w:lang w:val="en-US" w:eastAsia="zh-CN" w:bidi="ar-SA"/>
                    </w:rPr>
                    <w:t>GY46+000</w:t>
                  </w:r>
                </w:p>
              </w:tc>
              <w:tc>
                <w:tcPr>
                  <w:tcW w:w="641" w:type="pct"/>
                  <w:tcBorders>
                    <w:tl2br w:val="nil"/>
                    <w:tr2bl w:val="nil"/>
                  </w:tcBorders>
                  <w:vAlign w:val="center"/>
                </w:tcPr>
                <w:p w14:paraId="7F738FCA">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w:t>
                  </w:r>
                </w:p>
              </w:tc>
              <w:tc>
                <w:tcPr>
                  <w:tcW w:w="643" w:type="pct"/>
                  <w:tcBorders>
                    <w:tl2br w:val="nil"/>
                    <w:tr2bl w:val="nil"/>
                  </w:tcBorders>
                  <w:vAlign w:val="center"/>
                </w:tcPr>
                <w:p w14:paraId="44ABC3A5">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0.19</w:t>
                  </w:r>
                </w:p>
              </w:tc>
              <w:tc>
                <w:tcPr>
                  <w:tcW w:w="1549" w:type="pct"/>
                  <w:tcBorders>
                    <w:tl2br w:val="nil"/>
                    <w:tr2bl w:val="nil"/>
                  </w:tcBorders>
                  <w:vAlign w:val="center"/>
                </w:tcPr>
                <w:p w14:paraId="616F933D">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右岸1段</w:t>
                  </w:r>
                </w:p>
              </w:tc>
            </w:tr>
            <w:tr w14:paraId="616A67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1" w:type="pct"/>
                  <w:tcBorders>
                    <w:tl2br w:val="nil"/>
                    <w:tr2bl w:val="nil"/>
                  </w:tcBorders>
                  <w:vAlign w:val="center"/>
                </w:tcPr>
                <w:p w14:paraId="47572765">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10</w:t>
                  </w:r>
                </w:p>
              </w:tc>
              <w:tc>
                <w:tcPr>
                  <w:tcW w:w="1694" w:type="pct"/>
                  <w:tcBorders>
                    <w:tl2br w:val="nil"/>
                    <w:tr2bl w:val="nil"/>
                  </w:tcBorders>
                  <w:vAlign w:val="center"/>
                </w:tcPr>
                <w:p w14:paraId="1630AADE">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GY46+200</w:t>
                  </w:r>
                  <w:r>
                    <w:rPr>
                      <w:rFonts w:hint="eastAsia" w:cs="Times New Roman"/>
                      <w:color w:val="auto"/>
                      <w:kern w:val="0"/>
                      <w:sz w:val="21"/>
                      <w:szCs w:val="21"/>
                      <w:highlight w:val="none"/>
                      <w:vertAlign w:val="baseline"/>
                      <w:lang w:val="en-US" w:eastAsia="zh-CN" w:bidi="ar-SA"/>
                    </w:rPr>
                    <w:t>~</w:t>
                  </w:r>
                  <w:r>
                    <w:rPr>
                      <w:rFonts w:hint="default" w:ascii="Times New Roman" w:hAnsi="Times New Roman" w:eastAsia="宋体" w:cs="Times New Roman"/>
                      <w:color w:val="auto"/>
                      <w:kern w:val="0"/>
                      <w:sz w:val="21"/>
                      <w:szCs w:val="21"/>
                      <w:highlight w:val="none"/>
                      <w:vertAlign w:val="baseline"/>
                      <w:lang w:val="en-US" w:eastAsia="zh-CN" w:bidi="ar-SA"/>
                    </w:rPr>
                    <w:t>GY49+400</w:t>
                  </w:r>
                </w:p>
              </w:tc>
              <w:tc>
                <w:tcPr>
                  <w:tcW w:w="641" w:type="pct"/>
                  <w:tcBorders>
                    <w:tl2br w:val="nil"/>
                    <w:tr2bl w:val="nil"/>
                  </w:tcBorders>
                  <w:vAlign w:val="center"/>
                </w:tcPr>
                <w:p w14:paraId="1C04FC9E">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0.5</w:t>
                  </w:r>
                </w:p>
              </w:tc>
              <w:tc>
                <w:tcPr>
                  <w:tcW w:w="643" w:type="pct"/>
                  <w:tcBorders>
                    <w:tl2br w:val="nil"/>
                    <w:tr2bl w:val="nil"/>
                  </w:tcBorders>
                  <w:vAlign w:val="center"/>
                </w:tcPr>
                <w:p w14:paraId="25829477">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2.64</w:t>
                  </w:r>
                </w:p>
              </w:tc>
              <w:tc>
                <w:tcPr>
                  <w:tcW w:w="1549" w:type="pct"/>
                  <w:tcBorders>
                    <w:tl2br w:val="nil"/>
                    <w:tr2bl w:val="nil"/>
                  </w:tcBorders>
                  <w:vAlign w:val="center"/>
                </w:tcPr>
                <w:p w14:paraId="4F09827B">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左岸1段，右岸1段</w:t>
                  </w:r>
                </w:p>
              </w:tc>
            </w:tr>
            <w:tr w14:paraId="7CA31C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1" w:type="pct"/>
                  <w:tcBorders>
                    <w:tl2br w:val="nil"/>
                    <w:tr2bl w:val="nil"/>
                  </w:tcBorders>
                  <w:vAlign w:val="center"/>
                </w:tcPr>
                <w:p w14:paraId="4690C766">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11</w:t>
                  </w:r>
                </w:p>
              </w:tc>
              <w:tc>
                <w:tcPr>
                  <w:tcW w:w="1694" w:type="pct"/>
                  <w:tcBorders>
                    <w:tl2br w:val="nil"/>
                    <w:tr2bl w:val="nil"/>
                  </w:tcBorders>
                  <w:vAlign w:val="center"/>
                </w:tcPr>
                <w:p w14:paraId="07334D0A">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GY49+400</w:t>
                  </w:r>
                  <w:r>
                    <w:rPr>
                      <w:rFonts w:hint="eastAsia" w:cs="Times New Roman"/>
                      <w:color w:val="auto"/>
                      <w:kern w:val="0"/>
                      <w:sz w:val="21"/>
                      <w:szCs w:val="21"/>
                      <w:highlight w:val="none"/>
                      <w:vertAlign w:val="baseline"/>
                      <w:lang w:val="en-US" w:eastAsia="zh-CN" w:bidi="ar-SA"/>
                    </w:rPr>
                    <w:t>~</w:t>
                  </w:r>
                  <w:r>
                    <w:rPr>
                      <w:rFonts w:hint="default" w:ascii="Times New Roman" w:hAnsi="Times New Roman" w:eastAsia="宋体" w:cs="Times New Roman"/>
                      <w:color w:val="auto"/>
                      <w:kern w:val="0"/>
                      <w:sz w:val="21"/>
                      <w:szCs w:val="21"/>
                      <w:highlight w:val="none"/>
                      <w:vertAlign w:val="baseline"/>
                      <w:lang w:val="en-US" w:eastAsia="zh-CN" w:bidi="ar-SA"/>
                    </w:rPr>
                    <w:t>GY54+200</w:t>
                  </w:r>
                </w:p>
              </w:tc>
              <w:tc>
                <w:tcPr>
                  <w:tcW w:w="641" w:type="pct"/>
                  <w:tcBorders>
                    <w:tl2br w:val="nil"/>
                    <w:tr2bl w:val="nil"/>
                  </w:tcBorders>
                  <w:vAlign w:val="center"/>
                </w:tcPr>
                <w:p w14:paraId="31E9265E">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0.5</w:t>
                  </w:r>
                </w:p>
              </w:tc>
              <w:tc>
                <w:tcPr>
                  <w:tcW w:w="643" w:type="pct"/>
                  <w:tcBorders>
                    <w:tl2br w:val="nil"/>
                    <w:tr2bl w:val="nil"/>
                  </w:tcBorders>
                  <w:vAlign w:val="center"/>
                </w:tcPr>
                <w:p w14:paraId="78D7723B">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4.4</w:t>
                  </w:r>
                </w:p>
              </w:tc>
              <w:tc>
                <w:tcPr>
                  <w:tcW w:w="1549" w:type="pct"/>
                  <w:tcBorders>
                    <w:tl2br w:val="nil"/>
                    <w:tr2bl w:val="nil"/>
                  </w:tcBorders>
                  <w:vAlign w:val="center"/>
                </w:tcPr>
                <w:p w14:paraId="7136AF29">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左岸1段，右岸3段</w:t>
                  </w:r>
                </w:p>
              </w:tc>
            </w:tr>
            <w:tr w14:paraId="71C933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1" w:type="pct"/>
                  <w:tcBorders>
                    <w:tl2br w:val="nil"/>
                    <w:tr2bl w:val="nil"/>
                  </w:tcBorders>
                  <w:vAlign w:val="center"/>
                </w:tcPr>
                <w:p w14:paraId="717776BA">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12</w:t>
                  </w:r>
                </w:p>
              </w:tc>
              <w:tc>
                <w:tcPr>
                  <w:tcW w:w="1694" w:type="pct"/>
                  <w:tcBorders>
                    <w:tl2br w:val="nil"/>
                    <w:tr2bl w:val="nil"/>
                  </w:tcBorders>
                  <w:vAlign w:val="center"/>
                </w:tcPr>
                <w:p w14:paraId="7ACF9699">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GY54+500</w:t>
                  </w:r>
                  <w:r>
                    <w:rPr>
                      <w:rFonts w:hint="eastAsia" w:cs="Times New Roman"/>
                      <w:color w:val="auto"/>
                      <w:kern w:val="0"/>
                      <w:sz w:val="21"/>
                      <w:szCs w:val="21"/>
                      <w:highlight w:val="none"/>
                      <w:vertAlign w:val="baseline"/>
                      <w:lang w:val="en-US" w:eastAsia="zh-CN" w:bidi="ar-SA"/>
                    </w:rPr>
                    <w:t>~</w:t>
                  </w:r>
                  <w:r>
                    <w:rPr>
                      <w:rFonts w:hint="default" w:ascii="Times New Roman" w:hAnsi="Times New Roman" w:eastAsia="宋体" w:cs="Times New Roman"/>
                      <w:color w:val="auto"/>
                      <w:kern w:val="0"/>
                      <w:sz w:val="21"/>
                      <w:szCs w:val="21"/>
                      <w:highlight w:val="none"/>
                      <w:vertAlign w:val="baseline"/>
                      <w:lang w:val="en-US" w:eastAsia="zh-CN" w:bidi="ar-SA"/>
                    </w:rPr>
                    <w:t>GY55+200</w:t>
                  </w:r>
                </w:p>
              </w:tc>
              <w:tc>
                <w:tcPr>
                  <w:tcW w:w="641" w:type="pct"/>
                  <w:tcBorders>
                    <w:tl2br w:val="nil"/>
                    <w:tr2bl w:val="nil"/>
                  </w:tcBorders>
                  <w:vAlign w:val="center"/>
                </w:tcPr>
                <w:p w14:paraId="5A3A12E7">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w:t>
                  </w:r>
                </w:p>
              </w:tc>
              <w:tc>
                <w:tcPr>
                  <w:tcW w:w="643" w:type="pct"/>
                  <w:tcBorders>
                    <w:tl2br w:val="nil"/>
                    <w:tr2bl w:val="nil"/>
                  </w:tcBorders>
                  <w:vAlign w:val="center"/>
                </w:tcPr>
                <w:p w14:paraId="3A9FAAC5">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0.68</w:t>
                  </w:r>
                </w:p>
              </w:tc>
              <w:tc>
                <w:tcPr>
                  <w:tcW w:w="1549" w:type="pct"/>
                  <w:tcBorders>
                    <w:tl2br w:val="nil"/>
                    <w:tr2bl w:val="nil"/>
                  </w:tcBorders>
                  <w:vAlign w:val="center"/>
                </w:tcPr>
                <w:p w14:paraId="47F005F5">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右岸1段</w:t>
                  </w:r>
                </w:p>
              </w:tc>
            </w:tr>
            <w:tr w14:paraId="5F160B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1" w:type="pct"/>
                  <w:tcBorders>
                    <w:tl2br w:val="nil"/>
                    <w:tr2bl w:val="nil"/>
                  </w:tcBorders>
                  <w:vAlign w:val="center"/>
                </w:tcPr>
                <w:p w14:paraId="2AC2F9BA">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13</w:t>
                  </w:r>
                </w:p>
              </w:tc>
              <w:tc>
                <w:tcPr>
                  <w:tcW w:w="1694" w:type="pct"/>
                  <w:tcBorders>
                    <w:tl2br w:val="nil"/>
                    <w:tr2bl w:val="nil"/>
                  </w:tcBorders>
                  <w:vAlign w:val="center"/>
                </w:tcPr>
                <w:p w14:paraId="452ECCE0">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GY55+600</w:t>
                  </w:r>
                  <w:r>
                    <w:rPr>
                      <w:rFonts w:hint="eastAsia" w:cs="Times New Roman"/>
                      <w:color w:val="auto"/>
                      <w:kern w:val="0"/>
                      <w:sz w:val="21"/>
                      <w:szCs w:val="21"/>
                      <w:highlight w:val="none"/>
                      <w:vertAlign w:val="baseline"/>
                      <w:lang w:val="en-US" w:eastAsia="zh-CN" w:bidi="ar-SA"/>
                    </w:rPr>
                    <w:t>~</w:t>
                  </w:r>
                  <w:r>
                    <w:rPr>
                      <w:rFonts w:hint="default" w:ascii="Times New Roman" w:hAnsi="Times New Roman" w:eastAsia="宋体" w:cs="Times New Roman"/>
                      <w:color w:val="auto"/>
                      <w:kern w:val="0"/>
                      <w:sz w:val="21"/>
                      <w:szCs w:val="21"/>
                      <w:highlight w:val="none"/>
                      <w:vertAlign w:val="baseline"/>
                      <w:lang w:val="en-US" w:eastAsia="zh-CN" w:bidi="ar-SA"/>
                    </w:rPr>
                    <w:t>GY57+600</w:t>
                  </w:r>
                </w:p>
              </w:tc>
              <w:tc>
                <w:tcPr>
                  <w:tcW w:w="641" w:type="pct"/>
                  <w:tcBorders>
                    <w:tl2br w:val="nil"/>
                    <w:tr2bl w:val="nil"/>
                  </w:tcBorders>
                  <w:vAlign w:val="center"/>
                </w:tcPr>
                <w:p w14:paraId="519FE5EE">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w:t>
                  </w:r>
                </w:p>
              </w:tc>
              <w:tc>
                <w:tcPr>
                  <w:tcW w:w="643" w:type="pct"/>
                  <w:tcBorders>
                    <w:tl2br w:val="nil"/>
                    <w:tr2bl w:val="nil"/>
                  </w:tcBorders>
                  <w:vAlign w:val="center"/>
                </w:tcPr>
                <w:p w14:paraId="78AECFAF">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1.74</w:t>
                  </w:r>
                </w:p>
              </w:tc>
              <w:tc>
                <w:tcPr>
                  <w:tcW w:w="1549" w:type="pct"/>
                  <w:tcBorders>
                    <w:tl2br w:val="nil"/>
                    <w:tr2bl w:val="nil"/>
                  </w:tcBorders>
                  <w:vAlign w:val="center"/>
                </w:tcPr>
                <w:p w14:paraId="1270D99B">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右岸1段</w:t>
                  </w:r>
                </w:p>
              </w:tc>
            </w:tr>
            <w:tr w14:paraId="4701E5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1" w:type="pct"/>
                  <w:tcBorders>
                    <w:tl2br w:val="nil"/>
                    <w:tr2bl w:val="nil"/>
                  </w:tcBorders>
                  <w:vAlign w:val="center"/>
                </w:tcPr>
                <w:p w14:paraId="2A8CF6A5">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14</w:t>
                  </w:r>
                </w:p>
              </w:tc>
              <w:tc>
                <w:tcPr>
                  <w:tcW w:w="1694" w:type="pct"/>
                  <w:tcBorders>
                    <w:tl2br w:val="nil"/>
                    <w:tr2bl w:val="nil"/>
                  </w:tcBorders>
                  <w:vAlign w:val="center"/>
                </w:tcPr>
                <w:p w14:paraId="3386F859">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GY58+400</w:t>
                  </w:r>
                  <w:r>
                    <w:rPr>
                      <w:rFonts w:hint="eastAsia" w:cs="Times New Roman"/>
                      <w:color w:val="auto"/>
                      <w:kern w:val="0"/>
                      <w:sz w:val="21"/>
                      <w:szCs w:val="21"/>
                      <w:highlight w:val="none"/>
                      <w:vertAlign w:val="baseline"/>
                      <w:lang w:val="en-US" w:eastAsia="zh-CN" w:bidi="ar-SA"/>
                    </w:rPr>
                    <w:t>~</w:t>
                  </w:r>
                  <w:r>
                    <w:rPr>
                      <w:rFonts w:hint="default" w:ascii="Times New Roman" w:hAnsi="Times New Roman" w:eastAsia="宋体" w:cs="Times New Roman"/>
                      <w:color w:val="auto"/>
                      <w:kern w:val="0"/>
                      <w:sz w:val="21"/>
                      <w:szCs w:val="21"/>
                      <w:highlight w:val="none"/>
                      <w:vertAlign w:val="baseline"/>
                      <w:lang w:val="en-US" w:eastAsia="zh-CN" w:bidi="ar-SA"/>
                    </w:rPr>
                    <w:t>GY58+800</w:t>
                  </w:r>
                </w:p>
              </w:tc>
              <w:tc>
                <w:tcPr>
                  <w:tcW w:w="641" w:type="pct"/>
                  <w:tcBorders>
                    <w:tl2br w:val="nil"/>
                    <w:tr2bl w:val="nil"/>
                  </w:tcBorders>
                  <w:vAlign w:val="center"/>
                </w:tcPr>
                <w:p w14:paraId="7B8EFCAA">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w:t>
                  </w:r>
                </w:p>
              </w:tc>
              <w:tc>
                <w:tcPr>
                  <w:tcW w:w="643" w:type="pct"/>
                  <w:tcBorders>
                    <w:tl2br w:val="nil"/>
                    <w:tr2bl w:val="nil"/>
                  </w:tcBorders>
                  <w:vAlign w:val="center"/>
                </w:tcPr>
                <w:p w14:paraId="00093DBF">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0.4</w:t>
                  </w:r>
                </w:p>
              </w:tc>
              <w:tc>
                <w:tcPr>
                  <w:tcW w:w="1549" w:type="pct"/>
                  <w:tcBorders>
                    <w:tl2br w:val="nil"/>
                    <w:tr2bl w:val="nil"/>
                  </w:tcBorders>
                  <w:vAlign w:val="center"/>
                </w:tcPr>
                <w:p w14:paraId="39172C37">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右岸1段</w:t>
                  </w:r>
                </w:p>
              </w:tc>
            </w:tr>
            <w:tr w14:paraId="6B0D95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1" w:type="pct"/>
                  <w:tcBorders>
                    <w:tl2br w:val="nil"/>
                    <w:tr2bl w:val="nil"/>
                  </w:tcBorders>
                  <w:vAlign w:val="center"/>
                </w:tcPr>
                <w:p w14:paraId="54D36AEB">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15</w:t>
                  </w:r>
                </w:p>
              </w:tc>
              <w:tc>
                <w:tcPr>
                  <w:tcW w:w="1694" w:type="pct"/>
                  <w:tcBorders>
                    <w:tl2br w:val="nil"/>
                    <w:tr2bl w:val="nil"/>
                  </w:tcBorders>
                  <w:vAlign w:val="center"/>
                </w:tcPr>
                <w:p w14:paraId="66011D15">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GY59+100</w:t>
                  </w:r>
                  <w:r>
                    <w:rPr>
                      <w:rFonts w:hint="eastAsia" w:cs="Times New Roman"/>
                      <w:color w:val="auto"/>
                      <w:kern w:val="0"/>
                      <w:sz w:val="21"/>
                      <w:szCs w:val="21"/>
                      <w:highlight w:val="none"/>
                      <w:vertAlign w:val="baseline"/>
                      <w:lang w:val="en-US" w:eastAsia="zh-CN" w:bidi="ar-SA"/>
                    </w:rPr>
                    <w:t>~</w:t>
                  </w:r>
                  <w:r>
                    <w:rPr>
                      <w:rFonts w:hint="default" w:ascii="Times New Roman" w:hAnsi="Times New Roman" w:eastAsia="宋体" w:cs="Times New Roman"/>
                      <w:color w:val="auto"/>
                      <w:kern w:val="0"/>
                      <w:sz w:val="21"/>
                      <w:szCs w:val="21"/>
                      <w:highlight w:val="none"/>
                      <w:vertAlign w:val="baseline"/>
                      <w:lang w:val="en-US" w:eastAsia="zh-CN" w:bidi="ar-SA"/>
                    </w:rPr>
                    <w:t>GY65+210</w:t>
                  </w:r>
                </w:p>
              </w:tc>
              <w:tc>
                <w:tcPr>
                  <w:tcW w:w="641" w:type="pct"/>
                  <w:tcBorders>
                    <w:tl2br w:val="nil"/>
                    <w:tr2bl w:val="nil"/>
                  </w:tcBorders>
                  <w:vAlign w:val="center"/>
                </w:tcPr>
                <w:p w14:paraId="231B1F77">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w:t>
                  </w:r>
                </w:p>
              </w:tc>
              <w:tc>
                <w:tcPr>
                  <w:tcW w:w="643" w:type="pct"/>
                  <w:tcBorders>
                    <w:tl2br w:val="nil"/>
                    <w:tr2bl w:val="nil"/>
                  </w:tcBorders>
                  <w:vAlign w:val="center"/>
                </w:tcPr>
                <w:p w14:paraId="1ACB129F">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5.63</w:t>
                  </w:r>
                </w:p>
              </w:tc>
              <w:tc>
                <w:tcPr>
                  <w:tcW w:w="1549" w:type="pct"/>
                  <w:tcBorders>
                    <w:tl2br w:val="nil"/>
                    <w:tr2bl w:val="nil"/>
                  </w:tcBorders>
                  <w:vAlign w:val="center"/>
                </w:tcPr>
                <w:p w14:paraId="0AB49200">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右岸5段</w:t>
                  </w:r>
                </w:p>
              </w:tc>
            </w:tr>
            <w:tr w14:paraId="76E6DC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65" w:type="pct"/>
                  <w:gridSpan w:val="2"/>
                  <w:tcBorders>
                    <w:tl2br w:val="nil"/>
                    <w:tr2bl w:val="nil"/>
                  </w:tcBorders>
                  <w:vAlign w:val="center"/>
                </w:tcPr>
                <w:p w14:paraId="0082108D">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SA"/>
                    </w:rPr>
                  </w:pPr>
                  <w:r>
                    <w:rPr>
                      <w:rFonts w:hint="eastAsia" w:cs="Times New Roman"/>
                      <w:b/>
                      <w:bCs/>
                      <w:color w:val="auto"/>
                      <w:kern w:val="0"/>
                      <w:sz w:val="21"/>
                      <w:szCs w:val="21"/>
                      <w:highlight w:val="none"/>
                      <w:vertAlign w:val="baseline"/>
                      <w:lang w:val="en-US" w:eastAsia="zh-CN" w:bidi="ar-SA"/>
                    </w:rPr>
                    <w:t>合计</w:t>
                  </w:r>
                </w:p>
              </w:tc>
              <w:tc>
                <w:tcPr>
                  <w:tcW w:w="641" w:type="pct"/>
                  <w:tcBorders>
                    <w:tl2br w:val="nil"/>
                    <w:tr2bl w:val="nil"/>
                  </w:tcBorders>
                  <w:vAlign w:val="center"/>
                </w:tcPr>
                <w:p w14:paraId="1752A989">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b/>
                      <w:bCs/>
                      <w:color w:val="auto"/>
                      <w:kern w:val="0"/>
                      <w:sz w:val="21"/>
                      <w:szCs w:val="21"/>
                      <w:highlight w:val="none"/>
                      <w:vertAlign w:val="baseline"/>
                      <w:lang w:val="en-US" w:eastAsia="zh-CN" w:bidi="ar-SA"/>
                    </w:rPr>
                  </w:pPr>
                  <w:r>
                    <w:rPr>
                      <w:rFonts w:hint="eastAsia" w:cs="Times New Roman"/>
                      <w:b/>
                      <w:bCs/>
                      <w:color w:val="auto"/>
                      <w:kern w:val="0"/>
                      <w:sz w:val="21"/>
                      <w:szCs w:val="21"/>
                      <w:highlight w:val="none"/>
                      <w:vertAlign w:val="baseline"/>
                      <w:lang w:val="en-US" w:eastAsia="zh-CN" w:bidi="ar-SA"/>
                    </w:rPr>
                    <w:t>4.09</w:t>
                  </w:r>
                </w:p>
              </w:tc>
              <w:tc>
                <w:tcPr>
                  <w:tcW w:w="643" w:type="pct"/>
                  <w:tcBorders>
                    <w:tl2br w:val="nil"/>
                    <w:tr2bl w:val="nil"/>
                  </w:tcBorders>
                  <w:vAlign w:val="center"/>
                </w:tcPr>
                <w:p w14:paraId="2AA29546">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b/>
                      <w:bCs/>
                      <w:color w:val="auto"/>
                      <w:kern w:val="0"/>
                      <w:sz w:val="21"/>
                      <w:szCs w:val="21"/>
                      <w:highlight w:val="none"/>
                      <w:vertAlign w:val="baseline"/>
                      <w:lang w:val="en-US" w:eastAsia="zh-CN" w:bidi="ar-SA"/>
                    </w:rPr>
                  </w:pPr>
                  <w:r>
                    <w:rPr>
                      <w:rFonts w:hint="eastAsia" w:cs="Times New Roman"/>
                      <w:b/>
                      <w:bCs/>
                      <w:color w:val="auto"/>
                      <w:kern w:val="0"/>
                      <w:sz w:val="21"/>
                      <w:szCs w:val="21"/>
                      <w:highlight w:val="none"/>
                      <w:vertAlign w:val="baseline"/>
                      <w:lang w:val="en-US" w:eastAsia="zh-CN" w:bidi="ar-SA"/>
                    </w:rPr>
                    <w:t>18.51</w:t>
                  </w:r>
                </w:p>
              </w:tc>
              <w:tc>
                <w:tcPr>
                  <w:tcW w:w="1549" w:type="pct"/>
                  <w:tcBorders>
                    <w:tl2br w:val="nil"/>
                    <w:tr2bl w:val="nil"/>
                  </w:tcBorders>
                  <w:vAlign w:val="center"/>
                </w:tcPr>
                <w:p w14:paraId="4C11BE6C">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SA"/>
                    </w:rPr>
                  </w:pPr>
                  <w:r>
                    <w:rPr>
                      <w:rFonts w:hint="default" w:ascii="Times New Roman" w:hAnsi="Times New Roman" w:eastAsia="宋体" w:cs="Times New Roman"/>
                      <w:b/>
                      <w:bCs/>
                      <w:color w:val="auto"/>
                      <w:kern w:val="0"/>
                      <w:sz w:val="21"/>
                      <w:szCs w:val="21"/>
                      <w:highlight w:val="none"/>
                      <w:vertAlign w:val="baseline"/>
                      <w:lang w:val="en-US" w:eastAsia="zh-CN" w:bidi="ar-SA"/>
                    </w:rPr>
                    <w:t>左岸7段，右岸22段</w:t>
                  </w:r>
                </w:p>
              </w:tc>
            </w:tr>
          </w:tbl>
          <w:p w14:paraId="50BCF50E">
            <w:pPr>
              <w:pStyle w:val="11"/>
              <w:adjustRightInd w:val="0"/>
              <w:spacing w:before="0" w:after="0" w:line="360" w:lineRule="auto"/>
              <w:ind w:right="0"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w:t>
            </w:r>
            <w:r>
              <w:rPr>
                <w:rFonts w:hint="eastAsia" w:cs="Times New Roman"/>
                <w:color w:val="auto"/>
                <w:kern w:val="0"/>
                <w:sz w:val="24"/>
                <w:szCs w:val="24"/>
                <w:highlight w:val="none"/>
                <w:lang w:val="en-US" w:eastAsia="zh-CN" w:bidi="ar-SA"/>
              </w:rPr>
              <w:t>3</w:t>
            </w:r>
            <w:r>
              <w:rPr>
                <w:rFonts w:hint="default" w:ascii="Times New Roman" w:hAnsi="Times New Roman" w:eastAsia="宋体" w:cs="Times New Roman"/>
                <w:color w:val="auto"/>
                <w:kern w:val="0"/>
                <w:sz w:val="24"/>
                <w:szCs w:val="24"/>
                <w:highlight w:val="none"/>
                <w:lang w:val="en-US" w:eastAsia="zh-CN" w:bidi="ar-SA"/>
              </w:rPr>
              <w:t>）</w:t>
            </w:r>
            <w:r>
              <w:rPr>
                <w:rFonts w:hint="default" w:ascii="Times New Roman" w:hAnsi="Times New Roman" w:cs="Times New Roman"/>
                <w:color w:val="auto"/>
                <w:kern w:val="0"/>
                <w:sz w:val="24"/>
                <w:szCs w:val="24"/>
                <w:highlight w:val="none"/>
                <w:lang w:val="en-US" w:eastAsia="zh-CN" w:bidi="ar-SA"/>
              </w:rPr>
              <w:t>清淤疏浚工程</w:t>
            </w:r>
            <w:r>
              <w:rPr>
                <w:rFonts w:hint="default" w:ascii="Times New Roman" w:hAnsi="Times New Roman" w:eastAsia="宋体" w:cs="Times New Roman"/>
                <w:color w:val="auto"/>
                <w:kern w:val="0"/>
                <w:sz w:val="24"/>
                <w:szCs w:val="24"/>
                <w:highlight w:val="none"/>
                <w:lang w:val="en-US" w:eastAsia="zh-CN" w:bidi="ar-SA"/>
              </w:rPr>
              <w:t>：</w:t>
            </w:r>
          </w:p>
          <w:p w14:paraId="669DBBA0">
            <w:pPr>
              <w:pStyle w:val="11"/>
              <w:adjustRightInd w:val="0"/>
              <w:spacing w:before="0" w:after="0" w:line="360" w:lineRule="auto"/>
              <w:ind w:right="0"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根据测量资料可知，部分河道河床淤积较为严重，淤积深度0.3m</w:t>
            </w:r>
            <w:r>
              <w:rPr>
                <w:rFonts w:hint="eastAsia"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1.0m，河道淤积造成河道行洪能力不足。本次结合护岸工程，理顺河势，对不满足行洪要求的河段实施清淤疏浚工程，清淤疏浚长度6km。清淤底高程根据设计纵断确定，清淤开挖坡比1:2.0</w:t>
            </w:r>
            <w:r>
              <w:rPr>
                <w:rFonts w:hint="default" w:ascii="Times New Roman" w:hAnsi="Times New Roman" w:cs="Times New Roman"/>
                <w:color w:val="auto"/>
                <w:kern w:val="0"/>
                <w:sz w:val="24"/>
                <w:szCs w:val="24"/>
                <w:highlight w:val="none"/>
                <w:lang w:val="en-US" w:eastAsia="zh-CN" w:bidi="ar-SA"/>
              </w:rPr>
              <w:t>。清淤疏浚工程总体布置情况统计见表</w:t>
            </w:r>
            <w:r>
              <w:rPr>
                <w:rFonts w:hint="eastAsia" w:cs="Times New Roman"/>
                <w:color w:val="auto"/>
                <w:kern w:val="0"/>
                <w:sz w:val="24"/>
                <w:szCs w:val="24"/>
                <w:highlight w:val="none"/>
                <w:lang w:val="en-US" w:eastAsia="zh-CN" w:bidi="ar-SA"/>
              </w:rPr>
              <w:t>2-</w:t>
            </w:r>
            <w:r>
              <w:rPr>
                <w:rFonts w:hint="default" w:ascii="Times New Roman" w:hAnsi="Times New Roman" w:cs="Times New Roman"/>
                <w:color w:val="auto"/>
                <w:kern w:val="0"/>
                <w:sz w:val="24"/>
                <w:szCs w:val="24"/>
                <w:highlight w:val="none"/>
                <w:lang w:val="en-US" w:eastAsia="zh-CN" w:bidi="ar-SA"/>
              </w:rPr>
              <w:t>1</w:t>
            </w:r>
            <w:r>
              <w:rPr>
                <w:rFonts w:hint="eastAsia" w:cs="Times New Roman"/>
                <w:color w:val="auto"/>
                <w:kern w:val="0"/>
                <w:sz w:val="24"/>
                <w:szCs w:val="24"/>
                <w:highlight w:val="none"/>
                <w:lang w:val="en-US" w:eastAsia="zh-CN" w:bidi="ar-SA"/>
              </w:rPr>
              <w:t>0</w:t>
            </w:r>
            <w:r>
              <w:rPr>
                <w:rFonts w:hint="default" w:ascii="Times New Roman" w:hAnsi="Times New Roman" w:cs="Times New Roman"/>
                <w:color w:val="auto"/>
                <w:kern w:val="0"/>
                <w:sz w:val="24"/>
                <w:szCs w:val="24"/>
                <w:highlight w:val="none"/>
                <w:lang w:val="en-US" w:eastAsia="zh-CN" w:bidi="ar-SA"/>
              </w:rPr>
              <w:t>。</w:t>
            </w:r>
          </w:p>
          <w:p w14:paraId="6B405BAC">
            <w:pPr>
              <w:pStyle w:val="11"/>
              <w:adjustRightInd w:val="0"/>
              <w:spacing w:before="0" w:after="0" w:line="240" w:lineRule="auto"/>
              <w:ind w:right="0"/>
              <w:jc w:val="center"/>
              <w:rPr>
                <w:rFonts w:hint="default" w:ascii="Times New Roman" w:hAnsi="Times New Roman" w:eastAsia="黑体" w:cs="Times New Roman"/>
                <w:color w:val="auto"/>
                <w:kern w:val="0"/>
                <w:sz w:val="24"/>
                <w:szCs w:val="24"/>
                <w:highlight w:val="none"/>
                <w:lang w:val="en-US" w:eastAsia="zh-CN" w:bidi="ar-SA"/>
              </w:rPr>
            </w:pPr>
            <w:r>
              <w:rPr>
                <w:rFonts w:hint="default" w:ascii="Times New Roman" w:hAnsi="Times New Roman" w:eastAsia="黑体" w:cs="Times New Roman"/>
                <w:color w:val="auto"/>
                <w:kern w:val="0"/>
                <w:sz w:val="24"/>
                <w:szCs w:val="24"/>
                <w:highlight w:val="none"/>
                <w:lang w:val="en-US" w:eastAsia="zh-CN" w:bidi="ar-SA"/>
              </w:rPr>
              <w:t>表</w:t>
            </w:r>
            <w:r>
              <w:rPr>
                <w:rFonts w:hint="eastAsia" w:eastAsia="黑体" w:cs="Times New Roman"/>
                <w:color w:val="auto"/>
                <w:kern w:val="0"/>
                <w:sz w:val="24"/>
                <w:szCs w:val="24"/>
                <w:highlight w:val="none"/>
                <w:lang w:val="en-US" w:eastAsia="zh-CN" w:bidi="ar-SA"/>
              </w:rPr>
              <w:t>2-10</w:t>
            </w:r>
            <w:r>
              <w:rPr>
                <w:rFonts w:hint="default" w:ascii="Times New Roman" w:hAnsi="Times New Roman" w:eastAsia="黑体" w:cs="Times New Roman"/>
                <w:color w:val="auto"/>
                <w:kern w:val="0"/>
                <w:sz w:val="24"/>
                <w:szCs w:val="24"/>
                <w:highlight w:val="none"/>
                <w:lang w:val="en-US" w:eastAsia="zh-CN" w:bidi="ar-SA"/>
              </w:rPr>
              <w:t xml:space="preserve">  项目清淤疏浚工程统计一览表</w:t>
            </w:r>
          </w:p>
          <w:tbl>
            <w:tblPr>
              <w:tblStyle w:val="27"/>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08"/>
              <w:gridCol w:w="2911"/>
              <w:gridCol w:w="1425"/>
              <w:gridCol w:w="1129"/>
              <w:gridCol w:w="1107"/>
              <w:gridCol w:w="1129"/>
            </w:tblGrid>
            <w:tr w14:paraId="084044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6" w:type="pct"/>
                  <w:tcBorders>
                    <w:tl2br w:val="nil"/>
                    <w:tr2bl w:val="nil"/>
                  </w:tcBorders>
                  <w:vAlign w:val="center"/>
                </w:tcPr>
                <w:p w14:paraId="2F7E6C41">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SA"/>
                    </w:rPr>
                  </w:pPr>
                  <w:r>
                    <w:rPr>
                      <w:rFonts w:hint="default" w:ascii="Times New Roman" w:hAnsi="Times New Roman" w:eastAsia="宋体" w:cs="Times New Roman"/>
                      <w:b/>
                      <w:bCs/>
                      <w:color w:val="auto"/>
                      <w:kern w:val="0"/>
                      <w:sz w:val="21"/>
                      <w:szCs w:val="21"/>
                      <w:highlight w:val="none"/>
                      <w:vertAlign w:val="baseline"/>
                      <w:lang w:val="en-US" w:eastAsia="zh-CN" w:bidi="ar-SA"/>
                    </w:rPr>
                    <w:t>序号</w:t>
                  </w:r>
                </w:p>
              </w:tc>
              <w:tc>
                <w:tcPr>
                  <w:tcW w:w="1751" w:type="pct"/>
                  <w:tcBorders>
                    <w:tl2br w:val="nil"/>
                    <w:tr2bl w:val="nil"/>
                  </w:tcBorders>
                  <w:vAlign w:val="center"/>
                </w:tcPr>
                <w:p w14:paraId="7688BA18">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SA"/>
                    </w:rPr>
                  </w:pPr>
                  <w:r>
                    <w:rPr>
                      <w:rFonts w:hint="default" w:ascii="Times New Roman" w:hAnsi="Times New Roman" w:cs="Times New Roman"/>
                      <w:b/>
                      <w:bCs/>
                      <w:color w:val="auto"/>
                      <w:kern w:val="0"/>
                      <w:sz w:val="21"/>
                      <w:szCs w:val="21"/>
                      <w:highlight w:val="none"/>
                      <w:vertAlign w:val="baseline"/>
                      <w:lang w:val="en-US" w:eastAsia="zh-CN" w:bidi="ar-SA"/>
                    </w:rPr>
                    <w:t>河道中心</w:t>
                  </w:r>
                  <w:r>
                    <w:rPr>
                      <w:rFonts w:hint="default" w:ascii="Times New Roman" w:hAnsi="Times New Roman" w:eastAsia="宋体" w:cs="Times New Roman"/>
                      <w:b/>
                      <w:bCs/>
                      <w:color w:val="auto"/>
                      <w:kern w:val="0"/>
                      <w:sz w:val="21"/>
                      <w:szCs w:val="21"/>
                      <w:highlight w:val="none"/>
                      <w:vertAlign w:val="baseline"/>
                      <w:lang w:val="en-US" w:eastAsia="zh-CN" w:bidi="ar-SA"/>
                    </w:rPr>
                    <w:t>桩号</w:t>
                  </w:r>
                  <w:r>
                    <w:rPr>
                      <w:rFonts w:hint="default" w:ascii="Times New Roman" w:hAnsi="Times New Roman" w:cs="Times New Roman"/>
                      <w:b/>
                      <w:bCs/>
                      <w:color w:val="auto"/>
                      <w:kern w:val="0"/>
                      <w:sz w:val="21"/>
                      <w:szCs w:val="21"/>
                      <w:highlight w:val="none"/>
                      <w:vertAlign w:val="baseline"/>
                      <w:lang w:val="en-US" w:eastAsia="zh-CN" w:bidi="ar-SA"/>
                    </w:rPr>
                    <w:t>（km+m）</w:t>
                  </w:r>
                </w:p>
              </w:tc>
              <w:tc>
                <w:tcPr>
                  <w:tcW w:w="857" w:type="pct"/>
                  <w:tcBorders>
                    <w:tl2br w:val="nil"/>
                    <w:tr2bl w:val="nil"/>
                  </w:tcBorders>
                  <w:vAlign w:val="center"/>
                </w:tcPr>
                <w:p w14:paraId="0744005D">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SA"/>
                    </w:rPr>
                  </w:pPr>
                  <w:r>
                    <w:rPr>
                      <w:rFonts w:hint="default" w:ascii="Times New Roman" w:hAnsi="Times New Roman" w:cs="Times New Roman"/>
                      <w:b/>
                      <w:bCs/>
                      <w:color w:val="auto"/>
                      <w:kern w:val="0"/>
                      <w:sz w:val="21"/>
                      <w:szCs w:val="21"/>
                      <w:highlight w:val="none"/>
                      <w:vertAlign w:val="baseline"/>
                      <w:lang w:val="en-US" w:eastAsia="zh-CN" w:bidi="ar-SA"/>
                    </w:rPr>
                    <w:t>清淤长度（km）</w:t>
                  </w:r>
                </w:p>
              </w:tc>
              <w:tc>
                <w:tcPr>
                  <w:tcW w:w="679" w:type="pct"/>
                  <w:tcBorders>
                    <w:tl2br w:val="nil"/>
                    <w:tr2bl w:val="nil"/>
                  </w:tcBorders>
                  <w:vAlign w:val="center"/>
                </w:tcPr>
                <w:p w14:paraId="587AABCD">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SA"/>
                    </w:rPr>
                  </w:pPr>
                  <w:r>
                    <w:rPr>
                      <w:rFonts w:hint="default" w:ascii="Times New Roman" w:hAnsi="Times New Roman" w:cs="Times New Roman"/>
                      <w:b/>
                      <w:bCs/>
                      <w:color w:val="auto"/>
                      <w:kern w:val="0"/>
                      <w:sz w:val="21"/>
                      <w:szCs w:val="21"/>
                      <w:highlight w:val="none"/>
                      <w:vertAlign w:val="baseline"/>
                      <w:lang w:val="en-US" w:eastAsia="zh-CN" w:bidi="ar-SA"/>
                    </w:rPr>
                    <w:t>底宽（m）</w:t>
                  </w:r>
                </w:p>
              </w:tc>
              <w:tc>
                <w:tcPr>
                  <w:tcW w:w="666" w:type="pct"/>
                  <w:tcBorders>
                    <w:tl2br w:val="nil"/>
                    <w:tr2bl w:val="nil"/>
                  </w:tcBorders>
                  <w:vAlign w:val="center"/>
                </w:tcPr>
                <w:p w14:paraId="1DB52F5C">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SA"/>
                    </w:rPr>
                  </w:pPr>
                  <w:r>
                    <w:rPr>
                      <w:rFonts w:hint="default" w:ascii="Times New Roman" w:hAnsi="Times New Roman" w:cs="Times New Roman"/>
                      <w:b/>
                      <w:bCs/>
                      <w:color w:val="auto"/>
                      <w:kern w:val="0"/>
                      <w:sz w:val="21"/>
                      <w:szCs w:val="21"/>
                      <w:highlight w:val="none"/>
                      <w:vertAlign w:val="baseline"/>
                      <w:lang w:val="en-US" w:eastAsia="zh-CN" w:bidi="ar-SA"/>
                    </w:rPr>
                    <w:t>边坡</w:t>
                  </w:r>
                </w:p>
              </w:tc>
              <w:tc>
                <w:tcPr>
                  <w:tcW w:w="679" w:type="pct"/>
                  <w:tcBorders>
                    <w:tl2br w:val="nil"/>
                    <w:tr2bl w:val="nil"/>
                  </w:tcBorders>
                  <w:vAlign w:val="center"/>
                </w:tcPr>
                <w:p w14:paraId="36CAC339">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SA"/>
                    </w:rPr>
                  </w:pPr>
                  <w:r>
                    <w:rPr>
                      <w:rFonts w:hint="default" w:ascii="Times New Roman" w:hAnsi="Times New Roman" w:cs="Times New Roman"/>
                      <w:b/>
                      <w:bCs/>
                      <w:color w:val="auto"/>
                      <w:kern w:val="0"/>
                      <w:sz w:val="21"/>
                      <w:szCs w:val="21"/>
                      <w:highlight w:val="none"/>
                      <w:vertAlign w:val="baseline"/>
                      <w:lang w:val="en-US" w:eastAsia="zh-CN" w:bidi="ar-SA"/>
                    </w:rPr>
                    <w:t>比降</w:t>
                  </w:r>
                </w:p>
              </w:tc>
            </w:tr>
            <w:tr w14:paraId="091CD5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6" w:type="pct"/>
                  <w:tcBorders>
                    <w:tl2br w:val="nil"/>
                    <w:tr2bl w:val="nil"/>
                  </w:tcBorders>
                  <w:vAlign w:val="center"/>
                </w:tcPr>
                <w:p w14:paraId="24B48940">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1</w:t>
                  </w:r>
                </w:p>
              </w:tc>
              <w:tc>
                <w:tcPr>
                  <w:tcW w:w="1751" w:type="pct"/>
                  <w:tcBorders>
                    <w:tl2br w:val="nil"/>
                    <w:tr2bl w:val="nil"/>
                  </w:tcBorders>
                  <w:vAlign w:val="center"/>
                </w:tcPr>
                <w:p w14:paraId="2E55C9E3">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GY0+000</w:t>
                  </w:r>
                  <w:r>
                    <w:rPr>
                      <w:rFonts w:hint="eastAsia" w:cs="Times New Roman"/>
                      <w:color w:val="auto"/>
                      <w:kern w:val="0"/>
                      <w:sz w:val="21"/>
                      <w:szCs w:val="21"/>
                      <w:highlight w:val="none"/>
                      <w:vertAlign w:val="baseline"/>
                      <w:lang w:val="en-US" w:eastAsia="zh-CN" w:bidi="ar-SA"/>
                    </w:rPr>
                    <w:t>~</w:t>
                  </w:r>
                  <w:r>
                    <w:rPr>
                      <w:rFonts w:hint="default" w:ascii="Times New Roman" w:hAnsi="Times New Roman" w:eastAsia="宋体" w:cs="Times New Roman"/>
                      <w:color w:val="auto"/>
                      <w:kern w:val="0"/>
                      <w:sz w:val="21"/>
                      <w:szCs w:val="21"/>
                      <w:highlight w:val="none"/>
                      <w:vertAlign w:val="baseline"/>
                      <w:lang w:val="en-US" w:eastAsia="zh-CN" w:bidi="ar-SA"/>
                    </w:rPr>
                    <w:t>GY</w:t>
                  </w:r>
                  <w:r>
                    <w:rPr>
                      <w:rFonts w:hint="default" w:ascii="Times New Roman" w:hAnsi="Times New Roman" w:cs="Times New Roman"/>
                      <w:color w:val="auto"/>
                      <w:kern w:val="0"/>
                      <w:sz w:val="21"/>
                      <w:szCs w:val="21"/>
                      <w:highlight w:val="none"/>
                      <w:vertAlign w:val="baseline"/>
                      <w:lang w:val="en-US" w:eastAsia="zh-CN" w:bidi="ar-SA"/>
                    </w:rPr>
                    <w:t>1</w:t>
                  </w:r>
                  <w:r>
                    <w:rPr>
                      <w:rFonts w:hint="default" w:ascii="Times New Roman" w:hAnsi="Times New Roman" w:eastAsia="宋体" w:cs="Times New Roman"/>
                      <w:color w:val="auto"/>
                      <w:kern w:val="0"/>
                      <w:sz w:val="21"/>
                      <w:szCs w:val="21"/>
                      <w:highlight w:val="none"/>
                      <w:vertAlign w:val="baseline"/>
                      <w:lang w:val="en-US" w:eastAsia="zh-CN" w:bidi="ar-SA"/>
                    </w:rPr>
                    <w:t>+</w:t>
                  </w:r>
                  <w:r>
                    <w:rPr>
                      <w:rFonts w:hint="default" w:ascii="Times New Roman" w:hAnsi="Times New Roman" w:cs="Times New Roman"/>
                      <w:color w:val="auto"/>
                      <w:kern w:val="0"/>
                      <w:sz w:val="21"/>
                      <w:szCs w:val="21"/>
                      <w:highlight w:val="none"/>
                      <w:vertAlign w:val="baseline"/>
                      <w:lang w:val="en-US" w:eastAsia="zh-CN" w:bidi="ar-SA"/>
                    </w:rPr>
                    <w:t>13</w:t>
                  </w:r>
                  <w:r>
                    <w:rPr>
                      <w:rFonts w:hint="default" w:ascii="Times New Roman" w:hAnsi="Times New Roman" w:eastAsia="宋体" w:cs="Times New Roman"/>
                      <w:color w:val="auto"/>
                      <w:kern w:val="0"/>
                      <w:sz w:val="21"/>
                      <w:szCs w:val="21"/>
                      <w:highlight w:val="none"/>
                      <w:vertAlign w:val="baseline"/>
                      <w:lang w:val="en-US" w:eastAsia="zh-CN" w:bidi="ar-SA"/>
                    </w:rPr>
                    <w:t>0</w:t>
                  </w:r>
                </w:p>
              </w:tc>
              <w:tc>
                <w:tcPr>
                  <w:tcW w:w="857" w:type="pct"/>
                  <w:tcBorders>
                    <w:tl2br w:val="nil"/>
                    <w:tr2bl w:val="nil"/>
                  </w:tcBorders>
                  <w:vAlign w:val="center"/>
                </w:tcPr>
                <w:p w14:paraId="5F96AFDF">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1.13</w:t>
                  </w:r>
                </w:p>
              </w:tc>
              <w:tc>
                <w:tcPr>
                  <w:tcW w:w="679" w:type="pct"/>
                  <w:tcBorders>
                    <w:tl2br w:val="nil"/>
                    <w:tr2bl w:val="nil"/>
                  </w:tcBorders>
                  <w:vAlign w:val="center"/>
                </w:tcPr>
                <w:p w14:paraId="79660B40">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8</w:t>
                  </w:r>
                </w:p>
              </w:tc>
              <w:tc>
                <w:tcPr>
                  <w:tcW w:w="666" w:type="pct"/>
                  <w:tcBorders>
                    <w:tl2br w:val="nil"/>
                    <w:tr2bl w:val="nil"/>
                  </w:tcBorders>
                  <w:vAlign w:val="center"/>
                </w:tcPr>
                <w:p w14:paraId="610820B6">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w:t>
                  </w:r>
                </w:p>
              </w:tc>
              <w:tc>
                <w:tcPr>
                  <w:tcW w:w="679" w:type="pct"/>
                  <w:tcBorders>
                    <w:tl2br w:val="nil"/>
                    <w:tr2bl w:val="nil"/>
                  </w:tcBorders>
                  <w:vAlign w:val="center"/>
                </w:tcPr>
                <w:p w14:paraId="3B8905AD">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1/200</w:t>
                  </w:r>
                </w:p>
              </w:tc>
            </w:tr>
            <w:tr w14:paraId="0A3653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6" w:type="pct"/>
                  <w:tcBorders>
                    <w:tl2br w:val="nil"/>
                    <w:tr2bl w:val="nil"/>
                  </w:tcBorders>
                  <w:vAlign w:val="center"/>
                </w:tcPr>
                <w:p w14:paraId="6E9246CA">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2</w:t>
                  </w:r>
                </w:p>
              </w:tc>
              <w:tc>
                <w:tcPr>
                  <w:tcW w:w="1751" w:type="pct"/>
                  <w:tcBorders>
                    <w:tl2br w:val="nil"/>
                    <w:tr2bl w:val="nil"/>
                  </w:tcBorders>
                  <w:vAlign w:val="center"/>
                </w:tcPr>
                <w:p w14:paraId="5A0E9076">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GY</w:t>
                  </w:r>
                  <w:r>
                    <w:rPr>
                      <w:rFonts w:hint="default" w:ascii="Times New Roman" w:hAnsi="Times New Roman" w:cs="Times New Roman"/>
                      <w:color w:val="auto"/>
                      <w:kern w:val="0"/>
                      <w:sz w:val="21"/>
                      <w:szCs w:val="21"/>
                      <w:highlight w:val="none"/>
                      <w:vertAlign w:val="baseline"/>
                      <w:lang w:val="en-US" w:eastAsia="zh-CN" w:bidi="ar-SA"/>
                    </w:rPr>
                    <w:t>4</w:t>
                  </w:r>
                  <w:r>
                    <w:rPr>
                      <w:rFonts w:hint="default" w:ascii="Times New Roman" w:hAnsi="Times New Roman" w:eastAsia="宋体" w:cs="Times New Roman"/>
                      <w:color w:val="auto"/>
                      <w:kern w:val="0"/>
                      <w:sz w:val="21"/>
                      <w:szCs w:val="21"/>
                      <w:highlight w:val="none"/>
                      <w:vertAlign w:val="baseline"/>
                      <w:lang w:val="en-US" w:eastAsia="zh-CN" w:bidi="ar-SA"/>
                    </w:rPr>
                    <w:t>+</w:t>
                  </w:r>
                  <w:r>
                    <w:rPr>
                      <w:rFonts w:hint="default" w:ascii="Times New Roman" w:hAnsi="Times New Roman" w:cs="Times New Roman"/>
                      <w:color w:val="auto"/>
                      <w:kern w:val="0"/>
                      <w:sz w:val="21"/>
                      <w:szCs w:val="21"/>
                      <w:highlight w:val="none"/>
                      <w:vertAlign w:val="baseline"/>
                      <w:lang w:val="en-US" w:eastAsia="zh-CN" w:bidi="ar-SA"/>
                    </w:rPr>
                    <w:t>8</w:t>
                  </w:r>
                  <w:r>
                    <w:rPr>
                      <w:rFonts w:hint="default" w:ascii="Times New Roman" w:hAnsi="Times New Roman" w:eastAsia="宋体" w:cs="Times New Roman"/>
                      <w:color w:val="auto"/>
                      <w:kern w:val="0"/>
                      <w:sz w:val="21"/>
                      <w:szCs w:val="21"/>
                      <w:highlight w:val="none"/>
                      <w:vertAlign w:val="baseline"/>
                      <w:lang w:val="en-US" w:eastAsia="zh-CN" w:bidi="ar-SA"/>
                    </w:rPr>
                    <w:t>0</w:t>
                  </w:r>
                  <w:r>
                    <w:rPr>
                      <w:rFonts w:hint="default" w:ascii="Times New Roman" w:hAnsi="Times New Roman" w:cs="Times New Roman"/>
                      <w:color w:val="auto"/>
                      <w:kern w:val="0"/>
                      <w:sz w:val="21"/>
                      <w:szCs w:val="21"/>
                      <w:highlight w:val="none"/>
                      <w:vertAlign w:val="baseline"/>
                      <w:lang w:val="en-US" w:eastAsia="zh-CN" w:bidi="ar-SA"/>
                    </w:rPr>
                    <w:t>0</w:t>
                  </w:r>
                  <w:r>
                    <w:rPr>
                      <w:rFonts w:hint="eastAsia" w:cs="Times New Roman"/>
                      <w:color w:val="auto"/>
                      <w:kern w:val="0"/>
                      <w:sz w:val="21"/>
                      <w:szCs w:val="21"/>
                      <w:highlight w:val="none"/>
                      <w:vertAlign w:val="baseline"/>
                      <w:lang w:val="en-US" w:eastAsia="zh-CN" w:bidi="ar-SA"/>
                    </w:rPr>
                    <w:t>~</w:t>
                  </w:r>
                  <w:r>
                    <w:rPr>
                      <w:rFonts w:hint="default" w:ascii="Times New Roman" w:hAnsi="Times New Roman" w:eastAsia="宋体" w:cs="Times New Roman"/>
                      <w:color w:val="auto"/>
                      <w:kern w:val="0"/>
                      <w:sz w:val="21"/>
                      <w:szCs w:val="21"/>
                      <w:highlight w:val="none"/>
                      <w:vertAlign w:val="baseline"/>
                      <w:lang w:val="en-US" w:eastAsia="zh-CN" w:bidi="ar-SA"/>
                    </w:rPr>
                    <w:t>GY</w:t>
                  </w:r>
                  <w:r>
                    <w:rPr>
                      <w:rFonts w:hint="default" w:ascii="Times New Roman" w:hAnsi="Times New Roman" w:cs="Times New Roman"/>
                      <w:color w:val="auto"/>
                      <w:kern w:val="0"/>
                      <w:sz w:val="21"/>
                      <w:szCs w:val="21"/>
                      <w:highlight w:val="none"/>
                      <w:vertAlign w:val="baseline"/>
                      <w:lang w:val="en-US" w:eastAsia="zh-CN" w:bidi="ar-SA"/>
                    </w:rPr>
                    <w:t>5</w:t>
                  </w:r>
                  <w:r>
                    <w:rPr>
                      <w:rFonts w:hint="default" w:ascii="Times New Roman" w:hAnsi="Times New Roman" w:eastAsia="宋体" w:cs="Times New Roman"/>
                      <w:color w:val="auto"/>
                      <w:kern w:val="0"/>
                      <w:sz w:val="21"/>
                      <w:szCs w:val="21"/>
                      <w:highlight w:val="none"/>
                      <w:vertAlign w:val="baseline"/>
                      <w:lang w:val="en-US" w:eastAsia="zh-CN" w:bidi="ar-SA"/>
                    </w:rPr>
                    <w:t>+8</w:t>
                  </w:r>
                  <w:r>
                    <w:rPr>
                      <w:rFonts w:hint="default" w:ascii="Times New Roman" w:hAnsi="Times New Roman" w:cs="Times New Roman"/>
                      <w:color w:val="auto"/>
                      <w:kern w:val="0"/>
                      <w:sz w:val="21"/>
                      <w:szCs w:val="21"/>
                      <w:highlight w:val="none"/>
                      <w:vertAlign w:val="baseline"/>
                      <w:lang w:val="en-US" w:eastAsia="zh-CN" w:bidi="ar-SA"/>
                    </w:rPr>
                    <w:t>0</w:t>
                  </w:r>
                  <w:r>
                    <w:rPr>
                      <w:rFonts w:hint="default" w:ascii="Times New Roman" w:hAnsi="Times New Roman" w:eastAsia="宋体" w:cs="Times New Roman"/>
                      <w:color w:val="auto"/>
                      <w:kern w:val="0"/>
                      <w:sz w:val="21"/>
                      <w:szCs w:val="21"/>
                      <w:highlight w:val="none"/>
                      <w:vertAlign w:val="baseline"/>
                      <w:lang w:val="en-US" w:eastAsia="zh-CN" w:bidi="ar-SA"/>
                    </w:rPr>
                    <w:t>0</w:t>
                  </w:r>
                </w:p>
              </w:tc>
              <w:tc>
                <w:tcPr>
                  <w:tcW w:w="857" w:type="pct"/>
                  <w:tcBorders>
                    <w:tl2br w:val="nil"/>
                    <w:tr2bl w:val="nil"/>
                  </w:tcBorders>
                  <w:vAlign w:val="center"/>
                </w:tcPr>
                <w:p w14:paraId="46CD6C83">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1</w:t>
                  </w:r>
                </w:p>
              </w:tc>
              <w:tc>
                <w:tcPr>
                  <w:tcW w:w="679" w:type="pct"/>
                  <w:tcBorders>
                    <w:tl2br w:val="nil"/>
                    <w:tr2bl w:val="nil"/>
                  </w:tcBorders>
                  <w:vAlign w:val="center"/>
                </w:tcPr>
                <w:p w14:paraId="30920C9E">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8</w:t>
                  </w:r>
                </w:p>
              </w:tc>
              <w:tc>
                <w:tcPr>
                  <w:tcW w:w="666" w:type="pct"/>
                  <w:tcBorders>
                    <w:tl2br w:val="nil"/>
                    <w:tr2bl w:val="nil"/>
                  </w:tcBorders>
                  <w:vAlign w:val="center"/>
                </w:tcPr>
                <w:p w14:paraId="5C2A93AE">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w:t>
                  </w:r>
                </w:p>
              </w:tc>
              <w:tc>
                <w:tcPr>
                  <w:tcW w:w="679" w:type="pct"/>
                  <w:tcBorders>
                    <w:tl2br w:val="nil"/>
                    <w:tr2bl w:val="nil"/>
                  </w:tcBorders>
                  <w:vAlign w:val="center"/>
                </w:tcPr>
                <w:p w14:paraId="172922B9">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1/200</w:t>
                  </w:r>
                </w:p>
              </w:tc>
            </w:tr>
            <w:tr w14:paraId="77C5B6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6" w:type="pct"/>
                  <w:tcBorders>
                    <w:tl2br w:val="nil"/>
                    <w:tr2bl w:val="nil"/>
                  </w:tcBorders>
                  <w:vAlign w:val="center"/>
                </w:tcPr>
                <w:p w14:paraId="30450C2A">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3</w:t>
                  </w:r>
                </w:p>
              </w:tc>
              <w:tc>
                <w:tcPr>
                  <w:tcW w:w="1751" w:type="pct"/>
                  <w:tcBorders>
                    <w:tl2br w:val="nil"/>
                    <w:tr2bl w:val="nil"/>
                  </w:tcBorders>
                  <w:vAlign w:val="center"/>
                </w:tcPr>
                <w:p w14:paraId="131436A3">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GY</w:t>
                  </w:r>
                  <w:r>
                    <w:rPr>
                      <w:rFonts w:hint="default" w:ascii="Times New Roman" w:hAnsi="Times New Roman" w:cs="Times New Roman"/>
                      <w:color w:val="auto"/>
                      <w:kern w:val="0"/>
                      <w:sz w:val="21"/>
                      <w:szCs w:val="21"/>
                      <w:highlight w:val="none"/>
                      <w:vertAlign w:val="baseline"/>
                      <w:lang w:val="en-US" w:eastAsia="zh-CN" w:bidi="ar-SA"/>
                    </w:rPr>
                    <w:t>45</w:t>
                  </w:r>
                  <w:r>
                    <w:rPr>
                      <w:rFonts w:hint="default" w:ascii="Times New Roman" w:hAnsi="Times New Roman" w:eastAsia="宋体" w:cs="Times New Roman"/>
                      <w:color w:val="auto"/>
                      <w:kern w:val="0"/>
                      <w:sz w:val="21"/>
                      <w:szCs w:val="21"/>
                      <w:highlight w:val="none"/>
                      <w:vertAlign w:val="baseline"/>
                      <w:lang w:val="en-US" w:eastAsia="zh-CN" w:bidi="ar-SA"/>
                    </w:rPr>
                    <w:t>+</w:t>
                  </w:r>
                  <w:r>
                    <w:rPr>
                      <w:rFonts w:hint="default" w:ascii="Times New Roman" w:hAnsi="Times New Roman" w:cs="Times New Roman"/>
                      <w:color w:val="auto"/>
                      <w:kern w:val="0"/>
                      <w:sz w:val="21"/>
                      <w:szCs w:val="21"/>
                      <w:highlight w:val="none"/>
                      <w:vertAlign w:val="baseline"/>
                      <w:lang w:val="en-US" w:eastAsia="zh-CN" w:bidi="ar-SA"/>
                    </w:rPr>
                    <w:t>01</w:t>
                  </w:r>
                  <w:r>
                    <w:rPr>
                      <w:rFonts w:hint="default" w:ascii="Times New Roman" w:hAnsi="Times New Roman" w:eastAsia="宋体" w:cs="Times New Roman"/>
                      <w:color w:val="auto"/>
                      <w:kern w:val="0"/>
                      <w:sz w:val="21"/>
                      <w:szCs w:val="21"/>
                      <w:highlight w:val="none"/>
                      <w:vertAlign w:val="baseline"/>
                      <w:lang w:val="en-US" w:eastAsia="zh-CN" w:bidi="ar-SA"/>
                    </w:rPr>
                    <w:t>0</w:t>
                  </w:r>
                  <w:r>
                    <w:rPr>
                      <w:rFonts w:hint="eastAsia" w:cs="Times New Roman"/>
                      <w:color w:val="auto"/>
                      <w:kern w:val="0"/>
                      <w:sz w:val="21"/>
                      <w:szCs w:val="21"/>
                      <w:highlight w:val="none"/>
                      <w:vertAlign w:val="baseline"/>
                      <w:lang w:val="en-US" w:eastAsia="zh-CN" w:bidi="ar-SA"/>
                    </w:rPr>
                    <w:t>~</w:t>
                  </w:r>
                  <w:r>
                    <w:rPr>
                      <w:rFonts w:hint="default" w:ascii="Times New Roman" w:hAnsi="Times New Roman" w:eastAsia="宋体" w:cs="Times New Roman"/>
                      <w:color w:val="auto"/>
                      <w:kern w:val="0"/>
                      <w:sz w:val="21"/>
                      <w:szCs w:val="21"/>
                      <w:highlight w:val="none"/>
                      <w:vertAlign w:val="baseline"/>
                      <w:lang w:val="en-US" w:eastAsia="zh-CN" w:bidi="ar-SA"/>
                    </w:rPr>
                    <w:t>GY</w:t>
                  </w:r>
                  <w:r>
                    <w:rPr>
                      <w:rFonts w:hint="default" w:ascii="Times New Roman" w:hAnsi="Times New Roman" w:cs="Times New Roman"/>
                      <w:color w:val="auto"/>
                      <w:kern w:val="0"/>
                      <w:sz w:val="21"/>
                      <w:szCs w:val="21"/>
                      <w:highlight w:val="none"/>
                      <w:vertAlign w:val="baseline"/>
                      <w:lang w:val="en-US" w:eastAsia="zh-CN" w:bidi="ar-SA"/>
                    </w:rPr>
                    <w:t>4</w:t>
                  </w:r>
                  <w:r>
                    <w:rPr>
                      <w:rFonts w:hint="default" w:ascii="Times New Roman" w:hAnsi="Times New Roman" w:eastAsia="宋体" w:cs="Times New Roman"/>
                      <w:color w:val="auto"/>
                      <w:kern w:val="0"/>
                      <w:sz w:val="21"/>
                      <w:szCs w:val="21"/>
                      <w:highlight w:val="none"/>
                      <w:vertAlign w:val="baseline"/>
                      <w:lang w:val="en-US" w:eastAsia="zh-CN" w:bidi="ar-SA"/>
                    </w:rPr>
                    <w:t>8+</w:t>
                  </w:r>
                  <w:r>
                    <w:rPr>
                      <w:rFonts w:hint="default" w:ascii="Times New Roman" w:hAnsi="Times New Roman" w:cs="Times New Roman"/>
                      <w:color w:val="auto"/>
                      <w:kern w:val="0"/>
                      <w:sz w:val="21"/>
                      <w:szCs w:val="21"/>
                      <w:highlight w:val="none"/>
                      <w:vertAlign w:val="baseline"/>
                      <w:lang w:val="en-US" w:eastAsia="zh-CN" w:bidi="ar-SA"/>
                    </w:rPr>
                    <w:t>88</w:t>
                  </w:r>
                  <w:r>
                    <w:rPr>
                      <w:rFonts w:hint="default" w:ascii="Times New Roman" w:hAnsi="Times New Roman" w:eastAsia="宋体" w:cs="Times New Roman"/>
                      <w:color w:val="auto"/>
                      <w:kern w:val="0"/>
                      <w:sz w:val="21"/>
                      <w:szCs w:val="21"/>
                      <w:highlight w:val="none"/>
                      <w:vertAlign w:val="baseline"/>
                      <w:lang w:val="en-US" w:eastAsia="zh-CN" w:bidi="ar-SA"/>
                    </w:rPr>
                    <w:t>0</w:t>
                  </w:r>
                </w:p>
              </w:tc>
              <w:tc>
                <w:tcPr>
                  <w:tcW w:w="857" w:type="pct"/>
                  <w:tcBorders>
                    <w:tl2br w:val="nil"/>
                    <w:tr2bl w:val="nil"/>
                  </w:tcBorders>
                  <w:vAlign w:val="center"/>
                </w:tcPr>
                <w:p w14:paraId="16E8F80C">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3.87</w:t>
                  </w:r>
                </w:p>
              </w:tc>
              <w:tc>
                <w:tcPr>
                  <w:tcW w:w="679" w:type="pct"/>
                  <w:tcBorders>
                    <w:tl2br w:val="nil"/>
                    <w:tr2bl w:val="nil"/>
                  </w:tcBorders>
                  <w:vAlign w:val="center"/>
                </w:tcPr>
                <w:p w14:paraId="42A03211">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30</w:t>
                  </w:r>
                </w:p>
              </w:tc>
              <w:tc>
                <w:tcPr>
                  <w:tcW w:w="666" w:type="pct"/>
                  <w:tcBorders>
                    <w:tl2br w:val="nil"/>
                    <w:tr2bl w:val="nil"/>
                  </w:tcBorders>
                  <w:vAlign w:val="center"/>
                </w:tcPr>
                <w:p w14:paraId="54C8CAAF">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2.0</w:t>
                  </w:r>
                </w:p>
              </w:tc>
              <w:tc>
                <w:tcPr>
                  <w:tcW w:w="679" w:type="pct"/>
                  <w:tcBorders>
                    <w:tl2br w:val="nil"/>
                    <w:tr2bl w:val="nil"/>
                  </w:tcBorders>
                  <w:vAlign w:val="center"/>
                </w:tcPr>
                <w:p w14:paraId="242948E1">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1/600</w:t>
                  </w:r>
                </w:p>
              </w:tc>
            </w:tr>
          </w:tbl>
          <w:p w14:paraId="3DFE8653">
            <w:pPr>
              <w:pStyle w:val="11"/>
              <w:adjustRightInd w:val="0"/>
              <w:spacing w:before="0" w:after="0" w:line="360" w:lineRule="auto"/>
              <w:ind w:right="0"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w:t>
            </w:r>
            <w:r>
              <w:rPr>
                <w:rFonts w:hint="eastAsia" w:cs="Times New Roman"/>
                <w:color w:val="auto"/>
                <w:kern w:val="0"/>
                <w:sz w:val="24"/>
                <w:szCs w:val="24"/>
                <w:highlight w:val="none"/>
                <w:lang w:val="en-US" w:eastAsia="zh-CN" w:bidi="ar-SA"/>
              </w:rPr>
              <w:t>4</w:t>
            </w:r>
            <w:r>
              <w:rPr>
                <w:rFonts w:hint="default" w:ascii="Times New Roman" w:hAnsi="Times New Roman" w:eastAsia="宋体" w:cs="Times New Roman"/>
                <w:color w:val="auto"/>
                <w:kern w:val="0"/>
                <w:sz w:val="24"/>
                <w:szCs w:val="24"/>
                <w:highlight w:val="none"/>
                <w:lang w:val="en-US" w:eastAsia="zh-CN" w:bidi="ar-SA"/>
              </w:rPr>
              <w:t>）</w:t>
            </w:r>
            <w:r>
              <w:rPr>
                <w:rFonts w:hint="default" w:ascii="Times New Roman" w:hAnsi="Times New Roman" w:cs="Times New Roman"/>
                <w:color w:val="auto"/>
                <w:kern w:val="0"/>
                <w:sz w:val="24"/>
                <w:szCs w:val="24"/>
                <w:highlight w:val="none"/>
                <w:lang w:val="en-US" w:eastAsia="zh-CN" w:bidi="ar-SA"/>
              </w:rPr>
              <w:t>巡护道路</w:t>
            </w:r>
            <w:r>
              <w:rPr>
                <w:rFonts w:hint="default" w:ascii="Times New Roman" w:hAnsi="Times New Roman" w:eastAsia="宋体" w:cs="Times New Roman"/>
                <w:color w:val="auto"/>
                <w:kern w:val="0"/>
                <w:sz w:val="24"/>
                <w:szCs w:val="24"/>
                <w:highlight w:val="none"/>
                <w:lang w:val="en-US" w:eastAsia="zh-CN" w:bidi="ar-SA"/>
              </w:rPr>
              <w:t>工程：</w:t>
            </w:r>
          </w:p>
          <w:p w14:paraId="52E44CBB">
            <w:pPr>
              <w:pStyle w:val="11"/>
              <w:adjustRightInd w:val="0"/>
              <w:spacing w:before="0" w:after="0" w:line="360" w:lineRule="auto"/>
              <w:ind w:right="0"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为了便于工程抢修，并考虑方便高崖沟两岸群众的生产生活，根据工程管理的需要，结合已建护岸及现有生产道路的布置，在GY43+600</w:t>
            </w:r>
            <w:r>
              <w:rPr>
                <w:rFonts w:hint="eastAsia"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GY65+990右岸布置新建巡护路长度约20.2km。</w:t>
            </w:r>
          </w:p>
          <w:p w14:paraId="5B7C588D">
            <w:pPr>
              <w:pStyle w:val="11"/>
              <w:adjustRightInd w:val="0"/>
              <w:spacing w:before="0" w:after="0" w:line="360" w:lineRule="auto"/>
              <w:ind w:right="0" w:firstLine="480" w:firstLineChars="200"/>
              <w:rPr>
                <w:rFonts w:hint="default" w:ascii="Times New Roman" w:hAnsi="Times New Roman" w:eastAsia="黑体" w:cs="Times New Roman"/>
                <w:color w:val="auto"/>
                <w:kern w:val="0"/>
                <w:sz w:val="24"/>
                <w:szCs w:val="24"/>
                <w:highlight w:val="none"/>
                <w:lang w:val="en-US" w:eastAsia="zh-CN" w:bidi="ar-SA"/>
              </w:rPr>
            </w:pPr>
            <w:r>
              <w:rPr>
                <w:rFonts w:hint="default" w:ascii="Times New Roman" w:hAnsi="Times New Roman" w:eastAsia="黑体" w:cs="Times New Roman"/>
                <w:color w:val="auto"/>
                <w:kern w:val="0"/>
                <w:sz w:val="24"/>
                <w:szCs w:val="24"/>
                <w:highlight w:val="none"/>
                <w:lang w:val="en-US" w:eastAsia="zh-CN" w:bidi="ar-SA"/>
              </w:rPr>
              <w:t>2、施工布置情况</w:t>
            </w:r>
          </w:p>
          <w:p w14:paraId="651D3E87">
            <w:pPr>
              <w:pStyle w:val="11"/>
              <w:adjustRightInd w:val="0"/>
              <w:spacing w:before="0" w:after="0" w:line="360" w:lineRule="auto"/>
              <w:ind w:right="0" w:firstLine="480" w:firstLineChars="200"/>
              <w:rPr>
                <w:rFonts w:hint="default" w:ascii="Times New Roman" w:hAnsi="Times New Roman" w:cs="Times New Roman"/>
                <w:color w:val="auto"/>
                <w:kern w:val="0"/>
                <w:sz w:val="24"/>
                <w:szCs w:val="24"/>
                <w:highlight w:val="none"/>
                <w:vertAlign w:val="baseline"/>
                <w:lang w:val="en-US" w:eastAsia="zh-CN" w:bidi="ar-SA"/>
              </w:rPr>
            </w:pPr>
            <w:r>
              <w:rPr>
                <w:rFonts w:hint="default" w:ascii="Times New Roman" w:hAnsi="Times New Roman" w:cs="Times New Roman"/>
                <w:color w:val="auto"/>
                <w:kern w:val="0"/>
                <w:sz w:val="24"/>
                <w:szCs w:val="24"/>
                <w:highlight w:val="none"/>
                <w:vertAlign w:val="baseline"/>
                <w:lang w:val="en-US" w:eastAsia="zh-CN" w:bidi="ar-SA"/>
              </w:rPr>
              <w:t>本工程施工布置相对简单，以结合场地实际、服从工程需要、有利于交通、便于施工、安全适用、就近便利、少占场地，密切配合、避免干扰、提高效率的前提下，满足施工进度和施工强度的要求，力求达到相互干扰少、管理方便、节约投资、对周围环境污染轻的要求。</w:t>
            </w:r>
          </w:p>
          <w:p w14:paraId="3066FE2E">
            <w:pPr>
              <w:pStyle w:val="11"/>
              <w:adjustRightInd w:val="0"/>
              <w:spacing w:before="0" w:after="0" w:line="360" w:lineRule="auto"/>
              <w:ind w:right="0" w:firstLine="480" w:firstLineChars="200"/>
              <w:rPr>
                <w:rFonts w:hint="default" w:ascii="Times New Roman" w:hAnsi="Times New Roman" w:cs="Times New Roman"/>
                <w:color w:val="auto"/>
                <w:kern w:val="0"/>
                <w:sz w:val="24"/>
                <w:szCs w:val="24"/>
                <w:highlight w:val="none"/>
                <w:vertAlign w:val="baseline"/>
                <w:lang w:val="en-US" w:eastAsia="zh-CN" w:bidi="ar-SA"/>
              </w:rPr>
            </w:pPr>
            <w:r>
              <w:rPr>
                <w:rFonts w:hint="default" w:ascii="Times New Roman" w:hAnsi="Times New Roman" w:cs="Times New Roman"/>
                <w:color w:val="auto"/>
                <w:kern w:val="0"/>
                <w:sz w:val="24"/>
                <w:szCs w:val="24"/>
                <w:highlight w:val="none"/>
                <w:vertAlign w:val="baseline"/>
                <w:lang w:val="en-US" w:eastAsia="zh-CN" w:bidi="ar-SA"/>
              </w:rPr>
              <w:t>本工程施工营地采用集中布置的方式，根据总布置原则、工程施工强度，结合工程区地形、工程施工长度和交通条件等方面分析，</w:t>
            </w:r>
            <w:r>
              <w:rPr>
                <w:rFonts w:hint="eastAsia" w:cs="Times New Roman"/>
                <w:color w:val="auto"/>
                <w:kern w:val="0"/>
                <w:sz w:val="24"/>
                <w:szCs w:val="24"/>
                <w:highlight w:val="none"/>
                <w:vertAlign w:val="baseline"/>
                <w:lang w:val="en-US" w:eastAsia="zh-CN" w:bidi="ar-SA"/>
              </w:rPr>
              <w:t>施工营地</w:t>
            </w:r>
            <w:r>
              <w:rPr>
                <w:rFonts w:hint="default" w:ascii="Times New Roman" w:hAnsi="Times New Roman" w:cs="Times New Roman"/>
                <w:color w:val="auto"/>
                <w:kern w:val="0"/>
                <w:sz w:val="24"/>
                <w:szCs w:val="24"/>
                <w:highlight w:val="none"/>
                <w:vertAlign w:val="baseline"/>
                <w:lang w:val="en-US" w:eastAsia="zh-CN" w:bidi="ar-SA"/>
              </w:rPr>
              <w:t>分6个布置，具体见图2-</w:t>
            </w:r>
            <w:r>
              <w:rPr>
                <w:rFonts w:hint="eastAsia" w:cs="Times New Roman"/>
                <w:color w:val="auto"/>
                <w:kern w:val="0"/>
                <w:sz w:val="24"/>
                <w:szCs w:val="24"/>
                <w:highlight w:val="none"/>
                <w:vertAlign w:val="baseline"/>
                <w:lang w:val="en-US" w:eastAsia="zh-CN" w:bidi="ar-SA"/>
              </w:rPr>
              <w:t>8</w:t>
            </w:r>
            <w:r>
              <w:rPr>
                <w:rFonts w:hint="default" w:ascii="Times New Roman" w:hAnsi="Times New Roman" w:cs="Times New Roman"/>
                <w:color w:val="auto"/>
                <w:kern w:val="0"/>
                <w:sz w:val="24"/>
                <w:szCs w:val="24"/>
                <w:highlight w:val="none"/>
                <w:vertAlign w:val="baseline"/>
                <w:lang w:val="en-US" w:eastAsia="zh-CN" w:bidi="ar-SA"/>
              </w:rPr>
              <w:t>；</w:t>
            </w:r>
            <w:r>
              <w:rPr>
                <w:rFonts w:hint="eastAsia" w:cs="Times New Roman"/>
                <w:color w:val="auto"/>
                <w:kern w:val="0"/>
                <w:sz w:val="24"/>
                <w:szCs w:val="24"/>
                <w:highlight w:val="none"/>
                <w:vertAlign w:val="baseline"/>
                <w:lang w:val="en-US" w:eastAsia="zh-CN" w:bidi="ar-SA"/>
              </w:rPr>
              <w:t>施工营地内部分区及布置</w:t>
            </w:r>
            <w:r>
              <w:rPr>
                <w:rFonts w:hint="default" w:ascii="Times New Roman" w:hAnsi="Times New Roman" w:cs="Times New Roman"/>
                <w:color w:val="auto"/>
                <w:kern w:val="0"/>
                <w:sz w:val="24"/>
                <w:szCs w:val="24"/>
                <w:highlight w:val="none"/>
                <w:vertAlign w:val="baseline"/>
                <w:lang w:val="en-US" w:eastAsia="zh-CN" w:bidi="ar-SA"/>
              </w:rPr>
              <w:t>见表</w:t>
            </w:r>
            <w:r>
              <w:rPr>
                <w:rFonts w:hint="eastAsia" w:cs="Times New Roman"/>
                <w:color w:val="auto"/>
                <w:kern w:val="0"/>
                <w:sz w:val="24"/>
                <w:szCs w:val="24"/>
                <w:highlight w:val="none"/>
                <w:vertAlign w:val="baseline"/>
                <w:lang w:val="en-US" w:eastAsia="zh-CN" w:bidi="ar-SA"/>
              </w:rPr>
              <w:t>2-11</w:t>
            </w:r>
            <w:r>
              <w:rPr>
                <w:rFonts w:hint="default" w:ascii="Times New Roman" w:hAnsi="Times New Roman" w:cs="Times New Roman"/>
                <w:color w:val="auto"/>
                <w:kern w:val="0"/>
                <w:sz w:val="24"/>
                <w:szCs w:val="24"/>
                <w:highlight w:val="none"/>
                <w:vertAlign w:val="baseline"/>
                <w:lang w:val="en-US" w:eastAsia="zh-CN" w:bidi="ar-SA"/>
              </w:rPr>
              <w:t>。</w:t>
            </w:r>
          </w:p>
          <w:p w14:paraId="3177C9A5">
            <w:pPr>
              <w:pStyle w:val="11"/>
              <w:adjustRightInd w:val="0"/>
              <w:spacing w:before="0" w:after="0" w:line="240" w:lineRule="auto"/>
              <w:ind w:right="0"/>
              <w:jc w:val="center"/>
              <w:rPr>
                <w:rFonts w:hint="default" w:ascii="Times New Roman" w:hAnsi="Times New Roman" w:eastAsia="黑体" w:cs="Times New Roman"/>
                <w:color w:val="auto"/>
                <w:kern w:val="0"/>
                <w:sz w:val="24"/>
                <w:szCs w:val="24"/>
                <w:highlight w:val="none"/>
                <w:lang w:val="en-US" w:eastAsia="zh-CN" w:bidi="ar-SA"/>
              </w:rPr>
            </w:pPr>
            <w:r>
              <w:rPr>
                <w:rFonts w:hint="default" w:ascii="Times New Roman" w:hAnsi="Times New Roman" w:eastAsia="黑体" w:cs="Times New Roman"/>
                <w:color w:val="auto"/>
                <w:kern w:val="0"/>
                <w:sz w:val="24"/>
                <w:szCs w:val="24"/>
                <w:highlight w:val="none"/>
                <w:lang w:val="en-US" w:eastAsia="zh-CN" w:bidi="ar-SA"/>
              </w:rPr>
              <w:t>表</w:t>
            </w:r>
            <w:r>
              <w:rPr>
                <w:rFonts w:hint="eastAsia" w:eastAsia="黑体" w:cs="Times New Roman"/>
                <w:color w:val="auto"/>
                <w:kern w:val="0"/>
                <w:sz w:val="24"/>
                <w:szCs w:val="24"/>
                <w:highlight w:val="none"/>
                <w:lang w:val="en-US" w:eastAsia="zh-CN" w:bidi="ar-SA"/>
              </w:rPr>
              <w:t>2-</w:t>
            </w:r>
            <w:r>
              <w:rPr>
                <w:rFonts w:hint="default" w:ascii="Times New Roman" w:hAnsi="Times New Roman" w:eastAsia="黑体" w:cs="Times New Roman"/>
                <w:color w:val="auto"/>
                <w:kern w:val="0"/>
                <w:sz w:val="24"/>
                <w:szCs w:val="24"/>
                <w:highlight w:val="none"/>
                <w:lang w:val="en-US" w:eastAsia="zh-CN" w:bidi="ar-SA"/>
              </w:rPr>
              <w:t>11  项目施工营地内部分区及布置一览表</w:t>
            </w:r>
          </w:p>
          <w:tbl>
            <w:tblPr>
              <w:tblStyle w:val="27"/>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2761"/>
              <w:gridCol w:w="2319"/>
              <w:gridCol w:w="1999"/>
            </w:tblGrid>
            <w:tr w14:paraId="169C29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0" w:type="pct"/>
                  <w:tcBorders>
                    <w:tl2br w:val="nil"/>
                    <w:tr2bl w:val="nil"/>
                  </w:tcBorders>
                  <w:vAlign w:val="center"/>
                </w:tcPr>
                <w:p w14:paraId="4F1CC2FC">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SA"/>
                    </w:rPr>
                  </w:pPr>
                  <w:r>
                    <w:rPr>
                      <w:rFonts w:hint="default" w:ascii="Times New Roman" w:hAnsi="Times New Roman" w:eastAsia="宋体" w:cs="Times New Roman"/>
                      <w:b/>
                      <w:bCs/>
                      <w:color w:val="auto"/>
                      <w:kern w:val="0"/>
                      <w:sz w:val="21"/>
                      <w:szCs w:val="21"/>
                      <w:highlight w:val="none"/>
                      <w:vertAlign w:val="baseline"/>
                      <w:lang w:val="en-US" w:eastAsia="zh-CN" w:bidi="ar-SA"/>
                    </w:rPr>
                    <w:t>序号</w:t>
                  </w:r>
                </w:p>
              </w:tc>
              <w:tc>
                <w:tcPr>
                  <w:tcW w:w="1661" w:type="pct"/>
                  <w:tcBorders>
                    <w:tl2br w:val="nil"/>
                    <w:tr2bl w:val="nil"/>
                  </w:tcBorders>
                  <w:vAlign w:val="center"/>
                </w:tcPr>
                <w:p w14:paraId="5FB65F84">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SA"/>
                    </w:rPr>
                  </w:pPr>
                  <w:r>
                    <w:rPr>
                      <w:rFonts w:hint="default" w:ascii="Times New Roman" w:hAnsi="Times New Roman" w:cs="Times New Roman"/>
                      <w:b/>
                      <w:bCs/>
                      <w:color w:val="auto"/>
                      <w:kern w:val="0"/>
                      <w:sz w:val="21"/>
                      <w:szCs w:val="21"/>
                      <w:highlight w:val="none"/>
                      <w:vertAlign w:val="baseline"/>
                      <w:lang w:val="en-US" w:eastAsia="zh-CN" w:bidi="ar-SA"/>
                    </w:rPr>
                    <w:t>生产、生活设施名称</w:t>
                  </w:r>
                </w:p>
              </w:tc>
              <w:tc>
                <w:tcPr>
                  <w:tcW w:w="1395" w:type="pct"/>
                  <w:tcBorders>
                    <w:tl2br w:val="nil"/>
                    <w:tr2bl w:val="nil"/>
                  </w:tcBorders>
                  <w:vAlign w:val="center"/>
                </w:tcPr>
                <w:p w14:paraId="37918BF7">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SA"/>
                    </w:rPr>
                  </w:pPr>
                  <w:r>
                    <w:rPr>
                      <w:rFonts w:hint="default" w:ascii="Times New Roman" w:hAnsi="Times New Roman" w:cs="Times New Roman"/>
                      <w:b/>
                      <w:bCs/>
                      <w:color w:val="auto"/>
                      <w:kern w:val="0"/>
                      <w:sz w:val="21"/>
                      <w:szCs w:val="21"/>
                      <w:highlight w:val="none"/>
                      <w:vertAlign w:val="baseline"/>
                      <w:lang w:val="en-US" w:eastAsia="zh-CN" w:bidi="ar-SA"/>
                    </w:rPr>
                    <w:t>建筑面积（m²）</w:t>
                  </w:r>
                </w:p>
              </w:tc>
              <w:tc>
                <w:tcPr>
                  <w:tcW w:w="1202" w:type="pct"/>
                  <w:tcBorders>
                    <w:tl2br w:val="nil"/>
                    <w:tr2bl w:val="nil"/>
                  </w:tcBorders>
                  <w:vAlign w:val="center"/>
                </w:tcPr>
                <w:p w14:paraId="05D34B77">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SA"/>
                    </w:rPr>
                  </w:pPr>
                  <w:r>
                    <w:rPr>
                      <w:rFonts w:hint="default" w:ascii="Times New Roman" w:hAnsi="Times New Roman" w:cs="Times New Roman"/>
                      <w:b/>
                      <w:bCs/>
                      <w:color w:val="auto"/>
                      <w:kern w:val="0"/>
                      <w:sz w:val="21"/>
                      <w:szCs w:val="21"/>
                      <w:highlight w:val="none"/>
                      <w:vertAlign w:val="baseline"/>
                      <w:lang w:val="en-US" w:eastAsia="zh-CN" w:bidi="ar-SA"/>
                    </w:rPr>
                    <w:t>占地面积（m²）</w:t>
                  </w:r>
                </w:p>
              </w:tc>
            </w:tr>
            <w:tr w14:paraId="1FD046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0" w:type="pct"/>
                  <w:tcBorders>
                    <w:tl2br w:val="nil"/>
                    <w:tr2bl w:val="nil"/>
                  </w:tcBorders>
                  <w:vAlign w:val="center"/>
                </w:tcPr>
                <w:p w14:paraId="6906AE80">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1</w:t>
                  </w:r>
                </w:p>
              </w:tc>
              <w:tc>
                <w:tcPr>
                  <w:tcW w:w="1661" w:type="pct"/>
                  <w:tcBorders>
                    <w:tl2br w:val="nil"/>
                    <w:tr2bl w:val="nil"/>
                  </w:tcBorders>
                  <w:vAlign w:val="center"/>
                </w:tcPr>
                <w:p w14:paraId="400423C3">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施工材料堆放区</w:t>
                  </w:r>
                </w:p>
              </w:tc>
              <w:tc>
                <w:tcPr>
                  <w:tcW w:w="1395" w:type="pct"/>
                  <w:tcBorders>
                    <w:tl2br w:val="nil"/>
                    <w:tr2bl w:val="nil"/>
                  </w:tcBorders>
                  <w:vAlign w:val="center"/>
                </w:tcPr>
                <w:p w14:paraId="79179B6E">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8</w:t>
                  </w:r>
                  <w:r>
                    <w:rPr>
                      <w:rFonts w:hint="default" w:ascii="Times New Roman" w:hAnsi="Times New Roman" w:cs="Times New Roman"/>
                      <w:color w:val="auto"/>
                      <w:kern w:val="0"/>
                      <w:sz w:val="21"/>
                      <w:szCs w:val="21"/>
                      <w:highlight w:val="none"/>
                      <w:vertAlign w:val="baseline"/>
                      <w:lang w:val="en-US" w:eastAsia="zh-CN" w:bidi="ar-SA"/>
                    </w:rPr>
                    <w:t>00</w:t>
                  </w:r>
                </w:p>
              </w:tc>
              <w:tc>
                <w:tcPr>
                  <w:tcW w:w="1202" w:type="pct"/>
                  <w:tcBorders>
                    <w:tl2br w:val="nil"/>
                    <w:tr2bl w:val="nil"/>
                  </w:tcBorders>
                  <w:vAlign w:val="center"/>
                </w:tcPr>
                <w:p w14:paraId="70FE8A5D">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8</w:t>
                  </w:r>
                  <w:r>
                    <w:rPr>
                      <w:rFonts w:hint="default" w:ascii="Times New Roman" w:hAnsi="Times New Roman" w:cs="Times New Roman"/>
                      <w:color w:val="auto"/>
                      <w:kern w:val="0"/>
                      <w:sz w:val="21"/>
                      <w:szCs w:val="21"/>
                      <w:highlight w:val="none"/>
                      <w:vertAlign w:val="baseline"/>
                      <w:lang w:val="en-US" w:eastAsia="zh-CN" w:bidi="ar-SA"/>
                    </w:rPr>
                    <w:t>00</w:t>
                  </w:r>
                </w:p>
              </w:tc>
            </w:tr>
            <w:tr w14:paraId="79A068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0" w:type="pct"/>
                  <w:tcBorders>
                    <w:tl2br w:val="nil"/>
                    <w:tr2bl w:val="nil"/>
                  </w:tcBorders>
                  <w:vAlign w:val="center"/>
                </w:tcPr>
                <w:p w14:paraId="5FE30F2A">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2</w:t>
                  </w:r>
                </w:p>
              </w:tc>
              <w:tc>
                <w:tcPr>
                  <w:tcW w:w="1661" w:type="pct"/>
                  <w:tcBorders>
                    <w:tl2br w:val="nil"/>
                    <w:tr2bl w:val="nil"/>
                  </w:tcBorders>
                  <w:vAlign w:val="center"/>
                </w:tcPr>
                <w:p w14:paraId="752C2FA6">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机械停放场</w:t>
                  </w:r>
                </w:p>
              </w:tc>
              <w:tc>
                <w:tcPr>
                  <w:tcW w:w="1395" w:type="pct"/>
                  <w:tcBorders>
                    <w:tl2br w:val="nil"/>
                    <w:tr2bl w:val="nil"/>
                  </w:tcBorders>
                  <w:vAlign w:val="center"/>
                </w:tcPr>
                <w:p w14:paraId="0FE5C94E">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200</w:t>
                  </w:r>
                </w:p>
              </w:tc>
              <w:tc>
                <w:tcPr>
                  <w:tcW w:w="1202" w:type="pct"/>
                  <w:tcBorders>
                    <w:tl2br w:val="nil"/>
                    <w:tr2bl w:val="nil"/>
                  </w:tcBorders>
                  <w:vAlign w:val="center"/>
                </w:tcPr>
                <w:p w14:paraId="456BFAE6">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1000</w:t>
                  </w:r>
                </w:p>
              </w:tc>
            </w:tr>
            <w:tr w14:paraId="51EA00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0" w:type="pct"/>
                  <w:tcBorders>
                    <w:tl2br w:val="nil"/>
                    <w:tr2bl w:val="nil"/>
                  </w:tcBorders>
                  <w:vAlign w:val="center"/>
                </w:tcPr>
                <w:p w14:paraId="46FC5478">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3</w:t>
                  </w:r>
                </w:p>
              </w:tc>
              <w:tc>
                <w:tcPr>
                  <w:tcW w:w="1661" w:type="pct"/>
                  <w:tcBorders>
                    <w:tl2br w:val="nil"/>
                    <w:tr2bl w:val="nil"/>
                  </w:tcBorders>
                  <w:vAlign w:val="center"/>
                </w:tcPr>
                <w:p w14:paraId="7E674120">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施工生活区</w:t>
                  </w:r>
                </w:p>
              </w:tc>
              <w:tc>
                <w:tcPr>
                  <w:tcW w:w="1395" w:type="pct"/>
                  <w:tcBorders>
                    <w:tl2br w:val="nil"/>
                    <w:tr2bl w:val="nil"/>
                  </w:tcBorders>
                  <w:vAlign w:val="center"/>
                </w:tcPr>
                <w:p w14:paraId="2452A5CE">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1000</w:t>
                  </w:r>
                </w:p>
              </w:tc>
              <w:tc>
                <w:tcPr>
                  <w:tcW w:w="1202" w:type="pct"/>
                  <w:tcBorders>
                    <w:tl2br w:val="nil"/>
                    <w:tr2bl w:val="nil"/>
                  </w:tcBorders>
                  <w:vAlign w:val="center"/>
                </w:tcPr>
                <w:p w14:paraId="34F65BD1">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2000</w:t>
                  </w:r>
                </w:p>
              </w:tc>
            </w:tr>
            <w:tr w14:paraId="3A3CAF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0" w:type="pct"/>
                  <w:tcBorders>
                    <w:tl2br w:val="nil"/>
                    <w:tr2bl w:val="nil"/>
                  </w:tcBorders>
                  <w:vAlign w:val="center"/>
                </w:tcPr>
                <w:p w14:paraId="41E59256">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4</w:t>
                  </w:r>
                </w:p>
              </w:tc>
              <w:tc>
                <w:tcPr>
                  <w:tcW w:w="1661" w:type="pct"/>
                  <w:tcBorders>
                    <w:tl2br w:val="nil"/>
                    <w:tr2bl w:val="nil"/>
                  </w:tcBorders>
                  <w:vAlign w:val="center"/>
                </w:tcPr>
                <w:p w14:paraId="68D69AED">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合计</w:t>
                  </w:r>
                </w:p>
              </w:tc>
              <w:tc>
                <w:tcPr>
                  <w:tcW w:w="1395" w:type="pct"/>
                  <w:tcBorders>
                    <w:tl2br w:val="nil"/>
                    <w:tr2bl w:val="nil"/>
                  </w:tcBorders>
                  <w:vAlign w:val="center"/>
                </w:tcPr>
                <w:p w14:paraId="6152B4C3">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1600</w:t>
                  </w:r>
                </w:p>
              </w:tc>
              <w:tc>
                <w:tcPr>
                  <w:tcW w:w="1202" w:type="pct"/>
                  <w:tcBorders>
                    <w:tl2br w:val="nil"/>
                    <w:tr2bl w:val="nil"/>
                  </w:tcBorders>
                  <w:vAlign w:val="center"/>
                </w:tcPr>
                <w:p w14:paraId="05C3731C">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3800</w:t>
                  </w:r>
                </w:p>
              </w:tc>
            </w:tr>
          </w:tbl>
          <w:p w14:paraId="1598D78D">
            <w:pPr>
              <w:pStyle w:val="11"/>
              <w:adjustRightInd w:val="0"/>
              <w:spacing w:before="0" w:after="0" w:line="360" w:lineRule="auto"/>
              <w:ind w:right="0" w:firstLine="480" w:firstLineChars="200"/>
              <w:rPr>
                <w:rFonts w:hint="default" w:ascii="Times New Roman" w:hAnsi="Times New Roman" w:eastAsia="仿宋_GB2312" w:cs="Times New Roman"/>
                <w:bCs/>
                <w:color w:val="auto"/>
                <w:sz w:val="24"/>
                <w:highlight w:val="none"/>
                <w:lang w:val="en-US"/>
              </w:rPr>
            </w:pPr>
          </w:p>
        </w:tc>
      </w:tr>
      <w:tr w14:paraId="2595CAFB">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19" w:hRule="atLeast"/>
          <w:jc w:val="center"/>
        </w:trPr>
        <w:tc>
          <w:tcPr>
            <w:tcW w:w="485" w:type="dxa"/>
            <w:tcBorders>
              <w:tl2br w:val="nil"/>
              <w:tr2bl w:val="nil"/>
            </w:tcBorders>
            <w:vAlign w:val="center"/>
          </w:tcPr>
          <w:p w14:paraId="1C14C142">
            <w:pPr>
              <w:pStyle w:val="22"/>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r>
              <w:rPr>
                <w:rFonts w:hint="default" w:ascii="Times New Roman" w:hAnsi="Times New Roman" w:cs="Times New Roman" w:eastAsiaTheme="minorEastAsia"/>
                <w:b/>
                <w:bCs/>
                <w:color w:val="auto"/>
                <w:szCs w:val="24"/>
                <w:highlight w:val="none"/>
                <w:lang w:eastAsia="zh-CN"/>
              </w:rPr>
              <w:t>施工方案</w:t>
            </w:r>
          </w:p>
        </w:tc>
        <w:tc>
          <w:tcPr>
            <w:tcW w:w="8558" w:type="dxa"/>
            <w:tcBorders>
              <w:tl2br w:val="nil"/>
              <w:tr2bl w:val="nil"/>
            </w:tcBorders>
          </w:tcPr>
          <w:p w14:paraId="301CB703">
            <w:pPr>
              <w:adjustRightInd w:val="0"/>
              <w:spacing w:line="360" w:lineRule="auto"/>
              <w:rPr>
                <w:rFonts w:hint="default" w:ascii="Times New Roman" w:hAnsi="Times New Roman" w:eastAsia="黑体" w:cs="Times New Roman"/>
                <w:b w:val="0"/>
                <w:bCs w:val="0"/>
                <w:color w:val="auto"/>
                <w:kern w:val="0"/>
                <w:sz w:val="24"/>
                <w:szCs w:val="24"/>
                <w:highlight w:val="none"/>
                <w:lang w:val="en-US" w:eastAsia="zh-CN" w:bidi="ar-SA"/>
              </w:rPr>
            </w:pPr>
            <w:r>
              <w:rPr>
                <w:rFonts w:hint="default" w:ascii="Times New Roman" w:hAnsi="Times New Roman" w:eastAsia="黑体" w:cs="Times New Roman"/>
                <w:b w:val="0"/>
                <w:bCs w:val="0"/>
                <w:color w:val="auto"/>
                <w:kern w:val="0"/>
                <w:sz w:val="24"/>
                <w:szCs w:val="24"/>
                <w:highlight w:val="none"/>
                <w:lang w:val="en-US" w:eastAsia="zh-CN" w:bidi="ar-SA"/>
              </w:rPr>
              <w:t>1、施工工艺</w:t>
            </w:r>
          </w:p>
          <w:p w14:paraId="0B02F854">
            <w:pPr>
              <w:adjustRightInd w:val="0"/>
              <w:spacing w:line="360" w:lineRule="auto"/>
              <w:ind w:firstLine="482" w:firstLineChars="200"/>
              <w:rPr>
                <w:rFonts w:hint="default" w:ascii="Times New Roman" w:hAnsi="Times New Roman" w:eastAsia="宋体" w:cs="Times New Roman"/>
                <w:b/>
                <w:bCs/>
                <w:color w:val="auto"/>
                <w:kern w:val="0"/>
                <w:sz w:val="24"/>
                <w:szCs w:val="24"/>
                <w:highlight w:val="none"/>
                <w:lang w:val="en-US" w:eastAsia="zh-CN" w:bidi="ar-SA"/>
              </w:rPr>
            </w:pPr>
            <w:r>
              <w:rPr>
                <w:rFonts w:hint="default" w:ascii="Times New Roman" w:hAnsi="Times New Roman" w:cs="Times New Roman"/>
                <w:b/>
                <w:bCs/>
                <w:color w:val="auto"/>
                <w:kern w:val="0"/>
                <w:sz w:val="24"/>
                <w:szCs w:val="24"/>
                <w:highlight w:val="none"/>
                <w:lang w:val="en-US" w:eastAsia="zh-CN" w:bidi="ar-SA"/>
              </w:rPr>
              <w:t>1.1</w:t>
            </w:r>
            <w:r>
              <w:rPr>
                <w:rFonts w:hint="default" w:ascii="Times New Roman" w:hAnsi="Times New Roman" w:eastAsia="宋体" w:cs="Times New Roman"/>
                <w:b/>
                <w:bCs/>
                <w:color w:val="auto"/>
                <w:kern w:val="0"/>
                <w:sz w:val="24"/>
                <w:szCs w:val="24"/>
                <w:highlight w:val="none"/>
                <w:lang w:val="en-US" w:eastAsia="zh-CN" w:bidi="ar-SA"/>
              </w:rPr>
              <w:t>施工导流</w:t>
            </w:r>
          </w:p>
          <w:p w14:paraId="523C259B">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1.1</w:t>
            </w:r>
            <w:r>
              <w:rPr>
                <w:rFonts w:hint="default" w:ascii="Times New Roman" w:hAnsi="Times New Roman" w:eastAsia="宋体" w:cs="Times New Roman"/>
                <w:color w:val="auto"/>
                <w:kern w:val="0"/>
                <w:sz w:val="24"/>
                <w:szCs w:val="24"/>
                <w:highlight w:val="none"/>
                <w:lang w:val="en-US" w:eastAsia="zh-CN" w:bidi="ar-SA"/>
              </w:rPr>
              <w:t>.1导流标准</w:t>
            </w:r>
          </w:p>
          <w:p w14:paraId="5D5B1E20">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根据《水利水电工程施工组织设计规范》(SL303-2017)和《水利水电工程施工导流设计规范》(SL623-2013)中相应规定，根据其保护对象、失事后果、使用年限和围堰工程规模，确定导流建筑物级别为5级，相应土石类导流建筑物设计洪水重现期为10</w:t>
            </w:r>
            <w:r>
              <w:rPr>
                <w:rFonts w:hint="eastAsia"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5年，结合本工程的水文特性、工程规模和施工条件，考虑到围堰规模小、使用年限短，围堰失事影响较小，因此，导流洪水标准取5年一遇，护岸工程施工安排在枯水期。</w:t>
            </w:r>
          </w:p>
          <w:p w14:paraId="159CC8DD">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1.1</w:t>
            </w:r>
            <w:r>
              <w:rPr>
                <w:rFonts w:hint="default" w:ascii="Times New Roman" w:hAnsi="Times New Roman" w:eastAsia="宋体" w:cs="Times New Roman"/>
                <w:color w:val="auto"/>
                <w:kern w:val="0"/>
                <w:sz w:val="24"/>
                <w:szCs w:val="24"/>
                <w:highlight w:val="none"/>
                <w:lang w:val="en-US" w:eastAsia="zh-CN" w:bidi="ar-SA"/>
              </w:rPr>
              <w:t>.2导流方式</w:t>
            </w:r>
          </w:p>
          <w:p w14:paraId="602CB7B1">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根据工程布置特点，结合河堤分布及地形、地质、水文等因素，护岸工程导流采用局部纵向围堰导流，安排在</w:t>
            </w:r>
            <w:r>
              <w:rPr>
                <w:rFonts w:hint="eastAsia" w:cs="Times New Roman"/>
                <w:color w:val="auto"/>
                <w:kern w:val="0"/>
                <w:sz w:val="24"/>
                <w:szCs w:val="24"/>
                <w:highlight w:val="none"/>
                <w:lang w:val="en-US" w:eastAsia="zh-CN" w:bidi="ar-SA"/>
              </w:rPr>
              <w:t>枯水期</w:t>
            </w:r>
            <w:r>
              <w:rPr>
                <w:rFonts w:hint="default" w:ascii="Times New Roman" w:hAnsi="Times New Roman" w:eastAsia="宋体" w:cs="Times New Roman"/>
                <w:color w:val="auto"/>
                <w:kern w:val="0"/>
                <w:sz w:val="24"/>
                <w:szCs w:val="24"/>
                <w:highlight w:val="none"/>
                <w:lang w:val="en-US" w:eastAsia="zh-CN" w:bidi="ar-SA"/>
              </w:rPr>
              <w:t>进行，临河侧布置围堰，由编织袋填土围堰挡水，主体工程在围堰的保护下进行施工，施工完毕后拆除围堰，导流结束。</w:t>
            </w:r>
          </w:p>
          <w:p w14:paraId="00FAD552">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1.1</w:t>
            </w:r>
            <w:r>
              <w:rPr>
                <w:rFonts w:hint="default" w:ascii="Times New Roman" w:hAnsi="Times New Roman" w:eastAsia="宋体" w:cs="Times New Roman"/>
                <w:color w:val="auto"/>
                <w:kern w:val="0"/>
                <w:sz w:val="24"/>
                <w:szCs w:val="24"/>
                <w:highlight w:val="none"/>
                <w:lang w:val="en-US" w:eastAsia="zh-CN" w:bidi="ar-SA"/>
              </w:rPr>
              <w:t>.3导流建筑物施工</w:t>
            </w:r>
          </w:p>
          <w:p w14:paraId="2CCAF9FE">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围堰土料利用周边开挖土料，采用1m挖掘机挖装，10t自卸汽车运输。袋土围堰自坡脚处自下而上填筑土编织袋，采用人工装编织袋、人工搬运码砌，人工装袋、抛填。施工结束后，应拆除围堰，采用1m挖掘机拆除，10t自卸汽车运输。</w:t>
            </w:r>
          </w:p>
          <w:p w14:paraId="0D235AC9">
            <w:pPr>
              <w:adjustRightInd w:val="0"/>
              <w:spacing w:line="360" w:lineRule="auto"/>
              <w:ind w:firstLine="482" w:firstLineChars="200"/>
              <w:rPr>
                <w:rFonts w:hint="default" w:ascii="Times New Roman" w:hAnsi="Times New Roman" w:eastAsia="宋体" w:cs="Times New Roman"/>
                <w:b/>
                <w:bCs/>
                <w:color w:val="auto"/>
                <w:kern w:val="0"/>
                <w:sz w:val="24"/>
                <w:szCs w:val="24"/>
                <w:highlight w:val="none"/>
                <w:lang w:val="en-US" w:eastAsia="zh-CN" w:bidi="ar-SA"/>
              </w:rPr>
            </w:pPr>
            <w:r>
              <w:rPr>
                <w:rFonts w:hint="default" w:ascii="Times New Roman" w:hAnsi="Times New Roman" w:cs="Times New Roman"/>
                <w:b/>
                <w:bCs/>
                <w:color w:val="auto"/>
                <w:kern w:val="0"/>
                <w:sz w:val="24"/>
                <w:szCs w:val="24"/>
                <w:highlight w:val="none"/>
                <w:lang w:val="en-US" w:eastAsia="zh-CN" w:bidi="ar-SA"/>
              </w:rPr>
              <w:t>1.2</w:t>
            </w:r>
            <w:r>
              <w:rPr>
                <w:rFonts w:hint="default" w:ascii="Times New Roman" w:hAnsi="Times New Roman" w:eastAsia="宋体" w:cs="Times New Roman"/>
                <w:b/>
                <w:bCs/>
                <w:color w:val="auto"/>
                <w:kern w:val="0"/>
                <w:sz w:val="24"/>
                <w:szCs w:val="24"/>
                <w:highlight w:val="none"/>
                <w:lang w:val="en-US" w:eastAsia="zh-CN" w:bidi="ar-SA"/>
              </w:rPr>
              <w:t>主体工程施工</w:t>
            </w:r>
          </w:p>
          <w:p w14:paraId="14179A93">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工程主要施工内容为土方开挖和回填、浆砌石施工、混凝土浇筑等。工程施工部位较多，适合分段同时施工，施工时以机械化施工为主、人工为辅。</w:t>
            </w:r>
          </w:p>
          <w:p w14:paraId="61B91523">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1.2</w:t>
            </w:r>
            <w:r>
              <w:rPr>
                <w:rFonts w:hint="default" w:ascii="Times New Roman" w:hAnsi="Times New Roman" w:eastAsia="宋体" w:cs="Times New Roman"/>
                <w:color w:val="auto"/>
                <w:kern w:val="0"/>
                <w:sz w:val="24"/>
                <w:szCs w:val="24"/>
                <w:highlight w:val="none"/>
                <w:lang w:val="en-US" w:eastAsia="zh-CN" w:bidi="ar-SA"/>
              </w:rPr>
              <w:t>.1护岸工程</w:t>
            </w:r>
          </w:p>
          <w:p w14:paraId="297D8B67">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(1)土方开挖</w:t>
            </w:r>
          </w:p>
          <w:p w14:paraId="2BB28276">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土方开挖以挖掘机开挖为主，人工为辅，自卸汽车运土，开挖时</w:t>
            </w:r>
            <w:r>
              <w:rPr>
                <w:rFonts w:hint="eastAsia" w:cs="Times New Roman"/>
                <w:color w:val="auto"/>
                <w:kern w:val="0"/>
                <w:sz w:val="24"/>
                <w:szCs w:val="24"/>
                <w:highlight w:val="none"/>
                <w:lang w:val="en-US" w:eastAsia="zh-CN" w:bidi="ar-SA"/>
              </w:rPr>
              <w:t>需</w:t>
            </w:r>
            <w:r>
              <w:rPr>
                <w:rFonts w:hint="default" w:ascii="Times New Roman" w:hAnsi="Times New Roman" w:eastAsia="宋体" w:cs="Times New Roman"/>
                <w:color w:val="auto"/>
                <w:kern w:val="0"/>
                <w:sz w:val="24"/>
                <w:szCs w:val="24"/>
                <w:highlight w:val="none"/>
                <w:lang w:val="en-US" w:eastAsia="zh-CN" w:bidi="ar-SA"/>
              </w:rPr>
              <w:t>分段开挖，采用2</w:t>
            </w:r>
            <w:r>
              <w:rPr>
                <w:rFonts w:hint="default" w:ascii="Times New Roman" w:hAnsi="Times New Roman" w:cs="Times New Roman"/>
                <w:color w:val="auto"/>
                <w:kern w:val="0"/>
                <w:sz w:val="24"/>
                <w:szCs w:val="24"/>
                <w:highlight w:val="none"/>
                <w:lang w:val="en-US" w:eastAsia="zh-CN" w:bidi="ar-SA"/>
              </w:rPr>
              <w:t>m²</w:t>
            </w:r>
            <w:r>
              <w:rPr>
                <w:rFonts w:hint="default" w:ascii="Times New Roman" w:hAnsi="Times New Roman" w:eastAsia="宋体" w:cs="Times New Roman"/>
                <w:color w:val="auto"/>
                <w:kern w:val="0"/>
                <w:sz w:val="24"/>
                <w:szCs w:val="24"/>
                <w:highlight w:val="none"/>
                <w:lang w:val="en-US" w:eastAsia="zh-CN" w:bidi="ar-SA"/>
              </w:rPr>
              <w:t>挖掘机开挖，15t自卸汽车运输。机械开挖应从上而下分层分段依次进行，严禁在高度超过3m或在不稳定土体之下作业。在挖方边坡上如发现有土体或导致土体向挖方一侧滑移的软弱夹层、裂隙时，应及时清除和采取相应措施，以防止土体崩塌与下滑。开挖完成后及时进行边坡防护施工，开挖一级防护一级。</w:t>
            </w:r>
          </w:p>
          <w:p w14:paraId="09D07D8C">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雨季施工时，开挖完成的坡面不得</w:t>
            </w:r>
            <w:r>
              <w:rPr>
                <w:rFonts w:hint="eastAsia" w:cs="Times New Roman"/>
                <w:color w:val="auto"/>
                <w:kern w:val="0"/>
                <w:sz w:val="24"/>
                <w:szCs w:val="24"/>
                <w:highlight w:val="none"/>
                <w:lang w:val="en-US" w:eastAsia="zh-CN" w:bidi="ar-SA"/>
              </w:rPr>
              <w:t>暴露</w:t>
            </w:r>
            <w:r>
              <w:rPr>
                <w:rFonts w:hint="default" w:ascii="Times New Roman" w:hAnsi="Times New Roman" w:eastAsia="宋体" w:cs="Times New Roman"/>
                <w:color w:val="auto"/>
                <w:kern w:val="0"/>
                <w:sz w:val="24"/>
                <w:szCs w:val="24"/>
                <w:highlight w:val="none"/>
                <w:lang w:val="en-US" w:eastAsia="zh-CN" w:bidi="ar-SA"/>
              </w:rPr>
              <w:t>雨水面，采用彩条布进行覆盖，防止坡面</w:t>
            </w:r>
            <w:r>
              <w:rPr>
                <w:rFonts w:hint="eastAsia" w:cs="Times New Roman"/>
                <w:color w:val="auto"/>
                <w:kern w:val="0"/>
                <w:sz w:val="24"/>
                <w:szCs w:val="24"/>
                <w:highlight w:val="none"/>
                <w:lang w:val="en-US" w:eastAsia="zh-CN" w:bidi="ar-SA"/>
              </w:rPr>
              <w:t>被</w:t>
            </w:r>
            <w:r>
              <w:rPr>
                <w:rFonts w:hint="default" w:ascii="Times New Roman" w:hAnsi="Times New Roman" w:eastAsia="宋体" w:cs="Times New Roman"/>
                <w:color w:val="auto"/>
                <w:kern w:val="0"/>
                <w:sz w:val="24"/>
                <w:szCs w:val="24"/>
                <w:highlight w:val="none"/>
                <w:lang w:val="en-US" w:eastAsia="zh-CN" w:bidi="ar-SA"/>
              </w:rPr>
              <w:t>雨水冲刷而造成滑坡或者水土流失。</w:t>
            </w:r>
          </w:p>
          <w:p w14:paraId="21492CCD">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(2)土方回填</w:t>
            </w:r>
          </w:p>
          <w:p w14:paraId="0208B53A">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土方回填所需土料采用工程的开挖料，采用2</w:t>
            </w:r>
            <w:r>
              <w:rPr>
                <w:rFonts w:hint="default" w:ascii="Times New Roman" w:hAnsi="Times New Roman" w:cs="Times New Roman"/>
                <w:color w:val="auto"/>
                <w:kern w:val="0"/>
                <w:sz w:val="24"/>
                <w:szCs w:val="24"/>
                <w:highlight w:val="none"/>
                <w:lang w:val="en-US" w:eastAsia="zh-CN" w:bidi="ar-SA"/>
              </w:rPr>
              <w:t>m²</w:t>
            </w:r>
            <w:r>
              <w:rPr>
                <w:rFonts w:hint="default" w:ascii="Times New Roman" w:hAnsi="Times New Roman" w:eastAsia="宋体" w:cs="Times New Roman"/>
                <w:color w:val="auto"/>
                <w:kern w:val="0"/>
                <w:sz w:val="24"/>
                <w:szCs w:val="24"/>
                <w:highlight w:val="none"/>
                <w:lang w:val="en-US" w:eastAsia="zh-CN" w:bidi="ar-SA"/>
              </w:rPr>
              <w:t>挖掘机挖装，15t自卸汽车运输至工作面，74kW推土机铺土，14t振动碾碾压，对于面积窄小的边角部位，机械碾压困难时，可采用机械铺料2.8</w:t>
            </w:r>
            <w:r>
              <w:rPr>
                <w:rFonts w:hint="eastAsia" w:cs="Times New Roman"/>
                <w:color w:val="auto"/>
                <w:kern w:val="0"/>
                <w:sz w:val="24"/>
                <w:szCs w:val="24"/>
                <w:highlight w:val="none"/>
                <w:lang w:val="en-US" w:eastAsia="zh-CN" w:bidi="ar-SA"/>
              </w:rPr>
              <w:t>kW</w:t>
            </w:r>
            <w:r>
              <w:rPr>
                <w:rFonts w:hint="default" w:ascii="Times New Roman" w:hAnsi="Times New Roman" w:eastAsia="宋体" w:cs="Times New Roman"/>
                <w:color w:val="auto"/>
                <w:kern w:val="0"/>
                <w:sz w:val="24"/>
                <w:szCs w:val="24"/>
                <w:highlight w:val="none"/>
                <w:lang w:val="en-US" w:eastAsia="zh-CN" w:bidi="ar-SA"/>
              </w:rPr>
              <w:t>蛙夯夯实。土方填筑分层施工，土料摊铺分层厚度按0.3m</w:t>
            </w:r>
            <w:r>
              <w:rPr>
                <w:rFonts w:hint="eastAsia"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0.5m控制，土块粒径不大于50mm，回填区土料不得含植物根茎、石块、砖瓦垃圾等杂质，铺土要求均匀平整，压实度应满足设计要求。</w:t>
            </w:r>
          </w:p>
          <w:p w14:paraId="02A6FA22">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施工过程中，土料的质量控制、填筑前的清基、填筑顺序、碾压等各项指针应严格按照设计要求和相应规程规范执行。机械碾压或轻型电夯回填，均要分层填筑，每层厚度要</w:t>
            </w:r>
            <w:r>
              <w:rPr>
                <w:rFonts w:hint="eastAsia" w:cs="Times New Roman"/>
                <w:color w:val="auto"/>
                <w:kern w:val="0"/>
                <w:sz w:val="24"/>
                <w:szCs w:val="24"/>
                <w:highlight w:val="none"/>
                <w:lang w:val="en-US" w:eastAsia="zh-CN" w:bidi="ar-SA"/>
              </w:rPr>
              <w:t>严格控制</w:t>
            </w:r>
            <w:r>
              <w:rPr>
                <w:rFonts w:hint="default" w:ascii="Times New Roman" w:hAnsi="Times New Roman" w:eastAsia="宋体" w:cs="Times New Roman"/>
                <w:color w:val="auto"/>
                <w:kern w:val="0"/>
                <w:sz w:val="24"/>
                <w:szCs w:val="24"/>
                <w:highlight w:val="none"/>
                <w:lang w:val="en-US" w:eastAsia="zh-CN" w:bidi="ar-SA"/>
              </w:rPr>
              <w:t>，为确保压实质量，其含水量要进行控制，每层填土结合面要进行</w:t>
            </w:r>
            <w:r>
              <w:rPr>
                <w:rFonts w:hint="eastAsia" w:cs="Times New Roman"/>
                <w:color w:val="auto"/>
                <w:kern w:val="0"/>
                <w:sz w:val="24"/>
                <w:szCs w:val="24"/>
                <w:highlight w:val="none"/>
                <w:lang w:val="en-US" w:eastAsia="zh-CN" w:bidi="ar-SA"/>
              </w:rPr>
              <w:t>洒水</w:t>
            </w:r>
            <w:r>
              <w:rPr>
                <w:rFonts w:hint="default" w:ascii="Times New Roman" w:hAnsi="Times New Roman" w:eastAsia="宋体" w:cs="Times New Roman"/>
                <w:color w:val="auto"/>
                <w:kern w:val="0"/>
                <w:sz w:val="24"/>
                <w:szCs w:val="24"/>
                <w:highlight w:val="none"/>
                <w:lang w:val="en-US" w:eastAsia="zh-CN" w:bidi="ar-SA"/>
              </w:rPr>
              <w:t>湿润。施工过程中，土料的质量控制、填筑前的清基、填筑顺序、碾压等各项指针应严格按照设计要求和相应规程规范执行。</w:t>
            </w:r>
          </w:p>
          <w:p w14:paraId="7CA81C32">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(3)浆砌石护岸施工</w:t>
            </w:r>
          </w:p>
          <w:p w14:paraId="159D12E6">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1)砌筑前，应在砌体外将石料上的泥垢冲洗干净，砌筑时保持砌石表面湿润。</w:t>
            </w:r>
          </w:p>
          <w:p w14:paraId="6A9208AD">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2)浆砌石护坡砌筑前，应按设计要求进行削坡，并铺好垫层或反滤层。</w:t>
            </w:r>
          </w:p>
          <w:p w14:paraId="5954CB97">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3)应采用</w:t>
            </w:r>
            <w:r>
              <w:rPr>
                <w:rFonts w:hint="eastAsia" w:cs="Times New Roman"/>
                <w:color w:val="auto"/>
                <w:kern w:val="0"/>
                <w:sz w:val="24"/>
                <w:szCs w:val="24"/>
                <w:highlight w:val="none"/>
                <w:lang w:val="en-US" w:eastAsia="zh-CN" w:bidi="ar-SA"/>
              </w:rPr>
              <w:t>坐浆</w:t>
            </w:r>
            <w:r>
              <w:rPr>
                <w:rFonts w:hint="default" w:ascii="Times New Roman" w:hAnsi="Times New Roman" w:eastAsia="宋体" w:cs="Times New Roman"/>
                <w:color w:val="auto"/>
                <w:kern w:val="0"/>
                <w:sz w:val="24"/>
                <w:szCs w:val="24"/>
                <w:highlight w:val="none"/>
                <w:lang w:val="en-US" w:eastAsia="zh-CN" w:bidi="ar-SA"/>
              </w:rPr>
              <w:t>法分层砌筑，铺浆厚宜为3cm</w:t>
            </w:r>
            <w:r>
              <w:rPr>
                <w:rFonts w:hint="eastAsia"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5cm，随铺浆随砌石，砌缝需用砂浆填充饱满，不得无浆直接贴靠，砌缝内砂浆应采用扁铁插捣密实</w:t>
            </w:r>
            <w:r>
              <w:rPr>
                <w:rFonts w:hint="default" w:ascii="Times New Roman" w:hAnsi="Times New Roman"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严禁先堆砌石块再用砂浆灌缝。</w:t>
            </w:r>
          </w:p>
          <w:p w14:paraId="47C3C614">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4)上下层砌石应错缝砌筑</w:t>
            </w:r>
            <w:r>
              <w:rPr>
                <w:rFonts w:hint="default" w:ascii="Times New Roman" w:hAnsi="Times New Roman"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砌体外露面应平整美观，外露面上的砌缝应预留约4cm深的空隙，以备勾缝处理</w:t>
            </w:r>
            <w:r>
              <w:rPr>
                <w:rFonts w:hint="default" w:ascii="Times New Roman" w:hAnsi="Times New Roman"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水平缝宽应不大于2.5cm，竖缝宽应不大于4cm。</w:t>
            </w:r>
          </w:p>
          <w:p w14:paraId="25AAD08A">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5)砌筑因故停顿，砂浆已超过初凝时间，应待砂浆强度达到2.5MPa后才可继续在继续砌筑前，应将原砌体表面的浮渣清除:砌筑时应避免振动下层砌体。</w:t>
            </w:r>
          </w:p>
          <w:p w14:paraId="0B7D10E8">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6)勾缝前应先剔缝，并清缝，用水冲净并保持缝槽内湿润，砂浆应分次向缝内填塞密实</w:t>
            </w:r>
            <w:r>
              <w:rPr>
                <w:rFonts w:hint="default" w:ascii="Times New Roman" w:hAnsi="Times New Roman"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勾缝砂浆标号应高于砌体砂浆:应按实有砌缝勾平缝，严禁勾假缝、凸缝</w:t>
            </w:r>
            <w:r>
              <w:rPr>
                <w:rFonts w:hint="default" w:ascii="Times New Roman" w:hAnsi="Times New Roman"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砌筑完毕后应保持砌体表面湿润，做好养护。</w:t>
            </w:r>
          </w:p>
          <w:p w14:paraId="3388A16D">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7)胶凝材料的配合比、工作性能等，应按设计标号通过试验确定。施工中承包人需要改变胶凝材料的配合比时，应重新试验，并报送监理工程师批准。</w:t>
            </w:r>
          </w:p>
          <w:p w14:paraId="36165A75">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8)胶凝材料应随拌随用。在运输或贮存中发生离析、析水的砂浆，砌筑前应重新拌和，已初凝的胶凝材料不得使用。</w:t>
            </w:r>
          </w:p>
          <w:p w14:paraId="5462C0B8">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9)应按设计图纸要求做好排水孔的施工</w:t>
            </w:r>
          </w:p>
          <w:p w14:paraId="70A4B7E8">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10)护坡顶部应按设计要求用大块平整块石封顶。</w:t>
            </w:r>
          </w:p>
          <w:p w14:paraId="0AF1967B">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1.2</w:t>
            </w:r>
            <w:r>
              <w:rPr>
                <w:rFonts w:hint="default" w:ascii="Times New Roman" w:hAnsi="Times New Roman" w:eastAsia="宋体" w:cs="Times New Roman"/>
                <w:color w:val="auto"/>
                <w:kern w:val="0"/>
                <w:sz w:val="24"/>
                <w:szCs w:val="24"/>
                <w:highlight w:val="none"/>
                <w:lang w:val="en-US" w:eastAsia="zh-CN" w:bidi="ar-SA"/>
              </w:rPr>
              <w:t>.2混凝土工程</w:t>
            </w:r>
          </w:p>
          <w:p w14:paraId="677FC89F">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混凝土施工中的温度控制遵照《水工混凝土施工规范》(SL677-2014)有关规定执行。混凝土浇筑完毕后应及时覆盖草袋或其他养护材料并</w:t>
            </w:r>
            <w:r>
              <w:rPr>
                <w:rFonts w:hint="eastAsia" w:cs="Times New Roman"/>
                <w:color w:val="auto"/>
                <w:kern w:val="0"/>
                <w:sz w:val="24"/>
                <w:szCs w:val="24"/>
                <w:highlight w:val="none"/>
                <w:lang w:val="en-US" w:eastAsia="zh-CN" w:bidi="ar-SA"/>
              </w:rPr>
              <w:t>洒水</w:t>
            </w:r>
            <w:r>
              <w:rPr>
                <w:rFonts w:hint="default" w:ascii="Times New Roman" w:hAnsi="Times New Roman" w:eastAsia="宋体" w:cs="Times New Roman"/>
                <w:color w:val="auto"/>
                <w:kern w:val="0"/>
                <w:sz w:val="24"/>
                <w:szCs w:val="24"/>
                <w:highlight w:val="none"/>
                <w:lang w:val="en-US" w:eastAsia="zh-CN" w:bidi="ar-SA"/>
              </w:rPr>
              <w:t>养护，保持混凝土表面湿润。按照混凝土工程的施工程序，其施工安排和要求如下</w:t>
            </w:r>
            <w:r>
              <w:rPr>
                <w:rFonts w:hint="eastAsia" w:cs="Times New Roman"/>
                <w:color w:val="auto"/>
                <w:kern w:val="0"/>
                <w:sz w:val="24"/>
                <w:szCs w:val="24"/>
                <w:highlight w:val="none"/>
                <w:lang w:val="en-US" w:eastAsia="zh-CN" w:bidi="ar-SA"/>
              </w:rPr>
              <w:t>：</w:t>
            </w:r>
          </w:p>
          <w:p w14:paraId="3807A5B2">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(1)模板制安</w:t>
            </w:r>
          </w:p>
          <w:p w14:paraId="5BF5B130">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模板应选用材质好、不易开裂的木材，经干燥后使用。钢模板材料选用3号钢材，尽量使用组合模板，钢模板的连接缝应光滑紧密。</w:t>
            </w:r>
          </w:p>
          <w:p w14:paraId="4E238F1D">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模板的架立</w:t>
            </w:r>
            <w:r>
              <w:rPr>
                <w:rFonts w:hint="default" w:ascii="Times New Roman" w:hAnsi="Times New Roman"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外部用钢筋支撑固定，内部采用对拉及限位相结合的办法。在墙身结构中采用对拉螺栓，对拉螺栓用相应的螺母焊接作为墙宽尺寸限位。螺栓一次性使用，待砼拆模后，拆除围令钢管，先凿除对拉螺栓周围的部分混凝土，并割断对拉螺栓，再用高标号防水砂浆封孔。</w:t>
            </w:r>
          </w:p>
          <w:p w14:paraId="40F2A265">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(2)混凝土浇筑及准备</w:t>
            </w:r>
          </w:p>
          <w:p w14:paraId="0FBFFA05">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①</w:t>
            </w:r>
            <w:r>
              <w:rPr>
                <w:rFonts w:hint="default" w:ascii="Times New Roman" w:hAnsi="Times New Roman" w:eastAsia="宋体" w:cs="Times New Roman"/>
                <w:color w:val="auto"/>
                <w:kern w:val="0"/>
                <w:sz w:val="24"/>
                <w:szCs w:val="24"/>
                <w:highlight w:val="none"/>
                <w:lang w:val="en-US" w:eastAsia="zh-CN" w:bidi="ar-SA"/>
              </w:rPr>
              <w:t>在气温条件不适宜，无法正常进行浇筑作业时，不进行混凝土施工</w:t>
            </w:r>
          </w:p>
          <w:p w14:paraId="751CC6D1">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②</w:t>
            </w:r>
            <w:r>
              <w:rPr>
                <w:rFonts w:hint="default" w:ascii="Times New Roman" w:hAnsi="Times New Roman" w:eastAsia="宋体" w:cs="Times New Roman"/>
                <w:color w:val="auto"/>
                <w:kern w:val="0"/>
                <w:sz w:val="24"/>
                <w:szCs w:val="24"/>
                <w:highlight w:val="none"/>
                <w:lang w:val="en-US" w:eastAsia="zh-CN" w:bidi="ar-SA"/>
              </w:rPr>
              <w:t>混凝土结构物的地基必须验收合格，并征得工程师同意，</w:t>
            </w:r>
            <w:r>
              <w:rPr>
                <w:rFonts w:hint="eastAsia" w:cs="Times New Roman"/>
                <w:color w:val="auto"/>
                <w:kern w:val="0"/>
                <w:sz w:val="24"/>
                <w:szCs w:val="24"/>
                <w:highlight w:val="none"/>
                <w:lang w:val="en-US" w:eastAsia="zh-CN" w:bidi="ar-SA"/>
              </w:rPr>
              <w:t>方可</w:t>
            </w:r>
            <w:r>
              <w:rPr>
                <w:rFonts w:hint="default" w:ascii="Times New Roman" w:hAnsi="Times New Roman" w:eastAsia="宋体" w:cs="Times New Roman"/>
                <w:color w:val="auto"/>
                <w:kern w:val="0"/>
                <w:sz w:val="24"/>
                <w:szCs w:val="24"/>
                <w:highlight w:val="none"/>
                <w:lang w:val="en-US" w:eastAsia="zh-CN" w:bidi="ar-SA"/>
              </w:rPr>
              <w:t>进行混凝土浇筑的准备工作。</w:t>
            </w:r>
          </w:p>
          <w:p w14:paraId="229529D2">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③</w:t>
            </w:r>
            <w:r>
              <w:rPr>
                <w:rFonts w:hint="default" w:ascii="Times New Roman" w:hAnsi="Times New Roman" w:eastAsia="宋体" w:cs="Times New Roman"/>
                <w:color w:val="auto"/>
                <w:kern w:val="0"/>
                <w:sz w:val="24"/>
                <w:szCs w:val="24"/>
                <w:highlight w:val="none"/>
                <w:lang w:val="en-US" w:eastAsia="zh-CN" w:bidi="ar-SA"/>
              </w:rPr>
              <w:t>在浇筑混凝土前，应及时通知工程师检查有关浇筑准备工作，包括地基处理、模板、钢筋、预埋件及止水设施等是否按图纸规定执行，并随之</w:t>
            </w:r>
            <w:r>
              <w:rPr>
                <w:rFonts w:hint="eastAsia" w:cs="Times New Roman"/>
                <w:color w:val="auto"/>
                <w:kern w:val="0"/>
                <w:sz w:val="24"/>
                <w:szCs w:val="24"/>
                <w:highlight w:val="none"/>
                <w:lang w:val="en-US" w:eastAsia="zh-CN" w:bidi="ar-SA"/>
              </w:rPr>
              <w:t>做好</w:t>
            </w:r>
            <w:r>
              <w:rPr>
                <w:rFonts w:hint="default" w:ascii="Times New Roman" w:hAnsi="Times New Roman" w:eastAsia="宋体" w:cs="Times New Roman"/>
                <w:color w:val="auto"/>
                <w:kern w:val="0"/>
                <w:sz w:val="24"/>
                <w:szCs w:val="24"/>
                <w:highlight w:val="none"/>
                <w:lang w:val="en-US" w:eastAsia="zh-CN" w:bidi="ar-SA"/>
              </w:rPr>
              <w:t>记录。在征得工程师同意后才开始浇筑作业。</w:t>
            </w:r>
          </w:p>
          <w:p w14:paraId="435D4E0F">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④</w:t>
            </w:r>
            <w:r>
              <w:rPr>
                <w:rFonts w:hint="default" w:ascii="Times New Roman" w:hAnsi="Times New Roman" w:eastAsia="宋体" w:cs="Times New Roman"/>
                <w:color w:val="auto"/>
                <w:kern w:val="0"/>
                <w:sz w:val="24"/>
                <w:szCs w:val="24"/>
                <w:highlight w:val="none"/>
                <w:lang w:val="en-US" w:eastAsia="zh-CN" w:bidi="ar-SA"/>
              </w:rPr>
              <w:t>混凝土浇筑作业，经工程师同意的厚度、次序、方向、分层进行，保证混凝土均匀上升。在倾斜面上浇筑混凝土时，应从低处开始浇筑，浇筑面尽量保持水平。</w:t>
            </w:r>
          </w:p>
          <w:p w14:paraId="5A941BC8">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⑤</w:t>
            </w:r>
            <w:r>
              <w:rPr>
                <w:rFonts w:hint="default" w:ascii="Times New Roman" w:hAnsi="Times New Roman" w:eastAsia="宋体" w:cs="Times New Roman"/>
                <w:color w:val="auto"/>
                <w:kern w:val="0"/>
                <w:sz w:val="24"/>
                <w:szCs w:val="24"/>
                <w:highlight w:val="none"/>
                <w:lang w:val="en-US" w:eastAsia="zh-CN" w:bidi="ar-SA"/>
              </w:rPr>
              <w:t>浇筑层厚度，应根据拌和能力、运输距离、浇筑速度、气温及振捣器性能等因素确定。浇入仓面的混凝土做到随浇随平仓，不得堆积。仓内若有粗骨料堆叠时，应均匀地分布于砂浆较多处，但不得用水泥砂浆覆盖，以免造成内部蜂窝。</w:t>
            </w:r>
          </w:p>
          <w:p w14:paraId="5A21B89B">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⑥</w:t>
            </w:r>
            <w:r>
              <w:rPr>
                <w:rFonts w:hint="default" w:ascii="Times New Roman" w:hAnsi="Times New Roman" w:eastAsia="宋体" w:cs="Times New Roman"/>
                <w:color w:val="auto"/>
                <w:kern w:val="0"/>
                <w:sz w:val="24"/>
                <w:szCs w:val="24"/>
                <w:highlight w:val="none"/>
                <w:lang w:val="en-US" w:eastAsia="zh-CN" w:bidi="ar-SA"/>
              </w:rPr>
              <w:t>不合格的混凝土严禁入仓。拌制好的混凝土不得重新拌和，凡已变硬而不能保证正常浇筑作业的混凝土必须清除废弃。浇筑混凝土时，严禁在仓内加水。</w:t>
            </w:r>
          </w:p>
          <w:p w14:paraId="66734FCE">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⑦</w:t>
            </w:r>
            <w:r>
              <w:rPr>
                <w:rFonts w:hint="default" w:ascii="Times New Roman" w:hAnsi="Times New Roman" w:eastAsia="宋体" w:cs="Times New Roman"/>
                <w:color w:val="auto"/>
                <w:kern w:val="0"/>
                <w:sz w:val="24"/>
                <w:szCs w:val="24"/>
                <w:highlight w:val="none"/>
                <w:lang w:val="en-US" w:eastAsia="zh-CN" w:bidi="ar-SA"/>
              </w:rPr>
              <w:t>混凝土浇筑应保持连续性，如因故终止且超过允许间歇时间，则按施工缝处理。混凝土浇筑的允许间歇时间通过试验确定。</w:t>
            </w:r>
          </w:p>
          <w:p w14:paraId="1A2A1E36">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(3)养护及保护</w:t>
            </w:r>
          </w:p>
          <w:p w14:paraId="68763C7A">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混凝土表面一般在浇筑完毕后12~18小时内即开始养护，但在炎热或干燥气候情况下应提前养护。早期混凝土表面采用麻袋等覆盖物经常保持水饱和及进行遮盖，避免太阳曝晒。</w:t>
            </w:r>
          </w:p>
          <w:p w14:paraId="44A6432A">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重要部位和利用后期强度的混凝土，以及炎热或干燥气候情况下，适当延长养护时间，一般不少于28天。</w:t>
            </w:r>
          </w:p>
          <w:p w14:paraId="40316F32">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所有混凝土工程在最终验收前，除上述规定的养护外，都必须加以维护和保护。浇筑块的棱角和突出部分更要加强保护。</w:t>
            </w:r>
          </w:p>
          <w:p w14:paraId="7CC210A2">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1.2</w:t>
            </w:r>
            <w:r>
              <w:rPr>
                <w:rFonts w:hint="default" w:ascii="Times New Roman" w:hAnsi="Times New Roman" w:eastAsia="宋体" w:cs="Times New Roman"/>
                <w:color w:val="auto"/>
                <w:kern w:val="0"/>
                <w:sz w:val="24"/>
                <w:szCs w:val="24"/>
                <w:highlight w:val="none"/>
                <w:lang w:val="en-US" w:eastAsia="zh-CN" w:bidi="ar-SA"/>
              </w:rPr>
              <w:t>.3巡护路施工</w:t>
            </w:r>
          </w:p>
          <w:p w14:paraId="3A368543">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本次新增巡护路采用15cm厚泥结碎石路面，路面宽3.5m，路基宽4m。用于防汛抢险道路及农用机耕路。</w:t>
            </w:r>
          </w:p>
          <w:p w14:paraId="22D4C82F">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结碎石路面施工前根据图纸进行道路放线，采用挖掘机和装载机配合人工将基底整平，洒水湿润，振动碾进行压实。碎石级配、强度符合要求。碎石路面采用振动碾进行压实，宽度、厚度符合要求，线条美观。</w:t>
            </w:r>
          </w:p>
          <w:p w14:paraId="0E96D682">
            <w:pPr>
              <w:adjustRightInd w:val="0"/>
              <w:spacing w:line="360" w:lineRule="auto"/>
              <w:ind w:firstLine="480" w:firstLineChars="200"/>
              <w:rPr>
                <w:rFonts w:hint="default" w:ascii="Times New Roman" w:hAnsi="Times New Roman" w:eastAsia="黑体" w:cs="Times New Roman"/>
                <w:b w:val="0"/>
                <w:bCs w:val="0"/>
                <w:color w:val="auto"/>
                <w:kern w:val="0"/>
                <w:sz w:val="24"/>
                <w:szCs w:val="24"/>
                <w:highlight w:val="none"/>
                <w:lang w:val="en-US" w:eastAsia="zh-CN" w:bidi="ar-SA"/>
              </w:rPr>
            </w:pPr>
            <w:r>
              <w:rPr>
                <w:rFonts w:hint="default" w:ascii="Times New Roman" w:hAnsi="Times New Roman" w:eastAsia="黑体" w:cs="Times New Roman"/>
                <w:b w:val="0"/>
                <w:bCs w:val="0"/>
                <w:color w:val="auto"/>
                <w:kern w:val="0"/>
                <w:sz w:val="24"/>
                <w:szCs w:val="24"/>
                <w:highlight w:val="none"/>
                <w:lang w:val="en-US" w:eastAsia="zh-CN" w:bidi="ar-SA"/>
              </w:rPr>
              <w:t>2、建设周期</w:t>
            </w:r>
          </w:p>
          <w:p w14:paraId="2D6D1E79">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根据主体</w:t>
            </w:r>
            <w:r>
              <w:rPr>
                <w:rFonts w:hint="default" w:ascii="Times New Roman" w:hAnsi="Times New Roman" w:cs="Times New Roman"/>
                <w:color w:val="auto"/>
                <w:kern w:val="0"/>
                <w:sz w:val="24"/>
                <w:szCs w:val="24"/>
                <w:highlight w:val="none"/>
                <w:lang w:val="en-US" w:eastAsia="zh-CN" w:bidi="ar-SA"/>
              </w:rPr>
              <w:t>施工安排，本项目计划于</w:t>
            </w:r>
            <w:r>
              <w:rPr>
                <w:rFonts w:hint="default" w:ascii="Times New Roman" w:hAnsi="Times New Roman" w:eastAsia="宋体" w:cs="Times New Roman"/>
                <w:color w:val="auto"/>
                <w:kern w:val="0"/>
                <w:sz w:val="24"/>
                <w:szCs w:val="24"/>
                <w:highlight w:val="none"/>
                <w:lang w:val="en-US" w:eastAsia="zh-CN" w:bidi="ar-SA"/>
              </w:rPr>
              <w:t>202</w:t>
            </w:r>
            <w:r>
              <w:rPr>
                <w:rFonts w:hint="default" w:ascii="Times New Roman" w:hAnsi="Times New Roman" w:cs="Times New Roman"/>
                <w:color w:val="auto"/>
                <w:kern w:val="0"/>
                <w:sz w:val="24"/>
                <w:szCs w:val="24"/>
                <w:highlight w:val="none"/>
                <w:lang w:val="en-US" w:eastAsia="zh-CN" w:bidi="ar-SA"/>
              </w:rPr>
              <w:t>6</w:t>
            </w:r>
            <w:r>
              <w:rPr>
                <w:rFonts w:hint="default" w:ascii="Times New Roman" w:hAnsi="Times New Roman" w:eastAsia="宋体" w:cs="Times New Roman"/>
                <w:color w:val="auto"/>
                <w:kern w:val="0"/>
                <w:sz w:val="24"/>
                <w:szCs w:val="24"/>
                <w:highlight w:val="none"/>
                <w:lang w:val="en-US" w:eastAsia="zh-CN" w:bidi="ar-SA"/>
              </w:rPr>
              <w:t>年</w:t>
            </w:r>
            <w:r>
              <w:rPr>
                <w:rFonts w:hint="eastAsia" w:cs="Times New Roman"/>
                <w:color w:val="auto"/>
                <w:kern w:val="0"/>
                <w:sz w:val="24"/>
                <w:szCs w:val="24"/>
                <w:highlight w:val="none"/>
                <w:lang w:val="en-US" w:eastAsia="zh-CN" w:bidi="ar-SA"/>
              </w:rPr>
              <w:t>5</w:t>
            </w:r>
            <w:r>
              <w:rPr>
                <w:rFonts w:hint="default" w:ascii="Times New Roman" w:hAnsi="Times New Roman" w:eastAsia="宋体" w:cs="Times New Roman"/>
                <w:color w:val="auto"/>
                <w:kern w:val="0"/>
                <w:sz w:val="24"/>
                <w:szCs w:val="24"/>
                <w:highlight w:val="none"/>
                <w:lang w:val="en-US" w:eastAsia="zh-CN" w:bidi="ar-SA"/>
              </w:rPr>
              <w:t>月</w:t>
            </w:r>
            <w:r>
              <w:rPr>
                <w:rFonts w:hint="default" w:ascii="Times New Roman" w:hAnsi="Times New Roman" w:cs="Times New Roman"/>
                <w:color w:val="auto"/>
                <w:kern w:val="0"/>
                <w:sz w:val="24"/>
                <w:szCs w:val="24"/>
                <w:highlight w:val="none"/>
                <w:lang w:val="en-US" w:eastAsia="zh-CN" w:bidi="ar-SA"/>
              </w:rPr>
              <w:t>初</w:t>
            </w:r>
            <w:r>
              <w:rPr>
                <w:rFonts w:hint="eastAsia" w:cs="Times New Roman"/>
                <w:color w:val="auto"/>
                <w:kern w:val="0"/>
                <w:sz w:val="24"/>
                <w:szCs w:val="24"/>
                <w:highlight w:val="none"/>
                <w:lang w:val="en-US" w:eastAsia="zh-CN" w:bidi="ar-SA"/>
              </w:rPr>
              <w:t>启动</w:t>
            </w:r>
            <w:r>
              <w:rPr>
                <w:rFonts w:hint="default" w:ascii="Times New Roman" w:hAnsi="Times New Roman"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202</w:t>
            </w:r>
            <w:r>
              <w:rPr>
                <w:rFonts w:hint="default" w:ascii="Times New Roman" w:hAnsi="Times New Roman" w:cs="Times New Roman"/>
                <w:color w:val="auto"/>
                <w:kern w:val="0"/>
                <w:sz w:val="24"/>
                <w:szCs w:val="24"/>
                <w:highlight w:val="none"/>
                <w:lang w:val="en-US" w:eastAsia="zh-CN" w:bidi="ar-SA"/>
              </w:rPr>
              <w:t>7</w:t>
            </w:r>
            <w:r>
              <w:rPr>
                <w:rFonts w:hint="default" w:ascii="Times New Roman" w:hAnsi="Times New Roman" w:eastAsia="宋体" w:cs="Times New Roman"/>
                <w:color w:val="auto"/>
                <w:kern w:val="0"/>
                <w:sz w:val="24"/>
                <w:szCs w:val="24"/>
                <w:highlight w:val="none"/>
                <w:lang w:val="en-US" w:eastAsia="zh-CN" w:bidi="ar-SA"/>
              </w:rPr>
              <w:t>年</w:t>
            </w:r>
            <w:r>
              <w:rPr>
                <w:rFonts w:hint="eastAsia" w:cs="Times New Roman"/>
                <w:color w:val="auto"/>
                <w:kern w:val="0"/>
                <w:sz w:val="24"/>
                <w:szCs w:val="24"/>
                <w:highlight w:val="none"/>
                <w:lang w:val="en-US" w:eastAsia="zh-CN" w:bidi="ar-SA"/>
              </w:rPr>
              <w:t>10</w:t>
            </w:r>
            <w:r>
              <w:rPr>
                <w:rFonts w:hint="default" w:ascii="Times New Roman" w:hAnsi="Times New Roman" w:eastAsia="宋体" w:cs="Times New Roman"/>
                <w:color w:val="auto"/>
                <w:kern w:val="0"/>
                <w:sz w:val="24"/>
                <w:szCs w:val="24"/>
                <w:highlight w:val="none"/>
                <w:lang w:val="en-US" w:eastAsia="zh-CN" w:bidi="ar-SA"/>
              </w:rPr>
              <w:t>月底完工，总工期</w:t>
            </w:r>
            <w:r>
              <w:rPr>
                <w:rFonts w:hint="default" w:ascii="Times New Roman" w:hAnsi="Times New Roman" w:cs="Times New Roman"/>
                <w:color w:val="auto"/>
                <w:kern w:val="0"/>
                <w:sz w:val="24"/>
                <w:szCs w:val="24"/>
                <w:highlight w:val="none"/>
                <w:lang w:val="en-US" w:eastAsia="zh-CN" w:bidi="ar-SA"/>
              </w:rPr>
              <w:t>1</w:t>
            </w:r>
            <w:r>
              <w:rPr>
                <w:rFonts w:hint="eastAsia" w:cs="Times New Roman"/>
                <w:color w:val="auto"/>
                <w:kern w:val="0"/>
                <w:sz w:val="24"/>
                <w:szCs w:val="24"/>
                <w:highlight w:val="none"/>
                <w:lang w:val="en-US" w:eastAsia="zh-CN" w:bidi="ar-SA"/>
              </w:rPr>
              <w:t>7</w:t>
            </w:r>
            <w:r>
              <w:rPr>
                <w:rFonts w:hint="default" w:ascii="Times New Roman" w:hAnsi="Times New Roman" w:eastAsia="宋体" w:cs="Times New Roman"/>
                <w:color w:val="auto"/>
                <w:kern w:val="0"/>
                <w:sz w:val="24"/>
                <w:szCs w:val="24"/>
                <w:highlight w:val="none"/>
                <w:lang w:val="en-US" w:eastAsia="zh-CN" w:bidi="ar-SA"/>
              </w:rPr>
              <w:t>个月。</w:t>
            </w:r>
          </w:p>
          <w:p w14:paraId="0553AA5A">
            <w:pPr>
              <w:adjustRightInd w:val="0"/>
              <w:spacing w:line="360" w:lineRule="auto"/>
              <w:ind w:firstLine="480" w:firstLineChars="200"/>
              <w:rPr>
                <w:rFonts w:hint="default" w:ascii="Times New Roman" w:hAnsi="Times New Roman" w:eastAsia="黑体" w:cs="Times New Roman"/>
                <w:b w:val="0"/>
                <w:bCs w:val="0"/>
                <w:color w:val="auto"/>
                <w:kern w:val="0"/>
                <w:sz w:val="24"/>
                <w:szCs w:val="24"/>
                <w:highlight w:val="none"/>
                <w:lang w:val="en-US" w:eastAsia="zh-CN" w:bidi="ar-SA"/>
              </w:rPr>
            </w:pPr>
            <w:r>
              <w:rPr>
                <w:rFonts w:hint="default" w:ascii="Times New Roman" w:hAnsi="Times New Roman" w:eastAsia="黑体" w:cs="Times New Roman"/>
                <w:b w:val="0"/>
                <w:bCs w:val="0"/>
                <w:color w:val="auto"/>
                <w:kern w:val="0"/>
                <w:sz w:val="24"/>
                <w:szCs w:val="24"/>
                <w:highlight w:val="none"/>
                <w:lang w:val="en-US" w:eastAsia="zh-CN" w:bidi="ar-SA"/>
              </w:rPr>
              <w:t>3、建设周期</w:t>
            </w:r>
          </w:p>
          <w:p w14:paraId="0BB16903">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（1）202</w:t>
            </w:r>
            <w:r>
              <w:rPr>
                <w:rFonts w:hint="default" w:ascii="Times New Roman" w:hAnsi="Times New Roman" w:cs="Times New Roman"/>
                <w:color w:val="auto"/>
                <w:kern w:val="0"/>
                <w:sz w:val="24"/>
                <w:szCs w:val="24"/>
                <w:highlight w:val="none"/>
                <w:lang w:val="en-US" w:eastAsia="zh-CN" w:bidi="ar-SA"/>
              </w:rPr>
              <w:t>6</w:t>
            </w:r>
            <w:r>
              <w:rPr>
                <w:rFonts w:hint="default" w:ascii="Times New Roman" w:hAnsi="Times New Roman" w:eastAsia="宋体" w:cs="Times New Roman"/>
                <w:color w:val="auto"/>
                <w:kern w:val="0"/>
                <w:sz w:val="24"/>
                <w:szCs w:val="24"/>
                <w:highlight w:val="none"/>
                <w:lang w:val="en-US" w:eastAsia="zh-CN" w:bidi="ar-SA"/>
              </w:rPr>
              <w:t>年</w:t>
            </w:r>
            <w:r>
              <w:rPr>
                <w:rFonts w:hint="eastAsia" w:cs="Times New Roman"/>
                <w:color w:val="auto"/>
                <w:kern w:val="0"/>
                <w:sz w:val="24"/>
                <w:szCs w:val="24"/>
                <w:highlight w:val="none"/>
                <w:lang w:val="en-US" w:eastAsia="zh-CN" w:bidi="ar-SA"/>
              </w:rPr>
              <w:t>5</w:t>
            </w:r>
            <w:r>
              <w:rPr>
                <w:rFonts w:hint="default" w:ascii="Times New Roman" w:hAnsi="Times New Roman" w:eastAsia="宋体" w:cs="Times New Roman"/>
                <w:color w:val="auto"/>
                <w:kern w:val="0"/>
                <w:sz w:val="24"/>
                <w:szCs w:val="24"/>
                <w:highlight w:val="none"/>
                <w:lang w:val="en-US" w:eastAsia="zh-CN" w:bidi="ar-SA"/>
              </w:rPr>
              <w:t>月初：项目筹建期，完成项目的立项审批、招标、评标、签约等工作。</w:t>
            </w:r>
          </w:p>
          <w:p w14:paraId="2384280C">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（2）202</w:t>
            </w:r>
            <w:r>
              <w:rPr>
                <w:rFonts w:hint="default" w:ascii="Times New Roman" w:hAnsi="Times New Roman" w:cs="Times New Roman"/>
                <w:color w:val="auto"/>
                <w:kern w:val="0"/>
                <w:sz w:val="24"/>
                <w:szCs w:val="24"/>
                <w:highlight w:val="none"/>
                <w:lang w:val="en-US" w:eastAsia="zh-CN" w:bidi="ar-SA"/>
              </w:rPr>
              <w:t>6</w:t>
            </w:r>
            <w:r>
              <w:rPr>
                <w:rFonts w:hint="default" w:ascii="Times New Roman" w:hAnsi="Times New Roman" w:eastAsia="宋体" w:cs="Times New Roman"/>
                <w:color w:val="auto"/>
                <w:kern w:val="0"/>
                <w:sz w:val="24"/>
                <w:szCs w:val="24"/>
                <w:highlight w:val="none"/>
                <w:lang w:val="en-US" w:eastAsia="zh-CN" w:bidi="ar-SA"/>
              </w:rPr>
              <w:t>年</w:t>
            </w:r>
            <w:r>
              <w:rPr>
                <w:rFonts w:hint="eastAsia" w:cs="Times New Roman"/>
                <w:color w:val="auto"/>
                <w:kern w:val="0"/>
                <w:sz w:val="24"/>
                <w:szCs w:val="24"/>
                <w:highlight w:val="none"/>
                <w:lang w:val="en-US" w:eastAsia="zh-CN" w:bidi="ar-SA"/>
              </w:rPr>
              <w:t>5</w:t>
            </w:r>
            <w:r>
              <w:rPr>
                <w:rFonts w:hint="default" w:ascii="Times New Roman" w:hAnsi="Times New Roman" w:eastAsia="宋体" w:cs="Times New Roman"/>
                <w:color w:val="auto"/>
                <w:kern w:val="0"/>
                <w:sz w:val="24"/>
                <w:szCs w:val="24"/>
                <w:highlight w:val="none"/>
                <w:lang w:val="en-US" w:eastAsia="zh-CN" w:bidi="ar-SA"/>
              </w:rPr>
              <w:t>月中下旬：工程准备期，完成各项前期准备工作。</w:t>
            </w:r>
          </w:p>
          <w:p w14:paraId="17F31E5F">
            <w:pPr>
              <w:adjustRightInd w:val="0"/>
              <w:spacing w:line="360" w:lineRule="auto"/>
              <w:ind w:firstLine="480" w:firstLineChars="200"/>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（3）202</w:t>
            </w:r>
            <w:r>
              <w:rPr>
                <w:rFonts w:hint="eastAsia" w:cs="Times New Roman"/>
                <w:color w:val="auto"/>
                <w:kern w:val="0"/>
                <w:sz w:val="24"/>
                <w:szCs w:val="24"/>
                <w:highlight w:val="none"/>
                <w:lang w:val="en-US" w:eastAsia="zh-CN" w:bidi="ar-SA"/>
              </w:rPr>
              <w:t>6</w:t>
            </w:r>
            <w:r>
              <w:rPr>
                <w:rFonts w:hint="default" w:ascii="Times New Roman" w:hAnsi="Times New Roman" w:eastAsia="宋体" w:cs="Times New Roman"/>
                <w:color w:val="auto"/>
                <w:kern w:val="0"/>
                <w:sz w:val="24"/>
                <w:szCs w:val="24"/>
                <w:highlight w:val="none"/>
                <w:lang w:val="en-US" w:eastAsia="zh-CN" w:bidi="ar-SA"/>
              </w:rPr>
              <w:t>年</w:t>
            </w:r>
            <w:r>
              <w:rPr>
                <w:rFonts w:hint="eastAsia" w:cs="Times New Roman"/>
                <w:color w:val="auto"/>
                <w:kern w:val="0"/>
                <w:sz w:val="24"/>
                <w:szCs w:val="24"/>
                <w:highlight w:val="none"/>
                <w:lang w:val="en-US" w:eastAsia="zh-CN" w:bidi="ar-SA"/>
              </w:rPr>
              <w:t>6</w:t>
            </w:r>
            <w:r>
              <w:rPr>
                <w:rFonts w:hint="default" w:ascii="Times New Roman" w:hAnsi="Times New Roman" w:eastAsia="宋体" w:cs="Times New Roman"/>
                <w:color w:val="auto"/>
                <w:kern w:val="0"/>
                <w:sz w:val="24"/>
                <w:szCs w:val="24"/>
                <w:highlight w:val="none"/>
                <w:lang w:val="en-US" w:eastAsia="zh-CN" w:bidi="ar-SA"/>
              </w:rPr>
              <w:t>月初～202</w:t>
            </w:r>
            <w:r>
              <w:rPr>
                <w:rFonts w:hint="default" w:ascii="Times New Roman" w:hAnsi="Times New Roman" w:cs="Times New Roman"/>
                <w:color w:val="auto"/>
                <w:kern w:val="0"/>
                <w:sz w:val="24"/>
                <w:szCs w:val="24"/>
                <w:highlight w:val="none"/>
                <w:lang w:val="en-US" w:eastAsia="zh-CN" w:bidi="ar-SA"/>
              </w:rPr>
              <w:t>7</w:t>
            </w:r>
            <w:r>
              <w:rPr>
                <w:rFonts w:hint="default" w:ascii="Times New Roman" w:hAnsi="Times New Roman" w:eastAsia="宋体" w:cs="Times New Roman"/>
                <w:color w:val="auto"/>
                <w:kern w:val="0"/>
                <w:sz w:val="24"/>
                <w:szCs w:val="24"/>
                <w:highlight w:val="none"/>
                <w:lang w:val="en-US" w:eastAsia="zh-CN" w:bidi="ar-SA"/>
              </w:rPr>
              <w:t>年</w:t>
            </w:r>
            <w:r>
              <w:rPr>
                <w:rFonts w:hint="eastAsia" w:cs="Times New Roman"/>
                <w:color w:val="auto"/>
                <w:kern w:val="0"/>
                <w:sz w:val="24"/>
                <w:szCs w:val="24"/>
                <w:highlight w:val="none"/>
                <w:lang w:val="en-US" w:eastAsia="zh-CN" w:bidi="ar-SA"/>
              </w:rPr>
              <w:t>10</w:t>
            </w:r>
            <w:r>
              <w:rPr>
                <w:rFonts w:hint="default" w:ascii="Times New Roman" w:hAnsi="Times New Roman" w:eastAsia="宋体" w:cs="Times New Roman"/>
                <w:color w:val="auto"/>
                <w:kern w:val="0"/>
                <w:sz w:val="24"/>
                <w:szCs w:val="24"/>
                <w:highlight w:val="none"/>
                <w:lang w:val="en-US" w:eastAsia="zh-CN" w:bidi="ar-SA"/>
              </w:rPr>
              <w:t>月初：进行</w:t>
            </w:r>
            <w:r>
              <w:rPr>
                <w:rFonts w:hint="eastAsia" w:cs="Times New Roman"/>
                <w:color w:val="auto"/>
                <w:kern w:val="0"/>
                <w:sz w:val="24"/>
                <w:szCs w:val="24"/>
                <w:highlight w:val="none"/>
                <w:lang w:val="en-US" w:eastAsia="zh-CN" w:bidi="ar-SA"/>
              </w:rPr>
              <w:t>沟道岸坡砌护及巡护道路等</w:t>
            </w:r>
            <w:r>
              <w:rPr>
                <w:rFonts w:hint="default" w:ascii="Times New Roman" w:hAnsi="Times New Roman" w:eastAsia="宋体" w:cs="Times New Roman"/>
                <w:color w:val="auto"/>
                <w:kern w:val="0"/>
                <w:sz w:val="24"/>
                <w:szCs w:val="24"/>
                <w:highlight w:val="none"/>
                <w:lang w:val="en-US" w:eastAsia="zh-CN" w:bidi="ar-SA"/>
              </w:rPr>
              <w:t>主体工程施工</w:t>
            </w:r>
            <w:r>
              <w:rPr>
                <w:rFonts w:hint="default" w:ascii="Times New Roman" w:hAnsi="Times New Roman" w:cs="Times New Roman"/>
                <w:color w:val="auto"/>
                <w:kern w:val="0"/>
                <w:sz w:val="24"/>
                <w:szCs w:val="24"/>
                <w:highlight w:val="none"/>
                <w:lang w:val="en-US" w:eastAsia="zh-CN" w:bidi="ar-SA"/>
              </w:rPr>
              <w:t>。</w:t>
            </w:r>
            <w:r>
              <w:rPr>
                <w:rFonts w:hint="eastAsia" w:cs="Times New Roman"/>
                <w:color w:val="auto"/>
                <w:kern w:val="0"/>
                <w:sz w:val="24"/>
                <w:szCs w:val="24"/>
                <w:highlight w:val="none"/>
                <w:lang w:val="en-US" w:eastAsia="zh-CN" w:bidi="ar-SA"/>
              </w:rPr>
              <w:t>其中</w:t>
            </w:r>
            <w:r>
              <w:rPr>
                <w:rFonts w:hint="default" w:ascii="Times New Roman" w:hAnsi="Times New Roman" w:eastAsia="宋体" w:cs="Times New Roman"/>
                <w:color w:val="auto"/>
                <w:kern w:val="0"/>
                <w:sz w:val="24"/>
                <w:szCs w:val="24"/>
                <w:highlight w:val="none"/>
                <w:lang w:val="en-US" w:eastAsia="zh-CN" w:bidi="ar-SA"/>
              </w:rPr>
              <w:t>202</w:t>
            </w:r>
            <w:r>
              <w:rPr>
                <w:rFonts w:hint="eastAsia" w:cs="Times New Roman"/>
                <w:color w:val="auto"/>
                <w:kern w:val="0"/>
                <w:sz w:val="24"/>
                <w:szCs w:val="24"/>
                <w:highlight w:val="none"/>
                <w:lang w:val="en-US" w:eastAsia="zh-CN" w:bidi="ar-SA"/>
              </w:rPr>
              <w:t>7</w:t>
            </w:r>
            <w:r>
              <w:rPr>
                <w:rFonts w:hint="default" w:ascii="Times New Roman" w:hAnsi="Times New Roman" w:eastAsia="宋体" w:cs="Times New Roman"/>
                <w:color w:val="auto"/>
                <w:kern w:val="0"/>
                <w:sz w:val="24"/>
                <w:szCs w:val="24"/>
                <w:highlight w:val="none"/>
                <w:lang w:val="en-US" w:eastAsia="zh-CN" w:bidi="ar-SA"/>
              </w:rPr>
              <w:t>年</w:t>
            </w:r>
            <w:r>
              <w:rPr>
                <w:rFonts w:hint="eastAsia" w:cs="Times New Roman"/>
                <w:color w:val="auto"/>
                <w:kern w:val="0"/>
                <w:sz w:val="24"/>
                <w:szCs w:val="24"/>
                <w:highlight w:val="none"/>
                <w:lang w:val="en-US" w:eastAsia="zh-CN" w:bidi="ar-SA"/>
              </w:rPr>
              <w:t>3</w:t>
            </w:r>
            <w:r>
              <w:rPr>
                <w:rFonts w:hint="default" w:ascii="Times New Roman" w:hAnsi="Times New Roman" w:eastAsia="宋体" w:cs="Times New Roman"/>
                <w:color w:val="auto"/>
                <w:kern w:val="0"/>
                <w:sz w:val="24"/>
                <w:szCs w:val="24"/>
                <w:highlight w:val="none"/>
                <w:lang w:val="en-US" w:eastAsia="zh-CN" w:bidi="ar-SA"/>
              </w:rPr>
              <w:t>月</w:t>
            </w:r>
            <w:r>
              <w:rPr>
                <w:rFonts w:hint="eastAsia" w:cs="Times New Roman"/>
                <w:color w:val="auto"/>
                <w:kern w:val="0"/>
                <w:sz w:val="24"/>
                <w:szCs w:val="24"/>
                <w:highlight w:val="none"/>
                <w:lang w:val="en-US" w:eastAsia="zh-CN" w:bidi="ar-SA"/>
              </w:rPr>
              <w:t>初</w:t>
            </w:r>
            <w:r>
              <w:rPr>
                <w:rFonts w:hint="default" w:ascii="Times New Roman" w:hAnsi="Times New Roman" w:eastAsia="宋体" w:cs="Times New Roman"/>
                <w:color w:val="auto"/>
                <w:kern w:val="0"/>
                <w:sz w:val="24"/>
                <w:szCs w:val="24"/>
                <w:highlight w:val="none"/>
                <w:lang w:val="en-US" w:eastAsia="zh-CN" w:bidi="ar-SA"/>
              </w:rPr>
              <w:t>～202</w:t>
            </w:r>
            <w:r>
              <w:rPr>
                <w:rFonts w:hint="eastAsia" w:cs="Times New Roman"/>
                <w:color w:val="auto"/>
                <w:kern w:val="0"/>
                <w:sz w:val="24"/>
                <w:szCs w:val="24"/>
                <w:highlight w:val="none"/>
                <w:lang w:val="en-US" w:eastAsia="zh-CN" w:bidi="ar-SA"/>
              </w:rPr>
              <w:t>7</w:t>
            </w:r>
            <w:r>
              <w:rPr>
                <w:rFonts w:hint="default" w:ascii="Times New Roman" w:hAnsi="Times New Roman" w:eastAsia="宋体" w:cs="Times New Roman"/>
                <w:color w:val="auto"/>
                <w:kern w:val="0"/>
                <w:sz w:val="24"/>
                <w:szCs w:val="24"/>
                <w:highlight w:val="none"/>
                <w:lang w:val="en-US" w:eastAsia="zh-CN" w:bidi="ar-SA"/>
              </w:rPr>
              <w:t>年</w:t>
            </w:r>
            <w:r>
              <w:rPr>
                <w:rFonts w:hint="eastAsia" w:cs="Times New Roman"/>
                <w:color w:val="auto"/>
                <w:kern w:val="0"/>
                <w:sz w:val="24"/>
                <w:szCs w:val="24"/>
                <w:highlight w:val="none"/>
                <w:lang w:val="en-US" w:eastAsia="zh-CN" w:bidi="ar-SA"/>
              </w:rPr>
              <w:t>5</w:t>
            </w:r>
            <w:r>
              <w:rPr>
                <w:rFonts w:hint="default" w:ascii="Times New Roman" w:hAnsi="Times New Roman" w:eastAsia="宋体" w:cs="Times New Roman"/>
                <w:color w:val="auto"/>
                <w:kern w:val="0"/>
                <w:sz w:val="24"/>
                <w:szCs w:val="24"/>
                <w:highlight w:val="none"/>
                <w:lang w:val="en-US" w:eastAsia="zh-CN" w:bidi="ar-SA"/>
              </w:rPr>
              <w:t>月</w:t>
            </w:r>
            <w:r>
              <w:rPr>
                <w:rFonts w:hint="eastAsia" w:cs="Times New Roman"/>
                <w:color w:val="auto"/>
                <w:kern w:val="0"/>
                <w:sz w:val="24"/>
                <w:szCs w:val="24"/>
                <w:highlight w:val="none"/>
                <w:lang w:val="en-US" w:eastAsia="zh-CN" w:bidi="ar-SA"/>
              </w:rPr>
              <w:t>底</w:t>
            </w:r>
            <w:r>
              <w:rPr>
                <w:rFonts w:hint="default" w:ascii="Times New Roman" w:hAnsi="Times New Roman" w:eastAsia="宋体" w:cs="Times New Roman"/>
                <w:color w:val="auto"/>
                <w:kern w:val="0"/>
                <w:sz w:val="24"/>
                <w:szCs w:val="24"/>
                <w:highlight w:val="none"/>
                <w:lang w:val="en-US" w:eastAsia="zh-CN" w:bidi="ar-SA"/>
              </w:rPr>
              <w:t>进行</w:t>
            </w:r>
            <w:r>
              <w:rPr>
                <w:rFonts w:hint="eastAsia" w:cs="Times New Roman"/>
                <w:color w:val="auto"/>
                <w:kern w:val="0"/>
                <w:sz w:val="24"/>
                <w:szCs w:val="24"/>
                <w:highlight w:val="none"/>
                <w:lang w:val="en-US" w:eastAsia="zh-CN" w:bidi="ar-SA"/>
              </w:rPr>
              <w:t>沟道清淤</w:t>
            </w:r>
            <w:r>
              <w:rPr>
                <w:rFonts w:hint="default" w:ascii="Times New Roman" w:hAnsi="Times New Roman" w:eastAsia="宋体" w:cs="Times New Roman"/>
                <w:color w:val="auto"/>
                <w:kern w:val="0"/>
                <w:sz w:val="24"/>
                <w:szCs w:val="24"/>
                <w:highlight w:val="none"/>
                <w:lang w:val="en-US" w:eastAsia="zh-CN" w:bidi="ar-SA"/>
              </w:rPr>
              <w:t>施工</w:t>
            </w:r>
            <w:r>
              <w:rPr>
                <w:rFonts w:hint="default" w:ascii="Times New Roman" w:hAnsi="Times New Roman" w:cs="Times New Roman"/>
                <w:color w:val="auto"/>
                <w:kern w:val="0"/>
                <w:sz w:val="24"/>
                <w:szCs w:val="24"/>
                <w:highlight w:val="none"/>
                <w:lang w:val="en-US" w:eastAsia="zh-CN" w:bidi="ar-SA"/>
              </w:rPr>
              <w:t>。</w:t>
            </w:r>
          </w:p>
          <w:p w14:paraId="615E052D">
            <w:pPr>
              <w:adjustRightInd w:val="0"/>
              <w:spacing w:line="360" w:lineRule="auto"/>
              <w:ind w:firstLine="480" w:firstLineChars="200"/>
              <w:rPr>
                <w:rFonts w:hint="default" w:ascii="Times New Roman" w:hAnsi="Times New Roman" w:eastAsia="仿宋_GB2312" w:cs="Times New Roman"/>
                <w:bCs/>
                <w:color w:val="auto"/>
                <w:sz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SA"/>
              </w:rPr>
              <w:t>（</w:t>
            </w:r>
            <w:r>
              <w:rPr>
                <w:rFonts w:hint="eastAsia" w:cs="Times New Roman"/>
                <w:color w:val="auto"/>
                <w:kern w:val="0"/>
                <w:sz w:val="24"/>
                <w:szCs w:val="24"/>
                <w:highlight w:val="none"/>
                <w:lang w:val="en-US" w:eastAsia="zh-CN" w:bidi="ar-SA"/>
              </w:rPr>
              <w:t>4</w:t>
            </w:r>
            <w:r>
              <w:rPr>
                <w:rFonts w:hint="default" w:ascii="Times New Roman" w:hAnsi="Times New Roman" w:eastAsia="宋体" w:cs="Times New Roman"/>
                <w:color w:val="auto"/>
                <w:kern w:val="0"/>
                <w:sz w:val="24"/>
                <w:szCs w:val="24"/>
                <w:highlight w:val="none"/>
                <w:lang w:val="en-US" w:eastAsia="zh-CN" w:bidi="ar-SA"/>
              </w:rPr>
              <w:t>）202</w:t>
            </w:r>
            <w:r>
              <w:rPr>
                <w:rFonts w:hint="eastAsia" w:cs="Times New Roman"/>
                <w:color w:val="auto"/>
                <w:kern w:val="0"/>
                <w:sz w:val="24"/>
                <w:szCs w:val="24"/>
                <w:highlight w:val="none"/>
                <w:lang w:val="en-US" w:eastAsia="zh-CN" w:bidi="ar-SA"/>
              </w:rPr>
              <w:t>7</w:t>
            </w:r>
            <w:r>
              <w:rPr>
                <w:rFonts w:hint="default" w:ascii="Times New Roman" w:hAnsi="Times New Roman" w:eastAsia="宋体" w:cs="Times New Roman"/>
                <w:color w:val="auto"/>
                <w:kern w:val="0"/>
                <w:sz w:val="24"/>
                <w:szCs w:val="24"/>
                <w:highlight w:val="none"/>
                <w:lang w:val="en-US" w:eastAsia="zh-CN" w:bidi="ar-SA"/>
              </w:rPr>
              <w:t>年</w:t>
            </w:r>
            <w:r>
              <w:rPr>
                <w:rFonts w:hint="eastAsia" w:cs="Times New Roman"/>
                <w:color w:val="auto"/>
                <w:kern w:val="0"/>
                <w:sz w:val="24"/>
                <w:szCs w:val="24"/>
                <w:highlight w:val="none"/>
                <w:lang w:val="en-US" w:eastAsia="zh-CN" w:bidi="ar-SA"/>
              </w:rPr>
              <w:t>10</w:t>
            </w:r>
            <w:r>
              <w:rPr>
                <w:rFonts w:hint="default" w:ascii="Times New Roman" w:hAnsi="Times New Roman" w:eastAsia="宋体" w:cs="Times New Roman"/>
                <w:color w:val="auto"/>
                <w:kern w:val="0"/>
                <w:sz w:val="24"/>
                <w:szCs w:val="24"/>
                <w:highlight w:val="none"/>
                <w:lang w:val="en-US" w:eastAsia="zh-CN" w:bidi="ar-SA"/>
              </w:rPr>
              <w:t>月底：逐步拆除施工临时设施、清理施工场地、整理资料、工程验收等内容。</w:t>
            </w:r>
          </w:p>
        </w:tc>
      </w:tr>
      <w:tr w14:paraId="12F22A31">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19" w:hRule="atLeast"/>
          <w:jc w:val="center"/>
        </w:trPr>
        <w:tc>
          <w:tcPr>
            <w:tcW w:w="485" w:type="dxa"/>
            <w:tcBorders>
              <w:tl2br w:val="nil"/>
              <w:tr2bl w:val="nil"/>
            </w:tcBorders>
            <w:vAlign w:val="center"/>
          </w:tcPr>
          <w:p w14:paraId="5A5EDDF7">
            <w:pPr>
              <w:pStyle w:val="22"/>
              <w:adjustRightInd w:val="0"/>
              <w:snapToGrid w:val="0"/>
              <w:spacing w:before="0" w:beforeAutospacing="0" w:after="0" w:afterAutospacing="0"/>
              <w:jc w:val="center"/>
              <w:rPr>
                <w:rFonts w:hint="default" w:ascii="Times New Roman" w:hAnsi="Times New Roman" w:cs="Times New Roman" w:eastAsiaTheme="minorEastAsia"/>
                <w:b/>
                <w:bCs/>
                <w:color w:val="auto"/>
                <w:szCs w:val="24"/>
                <w:highlight w:val="none"/>
                <w:lang w:eastAsia="zh-CN"/>
              </w:rPr>
            </w:pPr>
            <w:r>
              <w:rPr>
                <w:rFonts w:hint="default" w:ascii="Times New Roman" w:hAnsi="Times New Roman" w:cs="Times New Roman" w:eastAsiaTheme="minorEastAsia"/>
                <w:b/>
                <w:bCs/>
                <w:color w:val="auto"/>
                <w:szCs w:val="24"/>
                <w:highlight w:val="none"/>
                <w:lang w:eastAsia="zh-CN"/>
              </w:rPr>
              <w:t>其他</w:t>
            </w:r>
          </w:p>
        </w:tc>
        <w:tc>
          <w:tcPr>
            <w:tcW w:w="8558" w:type="dxa"/>
            <w:tcBorders>
              <w:tl2br w:val="nil"/>
              <w:tr2bl w:val="nil"/>
            </w:tcBorders>
          </w:tcPr>
          <w:p w14:paraId="1673AEB7">
            <w:pPr>
              <w:adjustRightInd w:val="0"/>
              <w:spacing w:line="360" w:lineRule="auto"/>
              <w:ind w:firstLine="480" w:firstLineChars="200"/>
              <w:rPr>
                <w:rFonts w:hint="default" w:ascii="Times New Roman" w:hAnsi="Times New Roman" w:eastAsia="黑体" w:cs="Times New Roman"/>
                <w:b w:val="0"/>
                <w:bCs w:val="0"/>
                <w:color w:val="auto"/>
                <w:kern w:val="0"/>
                <w:sz w:val="24"/>
                <w:szCs w:val="24"/>
                <w:highlight w:val="none"/>
                <w:lang w:val="en-US" w:eastAsia="zh-CN" w:bidi="ar-SA"/>
              </w:rPr>
            </w:pPr>
            <w:r>
              <w:rPr>
                <w:rFonts w:hint="default" w:ascii="Times New Roman" w:hAnsi="Times New Roman" w:eastAsia="黑体" w:cs="Times New Roman"/>
                <w:b w:val="0"/>
                <w:bCs w:val="0"/>
                <w:color w:val="auto"/>
                <w:kern w:val="0"/>
                <w:sz w:val="24"/>
                <w:szCs w:val="24"/>
                <w:highlight w:val="none"/>
                <w:lang w:val="en-US" w:eastAsia="zh-CN" w:bidi="ar-SA"/>
              </w:rPr>
              <w:t>护岸工程方案比选</w:t>
            </w:r>
          </w:p>
          <w:p w14:paraId="5B766E78">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护岸型式优先选用坡式护岸，受地形条件或两岸条件限制时可采用仰斜式护岸，护坡顶高程按设计水位加0.5m超高确定。本次护岸断面设计主要遵循就地取材、经济合理、结构稳定、因地制宜的原则，兼顾施工条件及施工方法，比选以下两种方案</w:t>
            </w:r>
            <w:r>
              <w:rPr>
                <w:rFonts w:hint="default" w:ascii="Times New Roman" w:hAnsi="Times New Roman" w:cs="Times New Roman"/>
                <w:color w:val="auto"/>
                <w:kern w:val="0"/>
                <w:sz w:val="24"/>
                <w:szCs w:val="24"/>
                <w:highlight w:val="none"/>
                <w:lang w:val="en-US" w:eastAsia="zh-CN" w:bidi="ar-SA"/>
              </w:rPr>
              <w:t>：</w:t>
            </w:r>
          </w:p>
          <w:p w14:paraId="7C90A48C">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方案一</w:t>
            </w:r>
            <w:r>
              <w:rPr>
                <w:rFonts w:hint="default" w:ascii="Times New Roman" w:hAnsi="Times New Roman"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贴坡式护岸</w:t>
            </w:r>
            <w:r>
              <w:rPr>
                <w:rFonts w:hint="default" w:ascii="Times New Roman" w:hAnsi="Times New Roman"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现状岸坡坡度缓于1:1.5时，采用贴坡式护岸。迎水面法向厚度0.4m，坡脚基础尺寸宽1.0m，高1.0m。</w:t>
            </w:r>
          </w:p>
          <w:p w14:paraId="036F2CF3">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方案二</w:t>
            </w:r>
            <w:r>
              <w:rPr>
                <w:rFonts w:hint="default" w:ascii="Times New Roman" w:hAnsi="Times New Roman"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仰斜式护岸</w:t>
            </w:r>
            <w:r>
              <w:rPr>
                <w:rFonts w:hint="default" w:ascii="Times New Roman" w:hAnsi="Times New Roman" w:cs="Times New Roman"/>
                <w:color w:val="auto"/>
                <w:kern w:val="0"/>
                <w:sz w:val="24"/>
                <w:szCs w:val="24"/>
                <w:highlight w:val="none"/>
                <w:lang w:val="en-US" w:eastAsia="zh-CN" w:bidi="ar-SA"/>
              </w:rPr>
              <w:t>（即挡墙式护岸）：</w:t>
            </w:r>
            <w:r>
              <w:rPr>
                <w:rFonts w:hint="default" w:ascii="Times New Roman" w:hAnsi="Times New Roman" w:eastAsia="宋体" w:cs="Times New Roman"/>
                <w:color w:val="auto"/>
                <w:kern w:val="0"/>
                <w:sz w:val="24"/>
                <w:szCs w:val="24"/>
                <w:highlight w:val="none"/>
                <w:lang w:val="en-US" w:eastAsia="zh-CN" w:bidi="ar-SA"/>
              </w:rPr>
              <w:t>当现状岸坡坡度陡于1:1.5时，采用仰斜式护岸。顶宽0.5m，底宽0.8m，迎水侧边坡为1:0.5</w:t>
            </w:r>
            <w:r>
              <w:rPr>
                <w:rFonts w:hint="default" w:ascii="Times New Roman" w:hAnsi="Times New Roman"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基座宽1.2m，厚0.8m。两方案技术比较见表</w:t>
            </w:r>
            <w:r>
              <w:rPr>
                <w:rFonts w:hint="default" w:ascii="Times New Roman" w:hAnsi="Times New Roman" w:cs="Times New Roman"/>
                <w:color w:val="auto"/>
                <w:kern w:val="0"/>
                <w:sz w:val="24"/>
                <w:szCs w:val="24"/>
                <w:highlight w:val="none"/>
                <w:lang w:val="en-US" w:eastAsia="zh-CN" w:bidi="ar-SA"/>
              </w:rPr>
              <w:t>12</w:t>
            </w:r>
            <w:r>
              <w:rPr>
                <w:rFonts w:hint="default" w:ascii="Times New Roman" w:hAnsi="Times New Roman" w:eastAsia="宋体" w:cs="Times New Roman"/>
                <w:color w:val="auto"/>
                <w:kern w:val="0"/>
                <w:sz w:val="24"/>
                <w:szCs w:val="24"/>
                <w:highlight w:val="none"/>
                <w:lang w:val="en-US" w:eastAsia="zh-CN" w:bidi="ar-SA"/>
              </w:rPr>
              <w:t>。</w:t>
            </w:r>
          </w:p>
          <w:p w14:paraId="67B887F5">
            <w:pPr>
              <w:pStyle w:val="11"/>
              <w:adjustRightInd w:val="0"/>
              <w:spacing w:before="0" w:after="0" w:line="240" w:lineRule="auto"/>
              <w:ind w:right="0"/>
              <w:jc w:val="center"/>
              <w:rPr>
                <w:rFonts w:hint="default" w:ascii="Times New Roman" w:hAnsi="Times New Roman" w:eastAsia="黑体" w:cs="Times New Roman"/>
                <w:color w:val="auto"/>
                <w:kern w:val="0"/>
                <w:sz w:val="24"/>
                <w:szCs w:val="24"/>
                <w:highlight w:val="none"/>
                <w:lang w:val="en-US" w:eastAsia="zh-CN" w:bidi="ar-SA"/>
              </w:rPr>
            </w:pPr>
            <w:r>
              <w:rPr>
                <w:rFonts w:hint="default" w:ascii="Times New Roman" w:hAnsi="Times New Roman" w:eastAsia="黑体" w:cs="Times New Roman"/>
                <w:color w:val="auto"/>
                <w:kern w:val="0"/>
                <w:sz w:val="24"/>
                <w:szCs w:val="24"/>
                <w:highlight w:val="none"/>
                <w:lang w:val="en-US" w:eastAsia="zh-CN" w:bidi="ar-SA"/>
              </w:rPr>
              <w:t>表12  项目护岸工程</w:t>
            </w:r>
            <w:r>
              <w:rPr>
                <w:rFonts w:hint="eastAsia" w:eastAsia="黑体" w:cs="Times New Roman"/>
                <w:color w:val="auto"/>
                <w:kern w:val="0"/>
                <w:sz w:val="24"/>
                <w:szCs w:val="24"/>
                <w:highlight w:val="none"/>
                <w:lang w:val="en-US" w:eastAsia="zh-CN" w:bidi="ar-SA"/>
              </w:rPr>
              <w:t>方案比选</w:t>
            </w:r>
            <w:r>
              <w:rPr>
                <w:rFonts w:hint="default" w:ascii="Times New Roman" w:hAnsi="Times New Roman" w:eastAsia="黑体" w:cs="Times New Roman"/>
                <w:color w:val="auto"/>
                <w:kern w:val="0"/>
                <w:sz w:val="24"/>
                <w:szCs w:val="24"/>
                <w:highlight w:val="none"/>
                <w:lang w:val="en-US" w:eastAsia="zh-CN" w:bidi="ar-SA"/>
              </w:rPr>
              <w:t>表</w:t>
            </w:r>
          </w:p>
          <w:tbl>
            <w:tblPr>
              <w:tblStyle w:val="27"/>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197"/>
              <w:gridCol w:w="4437"/>
            </w:tblGrid>
            <w:tr w14:paraId="30B45F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6" w:type="pct"/>
                  <w:tcBorders>
                    <w:tl2br w:val="nil"/>
                    <w:tr2bl w:val="nil"/>
                  </w:tcBorders>
                  <w:vAlign w:val="center"/>
                </w:tcPr>
                <w:p w14:paraId="68EE6825">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SA"/>
                    </w:rPr>
                  </w:pPr>
                  <w:r>
                    <w:rPr>
                      <w:rFonts w:hint="default" w:ascii="Times New Roman" w:hAnsi="Times New Roman" w:cs="Times New Roman"/>
                      <w:b/>
                      <w:bCs/>
                      <w:color w:val="auto"/>
                      <w:kern w:val="0"/>
                      <w:sz w:val="21"/>
                      <w:szCs w:val="21"/>
                      <w:highlight w:val="none"/>
                      <w:vertAlign w:val="baseline"/>
                      <w:lang w:val="en-US" w:eastAsia="zh-CN" w:bidi="ar-SA"/>
                    </w:rPr>
                    <w:t>类型</w:t>
                  </w:r>
                </w:p>
              </w:tc>
              <w:tc>
                <w:tcPr>
                  <w:tcW w:w="1923" w:type="pct"/>
                  <w:tcBorders>
                    <w:tl2br w:val="nil"/>
                    <w:tr2bl w:val="nil"/>
                  </w:tcBorders>
                  <w:vAlign w:val="center"/>
                </w:tcPr>
                <w:p w14:paraId="19258C18">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SA"/>
                    </w:rPr>
                  </w:pPr>
                  <w:r>
                    <w:rPr>
                      <w:rFonts w:hint="default" w:ascii="Times New Roman" w:hAnsi="Times New Roman" w:eastAsia="宋体" w:cs="Times New Roman"/>
                      <w:b/>
                      <w:bCs/>
                      <w:color w:val="auto"/>
                      <w:kern w:val="0"/>
                      <w:sz w:val="21"/>
                      <w:szCs w:val="21"/>
                      <w:highlight w:val="none"/>
                      <w:vertAlign w:val="baseline"/>
                      <w:lang w:val="en-US" w:eastAsia="zh-CN" w:bidi="ar-SA"/>
                    </w:rPr>
                    <w:t>贴坡式护岸</w:t>
                  </w:r>
                </w:p>
              </w:tc>
              <w:tc>
                <w:tcPr>
                  <w:tcW w:w="2669" w:type="pct"/>
                  <w:tcBorders>
                    <w:tl2br w:val="nil"/>
                    <w:tr2bl w:val="nil"/>
                  </w:tcBorders>
                  <w:vAlign w:val="center"/>
                </w:tcPr>
                <w:p w14:paraId="24BBEED3">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SA"/>
                    </w:rPr>
                  </w:pPr>
                  <w:r>
                    <w:rPr>
                      <w:rFonts w:hint="default" w:ascii="Times New Roman" w:hAnsi="Times New Roman" w:eastAsia="宋体" w:cs="Times New Roman"/>
                      <w:b/>
                      <w:bCs/>
                      <w:color w:val="auto"/>
                      <w:kern w:val="0"/>
                      <w:sz w:val="21"/>
                      <w:szCs w:val="21"/>
                      <w:highlight w:val="none"/>
                      <w:vertAlign w:val="baseline"/>
                      <w:lang w:val="en-US" w:eastAsia="zh-CN" w:bidi="ar-SA"/>
                    </w:rPr>
                    <w:t>仰斜式护岸（即挡墙式护岸）</w:t>
                  </w:r>
                </w:p>
              </w:tc>
            </w:tr>
            <w:tr w14:paraId="01EEAE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6" w:type="pct"/>
                  <w:tcBorders>
                    <w:tl2br w:val="nil"/>
                    <w:tr2bl w:val="nil"/>
                  </w:tcBorders>
                  <w:vAlign w:val="center"/>
                </w:tcPr>
                <w:p w14:paraId="7CB961F4">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优点</w:t>
                  </w:r>
                </w:p>
              </w:tc>
              <w:tc>
                <w:tcPr>
                  <w:tcW w:w="1923" w:type="pct"/>
                  <w:tcBorders>
                    <w:tl2br w:val="nil"/>
                    <w:tr2bl w:val="nil"/>
                  </w:tcBorders>
                  <w:vAlign w:val="center"/>
                </w:tcPr>
                <w:p w14:paraId="4420C53D">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vertAlign w:val="baseline"/>
                      <w:lang w:val="en-US" w:eastAsia="zh-CN" w:bidi="ar-SA"/>
                    </w:rPr>
                    <w:t>1、护岸稳定，护脚地基应力较小</w:t>
                  </w:r>
                  <w:r>
                    <w:rPr>
                      <w:rFonts w:hint="default" w:ascii="Times New Roman" w:hAnsi="Times New Roman" w:cs="Times New Roman"/>
                      <w:b w:val="0"/>
                      <w:bCs w:val="0"/>
                      <w:color w:val="auto"/>
                      <w:kern w:val="0"/>
                      <w:sz w:val="21"/>
                      <w:szCs w:val="21"/>
                      <w:highlight w:val="none"/>
                      <w:vertAlign w:val="baseline"/>
                      <w:lang w:val="en-US" w:eastAsia="zh-CN" w:bidi="ar-SA"/>
                    </w:rPr>
                    <w:t>；</w:t>
                  </w:r>
                  <w:r>
                    <w:rPr>
                      <w:rFonts w:hint="default" w:ascii="Times New Roman" w:hAnsi="Times New Roman" w:eastAsia="宋体" w:cs="Times New Roman"/>
                      <w:b w:val="0"/>
                      <w:bCs w:val="0"/>
                      <w:color w:val="auto"/>
                      <w:kern w:val="0"/>
                      <w:sz w:val="21"/>
                      <w:szCs w:val="21"/>
                      <w:highlight w:val="none"/>
                      <w:vertAlign w:val="baseline"/>
                      <w:lang w:val="en-US" w:eastAsia="zh-CN" w:bidi="ar-SA"/>
                    </w:rPr>
                    <w:t>2、浆砌块石工程量较小</w:t>
                  </w:r>
                  <w:r>
                    <w:rPr>
                      <w:rFonts w:hint="default" w:ascii="Times New Roman" w:hAnsi="Times New Roman" w:cs="Times New Roman"/>
                      <w:b w:val="0"/>
                      <w:bCs w:val="0"/>
                      <w:color w:val="auto"/>
                      <w:kern w:val="0"/>
                      <w:sz w:val="21"/>
                      <w:szCs w:val="21"/>
                      <w:highlight w:val="none"/>
                      <w:vertAlign w:val="baseline"/>
                      <w:lang w:val="en-US" w:eastAsia="zh-CN" w:bidi="ar-SA"/>
                    </w:rPr>
                    <w:t>；</w:t>
                  </w:r>
                  <w:r>
                    <w:rPr>
                      <w:rFonts w:hint="default" w:ascii="Times New Roman" w:hAnsi="Times New Roman" w:eastAsia="宋体" w:cs="Times New Roman"/>
                      <w:b w:val="0"/>
                      <w:bCs w:val="0"/>
                      <w:color w:val="auto"/>
                      <w:kern w:val="0"/>
                      <w:sz w:val="21"/>
                      <w:szCs w:val="21"/>
                      <w:highlight w:val="none"/>
                      <w:vertAlign w:val="baseline"/>
                      <w:lang w:val="en-US" w:eastAsia="zh-CN" w:bidi="ar-SA"/>
                    </w:rPr>
                    <w:t>3、施工</w:t>
                  </w:r>
                  <w:r>
                    <w:rPr>
                      <w:rFonts w:hint="default" w:ascii="Times New Roman" w:hAnsi="Times New Roman" w:cs="Times New Roman"/>
                      <w:b w:val="0"/>
                      <w:bCs w:val="0"/>
                      <w:color w:val="auto"/>
                      <w:kern w:val="0"/>
                      <w:sz w:val="21"/>
                      <w:szCs w:val="21"/>
                      <w:highlight w:val="none"/>
                      <w:vertAlign w:val="baseline"/>
                      <w:lang w:val="en-US" w:eastAsia="zh-CN" w:bidi="ar-SA"/>
                    </w:rPr>
                    <w:t>工艺</w:t>
                  </w:r>
                  <w:r>
                    <w:rPr>
                      <w:rFonts w:hint="default" w:ascii="Times New Roman" w:hAnsi="Times New Roman" w:eastAsia="宋体" w:cs="Times New Roman"/>
                      <w:b w:val="0"/>
                      <w:bCs w:val="0"/>
                      <w:color w:val="auto"/>
                      <w:kern w:val="0"/>
                      <w:sz w:val="21"/>
                      <w:szCs w:val="21"/>
                      <w:highlight w:val="none"/>
                      <w:vertAlign w:val="baseline"/>
                      <w:lang w:val="en-US" w:eastAsia="zh-CN" w:bidi="ar-SA"/>
                    </w:rPr>
                    <w:t>简单，容易维修</w:t>
                  </w:r>
                  <w:r>
                    <w:rPr>
                      <w:rFonts w:hint="default" w:ascii="Times New Roman" w:hAnsi="Times New Roman" w:cs="Times New Roman"/>
                      <w:b w:val="0"/>
                      <w:bCs w:val="0"/>
                      <w:color w:val="auto"/>
                      <w:kern w:val="0"/>
                      <w:sz w:val="21"/>
                      <w:szCs w:val="21"/>
                      <w:highlight w:val="none"/>
                      <w:vertAlign w:val="baseline"/>
                      <w:lang w:val="en-US" w:eastAsia="zh-CN" w:bidi="ar-SA"/>
                    </w:rPr>
                    <w:t>；</w:t>
                  </w:r>
                  <w:r>
                    <w:rPr>
                      <w:rFonts w:hint="default" w:ascii="Times New Roman" w:hAnsi="Times New Roman" w:eastAsia="宋体" w:cs="Times New Roman"/>
                      <w:b w:val="0"/>
                      <w:bCs w:val="0"/>
                      <w:color w:val="auto"/>
                      <w:kern w:val="0"/>
                      <w:sz w:val="21"/>
                      <w:szCs w:val="21"/>
                      <w:highlight w:val="none"/>
                      <w:vertAlign w:val="baseline"/>
                      <w:lang w:val="en-US" w:eastAsia="zh-CN" w:bidi="ar-SA"/>
                    </w:rPr>
                    <w:t>4、直接费用低</w:t>
                  </w:r>
                </w:p>
              </w:tc>
              <w:tc>
                <w:tcPr>
                  <w:tcW w:w="2669" w:type="pct"/>
                  <w:tcBorders>
                    <w:tl2br w:val="nil"/>
                    <w:tr2bl w:val="nil"/>
                  </w:tcBorders>
                  <w:vAlign w:val="center"/>
                </w:tcPr>
                <w:p w14:paraId="5B595A52">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vertAlign w:val="baseline"/>
                      <w:lang w:val="en-US" w:eastAsia="zh-CN" w:bidi="ar-SA"/>
                    </w:rPr>
                    <w:t>1、占地较少，回填土工程量较小</w:t>
                  </w:r>
                  <w:r>
                    <w:rPr>
                      <w:rFonts w:hint="default" w:ascii="Times New Roman" w:hAnsi="Times New Roman" w:cs="Times New Roman"/>
                      <w:b w:val="0"/>
                      <w:bCs w:val="0"/>
                      <w:color w:val="auto"/>
                      <w:kern w:val="0"/>
                      <w:sz w:val="21"/>
                      <w:szCs w:val="21"/>
                      <w:highlight w:val="none"/>
                      <w:vertAlign w:val="baseline"/>
                      <w:lang w:val="en-US" w:eastAsia="zh-CN" w:bidi="ar-SA"/>
                    </w:rPr>
                    <w:t>；</w:t>
                  </w:r>
                  <w:r>
                    <w:rPr>
                      <w:rFonts w:hint="default" w:ascii="Times New Roman" w:hAnsi="Times New Roman" w:eastAsia="宋体" w:cs="Times New Roman"/>
                      <w:b w:val="0"/>
                      <w:bCs w:val="0"/>
                      <w:color w:val="auto"/>
                      <w:kern w:val="0"/>
                      <w:sz w:val="21"/>
                      <w:szCs w:val="21"/>
                      <w:highlight w:val="none"/>
                      <w:vertAlign w:val="baseline"/>
                      <w:lang w:val="en-US" w:eastAsia="zh-CN" w:bidi="ar-SA"/>
                    </w:rPr>
                    <w:t>2、波浪爬高较小，防洪能力较大</w:t>
                  </w:r>
                </w:p>
              </w:tc>
            </w:tr>
            <w:tr w14:paraId="772B73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6" w:type="pct"/>
                  <w:tcBorders>
                    <w:tl2br w:val="nil"/>
                    <w:tr2bl w:val="nil"/>
                  </w:tcBorders>
                  <w:vAlign w:val="center"/>
                </w:tcPr>
                <w:p w14:paraId="34B21513">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缺点</w:t>
                  </w:r>
                </w:p>
              </w:tc>
              <w:tc>
                <w:tcPr>
                  <w:tcW w:w="1923" w:type="pct"/>
                  <w:tcBorders>
                    <w:tl2br w:val="nil"/>
                    <w:tr2bl w:val="nil"/>
                  </w:tcBorders>
                  <w:vAlign w:val="center"/>
                </w:tcPr>
                <w:p w14:paraId="1044FCEC">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vertAlign w:val="baseline"/>
                      <w:lang w:val="en-US" w:eastAsia="zh-CN" w:bidi="ar-SA"/>
                    </w:rPr>
                    <w:t>1、占地面积大</w:t>
                  </w:r>
                  <w:r>
                    <w:rPr>
                      <w:rFonts w:hint="default" w:ascii="Times New Roman" w:hAnsi="Times New Roman" w:cs="Times New Roman"/>
                      <w:b w:val="0"/>
                      <w:bCs w:val="0"/>
                      <w:color w:val="auto"/>
                      <w:kern w:val="0"/>
                      <w:sz w:val="21"/>
                      <w:szCs w:val="21"/>
                      <w:highlight w:val="none"/>
                      <w:vertAlign w:val="baseline"/>
                      <w:lang w:val="en-US" w:eastAsia="zh-CN" w:bidi="ar-SA"/>
                    </w:rPr>
                    <w:t>；</w:t>
                  </w:r>
                  <w:r>
                    <w:rPr>
                      <w:rFonts w:hint="default" w:ascii="Times New Roman" w:hAnsi="Times New Roman" w:eastAsia="宋体" w:cs="Times New Roman"/>
                      <w:b w:val="0"/>
                      <w:bCs w:val="0"/>
                      <w:color w:val="auto"/>
                      <w:kern w:val="0"/>
                      <w:sz w:val="21"/>
                      <w:szCs w:val="21"/>
                      <w:highlight w:val="none"/>
                      <w:vertAlign w:val="baseline"/>
                      <w:lang w:val="en-US" w:eastAsia="zh-CN" w:bidi="ar-SA"/>
                    </w:rPr>
                    <w:t>2、波浪爬高较大、防洪能力较小</w:t>
                  </w:r>
                </w:p>
              </w:tc>
              <w:tc>
                <w:tcPr>
                  <w:tcW w:w="2669" w:type="pct"/>
                  <w:tcBorders>
                    <w:tl2br w:val="nil"/>
                    <w:tr2bl w:val="nil"/>
                  </w:tcBorders>
                  <w:vAlign w:val="center"/>
                </w:tcPr>
                <w:p w14:paraId="396A9F44">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vertAlign w:val="baseline"/>
                      <w:lang w:val="en-US" w:eastAsia="zh-CN" w:bidi="ar-SA"/>
                    </w:rPr>
                    <w:t>1、地基应力较大</w:t>
                  </w:r>
                  <w:r>
                    <w:rPr>
                      <w:rFonts w:hint="default" w:ascii="Times New Roman" w:hAnsi="Times New Roman" w:cs="Times New Roman"/>
                      <w:b w:val="0"/>
                      <w:bCs w:val="0"/>
                      <w:color w:val="auto"/>
                      <w:kern w:val="0"/>
                      <w:sz w:val="21"/>
                      <w:szCs w:val="21"/>
                      <w:highlight w:val="none"/>
                      <w:vertAlign w:val="baseline"/>
                      <w:lang w:val="en-US" w:eastAsia="zh-CN" w:bidi="ar-SA"/>
                    </w:rPr>
                    <w:t>；</w:t>
                  </w:r>
                  <w:r>
                    <w:rPr>
                      <w:rFonts w:hint="default" w:ascii="Times New Roman" w:hAnsi="Times New Roman" w:eastAsia="宋体" w:cs="Times New Roman"/>
                      <w:b w:val="0"/>
                      <w:bCs w:val="0"/>
                      <w:color w:val="auto"/>
                      <w:kern w:val="0"/>
                      <w:sz w:val="21"/>
                      <w:szCs w:val="21"/>
                      <w:highlight w:val="none"/>
                      <w:vertAlign w:val="baseline"/>
                      <w:lang w:val="en-US" w:eastAsia="zh-CN" w:bidi="ar-SA"/>
                    </w:rPr>
                    <w:t>2、开挖量大，施工难度大</w:t>
                  </w:r>
                  <w:r>
                    <w:rPr>
                      <w:rFonts w:hint="default" w:ascii="Times New Roman" w:hAnsi="Times New Roman" w:cs="Times New Roman"/>
                      <w:b w:val="0"/>
                      <w:bCs w:val="0"/>
                      <w:color w:val="auto"/>
                      <w:kern w:val="0"/>
                      <w:sz w:val="21"/>
                      <w:szCs w:val="21"/>
                      <w:highlight w:val="none"/>
                      <w:vertAlign w:val="baseline"/>
                      <w:lang w:val="en-US" w:eastAsia="zh-CN" w:bidi="ar-SA"/>
                    </w:rPr>
                    <w:t>；</w:t>
                  </w:r>
                  <w:r>
                    <w:rPr>
                      <w:rFonts w:hint="default" w:ascii="Times New Roman" w:hAnsi="Times New Roman" w:eastAsia="宋体" w:cs="Times New Roman"/>
                      <w:b w:val="0"/>
                      <w:bCs w:val="0"/>
                      <w:color w:val="auto"/>
                      <w:kern w:val="0"/>
                      <w:sz w:val="21"/>
                      <w:szCs w:val="21"/>
                      <w:highlight w:val="none"/>
                      <w:vertAlign w:val="baseline"/>
                      <w:lang w:val="en-US" w:eastAsia="zh-CN" w:bidi="ar-SA"/>
                    </w:rPr>
                    <w:t>3、水流对挡土墙冲击力较大</w:t>
                  </w:r>
                  <w:r>
                    <w:rPr>
                      <w:rFonts w:hint="default" w:ascii="Times New Roman" w:hAnsi="Times New Roman" w:cs="Times New Roman"/>
                      <w:b w:val="0"/>
                      <w:bCs w:val="0"/>
                      <w:color w:val="auto"/>
                      <w:kern w:val="0"/>
                      <w:sz w:val="21"/>
                      <w:szCs w:val="21"/>
                      <w:highlight w:val="none"/>
                      <w:vertAlign w:val="baseline"/>
                      <w:lang w:val="en-US" w:eastAsia="zh-CN" w:bidi="ar-SA"/>
                    </w:rPr>
                    <w:t>；</w:t>
                  </w:r>
                  <w:r>
                    <w:rPr>
                      <w:rFonts w:hint="default" w:ascii="Times New Roman" w:hAnsi="Times New Roman" w:eastAsia="宋体" w:cs="Times New Roman"/>
                      <w:b w:val="0"/>
                      <w:bCs w:val="0"/>
                      <w:color w:val="auto"/>
                      <w:kern w:val="0"/>
                      <w:sz w:val="21"/>
                      <w:szCs w:val="21"/>
                      <w:highlight w:val="none"/>
                      <w:vertAlign w:val="baseline"/>
                      <w:lang w:val="en-US" w:eastAsia="zh-CN" w:bidi="ar-SA"/>
                    </w:rPr>
                    <w:t>4、直接费用高</w:t>
                  </w:r>
                </w:p>
              </w:tc>
            </w:tr>
          </w:tbl>
          <w:p w14:paraId="075454C2">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综上分析</w:t>
            </w:r>
            <w:r>
              <w:rPr>
                <w:rFonts w:hint="default" w:ascii="Times New Roman" w:hAnsi="Times New Roman" w:eastAsia="宋体" w:cs="Times New Roman"/>
                <w:color w:val="auto"/>
                <w:kern w:val="0"/>
                <w:sz w:val="24"/>
                <w:szCs w:val="24"/>
                <w:highlight w:val="none"/>
                <w:lang w:val="en-US" w:eastAsia="zh-CN" w:bidi="ar-SA"/>
              </w:rPr>
              <w:t>，</w:t>
            </w:r>
            <w:r>
              <w:rPr>
                <w:rFonts w:hint="default" w:ascii="Times New Roman" w:hAnsi="Times New Roman" w:cs="Times New Roman"/>
                <w:color w:val="auto"/>
                <w:kern w:val="0"/>
                <w:sz w:val="24"/>
                <w:szCs w:val="24"/>
                <w:highlight w:val="none"/>
                <w:lang w:val="en-US" w:eastAsia="zh-CN" w:bidi="ar-SA"/>
              </w:rPr>
              <w:t>结合</w:t>
            </w:r>
            <w:r>
              <w:rPr>
                <w:rFonts w:hint="default" w:ascii="Times New Roman" w:hAnsi="Times New Roman" w:eastAsia="宋体" w:cs="Times New Roman"/>
                <w:color w:val="auto"/>
                <w:kern w:val="0"/>
                <w:sz w:val="24"/>
                <w:szCs w:val="24"/>
                <w:highlight w:val="none"/>
                <w:lang w:val="en-US" w:eastAsia="zh-CN" w:bidi="ar-SA"/>
              </w:rPr>
              <w:t>本次护岸工程结合河段实际情况，对河道宽度不大，且两岸有耕地或者道路的情况，因用地受限，采用挡墙护岸</w:t>
            </w:r>
            <w:r>
              <w:rPr>
                <w:rFonts w:hint="default" w:ascii="Times New Roman" w:hAnsi="Times New Roman"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对河道较宽，不受用地限制的河段采用贴坡式护岸。</w:t>
            </w:r>
          </w:p>
          <w:p w14:paraId="49244DD1">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根据风浪、水流作用、地质、地形情况、施工条件、运用要求等因素，本工程主要在边坡较陡、靠近主河槽凹岸处，为提高抗冲能力，减少开挖，采用贴坡式护岸</w:t>
            </w:r>
            <w:r>
              <w:rPr>
                <w:rFonts w:hint="default" w:ascii="Times New Roman" w:hAnsi="Times New Roman" w:cs="Times New Roman"/>
                <w:color w:val="auto"/>
                <w:kern w:val="0"/>
                <w:sz w:val="24"/>
                <w:szCs w:val="24"/>
                <w:highlight w:val="none"/>
                <w:lang w:val="en-US" w:eastAsia="zh-CN" w:bidi="ar-SA"/>
              </w:rPr>
              <w:t>及</w:t>
            </w:r>
            <w:r>
              <w:rPr>
                <w:rFonts w:hint="default" w:ascii="Times New Roman" w:hAnsi="Times New Roman" w:eastAsia="宋体" w:cs="Times New Roman"/>
                <w:color w:val="auto"/>
                <w:kern w:val="0"/>
                <w:sz w:val="24"/>
                <w:szCs w:val="24"/>
                <w:highlight w:val="none"/>
                <w:lang w:val="en-US" w:eastAsia="zh-CN" w:bidi="ar-SA"/>
              </w:rPr>
              <w:t>墙式护岸</w:t>
            </w:r>
            <w:r>
              <w:rPr>
                <w:rFonts w:hint="default" w:ascii="Times New Roman" w:hAnsi="Times New Roman" w:cs="Times New Roman"/>
                <w:color w:val="auto"/>
                <w:kern w:val="0"/>
                <w:sz w:val="24"/>
                <w:szCs w:val="24"/>
                <w:highlight w:val="none"/>
                <w:lang w:val="en-US" w:eastAsia="zh-CN" w:bidi="ar-SA"/>
              </w:rPr>
              <w:t>结合</w:t>
            </w:r>
            <w:r>
              <w:rPr>
                <w:rFonts w:hint="default" w:ascii="Times New Roman" w:hAnsi="Times New Roman" w:eastAsia="宋体" w:cs="Times New Roman"/>
                <w:color w:val="auto"/>
                <w:kern w:val="0"/>
                <w:sz w:val="24"/>
                <w:szCs w:val="24"/>
                <w:highlight w:val="none"/>
                <w:lang w:val="en-US" w:eastAsia="zh-CN" w:bidi="ar-SA"/>
              </w:rPr>
              <w:t>进行防护。结合本次护岸工程结合河段实际情况，对河道宽度不大，且两岸有耕地或者道路的情况，因用地受限，采用挡墙护岸；对河道较宽，不受用地限制的河段采用贴坡式护岸。</w:t>
            </w:r>
          </w:p>
        </w:tc>
      </w:tr>
    </w:tbl>
    <w:p w14:paraId="0A754AD7">
      <w:pPr>
        <w:pStyle w:val="22"/>
        <w:jc w:val="center"/>
        <w:rPr>
          <w:rFonts w:hint="default" w:ascii="Times New Roman" w:hAnsi="Times New Roman" w:eastAsia="黑体" w:cs="Times New Roman"/>
          <w:snapToGrid w:val="0"/>
          <w:color w:val="auto"/>
          <w:sz w:val="36"/>
          <w:szCs w:val="36"/>
          <w:highlight w:val="none"/>
        </w:rPr>
        <w:sectPr>
          <w:pgSz w:w="11906" w:h="16838"/>
          <w:pgMar w:top="1701" w:right="1417" w:bottom="1701" w:left="1417" w:header="851" w:footer="851" w:gutter="0"/>
          <w:pgBorders>
            <w:top w:val="none" w:sz="0" w:space="0"/>
            <w:left w:val="none" w:sz="0" w:space="0"/>
            <w:bottom w:val="none" w:sz="0" w:space="0"/>
            <w:right w:val="none" w:sz="0" w:space="0"/>
          </w:pgBorders>
          <w:pgNumType w:fmt="numberInDash"/>
          <w:cols w:space="720" w:num="1"/>
          <w:docGrid w:linePitch="312" w:charSpace="0"/>
        </w:sectPr>
      </w:pPr>
    </w:p>
    <w:p w14:paraId="4F812A75">
      <w:pPr>
        <w:pStyle w:val="22"/>
        <w:adjustRightInd w:val="0"/>
        <w:snapToGrid w:val="0"/>
        <w:spacing w:before="0" w:beforeAutospacing="0" w:after="0" w:afterAutospacing="0" w:line="14" w:lineRule="auto"/>
        <w:jc w:val="center"/>
        <w:outlineLvl w:val="0"/>
        <w:rPr>
          <w:rFonts w:hint="default" w:ascii="Times New Roman" w:hAnsi="Times New Roman" w:eastAsia="黑体" w:cs="Times New Roman"/>
          <w:snapToGrid w:val="0"/>
          <w:color w:val="auto"/>
          <w:sz w:val="30"/>
          <w:szCs w:val="30"/>
          <w:highlight w:val="none"/>
        </w:rPr>
      </w:pPr>
    </w:p>
    <w:p w14:paraId="4D05C78F">
      <w:pPr>
        <w:pStyle w:val="22"/>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三、</w:t>
      </w:r>
      <w:r>
        <w:rPr>
          <w:rFonts w:hint="default" w:ascii="Times New Roman" w:hAnsi="Times New Roman" w:eastAsia="黑体" w:cs="Times New Roman"/>
          <w:snapToGrid w:val="0"/>
          <w:color w:val="auto"/>
          <w:sz w:val="30"/>
          <w:szCs w:val="30"/>
          <w:highlight w:val="none"/>
          <w:lang w:eastAsia="zh-CN"/>
        </w:rPr>
        <w:t>生态</w:t>
      </w:r>
      <w:r>
        <w:rPr>
          <w:rFonts w:hint="default" w:ascii="Times New Roman" w:hAnsi="Times New Roman" w:eastAsia="黑体" w:cs="Times New Roman"/>
          <w:snapToGrid w:val="0"/>
          <w:color w:val="auto"/>
          <w:sz w:val="30"/>
          <w:szCs w:val="30"/>
          <w:highlight w:val="none"/>
        </w:rPr>
        <w:t>环境质量现状、保护目标及评价标准</w:t>
      </w: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556"/>
        <w:gridCol w:w="8436"/>
      </w:tblGrid>
      <w:tr w14:paraId="59075CFD">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0" w:hRule="atLeast"/>
          <w:jc w:val="center"/>
        </w:trPr>
        <w:tc>
          <w:tcPr>
            <w:tcW w:w="556" w:type="dxa"/>
            <w:tcBorders>
              <w:tl2br w:val="nil"/>
              <w:tr2bl w:val="nil"/>
            </w:tcBorders>
            <w:vAlign w:val="center"/>
          </w:tcPr>
          <w:p w14:paraId="2463601B">
            <w:pPr>
              <w:adjustRightInd w:val="0"/>
              <w:snapToGrid w:val="0"/>
              <w:jc w:val="center"/>
              <w:rPr>
                <w:rFonts w:hint="default" w:ascii="Times New Roman" w:hAnsi="Times New Roman" w:eastAsia="仿宋_GB2312" w:cs="Times New Roman"/>
                <w:color w:val="auto"/>
                <w:kern w:val="0"/>
                <w:sz w:val="24"/>
                <w:highlight w:val="none"/>
                <w:lang w:eastAsia="zh-CN"/>
              </w:rPr>
            </w:pPr>
            <w:r>
              <w:rPr>
                <w:rFonts w:hint="default" w:ascii="Times New Roman" w:hAnsi="Times New Roman" w:eastAsia="宋体" w:cs="Times New Roman"/>
                <w:b/>
                <w:bCs/>
                <w:color w:val="auto"/>
                <w:kern w:val="0"/>
                <w:sz w:val="24"/>
                <w:highlight w:val="none"/>
                <w:lang w:eastAsia="zh-CN"/>
              </w:rPr>
              <w:t>生态环境现状</w:t>
            </w:r>
          </w:p>
        </w:tc>
        <w:tc>
          <w:tcPr>
            <w:tcW w:w="8434" w:type="dxa"/>
            <w:tcBorders>
              <w:tl2br w:val="nil"/>
              <w:tr2bl w:val="nil"/>
            </w:tcBorders>
          </w:tcPr>
          <w:p w14:paraId="1E8C525C">
            <w:pPr>
              <w:adjustRightInd w:val="0"/>
              <w:spacing w:line="360" w:lineRule="auto"/>
              <w:ind w:firstLine="480" w:firstLineChars="200"/>
              <w:rPr>
                <w:rFonts w:hint="default" w:ascii="Times New Roman" w:hAnsi="Times New Roman" w:eastAsia="黑体" w:cs="Times New Roman"/>
                <w:b w:val="0"/>
                <w:bCs w:val="0"/>
                <w:color w:val="auto"/>
                <w:kern w:val="0"/>
                <w:sz w:val="24"/>
                <w:szCs w:val="24"/>
                <w:highlight w:val="none"/>
                <w:lang w:val="en-US" w:eastAsia="zh-CN" w:bidi="ar-SA"/>
              </w:rPr>
            </w:pPr>
            <w:r>
              <w:rPr>
                <w:rFonts w:hint="default" w:ascii="Times New Roman" w:hAnsi="Times New Roman" w:eastAsia="黑体" w:cs="Times New Roman"/>
                <w:b w:val="0"/>
                <w:bCs w:val="0"/>
                <w:color w:val="auto"/>
                <w:kern w:val="0"/>
                <w:sz w:val="24"/>
                <w:szCs w:val="24"/>
                <w:highlight w:val="none"/>
                <w:lang w:val="en-US" w:eastAsia="zh-CN" w:bidi="ar-SA"/>
              </w:rPr>
              <w:t>1、生态环境状况</w:t>
            </w:r>
          </w:p>
          <w:p w14:paraId="38C36FB7">
            <w:pPr>
              <w:adjustRightInd w:val="0"/>
              <w:spacing w:line="360" w:lineRule="auto"/>
              <w:ind w:firstLine="480" w:firstLineChars="200"/>
              <w:rPr>
                <w:rFonts w:hint="default" w:ascii="Times New Roman" w:hAnsi="Times New Roman" w:eastAsia="黑体" w:cs="Times New Roman"/>
                <w:b w:val="0"/>
                <w:bCs w:val="0"/>
                <w:color w:val="auto"/>
                <w:kern w:val="0"/>
                <w:sz w:val="24"/>
                <w:szCs w:val="24"/>
                <w:highlight w:val="none"/>
                <w:lang w:val="en-US" w:eastAsia="zh-CN" w:bidi="ar-SA"/>
              </w:rPr>
            </w:pPr>
            <w:r>
              <w:rPr>
                <w:rFonts w:hint="eastAsia" w:eastAsia="黑体" w:cs="Times New Roman"/>
                <w:b w:val="0"/>
                <w:bCs w:val="0"/>
                <w:color w:val="auto"/>
                <w:kern w:val="0"/>
                <w:sz w:val="24"/>
                <w:szCs w:val="24"/>
                <w:highlight w:val="none"/>
                <w:lang w:val="en-US" w:eastAsia="zh-CN" w:bidi="ar-SA"/>
              </w:rPr>
              <w:t>1.1</w:t>
            </w:r>
            <w:r>
              <w:rPr>
                <w:rFonts w:hint="default" w:ascii="Times New Roman" w:hAnsi="Times New Roman" w:eastAsia="黑体" w:cs="Times New Roman"/>
                <w:b w:val="0"/>
                <w:bCs w:val="0"/>
                <w:color w:val="auto"/>
                <w:kern w:val="0"/>
                <w:sz w:val="24"/>
                <w:szCs w:val="24"/>
                <w:highlight w:val="none"/>
                <w:lang w:val="en-US" w:eastAsia="zh-CN" w:bidi="ar-SA"/>
              </w:rPr>
              <w:t>与《宁夏回族自治区主体功能区规划》的情况分析</w:t>
            </w:r>
          </w:p>
          <w:p w14:paraId="633DC17B">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根据《宁夏回族自治区主体功能区规划》将全区国土空间划分为以下主体功能区：按开发方式，划分为重点开发区域、限制开发区域和禁止开发区域；按开发内容，划分为城市化地区、农产品主产区和重点生态功能区；按层次，划分为国家级和自治区级两个层面。</w:t>
            </w:r>
          </w:p>
          <w:p w14:paraId="083745D0">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本项目位于宁夏回族自治区</w:t>
            </w:r>
            <w:r>
              <w:rPr>
                <w:rFonts w:hint="default" w:ascii="Times New Roman" w:hAnsi="Times New Roman" w:cs="Times New Roman"/>
                <w:color w:val="auto"/>
                <w:kern w:val="0"/>
                <w:sz w:val="24"/>
                <w:szCs w:val="24"/>
                <w:highlight w:val="none"/>
                <w:lang w:val="en-US" w:eastAsia="zh-CN" w:bidi="ar-SA"/>
              </w:rPr>
              <w:t>沙坡头区兴仁镇及香山乡</w:t>
            </w:r>
            <w:r>
              <w:rPr>
                <w:rFonts w:hint="default" w:ascii="Times New Roman" w:hAnsi="Times New Roman" w:eastAsia="宋体" w:cs="Times New Roman"/>
                <w:color w:val="auto"/>
                <w:kern w:val="0"/>
                <w:sz w:val="24"/>
                <w:szCs w:val="24"/>
                <w:highlight w:val="none"/>
                <w:lang w:val="en-US" w:eastAsia="zh-CN" w:bidi="ar-SA"/>
              </w:rPr>
              <w:t>，属于《宁夏回族自治区主体功能区规划》中的限制开发区域(自治区</w:t>
            </w:r>
            <w:r>
              <w:rPr>
                <w:rFonts w:hint="eastAsia" w:cs="Times New Roman"/>
                <w:color w:val="auto"/>
                <w:kern w:val="0"/>
                <w:sz w:val="24"/>
                <w:szCs w:val="24"/>
                <w:highlight w:val="none"/>
                <w:lang w:val="en-US" w:eastAsia="zh-CN" w:bidi="ar-SA"/>
              </w:rPr>
              <w:t>级</w:t>
            </w:r>
            <w:r>
              <w:rPr>
                <w:rFonts w:hint="default" w:ascii="Times New Roman" w:hAnsi="Times New Roman" w:eastAsia="宋体" w:cs="Times New Roman"/>
                <w:color w:val="auto"/>
                <w:kern w:val="0"/>
                <w:sz w:val="24"/>
                <w:szCs w:val="24"/>
                <w:highlight w:val="none"/>
                <w:lang w:val="en-US" w:eastAsia="zh-CN" w:bidi="ar-SA"/>
              </w:rPr>
              <w:t>重点生态功能区)。重点生态功能区功能定位是</w:t>
            </w:r>
            <w:r>
              <w:rPr>
                <w:rFonts w:hint="eastAsia"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保障国家生态安全的重要区域，西北重要的生态功能区，人与自然和谐相处的示范区。</w:t>
            </w:r>
          </w:p>
          <w:p w14:paraId="2D2D562E">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重点生态功能区包括国家级重点生态功能区和自治区级重点生态功能区。国家级重点生态功能区的县区包括彭阳县、盐池县、同心县、西吉县、隆德县、泾源县、海原县、红寺堡区等七县一区</w:t>
            </w:r>
            <w:r>
              <w:rPr>
                <w:rFonts w:hint="eastAsia"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自治区级重点生态功能区包括灵武市、沙坡头区、中宁县、原州区部分乡镇。重点生态功能区总面积为38072平方公里，占国土空间比重为57.3%。2008年人口241万人，占全区的39%。分为水源涵养型、水土保持型、防风固沙型三种类型</w:t>
            </w:r>
            <w:r>
              <w:rPr>
                <w:rFonts w:hint="eastAsia" w:cs="Times New Roman"/>
                <w:color w:val="auto"/>
                <w:kern w:val="0"/>
                <w:sz w:val="24"/>
                <w:szCs w:val="24"/>
                <w:highlight w:val="none"/>
                <w:lang w:val="en-US" w:eastAsia="zh-CN" w:bidi="ar-SA"/>
              </w:rPr>
              <w:t>。</w:t>
            </w:r>
          </w:p>
          <w:p w14:paraId="6CB1925D">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该规划中对自治区级重点生态功能区的发展方向和开发原则：生态服务功能增强，生态环境质量改善。地表水水质明显改善，主要河流径流量基本稳定并有所增加。水土流失和荒漠化得到有效控制，沙化土地面积持续减少，草原面积保持稳定，草原植被得到恢复。天然林面积扩大，森林覆盖率提高，森林蓄积量增加。野生动植物物种得到恢复和增加。水源涵养型和生物多样性维护型生态功能区的水质达到I类，空气质量达到一级</w:t>
            </w:r>
            <w:r>
              <w:rPr>
                <w:rFonts w:hint="eastAsia"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水土保持型生态功能区水质达到</w:t>
            </w:r>
            <w:r>
              <w:rPr>
                <w:rFonts w:hint="eastAsia" w:cs="Times New Roman"/>
                <w:color w:val="auto"/>
                <w:kern w:val="0"/>
                <w:sz w:val="24"/>
                <w:szCs w:val="24"/>
                <w:highlight w:val="none"/>
                <w:lang w:val="en-US" w:eastAsia="zh-CN" w:bidi="ar-SA"/>
              </w:rPr>
              <w:t>Ⅱ类</w:t>
            </w:r>
            <w:r>
              <w:rPr>
                <w:rFonts w:hint="default" w:ascii="Times New Roman" w:hAnsi="Times New Roman" w:eastAsia="宋体" w:cs="Times New Roman"/>
                <w:color w:val="auto"/>
                <w:kern w:val="0"/>
                <w:sz w:val="24"/>
                <w:szCs w:val="24"/>
                <w:highlight w:val="none"/>
                <w:lang w:val="en-US" w:eastAsia="zh-CN" w:bidi="ar-SA"/>
              </w:rPr>
              <w:t>，空气质量达到二级</w:t>
            </w:r>
            <w:r>
              <w:rPr>
                <w:rFonts w:hint="eastAsia"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防风固沙型生态功能区的水质达到</w:t>
            </w:r>
            <w:r>
              <w:rPr>
                <w:rFonts w:hint="eastAsia" w:cs="Times New Roman"/>
                <w:color w:val="auto"/>
                <w:kern w:val="0"/>
                <w:sz w:val="24"/>
                <w:szCs w:val="24"/>
                <w:highlight w:val="none"/>
                <w:lang w:val="en-US" w:eastAsia="zh-CN" w:bidi="ar-SA"/>
              </w:rPr>
              <w:t>Ⅱ类</w:t>
            </w:r>
            <w:r>
              <w:rPr>
                <w:rFonts w:hint="default" w:ascii="Times New Roman" w:hAnsi="Times New Roman" w:eastAsia="宋体" w:cs="Times New Roman"/>
                <w:color w:val="auto"/>
                <w:kern w:val="0"/>
                <w:sz w:val="24"/>
                <w:szCs w:val="24"/>
                <w:highlight w:val="none"/>
                <w:lang w:val="en-US" w:eastAsia="zh-CN" w:bidi="ar-SA"/>
              </w:rPr>
              <w:t>，空气质量得到</w:t>
            </w:r>
            <w:r>
              <w:rPr>
                <w:rFonts w:hint="eastAsia" w:cs="Times New Roman"/>
                <w:color w:val="auto"/>
                <w:kern w:val="0"/>
                <w:sz w:val="24"/>
                <w:szCs w:val="24"/>
                <w:highlight w:val="none"/>
                <w:lang w:val="en-US" w:eastAsia="zh-CN" w:bidi="ar-SA"/>
              </w:rPr>
              <w:t>改善</w:t>
            </w:r>
            <w:r>
              <w:rPr>
                <w:rFonts w:hint="default" w:ascii="Times New Roman" w:hAnsi="Times New Roman" w:eastAsia="宋体" w:cs="Times New Roman"/>
                <w:color w:val="auto"/>
                <w:kern w:val="0"/>
                <w:sz w:val="24"/>
                <w:szCs w:val="24"/>
                <w:highlight w:val="none"/>
                <w:lang w:val="en-US" w:eastAsia="zh-CN" w:bidi="ar-SA"/>
              </w:rPr>
              <w:t>。</w:t>
            </w:r>
          </w:p>
          <w:p w14:paraId="04D1C32B">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w:t>
            </w:r>
            <w:r>
              <w:rPr>
                <w:rFonts w:hint="eastAsia" w:cs="Times New Roman"/>
                <w:color w:val="auto"/>
                <w:kern w:val="0"/>
                <w:sz w:val="24"/>
                <w:szCs w:val="24"/>
                <w:highlight w:val="none"/>
                <w:lang w:val="en-US" w:eastAsia="zh-CN" w:bidi="ar-SA"/>
              </w:rPr>
              <w:t>为</w:t>
            </w:r>
            <w:r>
              <w:rPr>
                <w:rFonts w:hint="default" w:ascii="Times New Roman" w:hAnsi="Times New Roman" w:cs="Times New Roman"/>
                <w:color w:val="auto"/>
                <w:kern w:val="0"/>
                <w:sz w:val="24"/>
                <w:szCs w:val="24"/>
                <w:highlight w:val="none"/>
                <w:lang w:val="en-US" w:eastAsia="zh-CN" w:bidi="ar-SA"/>
              </w:rPr>
              <w:t>高崖沟</w:t>
            </w:r>
            <w:r>
              <w:rPr>
                <w:rFonts w:hint="eastAsia" w:cs="Times New Roman"/>
                <w:color w:val="auto"/>
                <w:kern w:val="0"/>
                <w:sz w:val="24"/>
                <w:szCs w:val="24"/>
                <w:highlight w:val="none"/>
                <w:lang w:val="en-US" w:eastAsia="zh-CN" w:bidi="ar-SA"/>
              </w:rPr>
              <w:t>岸坡砌护及沟道清淤综合治理</w:t>
            </w:r>
            <w:r>
              <w:rPr>
                <w:rFonts w:hint="default" w:ascii="Times New Roman" w:hAnsi="Times New Roman" w:eastAsia="宋体" w:cs="Times New Roman"/>
                <w:color w:val="auto"/>
                <w:kern w:val="0"/>
                <w:sz w:val="24"/>
                <w:szCs w:val="24"/>
                <w:highlight w:val="none"/>
                <w:lang w:val="en-US" w:eastAsia="zh-CN" w:bidi="ar-SA"/>
              </w:rPr>
              <w:t>，</w:t>
            </w:r>
            <w:r>
              <w:rPr>
                <w:rFonts w:hint="eastAsia" w:cs="Times New Roman"/>
                <w:color w:val="auto"/>
                <w:kern w:val="0"/>
                <w:sz w:val="24"/>
                <w:szCs w:val="24"/>
                <w:highlight w:val="none"/>
                <w:lang w:val="en-US" w:eastAsia="zh-CN" w:bidi="ar-SA"/>
              </w:rPr>
              <w:t>项目的实施将有利于改善高崖沟现状沟道淤积，边坡溃损等生态问题</w:t>
            </w:r>
            <w:r>
              <w:rPr>
                <w:rFonts w:hint="default" w:ascii="Times New Roman" w:hAnsi="Times New Roman" w:cs="Times New Roman"/>
                <w:color w:val="auto"/>
                <w:kern w:val="0"/>
                <w:sz w:val="24"/>
                <w:szCs w:val="24"/>
                <w:highlight w:val="none"/>
                <w:lang w:val="en-US" w:eastAsia="zh-CN" w:bidi="ar-SA"/>
              </w:rPr>
              <w:t>，</w:t>
            </w:r>
            <w:r>
              <w:rPr>
                <w:rFonts w:hint="eastAsia" w:cs="Times New Roman"/>
                <w:color w:val="auto"/>
                <w:kern w:val="0"/>
                <w:sz w:val="24"/>
                <w:szCs w:val="24"/>
                <w:highlight w:val="none"/>
                <w:lang w:val="en-US" w:eastAsia="zh-CN" w:bidi="ar-SA"/>
              </w:rPr>
              <w:t>项目实施后，有利于现有沟道行洪，增强其生态服务功能，同时边坡的砌护将有利于岸坡稳定，解决因边坡水利冲刷所造成的水土流失而带来的沟道淤积问题；</w:t>
            </w:r>
            <w:r>
              <w:rPr>
                <w:rFonts w:hint="default" w:ascii="Times New Roman" w:hAnsi="Times New Roman" w:cs="Times New Roman"/>
                <w:color w:val="auto"/>
                <w:kern w:val="0"/>
                <w:sz w:val="24"/>
                <w:szCs w:val="24"/>
                <w:highlight w:val="none"/>
                <w:lang w:val="en-US" w:eastAsia="zh-CN" w:bidi="ar-SA"/>
              </w:rPr>
              <w:t>因此本项目的建设</w:t>
            </w:r>
            <w:r>
              <w:rPr>
                <w:rFonts w:hint="default" w:ascii="Times New Roman" w:hAnsi="Times New Roman" w:eastAsia="宋体" w:cs="Times New Roman"/>
                <w:color w:val="auto"/>
                <w:kern w:val="0"/>
                <w:sz w:val="24"/>
                <w:szCs w:val="24"/>
                <w:highlight w:val="none"/>
                <w:lang w:val="en-US" w:eastAsia="zh-CN" w:bidi="ar-SA"/>
              </w:rPr>
              <w:t>符合《宁夏回族自治区主体功能区规划》中的发展要求。项目与宁夏回族自治区主体功能区规划关系详见图</w:t>
            </w:r>
            <w:r>
              <w:rPr>
                <w:rFonts w:hint="default" w:ascii="Times New Roman" w:hAnsi="Times New Roman" w:cs="Times New Roman"/>
                <w:color w:val="auto"/>
                <w:kern w:val="0"/>
                <w:sz w:val="24"/>
                <w:szCs w:val="24"/>
                <w:highlight w:val="none"/>
                <w:lang w:val="en-US" w:eastAsia="zh-CN" w:bidi="ar-SA"/>
              </w:rPr>
              <w:t>3-1</w:t>
            </w:r>
            <w:r>
              <w:rPr>
                <w:rFonts w:hint="default" w:ascii="Times New Roman" w:hAnsi="Times New Roman" w:eastAsia="宋体" w:cs="Times New Roman"/>
                <w:color w:val="auto"/>
                <w:kern w:val="0"/>
                <w:sz w:val="24"/>
                <w:szCs w:val="24"/>
                <w:highlight w:val="none"/>
                <w:lang w:val="en-US" w:eastAsia="zh-CN" w:bidi="ar-SA"/>
              </w:rPr>
              <w:t>。</w:t>
            </w:r>
          </w:p>
          <w:p w14:paraId="3D26161C">
            <w:pPr>
              <w:adjustRightInd w:val="0"/>
              <w:spacing w:line="360" w:lineRule="auto"/>
              <w:ind w:firstLine="480" w:firstLineChars="200"/>
              <w:rPr>
                <w:rFonts w:hint="default" w:ascii="Times New Roman" w:hAnsi="Times New Roman" w:eastAsia="黑体" w:cs="Times New Roman"/>
                <w:b w:val="0"/>
                <w:bCs w:val="0"/>
                <w:color w:val="auto"/>
                <w:kern w:val="0"/>
                <w:sz w:val="24"/>
                <w:szCs w:val="24"/>
                <w:highlight w:val="none"/>
                <w:lang w:val="en-US" w:eastAsia="zh-CN" w:bidi="ar-SA"/>
              </w:rPr>
            </w:pPr>
            <w:r>
              <w:rPr>
                <w:rFonts w:hint="eastAsia" w:eastAsia="黑体" w:cs="Times New Roman"/>
                <w:b w:val="0"/>
                <w:bCs w:val="0"/>
                <w:color w:val="auto"/>
                <w:kern w:val="0"/>
                <w:sz w:val="24"/>
                <w:szCs w:val="24"/>
                <w:highlight w:val="none"/>
                <w:lang w:val="en-US" w:eastAsia="zh-CN" w:bidi="ar-SA"/>
              </w:rPr>
              <w:t>1.2</w:t>
            </w:r>
            <w:r>
              <w:rPr>
                <w:rFonts w:hint="default" w:ascii="Times New Roman" w:hAnsi="Times New Roman" w:eastAsia="黑体" w:cs="Times New Roman"/>
                <w:b w:val="0"/>
                <w:bCs w:val="0"/>
                <w:color w:val="auto"/>
                <w:kern w:val="0"/>
                <w:sz w:val="24"/>
                <w:szCs w:val="24"/>
                <w:highlight w:val="none"/>
                <w:lang w:val="en-US" w:eastAsia="zh-CN" w:bidi="ar-SA"/>
              </w:rPr>
              <w:t>生态功能定位</w:t>
            </w:r>
          </w:p>
          <w:p w14:paraId="0CDAD50C">
            <w:pPr>
              <w:tabs>
                <w:tab w:val="left" w:pos="2040"/>
              </w:tabs>
              <w:spacing w:after="0"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本项目位于宁夏回族自治区中卫市</w:t>
            </w:r>
            <w:r>
              <w:rPr>
                <w:rFonts w:hint="eastAsia" w:cs="Times New Roman"/>
                <w:color w:val="auto"/>
                <w:sz w:val="24"/>
                <w:highlight w:val="none"/>
                <w:lang w:val="en-US" w:eastAsia="zh-CN"/>
              </w:rPr>
              <w:t>兴仁镇及香山乡</w:t>
            </w:r>
            <w:r>
              <w:rPr>
                <w:rFonts w:hint="default" w:ascii="Times New Roman" w:hAnsi="Times New Roman" w:cs="Times New Roman"/>
                <w:color w:val="auto"/>
                <w:sz w:val="24"/>
                <w:highlight w:val="none"/>
              </w:rPr>
              <w:t>，根据《宁夏生态功能区划》，宁夏生态功能区划共划分3个一级区，10个二级区，37个三级区。</w:t>
            </w:r>
          </w:p>
          <w:p w14:paraId="00AD9895">
            <w:pPr>
              <w:tabs>
                <w:tab w:val="left" w:pos="2040"/>
              </w:tabs>
              <w:spacing w:after="0"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对照宁夏生态功能区划图可知，本项目主要位于II2-4清水河下游、南山台子台地杨黄节灌农田生态功能区，属于三级区。</w:t>
            </w:r>
          </w:p>
          <w:p w14:paraId="79EFD387">
            <w:pPr>
              <w:tabs>
                <w:tab w:val="left" w:pos="2040"/>
              </w:tabs>
              <w:spacing w:after="0" w:line="360" w:lineRule="auto"/>
              <w:ind w:firstLine="480" w:firstLineChars="200"/>
              <w:rPr>
                <w:rFonts w:hint="default" w:ascii="Times New Roman" w:hAnsi="Times New Roman" w:cs="Times New Roman"/>
                <w:b/>
                <w:bCs/>
                <w:color w:val="auto"/>
                <w:szCs w:val="21"/>
                <w:highlight w:val="none"/>
              </w:rPr>
            </w:pPr>
            <w:r>
              <w:rPr>
                <w:rFonts w:hint="default" w:ascii="Times New Roman" w:hAnsi="Times New Roman" w:cs="Times New Roman"/>
                <w:color w:val="auto"/>
                <w:sz w:val="24"/>
                <w:highlight w:val="none"/>
              </w:rPr>
              <w:t>本项目具体生态功能区域见表3-1和图</w:t>
            </w:r>
            <w:r>
              <w:rPr>
                <w:rFonts w:hint="default" w:ascii="Times New Roman" w:hAnsi="Times New Roman" w:cs="Times New Roman"/>
                <w:color w:val="auto"/>
                <w:sz w:val="24"/>
                <w:highlight w:val="none"/>
                <w:lang w:val="en-US" w:eastAsia="zh-CN"/>
              </w:rPr>
              <w:t>3-2</w:t>
            </w:r>
            <w:r>
              <w:rPr>
                <w:rFonts w:hint="default" w:ascii="Times New Roman" w:hAnsi="Times New Roman" w:cs="Times New Roman"/>
                <w:color w:val="auto"/>
                <w:sz w:val="24"/>
                <w:highlight w:val="none"/>
              </w:rPr>
              <w:t>。</w:t>
            </w:r>
          </w:p>
          <w:p w14:paraId="10E35195">
            <w:pPr>
              <w:keepNext w:val="0"/>
              <w:keepLines w:val="0"/>
              <w:pageBreakBefore w:val="0"/>
              <w:widowControl w:val="0"/>
              <w:tabs>
                <w:tab w:val="left" w:pos="2040"/>
              </w:tabs>
              <w:kinsoku/>
              <w:wordWrap/>
              <w:overflowPunct/>
              <w:topLinePunct w:val="0"/>
              <w:autoSpaceDE/>
              <w:autoSpaceDN/>
              <w:bidi w:val="0"/>
              <w:adjustRightInd/>
              <w:snapToGrid/>
              <w:spacing w:after="0" w:line="360" w:lineRule="auto"/>
              <w:ind w:firstLine="240" w:firstLineChars="100"/>
              <w:jc w:val="center"/>
              <w:textAlignment w:val="auto"/>
              <w:rPr>
                <w:rFonts w:hint="default" w:ascii="Times New Roman" w:hAnsi="Times New Roman" w:eastAsia="黑体" w:cs="Times New Roman"/>
                <w:b w:val="0"/>
                <w:bCs w:val="0"/>
                <w:color w:val="auto"/>
                <w:sz w:val="24"/>
                <w:szCs w:val="24"/>
                <w:highlight w:val="none"/>
                <w:lang w:val="en-US" w:eastAsia="zh-CN"/>
              </w:rPr>
            </w:pPr>
            <w:r>
              <w:rPr>
                <w:rFonts w:hint="default" w:ascii="Times New Roman" w:hAnsi="Times New Roman" w:eastAsia="黑体" w:cs="Times New Roman"/>
                <w:b w:val="0"/>
                <w:bCs w:val="0"/>
                <w:color w:val="auto"/>
                <w:sz w:val="24"/>
                <w:szCs w:val="24"/>
                <w:highlight w:val="none"/>
                <w:lang w:val="en-US" w:eastAsia="zh-CN"/>
              </w:rPr>
              <w:t>表3-1  项目区生态功能区划表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8"/>
              <w:gridCol w:w="997"/>
              <w:gridCol w:w="1099"/>
              <w:gridCol w:w="5096"/>
            </w:tblGrid>
            <w:tr w14:paraId="1E0583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38" w:type="dxa"/>
                  <w:noWrap w:val="0"/>
                  <w:vAlign w:val="center"/>
                </w:tcPr>
                <w:p w14:paraId="2CF73163">
                  <w:pPr>
                    <w:tabs>
                      <w:tab w:val="left" w:pos="2040"/>
                    </w:tabs>
                    <w:spacing w:after="0" w:line="300" w:lineRule="exact"/>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一级区</w:t>
                  </w:r>
                </w:p>
              </w:tc>
              <w:tc>
                <w:tcPr>
                  <w:tcW w:w="910" w:type="dxa"/>
                  <w:noWrap w:val="0"/>
                  <w:vAlign w:val="center"/>
                </w:tcPr>
                <w:p w14:paraId="7ABCC068">
                  <w:pPr>
                    <w:tabs>
                      <w:tab w:val="left" w:pos="2040"/>
                    </w:tabs>
                    <w:spacing w:after="0" w:line="300" w:lineRule="exact"/>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二级区</w:t>
                  </w:r>
                </w:p>
              </w:tc>
              <w:tc>
                <w:tcPr>
                  <w:tcW w:w="1003" w:type="dxa"/>
                  <w:noWrap w:val="0"/>
                  <w:vAlign w:val="center"/>
                </w:tcPr>
                <w:p w14:paraId="74EAD6CC">
                  <w:pPr>
                    <w:tabs>
                      <w:tab w:val="left" w:pos="2040"/>
                    </w:tabs>
                    <w:spacing w:after="0" w:line="300" w:lineRule="exact"/>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三级区</w:t>
                  </w:r>
                </w:p>
              </w:tc>
              <w:tc>
                <w:tcPr>
                  <w:tcW w:w="4650" w:type="dxa"/>
                  <w:noWrap w:val="0"/>
                  <w:vAlign w:val="center"/>
                </w:tcPr>
                <w:p w14:paraId="532F9FD2">
                  <w:pPr>
                    <w:tabs>
                      <w:tab w:val="left" w:pos="2040"/>
                    </w:tabs>
                    <w:spacing w:after="0" w:line="300" w:lineRule="exact"/>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主要生态特点、问题及措施</w:t>
                  </w:r>
                </w:p>
              </w:tc>
            </w:tr>
            <w:tr w14:paraId="395F2D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38" w:type="dxa"/>
                  <w:noWrap w:val="0"/>
                  <w:vAlign w:val="center"/>
                </w:tcPr>
                <w:p w14:paraId="79542601">
                  <w:pPr>
                    <w:tabs>
                      <w:tab w:val="left" w:pos="2040"/>
                    </w:tabs>
                    <w:spacing w:after="0" w:line="300" w:lineRule="exact"/>
                    <w:jc w:val="both"/>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highlight w:val="none"/>
                      <w:lang w:val="en-US" w:eastAsia="zh-CN"/>
                    </w:rPr>
                    <w:t>宁夏中部半干旱台地、山地、平原干旱风沙生态区</w:t>
                  </w:r>
                </w:p>
              </w:tc>
              <w:tc>
                <w:tcPr>
                  <w:tcW w:w="910" w:type="dxa"/>
                  <w:noWrap w:val="0"/>
                  <w:vAlign w:val="center"/>
                </w:tcPr>
                <w:p w14:paraId="6EB270EE">
                  <w:pPr>
                    <w:tabs>
                      <w:tab w:val="left" w:pos="2040"/>
                    </w:tabs>
                    <w:spacing w:after="0" w:line="300" w:lineRule="exact"/>
                    <w:jc w:val="both"/>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highlight w:val="none"/>
                      <w:lang w:val="en-US" w:eastAsia="zh-CN"/>
                    </w:rPr>
                    <w:t>中部低山、丘陵、平原水旱混合农业开发生态亚区</w:t>
                  </w:r>
                </w:p>
              </w:tc>
              <w:tc>
                <w:tcPr>
                  <w:tcW w:w="1003" w:type="dxa"/>
                  <w:noWrap w:val="0"/>
                  <w:vAlign w:val="center"/>
                </w:tcPr>
                <w:p w14:paraId="319A6A2A">
                  <w:pPr>
                    <w:tabs>
                      <w:tab w:val="left" w:pos="2040"/>
                    </w:tabs>
                    <w:spacing w:after="0" w:line="300" w:lineRule="exact"/>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I</w:t>
                  </w:r>
                  <w:r>
                    <w:rPr>
                      <w:rFonts w:hint="default" w:ascii="Times New Roman" w:hAnsi="Times New Roman" w:cs="Times New Roman"/>
                      <w:color w:val="auto"/>
                      <w:szCs w:val="21"/>
                      <w:highlight w:val="none"/>
                    </w:rPr>
                    <w:t>I</w:t>
                  </w:r>
                  <w:r>
                    <w:rPr>
                      <w:rFonts w:hint="default" w:ascii="Times New Roman" w:hAnsi="Times New Roman" w:cs="Times New Roman"/>
                      <w:color w:val="auto"/>
                      <w:szCs w:val="21"/>
                      <w:highlight w:val="none"/>
                      <w:lang w:val="en-US" w:eastAsia="zh-CN"/>
                    </w:rPr>
                    <w:t>2-</w:t>
                  </w:r>
                  <w:r>
                    <w:rPr>
                      <w:rFonts w:hint="eastAsia" w:cs="Times New Roman"/>
                      <w:color w:val="auto"/>
                      <w:szCs w:val="21"/>
                      <w:highlight w:val="none"/>
                      <w:lang w:val="en-US" w:eastAsia="zh-CN"/>
                    </w:rPr>
                    <w:t>5</w:t>
                  </w:r>
                  <w:r>
                    <w:rPr>
                      <w:rFonts w:hint="default" w:ascii="Times New Roman" w:hAnsi="Times New Roman" w:cs="Times New Roman"/>
                      <w:color w:val="auto"/>
                      <w:szCs w:val="21"/>
                      <w:highlight w:val="none"/>
                      <w:lang w:val="en-US" w:eastAsia="zh-CN"/>
                    </w:rPr>
                    <w:t>香山低山丘陵荒漠草原保护、中卫山羊保种生态功能区</w:t>
                  </w:r>
                </w:p>
              </w:tc>
              <w:tc>
                <w:tcPr>
                  <w:tcW w:w="4650" w:type="dxa"/>
                  <w:noWrap w:val="0"/>
                  <w:vAlign w:val="center"/>
                </w:tcPr>
                <w:p w14:paraId="04ED2F03">
                  <w:pPr>
                    <w:tabs>
                      <w:tab w:val="left" w:pos="2040"/>
                    </w:tabs>
                    <w:spacing w:after="0" w:line="300" w:lineRule="exact"/>
                    <w:jc w:val="both"/>
                    <w:rPr>
                      <w:rFonts w:hint="default" w:ascii="Times New Roman" w:hAnsi="Times New Roman" w:eastAsia="宋体" w:cs="Times New Roman"/>
                      <w:color w:val="auto"/>
                      <w:szCs w:val="21"/>
                      <w:highlight w:val="none"/>
                      <w:vertAlign w:val="superscript"/>
                      <w:lang w:eastAsia="zh-CN"/>
                    </w:rPr>
                  </w:pPr>
                  <w:r>
                    <w:rPr>
                      <w:rFonts w:hint="default" w:ascii="Times New Roman" w:hAnsi="Times New Roman" w:eastAsia="宋体" w:cs="Times New Roman"/>
                      <w:color w:val="auto"/>
                      <w:szCs w:val="21"/>
                      <w:highlight w:val="none"/>
                    </w:rPr>
                    <w:t>香山属于中低山，最高峰2356m。植被为荒漠草原类型，以猫头刺、短花针茅等旱生植物为主，植被覆盖度低。土壤为粗骨土和灰钙土。本区主要生态服务功能是保护好荒漠草原和中卫山羊物种资源。本区的生态敏感性问题是草场退化，其治理措施是先禁牧，雨季补播牧草，提高草场质量</w:t>
                  </w:r>
                  <w:r>
                    <w:rPr>
                      <w:rFonts w:hint="eastAsia" w:cs="Times New Roman"/>
                      <w:color w:val="auto"/>
                      <w:szCs w:val="21"/>
                      <w:highlight w:val="none"/>
                      <w:lang w:eastAsia="zh-CN"/>
                    </w:rPr>
                    <w:t>；</w:t>
                  </w:r>
                  <w:r>
                    <w:rPr>
                      <w:rFonts w:hint="default" w:ascii="Times New Roman" w:hAnsi="Times New Roman" w:eastAsia="宋体" w:cs="Times New Roman"/>
                      <w:color w:val="auto"/>
                      <w:szCs w:val="21"/>
                      <w:highlight w:val="none"/>
                    </w:rPr>
                    <w:t>合理</w:t>
                  </w:r>
                  <w:r>
                    <w:rPr>
                      <w:rFonts w:hint="eastAsia" w:cs="Times New Roman"/>
                      <w:color w:val="auto"/>
                      <w:szCs w:val="21"/>
                      <w:highlight w:val="none"/>
                      <w:lang w:eastAsia="zh-CN"/>
                    </w:rPr>
                    <w:t>地</w:t>
                  </w:r>
                  <w:r>
                    <w:rPr>
                      <w:rFonts w:hint="default" w:ascii="Times New Roman" w:hAnsi="Times New Roman" w:eastAsia="宋体" w:cs="Times New Roman"/>
                      <w:color w:val="auto"/>
                      <w:szCs w:val="21"/>
                      <w:highlight w:val="none"/>
                    </w:rPr>
                    <w:t>实施退耕还草，建立人工草场，保护中卫山羊物种资源</w:t>
                  </w:r>
                  <w:r>
                    <w:rPr>
                      <w:rFonts w:hint="default" w:ascii="Times New Roman" w:hAnsi="Times New Roman" w:eastAsia="宋体" w:cs="Times New Roman"/>
                      <w:color w:val="auto"/>
                      <w:szCs w:val="21"/>
                      <w:highlight w:val="none"/>
                      <w:lang w:eastAsia="zh-CN"/>
                    </w:rPr>
                    <w:t>。</w:t>
                  </w:r>
                </w:p>
              </w:tc>
            </w:tr>
          </w:tbl>
          <w:p w14:paraId="5A6E7FFF">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w:t>
            </w:r>
            <w:r>
              <w:rPr>
                <w:rFonts w:hint="eastAsia" w:cs="Times New Roman"/>
                <w:color w:val="auto"/>
                <w:kern w:val="0"/>
                <w:sz w:val="24"/>
                <w:szCs w:val="24"/>
                <w:highlight w:val="none"/>
                <w:lang w:val="en-US" w:eastAsia="zh-CN" w:bidi="ar-SA"/>
              </w:rPr>
              <w:t>为</w:t>
            </w:r>
            <w:r>
              <w:rPr>
                <w:rFonts w:hint="default" w:ascii="Times New Roman" w:hAnsi="Times New Roman" w:cs="Times New Roman"/>
                <w:color w:val="auto"/>
                <w:kern w:val="0"/>
                <w:sz w:val="24"/>
                <w:szCs w:val="24"/>
                <w:highlight w:val="none"/>
                <w:lang w:val="en-US" w:eastAsia="zh-CN" w:bidi="ar-SA"/>
              </w:rPr>
              <w:t>高崖沟</w:t>
            </w:r>
            <w:r>
              <w:rPr>
                <w:rFonts w:hint="eastAsia" w:cs="Times New Roman"/>
                <w:color w:val="auto"/>
                <w:kern w:val="0"/>
                <w:sz w:val="24"/>
                <w:szCs w:val="24"/>
                <w:highlight w:val="none"/>
                <w:lang w:val="en-US" w:eastAsia="zh-CN" w:bidi="ar-SA"/>
              </w:rPr>
              <w:t>岸坡砌护及沟道清淤综合治理</w:t>
            </w:r>
            <w:r>
              <w:rPr>
                <w:rFonts w:hint="default" w:ascii="Times New Roman" w:hAnsi="Times New Roman" w:eastAsia="宋体" w:cs="Times New Roman"/>
                <w:color w:val="auto"/>
                <w:kern w:val="0"/>
                <w:sz w:val="24"/>
                <w:szCs w:val="24"/>
                <w:highlight w:val="none"/>
                <w:lang w:val="en-US" w:eastAsia="zh-CN" w:bidi="ar-SA"/>
              </w:rPr>
              <w:t>，</w:t>
            </w:r>
            <w:r>
              <w:rPr>
                <w:rFonts w:hint="default" w:ascii="Times New Roman" w:hAnsi="Times New Roman" w:cs="Times New Roman"/>
                <w:b w:val="0"/>
                <w:bCs/>
                <w:color w:val="auto"/>
                <w:sz w:val="24"/>
                <w:szCs w:val="24"/>
                <w:highlight w:val="none"/>
                <w:lang w:val="sq-AL" w:eastAsia="zh-CN"/>
              </w:rPr>
              <w:t>在工程建设过程中，通过水土流失预防和生态治理措施，采取合理的工程措施如</w:t>
            </w:r>
            <w:r>
              <w:rPr>
                <w:rFonts w:hint="eastAsia" w:cs="Times New Roman"/>
                <w:b w:val="0"/>
                <w:bCs/>
                <w:color w:val="auto"/>
                <w:sz w:val="24"/>
                <w:szCs w:val="24"/>
                <w:highlight w:val="none"/>
                <w:lang w:val="en-US" w:eastAsia="zh-CN"/>
              </w:rPr>
              <w:t>防尘布遮盖</w:t>
            </w:r>
            <w:r>
              <w:rPr>
                <w:rFonts w:hint="default" w:ascii="Times New Roman" w:hAnsi="Times New Roman" w:cs="Times New Roman"/>
                <w:b w:val="0"/>
                <w:bCs/>
                <w:color w:val="auto"/>
                <w:sz w:val="24"/>
                <w:szCs w:val="24"/>
                <w:highlight w:val="none"/>
                <w:lang w:val="sq-AL" w:eastAsia="zh-CN"/>
              </w:rPr>
              <w:t>等，临时措施如苫盖和洒水等措施。同时，对本项目提出合理施工要求，控制施工扰动范围，确定以临时措施为主，工程措施和植物措施相结合的设计思路。充分考虑项目区域生态环境特点，做到防治责任范围界定合理，防治目标明确，防治分区科学，防治措施得当，防治效果显著，</w:t>
            </w:r>
            <w:r>
              <w:rPr>
                <w:rFonts w:hint="eastAsia" w:cs="Times New Roman"/>
                <w:color w:val="auto"/>
                <w:kern w:val="0"/>
                <w:sz w:val="24"/>
                <w:szCs w:val="24"/>
                <w:highlight w:val="none"/>
                <w:lang w:val="en-US" w:eastAsia="zh-CN" w:bidi="ar-SA"/>
              </w:rPr>
              <w:t>项目的实施将有利于改善高崖沟现状沟道淤积，边坡溃损等生态问题</w:t>
            </w:r>
            <w:r>
              <w:rPr>
                <w:rFonts w:hint="default" w:ascii="Times New Roman" w:hAnsi="Times New Roman" w:cs="Times New Roman"/>
                <w:color w:val="auto"/>
                <w:kern w:val="0"/>
                <w:sz w:val="24"/>
                <w:szCs w:val="24"/>
                <w:highlight w:val="none"/>
                <w:lang w:val="en-US" w:eastAsia="zh-CN" w:bidi="ar-SA"/>
              </w:rPr>
              <w:t>，</w:t>
            </w:r>
            <w:r>
              <w:rPr>
                <w:rFonts w:hint="eastAsia" w:cs="Times New Roman"/>
                <w:color w:val="auto"/>
                <w:kern w:val="0"/>
                <w:sz w:val="24"/>
                <w:szCs w:val="24"/>
                <w:highlight w:val="none"/>
                <w:lang w:val="en-US" w:eastAsia="zh-CN" w:bidi="ar-SA"/>
              </w:rPr>
              <w:t>项目实施后，有利于现有沟道行洪，增强其生态服务功能，同时边坡的砌护将有利于岸坡稳定，解决因边坡水利冲刷所造成的水土流失而带来的沟道淤积问题；</w:t>
            </w:r>
            <w:r>
              <w:rPr>
                <w:rFonts w:hint="default" w:ascii="Times New Roman" w:hAnsi="Times New Roman" w:cs="Times New Roman"/>
                <w:b w:val="0"/>
                <w:bCs/>
                <w:color w:val="auto"/>
                <w:sz w:val="24"/>
                <w:szCs w:val="24"/>
                <w:highlight w:val="none"/>
                <w:lang w:val="sq-AL" w:eastAsia="zh-CN"/>
              </w:rPr>
              <w:t>区域生态环境得到改善。</w:t>
            </w:r>
          </w:p>
          <w:p w14:paraId="5AAB9394">
            <w:pPr>
              <w:adjustRightInd w:val="0"/>
              <w:spacing w:line="360" w:lineRule="auto"/>
              <w:ind w:firstLine="480" w:firstLineChars="200"/>
              <w:rPr>
                <w:rFonts w:hint="default" w:ascii="Times New Roman" w:hAnsi="Times New Roman" w:eastAsia="黑体" w:cs="Times New Roman"/>
                <w:b w:val="0"/>
                <w:bCs w:val="0"/>
                <w:color w:val="auto"/>
                <w:kern w:val="0"/>
                <w:sz w:val="24"/>
                <w:szCs w:val="24"/>
                <w:highlight w:val="none"/>
                <w:lang w:val="en-US" w:eastAsia="zh-CN" w:bidi="ar-SA"/>
              </w:rPr>
            </w:pPr>
            <w:r>
              <w:rPr>
                <w:rFonts w:hint="eastAsia" w:eastAsia="黑体" w:cs="Times New Roman"/>
                <w:b w:val="0"/>
                <w:bCs w:val="0"/>
                <w:color w:val="auto"/>
                <w:kern w:val="0"/>
                <w:sz w:val="24"/>
                <w:szCs w:val="24"/>
                <w:highlight w:val="none"/>
                <w:lang w:val="en-US" w:eastAsia="zh-CN" w:bidi="ar-SA"/>
              </w:rPr>
              <w:t>1.3</w:t>
            </w:r>
            <w:r>
              <w:rPr>
                <w:rFonts w:hint="default" w:ascii="Times New Roman" w:hAnsi="Times New Roman" w:eastAsia="黑体" w:cs="Times New Roman"/>
                <w:b w:val="0"/>
                <w:bCs w:val="0"/>
                <w:color w:val="auto"/>
                <w:kern w:val="0"/>
                <w:sz w:val="24"/>
                <w:szCs w:val="24"/>
                <w:highlight w:val="none"/>
                <w:lang w:val="en-US" w:eastAsia="zh-CN" w:bidi="ar-SA"/>
              </w:rPr>
              <w:t>生态环境质量现状</w:t>
            </w:r>
          </w:p>
          <w:p w14:paraId="0C5AEACF">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eastAsia" w:cs="Times New Roman"/>
                <w:color w:val="auto"/>
                <w:kern w:val="0"/>
                <w:sz w:val="24"/>
                <w:szCs w:val="24"/>
                <w:highlight w:val="none"/>
                <w:lang w:val="en-US" w:eastAsia="zh-CN" w:bidi="ar-SA"/>
              </w:rPr>
              <w:t>（1）</w:t>
            </w:r>
            <w:r>
              <w:rPr>
                <w:rFonts w:hint="default" w:ascii="Times New Roman" w:hAnsi="Times New Roman" w:cs="Times New Roman"/>
                <w:color w:val="auto"/>
                <w:kern w:val="0"/>
                <w:sz w:val="24"/>
                <w:szCs w:val="24"/>
                <w:highlight w:val="none"/>
                <w:lang w:val="en-US" w:eastAsia="zh-CN" w:bidi="ar-SA"/>
              </w:rPr>
              <w:t>土地利用现状调查</w:t>
            </w:r>
          </w:p>
          <w:p w14:paraId="4EB0F457">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根据《土地利用现状分类》（GB/T21010-2017），项目所在区域土地利用现状主要为草地、农村道路及</w:t>
            </w:r>
            <w:r>
              <w:rPr>
                <w:rFonts w:hint="eastAsia" w:cs="Times New Roman"/>
                <w:color w:val="auto"/>
                <w:kern w:val="0"/>
                <w:sz w:val="24"/>
                <w:szCs w:val="24"/>
                <w:highlight w:val="none"/>
                <w:lang w:val="en-US" w:eastAsia="zh-CN" w:bidi="ar-SA"/>
              </w:rPr>
              <w:t>荒地</w:t>
            </w:r>
            <w:r>
              <w:rPr>
                <w:rFonts w:hint="default" w:ascii="Times New Roman" w:hAnsi="Times New Roman" w:eastAsia="宋体" w:cs="Times New Roman"/>
                <w:color w:val="auto"/>
                <w:kern w:val="0"/>
                <w:sz w:val="24"/>
                <w:szCs w:val="24"/>
                <w:highlight w:val="none"/>
                <w:lang w:val="en-US" w:eastAsia="zh-CN" w:bidi="ar-SA"/>
              </w:rPr>
              <w:t>。</w:t>
            </w:r>
          </w:p>
          <w:p w14:paraId="595C4452">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eastAsia" w:cs="Times New Roman"/>
                <w:color w:val="auto"/>
                <w:kern w:val="0"/>
                <w:sz w:val="24"/>
                <w:szCs w:val="24"/>
                <w:highlight w:val="none"/>
                <w:lang w:val="en-US" w:eastAsia="zh-CN" w:bidi="ar-SA"/>
              </w:rPr>
              <w:t>（2）</w:t>
            </w:r>
            <w:r>
              <w:rPr>
                <w:rFonts w:hint="default" w:ascii="Times New Roman" w:hAnsi="Times New Roman" w:eastAsia="宋体" w:cs="Times New Roman"/>
                <w:color w:val="auto"/>
                <w:kern w:val="0"/>
                <w:sz w:val="24"/>
                <w:szCs w:val="24"/>
                <w:highlight w:val="none"/>
                <w:lang w:val="en-US" w:eastAsia="zh-CN" w:bidi="ar-SA"/>
              </w:rPr>
              <w:t>植被资源现状</w:t>
            </w:r>
          </w:p>
          <w:p w14:paraId="2EACAD77">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根据宁夏植被区划，项目区位于</w:t>
            </w:r>
            <w:r>
              <w:rPr>
                <w:rFonts w:hint="default" w:ascii="Times New Roman" w:hAnsi="Times New Roman" w:cs="Times New Roman"/>
                <w:color w:val="auto"/>
                <w:kern w:val="0"/>
                <w:sz w:val="24"/>
                <w:szCs w:val="24"/>
                <w:highlight w:val="none"/>
                <w:lang w:val="en-US" w:eastAsia="zh-CN" w:bidi="ar-SA"/>
              </w:rPr>
              <w:t>宁夏平原</w:t>
            </w:r>
            <w:r>
              <w:rPr>
                <w:rFonts w:hint="eastAsia" w:cs="Times New Roman"/>
                <w:color w:val="auto"/>
                <w:kern w:val="0"/>
                <w:sz w:val="24"/>
                <w:szCs w:val="24"/>
                <w:highlight w:val="none"/>
                <w:lang w:val="en-US" w:eastAsia="zh-CN" w:bidi="ar-SA"/>
              </w:rPr>
              <w:t>引黄灌区</w:t>
            </w:r>
            <w:r>
              <w:rPr>
                <w:rFonts w:hint="default" w:ascii="Times New Roman" w:hAnsi="Times New Roman" w:cs="Times New Roman"/>
                <w:color w:val="auto"/>
                <w:kern w:val="0"/>
                <w:sz w:val="24"/>
                <w:szCs w:val="24"/>
                <w:highlight w:val="none"/>
                <w:lang w:val="en-US" w:eastAsia="zh-CN" w:bidi="ar-SA"/>
              </w:rPr>
              <w:t>栽培植被小区</w:t>
            </w:r>
            <w:r>
              <w:rPr>
                <w:rFonts w:hint="default" w:ascii="Times New Roman" w:hAnsi="Times New Roman" w:eastAsia="宋体" w:cs="Times New Roman"/>
                <w:color w:val="auto"/>
                <w:kern w:val="0"/>
                <w:sz w:val="24"/>
                <w:szCs w:val="24"/>
                <w:highlight w:val="none"/>
                <w:lang w:val="en-US" w:eastAsia="zh-CN" w:bidi="ar-SA"/>
              </w:rPr>
              <w:t>（ⅠAL</w:t>
            </w:r>
            <w:r>
              <w:rPr>
                <w:rFonts w:hint="default" w:ascii="Times New Roman" w:hAnsi="Times New Roman" w:cs="Times New Roman"/>
                <w:color w:val="auto"/>
                <w:kern w:val="0"/>
                <w:sz w:val="24"/>
                <w:szCs w:val="24"/>
                <w:highlight w:val="none"/>
                <w:lang w:val="en-US" w:eastAsia="zh-CN" w:bidi="ar-SA"/>
              </w:rPr>
              <w:t>3e</w:t>
            </w:r>
            <w:r>
              <w:rPr>
                <w:rFonts w:hint="default" w:ascii="Times New Roman" w:hAnsi="Times New Roman" w:eastAsia="宋体" w:cs="Times New Roman"/>
                <w:color w:val="auto"/>
                <w:kern w:val="0"/>
                <w:sz w:val="24"/>
                <w:szCs w:val="24"/>
                <w:highlight w:val="none"/>
                <w:lang w:val="en-US" w:eastAsia="zh-CN" w:bidi="ar-SA"/>
              </w:rPr>
              <w:t>）。经现场调查，项目所在区域内植被有显著的旱生形态特点，</w:t>
            </w:r>
            <w:r>
              <w:rPr>
                <w:rFonts w:hint="eastAsia" w:cs="Times New Roman"/>
                <w:color w:val="auto"/>
                <w:kern w:val="0"/>
                <w:sz w:val="24"/>
                <w:szCs w:val="24"/>
                <w:highlight w:val="none"/>
                <w:lang w:val="en-US" w:eastAsia="zh-CN" w:bidi="ar-SA"/>
              </w:rPr>
              <w:t>其中陆生</w:t>
            </w:r>
            <w:r>
              <w:rPr>
                <w:rFonts w:hint="default" w:ascii="Times New Roman" w:hAnsi="Times New Roman" w:eastAsia="宋体" w:cs="Times New Roman"/>
                <w:color w:val="auto"/>
                <w:kern w:val="0"/>
                <w:sz w:val="24"/>
                <w:szCs w:val="24"/>
                <w:highlight w:val="none"/>
                <w:lang w:val="en-US" w:eastAsia="zh-CN" w:bidi="ar-SA"/>
              </w:rPr>
              <w:t>植被以茭蒿为主，伴生其他旱生草本植物，如</w:t>
            </w:r>
            <w:r>
              <w:rPr>
                <w:rFonts w:hint="default" w:ascii="Times New Roman" w:hAnsi="Times New Roman" w:cs="Times New Roman"/>
                <w:color w:val="auto"/>
                <w:kern w:val="0"/>
                <w:sz w:val="24"/>
                <w:szCs w:val="24"/>
                <w:highlight w:val="none"/>
                <w:lang w:val="en-US" w:eastAsia="zh-CN" w:bidi="ar-SA"/>
              </w:rPr>
              <w:t>冰草</w:t>
            </w:r>
            <w:r>
              <w:rPr>
                <w:rFonts w:hint="default" w:ascii="Times New Roman" w:hAnsi="Times New Roman" w:eastAsia="宋体" w:cs="Times New Roman"/>
                <w:color w:val="auto"/>
                <w:kern w:val="0"/>
                <w:sz w:val="24"/>
                <w:szCs w:val="24"/>
                <w:highlight w:val="none"/>
                <w:lang w:val="en-US" w:eastAsia="zh-CN" w:bidi="ar-SA"/>
              </w:rPr>
              <w:t>、冷蒿等，</w:t>
            </w:r>
            <w:r>
              <w:rPr>
                <w:rFonts w:hint="eastAsia" w:cs="Times New Roman"/>
                <w:color w:val="auto"/>
                <w:kern w:val="0"/>
                <w:sz w:val="24"/>
                <w:szCs w:val="24"/>
                <w:highlight w:val="none"/>
                <w:lang w:val="en-US" w:eastAsia="zh-CN" w:bidi="ar-SA"/>
              </w:rPr>
              <w:t>水生植被主要以芦苇、香蒲为主，伴生金鱼藻、黑藻等其他藻类植被。</w:t>
            </w:r>
            <w:r>
              <w:rPr>
                <w:rFonts w:hint="default" w:ascii="Times New Roman" w:hAnsi="Times New Roman" w:eastAsia="宋体" w:cs="Times New Roman"/>
                <w:color w:val="auto"/>
                <w:kern w:val="0"/>
                <w:sz w:val="24"/>
                <w:szCs w:val="24"/>
                <w:highlight w:val="none"/>
                <w:lang w:val="en-US" w:eastAsia="zh-CN" w:bidi="ar-SA"/>
              </w:rPr>
              <w:t>无国家和宁夏回族自治区保护的珍稀濒危植物物种、古树名木、特有植物和独特的资源植物，多为一般种，种群分布广泛，适应性强，项目区域植被覆盖率约为</w:t>
            </w:r>
            <w:r>
              <w:rPr>
                <w:rFonts w:hint="default" w:ascii="Times New Roman" w:hAnsi="Times New Roman" w:cs="Times New Roman"/>
                <w:color w:val="auto"/>
                <w:kern w:val="0"/>
                <w:sz w:val="24"/>
                <w:szCs w:val="24"/>
                <w:highlight w:val="none"/>
                <w:lang w:val="en-US" w:eastAsia="zh-CN" w:bidi="ar-SA"/>
              </w:rPr>
              <w:t>5</w:t>
            </w:r>
            <w:r>
              <w:rPr>
                <w:rFonts w:hint="default" w:ascii="Times New Roman" w:hAnsi="Times New Roman" w:eastAsia="宋体" w:cs="Times New Roman"/>
                <w:color w:val="auto"/>
                <w:kern w:val="0"/>
                <w:sz w:val="24"/>
                <w:szCs w:val="24"/>
                <w:highlight w:val="none"/>
                <w:lang w:val="en-US" w:eastAsia="zh-CN" w:bidi="ar-SA"/>
              </w:rPr>
              <w:t>0~</w:t>
            </w:r>
            <w:r>
              <w:rPr>
                <w:rFonts w:hint="default" w:ascii="Times New Roman" w:hAnsi="Times New Roman" w:cs="Times New Roman"/>
                <w:color w:val="auto"/>
                <w:kern w:val="0"/>
                <w:sz w:val="24"/>
                <w:szCs w:val="24"/>
                <w:highlight w:val="none"/>
                <w:lang w:val="en-US" w:eastAsia="zh-CN" w:bidi="ar-SA"/>
              </w:rPr>
              <w:t>6</w:t>
            </w:r>
            <w:r>
              <w:rPr>
                <w:rFonts w:hint="default" w:ascii="Times New Roman" w:hAnsi="Times New Roman" w:eastAsia="宋体" w:cs="Times New Roman"/>
                <w:color w:val="auto"/>
                <w:kern w:val="0"/>
                <w:sz w:val="24"/>
                <w:szCs w:val="24"/>
                <w:highlight w:val="none"/>
                <w:lang w:val="en-US" w:eastAsia="zh-CN" w:bidi="ar-SA"/>
              </w:rPr>
              <w:t>0%左右。</w:t>
            </w:r>
          </w:p>
          <w:p w14:paraId="3E3B5F6C">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项目所在区域农业生态系统较为单一，包括粮食作物和经济作物。粮食作物主要有荞麦、谷子等，呈片状或小块状零星分布于评价区地势平坦的耕地上。</w:t>
            </w:r>
          </w:p>
          <w:p w14:paraId="6C149D77">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综上所述，本项目所在区域无国家级、自治区级珍稀、濒危野生保护植物物种。本项目与宁夏植被区划位置关系见图</w:t>
            </w:r>
            <w:r>
              <w:rPr>
                <w:rFonts w:hint="default" w:ascii="Times New Roman" w:hAnsi="Times New Roman" w:cs="Times New Roman"/>
                <w:color w:val="auto"/>
                <w:kern w:val="0"/>
                <w:sz w:val="24"/>
                <w:szCs w:val="24"/>
                <w:highlight w:val="none"/>
                <w:lang w:val="en-US" w:eastAsia="zh-CN" w:bidi="ar-SA"/>
              </w:rPr>
              <w:t>3-</w:t>
            </w:r>
            <w:r>
              <w:rPr>
                <w:rFonts w:hint="default" w:ascii="Times New Roman" w:hAnsi="Times New Roman" w:eastAsia="宋体" w:cs="Times New Roman"/>
                <w:color w:val="auto"/>
                <w:kern w:val="0"/>
                <w:sz w:val="24"/>
                <w:szCs w:val="24"/>
                <w:highlight w:val="none"/>
                <w:lang w:val="en-US" w:eastAsia="zh-CN" w:bidi="ar-SA"/>
              </w:rPr>
              <w:t>3、本项目植被覆盖见图</w:t>
            </w:r>
            <w:r>
              <w:rPr>
                <w:rFonts w:hint="default" w:ascii="Times New Roman" w:hAnsi="Times New Roman" w:cs="Times New Roman"/>
                <w:color w:val="auto"/>
                <w:kern w:val="0"/>
                <w:sz w:val="24"/>
                <w:szCs w:val="24"/>
                <w:highlight w:val="none"/>
                <w:lang w:val="en-US" w:eastAsia="zh-CN" w:bidi="ar-SA"/>
              </w:rPr>
              <w:t>3-</w:t>
            </w:r>
            <w:r>
              <w:rPr>
                <w:rFonts w:hint="default" w:ascii="Times New Roman" w:hAnsi="Times New Roman" w:eastAsia="宋体" w:cs="Times New Roman"/>
                <w:color w:val="auto"/>
                <w:kern w:val="0"/>
                <w:sz w:val="24"/>
                <w:szCs w:val="24"/>
                <w:highlight w:val="none"/>
                <w:lang w:val="en-US" w:eastAsia="zh-CN" w:bidi="ar-SA"/>
              </w:rPr>
              <w:t>4。</w:t>
            </w:r>
            <w:r>
              <w:rPr>
                <w:rFonts w:hint="default" w:ascii="Times New Roman" w:hAnsi="Times New Roman" w:cs="Times New Roman"/>
                <w:color w:val="auto"/>
                <w:kern w:val="0"/>
                <w:sz w:val="24"/>
                <w:szCs w:val="24"/>
                <w:highlight w:val="none"/>
                <w:lang w:val="en-US" w:eastAsia="zh-CN" w:bidi="ar-SA"/>
              </w:rPr>
              <w:t>项目区现状照片见下图。</w:t>
            </w:r>
          </w:p>
          <w:p w14:paraId="69679678">
            <w:pPr>
              <w:adjustRightInd w:val="0"/>
              <w:spacing w:line="360" w:lineRule="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drawing>
                <wp:inline distT="0" distB="0" distL="114300" distR="114300">
                  <wp:extent cx="2574290" cy="1800225"/>
                  <wp:effectExtent l="0" t="0" r="16510" b="9525"/>
                  <wp:docPr id="16" name="图片 16" descr="c3550faf5fa83fa902abd02ad2567478"/>
                  <wp:cNvGraphicFramePr/>
                  <a:graphic xmlns:a="http://schemas.openxmlformats.org/drawingml/2006/main">
                    <a:graphicData uri="http://schemas.openxmlformats.org/drawingml/2006/picture">
                      <pic:pic xmlns:pic="http://schemas.openxmlformats.org/drawingml/2006/picture">
                        <pic:nvPicPr>
                          <pic:cNvPr id="16" name="图片 16" descr="c3550faf5fa83fa902abd02ad2567478"/>
                          <pic:cNvPicPr/>
                        </pic:nvPicPr>
                        <pic:blipFill>
                          <a:blip r:embed="rId16"/>
                          <a:stretch>
                            <a:fillRect/>
                          </a:stretch>
                        </pic:blipFill>
                        <pic:spPr>
                          <a:xfrm>
                            <a:off x="0" y="0"/>
                            <a:ext cx="2574290" cy="1800225"/>
                          </a:xfrm>
                          <a:prstGeom prst="rect">
                            <a:avLst/>
                          </a:prstGeom>
                        </pic:spPr>
                      </pic:pic>
                    </a:graphicData>
                  </a:graphic>
                </wp:inline>
              </w:drawing>
            </w:r>
            <w:r>
              <w:rPr>
                <w:rFonts w:hint="default" w:ascii="Times New Roman" w:hAnsi="Times New Roman" w:eastAsia="宋体" w:cs="Times New Roman"/>
                <w:color w:val="auto"/>
                <w:kern w:val="0"/>
                <w:sz w:val="24"/>
                <w:szCs w:val="24"/>
                <w:highlight w:val="none"/>
                <w:lang w:val="en-US" w:eastAsia="zh-CN" w:bidi="ar-SA"/>
              </w:rPr>
              <w:drawing>
                <wp:inline distT="0" distB="0" distL="114300" distR="114300">
                  <wp:extent cx="2574290" cy="1800225"/>
                  <wp:effectExtent l="0" t="0" r="16510" b="9525"/>
                  <wp:docPr id="14" name="图片 14" descr="77df24d4997202c6231288b2bcf991a4"/>
                  <wp:cNvGraphicFramePr/>
                  <a:graphic xmlns:a="http://schemas.openxmlformats.org/drawingml/2006/main">
                    <a:graphicData uri="http://schemas.openxmlformats.org/drawingml/2006/picture">
                      <pic:pic xmlns:pic="http://schemas.openxmlformats.org/drawingml/2006/picture">
                        <pic:nvPicPr>
                          <pic:cNvPr id="14" name="图片 14" descr="77df24d4997202c6231288b2bcf991a4"/>
                          <pic:cNvPicPr/>
                        </pic:nvPicPr>
                        <pic:blipFill>
                          <a:blip r:embed="rId17"/>
                          <a:stretch>
                            <a:fillRect/>
                          </a:stretch>
                        </pic:blipFill>
                        <pic:spPr>
                          <a:xfrm>
                            <a:off x="0" y="0"/>
                            <a:ext cx="2574290" cy="1800225"/>
                          </a:xfrm>
                          <a:prstGeom prst="rect">
                            <a:avLst/>
                          </a:prstGeom>
                        </pic:spPr>
                      </pic:pic>
                    </a:graphicData>
                  </a:graphic>
                </wp:inline>
              </w:drawing>
            </w:r>
            <w:r>
              <w:rPr>
                <w:rFonts w:hint="default" w:ascii="Times New Roman" w:hAnsi="Times New Roman" w:eastAsia="宋体" w:cs="Times New Roman"/>
                <w:color w:val="auto"/>
                <w:kern w:val="0"/>
                <w:sz w:val="24"/>
                <w:szCs w:val="24"/>
                <w:highlight w:val="none"/>
                <w:lang w:val="en-US" w:eastAsia="zh-CN" w:bidi="ar-SA"/>
              </w:rPr>
              <w:drawing>
                <wp:inline distT="0" distB="0" distL="114300" distR="114300">
                  <wp:extent cx="2574290" cy="1800225"/>
                  <wp:effectExtent l="0" t="0" r="16510" b="9525"/>
                  <wp:docPr id="15" name="图片 15" descr="8c89f04a6980274304075837cbdc0600"/>
                  <wp:cNvGraphicFramePr/>
                  <a:graphic xmlns:a="http://schemas.openxmlformats.org/drawingml/2006/main">
                    <a:graphicData uri="http://schemas.openxmlformats.org/drawingml/2006/picture">
                      <pic:pic xmlns:pic="http://schemas.openxmlformats.org/drawingml/2006/picture">
                        <pic:nvPicPr>
                          <pic:cNvPr id="15" name="图片 15" descr="8c89f04a6980274304075837cbdc0600"/>
                          <pic:cNvPicPr/>
                        </pic:nvPicPr>
                        <pic:blipFill>
                          <a:blip r:embed="rId18"/>
                          <a:stretch>
                            <a:fillRect/>
                          </a:stretch>
                        </pic:blipFill>
                        <pic:spPr>
                          <a:xfrm>
                            <a:off x="0" y="0"/>
                            <a:ext cx="2574290" cy="1800225"/>
                          </a:xfrm>
                          <a:prstGeom prst="rect">
                            <a:avLst/>
                          </a:prstGeom>
                        </pic:spPr>
                      </pic:pic>
                    </a:graphicData>
                  </a:graphic>
                </wp:inline>
              </w:drawing>
            </w:r>
            <w:r>
              <w:rPr>
                <w:rFonts w:hint="default" w:ascii="Times New Roman" w:hAnsi="Times New Roman" w:eastAsia="宋体" w:cs="Times New Roman"/>
                <w:color w:val="auto"/>
                <w:kern w:val="0"/>
                <w:sz w:val="24"/>
                <w:szCs w:val="24"/>
                <w:highlight w:val="none"/>
                <w:lang w:val="en-US" w:eastAsia="zh-CN" w:bidi="ar-SA"/>
              </w:rPr>
              <w:drawing>
                <wp:inline distT="0" distB="0" distL="114300" distR="114300">
                  <wp:extent cx="2574290" cy="1800225"/>
                  <wp:effectExtent l="0" t="0" r="16510" b="9525"/>
                  <wp:docPr id="12" name="图片 12" descr="750606cd144b7071c61b7e3a3693d32e"/>
                  <wp:cNvGraphicFramePr/>
                  <a:graphic xmlns:a="http://schemas.openxmlformats.org/drawingml/2006/main">
                    <a:graphicData uri="http://schemas.openxmlformats.org/drawingml/2006/picture">
                      <pic:pic xmlns:pic="http://schemas.openxmlformats.org/drawingml/2006/picture">
                        <pic:nvPicPr>
                          <pic:cNvPr id="12" name="图片 12" descr="750606cd144b7071c61b7e3a3693d32e"/>
                          <pic:cNvPicPr/>
                        </pic:nvPicPr>
                        <pic:blipFill>
                          <a:blip r:embed="rId19"/>
                          <a:stretch>
                            <a:fillRect/>
                          </a:stretch>
                        </pic:blipFill>
                        <pic:spPr>
                          <a:xfrm>
                            <a:off x="0" y="0"/>
                            <a:ext cx="2574290" cy="1800225"/>
                          </a:xfrm>
                          <a:prstGeom prst="rect">
                            <a:avLst/>
                          </a:prstGeom>
                        </pic:spPr>
                      </pic:pic>
                    </a:graphicData>
                  </a:graphic>
                </wp:inline>
              </w:drawing>
            </w:r>
          </w:p>
          <w:p w14:paraId="32DCBCE2">
            <w:pPr>
              <w:keepNext w:val="0"/>
              <w:keepLines w:val="0"/>
              <w:pageBreakBefore w:val="0"/>
              <w:widowControl w:val="0"/>
              <w:tabs>
                <w:tab w:val="left" w:pos="2040"/>
              </w:tabs>
              <w:kinsoku/>
              <w:wordWrap/>
              <w:overflowPunct/>
              <w:topLinePunct w:val="0"/>
              <w:autoSpaceDE/>
              <w:autoSpaceDN/>
              <w:bidi w:val="0"/>
              <w:adjustRightInd/>
              <w:snapToGrid/>
              <w:spacing w:after="0" w:line="360" w:lineRule="auto"/>
              <w:ind w:firstLine="240" w:firstLineChars="100"/>
              <w:jc w:val="center"/>
              <w:textAlignment w:val="auto"/>
              <w:rPr>
                <w:rFonts w:hint="default" w:ascii="Times New Roman" w:hAnsi="Times New Roman" w:eastAsia="黑体" w:cs="Times New Roman"/>
                <w:b w:val="0"/>
                <w:bCs w:val="0"/>
                <w:color w:val="auto"/>
                <w:sz w:val="24"/>
                <w:szCs w:val="24"/>
                <w:highlight w:val="none"/>
                <w:lang w:val="en-US" w:eastAsia="zh-CN"/>
              </w:rPr>
            </w:pPr>
            <w:r>
              <w:rPr>
                <w:rFonts w:hint="default" w:ascii="Times New Roman" w:hAnsi="Times New Roman" w:eastAsia="黑体" w:cs="Times New Roman"/>
                <w:b w:val="0"/>
                <w:bCs w:val="0"/>
                <w:color w:val="auto"/>
                <w:sz w:val="24"/>
                <w:szCs w:val="24"/>
                <w:highlight w:val="none"/>
                <w:lang w:val="en-US" w:eastAsia="zh-CN"/>
              </w:rPr>
              <w:t>图3-</w:t>
            </w:r>
            <w:r>
              <w:rPr>
                <w:rFonts w:hint="eastAsia" w:ascii="Times New Roman" w:hAnsi="Times New Roman" w:eastAsia="黑体" w:cs="Times New Roman"/>
                <w:b w:val="0"/>
                <w:bCs w:val="0"/>
                <w:color w:val="auto"/>
                <w:sz w:val="24"/>
                <w:szCs w:val="24"/>
                <w:highlight w:val="none"/>
                <w:lang w:val="en-US" w:eastAsia="zh-CN"/>
              </w:rPr>
              <w:t>5</w:t>
            </w:r>
            <w:r>
              <w:rPr>
                <w:rFonts w:hint="default" w:ascii="Times New Roman" w:hAnsi="Times New Roman" w:eastAsia="黑体" w:cs="Times New Roman"/>
                <w:b w:val="0"/>
                <w:bCs w:val="0"/>
                <w:color w:val="auto"/>
                <w:sz w:val="24"/>
                <w:szCs w:val="24"/>
                <w:highlight w:val="none"/>
                <w:lang w:val="en-US" w:eastAsia="zh-CN"/>
              </w:rPr>
              <w:t xml:space="preserve">  项目区现场照片</w:t>
            </w:r>
          </w:p>
          <w:p w14:paraId="07E2842D">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eastAsia" w:cs="Times New Roman"/>
                <w:color w:val="auto"/>
                <w:kern w:val="0"/>
                <w:sz w:val="24"/>
                <w:szCs w:val="24"/>
                <w:highlight w:val="none"/>
                <w:lang w:val="en-US" w:eastAsia="zh-CN" w:bidi="ar-SA"/>
              </w:rPr>
              <w:t>（3）</w:t>
            </w:r>
            <w:r>
              <w:rPr>
                <w:rFonts w:hint="default" w:ascii="Times New Roman" w:hAnsi="Times New Roman" w:eastAsia="宋体" w:cs="Times New Roman"/>
                <w:color w:val="auto"/>
                <w:kern w:val="0"/>
                <w:sz w:val="24"/>
                <w:szCs w:val="24"/>
                <w:highlight w:val="none"/>
                <w:lang w:val="en-US" w:eastAsia="zh-CN" w:bidi="ar-SA"/>
              </w:rPr>
              <w:t>动物资源现状</w:t>
            </w:r>
          </w:p>
          <w:p w14:paraId="748E6991">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eastAsia" w:cs="Times New Roman"/>
                <w:color w:val="auto"/>
                <w:kern w:val="0"/>
                <w:sz w:val="24"/>
                <w:szCs w:val="24"/>
                <w:highlight w:val="none"/>
                <w:lang w:val="en-US" w:eastAsia="zh-CN" w:bidi="ar-SA"/>
              </w:rPr>
              <w:t>①陆生动物</w:t>
            </w:r>
          </w:p>
          <w:p w14:paraId="69F430DA">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根据现场踏勘调查，本项目区域内</w:t>
            </w:r>
            <w:r>
              <w:rPr>
                <w:rFonts w:hint="eastAsia" w:cs="Times New Roman"/>
                <w:color w:val="auto"/>
                <w:kern w:val="0"/>
                <w:sz w:val="24"/>
                <w:szCs w:val="24"/>
                <w:highlight w:val="none"/>
                <w:lang w:val="en-US" w:eastAsia="zh-CN" w:bidi="ar-SA"/>
              </w:rPr>
              <w:t>陆生</w:t>
            </w:r>
            <w:r>
              <w:rPr>
                <w:rFonts w:hint="default" w:ascii="Times New Roman" w:hAnsi="Times New Roman" w:eastAsia="宋体" w:cs="Times New Roman"/>
                <w:color w:val="auto"/>
                <w:kern w:val="0"/>
                <w:sz w:val="24"/>
                <w:szCs w:val="24"/>
                <w:highlight w:val="none"/>
                <w:lang w:val="en-US" w:eastAsia="zh-CN" w:bidi="ar-SA"/>
              </w:rPr>
              <w:t>动物种类较少，无大型野生动物分布，主要为小型爬行类、兽类，常见鸟类。兽类主要有啮齿中的野兔、鼠类等；爬行类动物主要有沙蜥、麻蜥；鸟类主要有麻雀、喜鹊、乌鸦等当地常见种类。根据现场调查和访问，评价区域内无国家及自治区级珍稀野生保护动物及栖息地分布区，也无重要物种天然集中分布区、栖息地，迁徙鸟类的重要繁殖地、停歇地、越冬地以及野生动物迁徙通道等。</w:t>
            </w:r>
          </w:p>
          <w:p w14:paraId="2BEC87E2">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eastAsia" w:cs="Times New Roman"/>
                <w:color w:val="auto"/>
                <w:kern w:val="0"/>
                <w:sz w:val="24"/>
                <w:szCs w:val="24"/>
                <w:highlight w:val="none"/>
                <w:lang w:val="en-US" w:eastAsia="zh-CN" w:bidi="ar-SA"/>
              </w:rPr>
              <w:t>②水生生物</w:t>
            </w:r>
          </w:p>
          <w:p w14:paraId="7BCAEEDB">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根据现场踏勘调查，本项目</w:t>
            </w:r>
            <w:r>
              <w:rPr>
                <w:rFonts w:hint="eastAsia" w:cs="Times New Roman"/>
                <w:color w:val="auto"/>
                <w:kern w:val="0"/>
                <w:sz w:val="24"/>
                <w:szCs w:val="24"/>
                <w:highlight w:val="none"/>
                <w:lang w:val="en-US" w:eastAsia="zh-CN" w:bidi="ar-SA"/>
              </w:rPr>
              <w:t>所在高崖沟为季节性泄洪沟，因此无固定水生生物，仅在丰水期存在部分浮游生物及青蛙、蛤蟆等两栖动物</w:t>
            </w:r>
            <w:r>
              <w:rPr>
                <w:rFonts w:hint="default" w:ascii="Times New Roman" w:hAnsi="Times New Roman" w:eastAsia="宋体" w:cs="Times New Roman"/>
                <w:color w:val="auto"/>
                <w:kern w:val="0"/>
                <w:sz w:val="24"/>
                <w:szCs w:val="24"/>
                <w:highlight w:val="none"/>
                <w:lang w:val="en-US" w:eastAsia="zh-CN" w:bidi="ar-SA"/>
              </w:rPr>
              <w:t>。根据现场调查和访问，评价区域内无国家及自治区级珍稀野生</w:t>
            </w:r>
            <w:r>
              <w:rPr>
                <w:rFonts w:hint="eastAsia" w:cs="Times New Roman"/>
                <w:color w:val="auto"/>
                <w:kern w:val="0"/>
                <w:sz w:val="24"/>
                <w:szCs w:val="24"/>
                <w:highlight w:val="none"/>
                <w:lang w:val="en-US" w:eastAsia="zh-CN" w:bidi="ar-SA"/>
              </w:rPr>
              <w:t>保护鱼类及水生动物，亦无</w:t>
            </w:r>
            <w:r>
              <w:rPr>
                <w:rFonts w:hint="default" w:ascii="Times New Roman" w:hAnsi="Times New Roman" w:eastAsia="宋体" w:cs="Times New Roman"/>
                <w:color w:val="auto"/>
                <w:kern w:val="0"/>
                <w:sz w:val="24"/>
                <w:szCs w:val="24"/>
                <w:highlight w:val="none"/>
                <w:lang w:val="en-US" w:eastAsia="zh-CN" w:bidi="ar-SA"/>
              </w:rPr>
              <w:t>重要水生生物产卵场、索饵场、越冬场和洄游通道</w:t>
            </w:r>
            <w:r>
              <w:rPr>
                <w:rFonts w:hint="eastAsia" w:cs="Times New Roman"/>
                <w:color w:val="auto"/>
                <w:kern w:val="0"/>
                <w:sz w:val="24"/>
                <w:szCs w:val="24"/>
                <w:highlight w:val="none"/>
                <w:lang w:val="en-US" w:eastAsia="zh-CN" w:bidi="ar-SA"/>
              </w:rPr>
              <w:t>等。</w:t>
            </w:r>
          </w:p>
          <w:p w14:paraId="12FB469F">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eastAsia" w:cs="Times New Roman"/>
                <w:color w:val="auto"/>
                <w:kern w:val="0"/>
                <w:sz w:val="24"/>
                <w:szCs w:val="24"/>
                <w:highlight w:val="none"/>
                <w:lang w:val="en-US" w:eastAsia="zh-CN" w:bidi="ar-SA"/>
              </w:rPr>
              <w:t>（4）</w:t>
            </w:r>
            <w:r>
              <w:rPr>
                <w:rFonts w:hint="default" w:ascii="Times New Roman" w:hAnsi="Times New Roman" w:eastAsia="宋体" w:cs="Times New Roman"/>
                <w:color w:val="auto"/>
                <w:kern w:val="0"/>
                <w:sz w:val="24"/>
                <w:szCs w:val="24"/>
                <w:highlight w:val="none"/>
                <w:lang w:val="en-US" w:eastAsia="zh-CN" w:bidi="ar-SA"/>
              </w:rPr>
              <w:t>土壤环境现状</w:t>
            </w:r>
          </w:p>
          <w:p w14:paraId="6BED3BB2">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项目所在区域土壤类型主要是黄绵土和灰钙土。黄绵土是由黄土母质经直接耕种而形成的一种幼年土壤。土体疏松，土色浅淡，实质为岩成土，剖面发育不明显，仅有A层及C层，且二者之间无明显界限；土壤侵蚀严重。黄棉土常和灰钙土交错存在，是黄土高原上分布面积最大的土壤。土壤腐殖质含量低，土壤团粒结构性差，抗冲性较差，抗蚀性相对较弱，极易造成风蚀和水力侵蚀。</w:t>
            </w:r>
          </w:p>
          <w:p w14:paraId="49DBB543">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eastAsia" w:cs="Times New Roman"/>
                <w:color w:val="auto"/>
                <w:kern w:val="0"/>
                <w:sz w:val="24"/>
                <w:szCs w:val="24"/>
                <w:highlight w:val="none"/>
                <w:lang w:val="en-US" w:eastAsia="zh-CN" w:bidi="ar-SA"/>
              </w:rPr>
              <w:t>（5）</w:t>
            </w:r>
            <w:r>
              <w:rPr>
                <w:rFonts w:hint="default" w:ascii="Times New Roman" w:hAnsi="Times New Roman" w:eastAsia="宋体" w:cs="Times New Roman"/>
                <w:color w:val="auto"/>
                <w:kern w:val="0"/>
                <w:sz w:val="24"/>
                <w:szCs w:val="24"/>
                <w:highlight w:val="none"/>
                <w:lang w:val="en-US" w:eastAsia="zh-CN" w:bidi="ar-SA"/>
              </w:rPr>
              <w:t>水土流失现状</w:t>
            </w:r>
          </w:p>
          <w:p w14:paraId="451F50C2">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通过查阅宁夏回族自治区土壤侵蚀图和《土壤侵蚀分类分级标准》（SL190-2007），结合对项目区的实际调查，分析项目区的地形、地貌、植被、土壤、风速、降雨及植被覆盖度等水土流失影响因子，确定项目区土壤侵蚀模数背景值确定为：项目区水土流失类型以中度风力侵蚀为主，水土侵蚀模数为2600t/k</w:t>
            </w:r>
            <w:r>
              <w:rPr>
                <w:rFonts w:hint="default" w:ascii="Times New Roman" w:hAnsi="Times New Roman" w:cs="Times New Roman"/>
                <w:color w:val="auto"/>
                <w:kern w:val="0"/>
                <w:sz w:val="24"/>
                <w:szCs w:val="24"/>
                <w:highlight w:val="none"/>
                <w:lang w:val="en-US" w:eastAsia="zh-CN" w:bidi="ar-SA"/>
              </w:rPr>
              <w:t>m²</w:t>
            </w:r>
            <w:r>
              <w:rPr>
                <w:rFonts w:hint="default" w:ascii="Times New Roman" w:hAnsi="Times New Roman" w:eastAsia="宋体" w:cs="Times New Roman"/>
                <w:color w:val="auto"/>
                <w:kern w:val="0"/>
                <w:sz w:val="24"/>
                <w:szCs w:val="24"/>
                <w:highlight w:val="none"/>
                <w:lang w:val="en-US" w:eastAsia="zh-CN" w:bidi="ar-SA"/>
              </w:rPr>
              <w:t>•a。</w:t>
            </w:r>
          </w:p>
          <w:p w14:paraId="507FB373">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（6）高崖沟流域</w:t>
            </w:r>
            <w:r>
              <w:rPr>
                <w:rFonts w:hint="default" w:ascii="Times New Roman" w:hAnsi="Times New Roman" w:eastAsia="宋体" w:cs="Times New Roman"/>
                <w:color w:val="auto"/>
                <w:kern w:val="0"/>
                <w:sz w:val="24"/>
                <w:szCs w:val="24"/>
                <w:highlight w:val="none"/>
                <w:lang w:val="en-US" w:eastAsia="zh-CN" w:bidi="ar-SA"/>
              </w:rPr>
              <w:t>现状</w:t>
            </w:r>
          </w:p>
          <w:p w14:paraId="5644C77C">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高崖沟为黄河1级支流，发源于甘肃省靖远县靖安乡新丰村，河源位置坐标为北纬36.737528，东经105.141306，途经甘肃省靖远县、宁夏中卫市沙坡头区兴仁镇后经香山乡黄泉村流入黄河，河口位置坐标北纬37.365165，东经104.813522。高崖沟主流河长120.00km，流域面积2562km</w:t>
            </w:r>
            <w:r>
              <w:rPr>
                <w:rFonts w:hint="default" w:ascii="Times New Roman" w:hAnsi="Times New Roman" w:cs="Times New Roman"/>
                <w:color w:val="auto"/>
                <w:kern w:val="0"/>
                <w:sz w:val="24"/>
                <w:szCs w:val="24"/>
                <w:highlight w:val="none"/>
                <w:lang w:val="en-US" w:eastAsia="zh-CN" w:bidi="ar-SA"/>
              </w:rPr>
              <w:t>²</w:t>
            </w:r>
            <w:r>
              <w:rPr>
                <w:rFonts w:hint="default" w:ascii="Times New Roman" w:hAnsi="Times New Roman" w:eastAsia="宋体" w:cs="Times New Roman"/>
                <w:color w:val="auto"/>
                <w:kern w:val="0"/>
                <w:sz w:val="24"/>
                <w:szCs w:val="24"/>
                <w:highlight w:val="none"/>
                <w:lang w:val="en-US" w:eastAsia="zh-CN" w:bidi="ar-SA"/>
              </w:rPr>
              <w:t>，平均坡降6.62‰；其中甘肃长49 .00km，宁夏长80.10km。河流编码为D31D0000000R，主要支流有高崖沟左支沟、北沙壕沟、碱壕口沟等10条。</w:t>
            </w:r>
          </w:p>
          <w:p w14:paraId="25EA086B">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高崖沟未实施过整体的防洪治理工程，高崖沟仅</w:t>
            </w:r>
            <w:r>
              <w:rPr>
                <w:rFonts w:hint="eastAsia" w:cs="Times New Roman"/>
                <w:color w:val="auto"/>
                <w:kern w:val="0"/>
                <w:sz w:val="24"/>
                <w:szCs w:val="24"/>
                <w:highlight w:val="none"/>
                <w:lang w:val="en-US" w:eastAsia="zh-CN" w:bidi="ar-SA"/>
              </w:rPr>
              <w:t>兴仁镇</w:t>
            </w:r>
            <w:r>
              <w:rPr>
                <w:rFonts w:hint="default" w:ascii="Times New Roman" w:hAnsi="Times New Roman" w:eastAsia="宋体" w:cs="Times New Roman"/>
                <w:color w:val="auto"/>
                <w:kern w:val="0"/>
                <w:sz w:val="24"/>
                <w:szCs w:val="24"/>
                <w:highlight w:val="none"/>
                <w:lang w:val="en-US" w:eastAsia="zh-CN" w:bidi="ar-SA"/>
              </w:rPr>
              <w:t>城区段实施过防洪治理工程，其他段未治理，抵御洪水的能力非常低。高崖沟主要问题为河道凹岸冲刷现象严重，塌岸形成高坎，高坎遭遇暴雨洪水冲刷、淘蚀，导致高坎上的农田被洪水搬运带走，造成经济损失严重；低坎一岸，局部段主河槽高出了河岸线，耕地被冲刷带走。部分河段淤积严重，防洪断面不满足要求。中游段无沟型，大水漫流，沿河两岸的广大人民群众财产和大量农田受到威胁。历次洪水携带的块石堆积造成河道阻塞，进一步影响河道行洪，加剧了洪水对耕地边界的冲刷，形成恶性循环。部分支沟和主沟不连通，部分支沟洪水无出路。</w:t>
            </w:r>
            <w:r>
              <w:rPr>
                <w:rFonts w:hint="eastAsia" w:cs="Times New Roman"/>
                <w:color w:val="auto"/>
                <w:kern w:val="0"/>
                <w:sz w:val="24"/>
                <w:szCs w:val="24"/>
                <w:highlight w:val="none"/>
                <w:lang w:val="en-US" w:eastAsia="zh-CN" w:bidi="ar-SA"/>
              </w:rPr>
              <w:t>高崖沟流域图见图3-6。</w:t>
            </w:r>
          </w:p>
          <w:p w14:paraId="77940CD8">
            <w:pPr>
              <w:keepNext w:val="0"/>
              <w:keepLines w:val="0"/>
              <w:pageBreakBefore w:val="0"/>
              <w:widowControl w:val="0"/>
              <w:tabs>
                <w:tab w:val="left" w:pos="2040"/>
              </w:tabs>
              <w:kinsoku/>
              <w:wordWrap/>
              <w:overflowPunct/>
              <w:topLinePunct w:val="0"/>
              <w:autoSpaceDE/>
              <w:autoSpaceDN/>
              <w:bidi w:val="0"/>
              <w:adjustRightInd/>
              <w:snapToGrid/>
              <w:spacing w:after="0" w:line="360" w:lineRule="auto"/>
              <w:jc w:val="center"/>
              <w:textAlignment w:val="auto"/>
              <w:rPr>
                <w:rFonts w:hint="eastAsia" w:ascii="Times New Roman" w:hAnsi="Times New Roman" w:eastAsia="黑体" w:cs="Times New Roman"/>
                <w:b w:val="0"/>
                <w:bCs w:val="0"/>
                <w:color w:val="auto"/>
                <w:sz w:val="24"/>
                <w:szCs w:val="24"/>
                <w:highlight w:val="none"/>
                <w:lang w:val="en-US" w:eastAsia="zh-CN"/>
              </w:rPr>
            </w:pPr>
            <w:r>
              <w:rPr>
                <w:rFonts w:hint="eastAsia" w:ascii="Times New Roman" w:hAnsi="Times New Roman" w:eastAsia="黑体" w:cs="Times New Roman"/>
                <w:b w:val="0"/>
                <w:bCs w:val="0"/>
                <w:color w:val="auto"/>
                <w:sz w:val="24"/>
                <w:szCs w:val="24"/>
                <w:highlight w:val="none"/>
                <w:lang w:val="en-US" w:eastAsia="zh-CN"/>
              </w:rPr>
              <w:drawing>
                <wp:inline distT="0" distB="0" distL="114300" distR="114300">
                  <wp:extent cx="5212080" cy="4581525"/>
                  <wp:effectExtent l="0" t="0" r="7620" b="952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20"/>
                          <a:stretch>
                            <a:fillRect/>
                          </a:stretch>
                        </pic:blipFill>
                        <pic:spPr>
                          <a:xfrm>
                            <a:off x="0" y="0"/>
                            <a:ext cx="5212080" cy="4581525"/>
                          </a:xfrm>
                          <a:prstGeom prst="rect">
                            <a:avLst/>
                          </a:prstGeom>
                        </pic:spPr>
                      </pic:pic>
                    </a:graphicData>
                  </a:graphic>
                </wp:inline>
              </w:drawing>
            </w:r>
          </w:p>
          <w:p w14:paraId="4432317B">
            <w:pPr>
              <w:keepNext w:val="0"/>
              <w:keepLines w:val="0"/>
              <w:pageBreakBefore w:val="0"/>
              <w:widowControl w:val="0"/>
              <w:tabs>
                <w:tab w:val="left" w:pos="2040"/>
              </w:tabs>
              <w:kinsoku/>
              <w:wordWrap/>
              <w:overflowPunct/>
              <w:topLinePunct w:val="0"/>
              <w:autoSpaceDE/>
              <w:autoSpaceDN/>
              <w:bidi w:val="0"/>
              <w:adjustRightInd/>
              <w:snapToGrid/>
              <w:spacing w:after="0" w:line="360" w:lineRule="auto"/>
              <w:jc w:val="center"/>
              <w:textAlignment w:val="auto"/>
              <w:rPr>
                <w:rFonts w:hint="default" w:ascii="Times New Roman" w:hAnsi="Times New Roman" w:eastAsia="黑体" w:cs="Times New Roman"/>
                <w:b w:val="0"/>
                <w:bCs w:val="0"/>
                <w:color w:val="auto"/>
                <w:sz w:val="24"/>
                <w:szCs w:val="24"/>
                <w:highlight w:val="none"/>
                <w:lang w:val="en-US" w:eastAsia="zh-CN"/>
              </w:rPr>
            </w:pPr>
            <w:r>
              <w:rPr>
                <w:rFonts w:hint="eastAsia" w:ascii="Times New Roman" w:hAnsi="Times New Roman" w:eastAsia="黑体" w:cs="Times New Roman"/>
                <w:b w:val="0"/>
                <w:bCs w:val="0"/>
                <w:color w:val="auto"/>
                <w:sz w:val="24"/>
                <w:szCs w:val="24"/>
                <w:highlight w:val="none"/>
                <w:lang w:val="en-US" w:eastAsia="zh-CN"/>
              </w:rPr>
              <w:t>图3-</w:t>
            </w:r>
            <w:r>
              <w:rPr>
                <w:rFonts w:hint="eastAsia" w:eastAsia="黑体" w:cs="Times New Roman"/>
                <w:b w:val="0"/>
                <w:bCs w:val="0"/>
                <w:color w:val="auto"/>
                <w:sz w:val="24"/>
                <w:szCs w:val="24"/>
                <w:highlight w:val="none"/>
                <w:lang w:val="en-US" w:eastAsia="zh-CN"/>
              </w:rPr>
              <w:t>6</w:t>
            </w:r>
            <w:r>
              <w:rPr>
                <w:rFonts w:hint="eastAsia" w:ascii="Times New Roman" w:hAnsi="Times New Roman" w:eastAsia="黑体" w:cs="Times New Roman"/>
                <w:b w:val="0"/>
                <w:bCs w:val="0"/>
                <w:color w:val="auto"/>
                <w:sz w:val="24"/>
                <w:szCs w:val="24"/>
                <w:highlight w:val="none"/>
                <w:lang w:val="en-US" w:eastAsia="zh-CN"/>
              </w:rPr>
              <w:t xml:space="preserve">  </w:t>
            </w:r>
            <w:r>
              <w:rPr>
                <w:rFonts w:hint="eastAsia" w:eastAsia="黑体" w:cs="Times New Roman"/>
                <w:b w:val="0"/>
                <w:bCs w:val="0"/>
                <w:color w:val="auto"/>
                <w:sz w:val="24"/>
                <w:szCs w:val="24"/>
                <w:highlight w:val="none"/>
                <w:lang w:val="en-US" w:eastAsia="zh-CN"/>
              </w:rPr>
              <w:t>高崖沟</w:t>
            </w:r>
            <w:r>
              <w:rPr>
                <w:rFonts w:hint="eastAsia" w:ascii="Times New Roman" w:hAnsi="Times New Roman" w:eastAsia="黑体" w:cs="Times New Roman"/>
                <w:b w:val="0"/>
                <w:bCs w:val="0"/>
                <w:color w:val="auto"/>
                <w:sz w:val="24"/>
                <w:szCs w:val="24"/>
                <w:highlight w:val="none"/>
                <w:lang w:val="en-US" w:eastAsia="zh-CN"/>
              </w:rPr>
              <w:t>流域图</w:t>
            </w:r>
          </w:p>
          <w:p w14:paraId="5C6A4EFB">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综上所述，项目所在区域生态系统相对较为简单，原生生态系统主要为低矮的干旱草原植被，植物种群较少，生态可承载力水平较低，物种相对不够丰富，生态环境质量一般。</w:t>
            </w:r>
          </w:p>
          <w:p w14:paraId="57BE072C">
            <w:pPr>
              <w:adjustRightInd w:val="0"/>
              <w:spacing w:line="360" w:lineRule="auto"/>
              <w:ind w:firstLine="480" w:firstLineChars="200"/>
              <w:rPr>
                <w:rFonts w:hint="default" w:ascii="Times New Roman" w:hAnsi="Times New Roman" w:eastAsia="黑体" w:cs="Times New Roman"/>
                <w:b w:val="0"/>
                <w:bCs w:val="0"/>
                <w:color w:val="auto"/>
                <w:kern w:val="0"/>
                <w:sz w:val="24"/>
                <w:szCs w:val="24"/>
                <w:highlight w:val="none"/>
                <w:lang w:val="en-US" w:eastAsia="zh-CN" w:bidi="ar-SA"/>
              </w:rPr>
            </w:pPr>
            <w:r>
              <w:rPr>
                <w:rFonts w:hint="default" w:ascii="Times New Roman" w:hAnsi="Times New Roman" w:eastAsia="黑体" w:cs="Times New Roman"/>
                <w:b w:val="0"/>
                <w:bCs w:val="0"/>
                <w:color w:val="auto"/>
                <w:kern w:val="0"/>
                <w:sz w:val="24"/>
                <w:szCs w:val="24"/>
                <w:highlight w:val="none"/>
                <w:lang w:val="en-US" w:eastAsia="zh-CN" w:bidi="ar-SA"/>
              </w:rPr>
              <w:t>2、高崖沟现状及问题</w:t>
            </w:r>
          </w:p>
          <w:p w14:paraId="3D2CE842">
            <w:pPr>
              <w:adjustRightInd w:val="0"/>
              <w:spacing w:line="360" w:lineRule="auto"/>
              <w:ind w:firstLine="482" w:firstLineChars="200"/>
              <w:rPr>
                <w:rFonts w:hint="default" w:ascii="Times New Roman" w:hAnsi="Times New Roman" w:cs="Times New Roman"/>
                <w:b/>
                <w:bCs/>
                <w:color w:val="auto"/>
                <w:kern w:val="0"/>
                <w:sz w:val="24"/>
                <w:szCs w:val="24"/>
                <w:highlight w:val="none"/>
                <w:lang w:val="en-US" w:eastAsia="zh-CN" w:bidi="ar-SA"/>
              </w:rPr>
            </w:pPr>
            <w:r>
              <w:rPr>
                <w:rFonts w:hint="default" w:ascii="Times New Roman" w:hAnsi="Times New Roman" w:cs="Times New Roman"/>
                <w:b/>
                <w:bCs/>
                <w:color w:val="auto"/>
                <w:kern w:val="0"/>
                <w:sz w:val="24"/>
                <w:szCs w:val="24"/>
                <w:highlight w:val="none"/>
                <w:lang w:val="en-US" w:eastAsia="zh-CN" w:bidi="ar-SA"/>
              </w:rPr>
              <w:t>2.1高崖沟现状</w:t>
            </w:r>
          </w:p>
          <w:p w14:paraId="2779E6B7">
            <w:pPr>
              <w:adjustRightInd w:val="0"/>
              <w:spacing w:line="360" w:lineRule="auto"/>
              <w:ind w:firstLine="480" w:firstLineChars="200"/>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高崖沟主流河长120.00km，平均坡降6.62%，高崖沟发源于甘肃省靖远县靖安乡新丰村，上游约25km位于甘肃境内，中游约67.36km。河道在甘肃和宁夏来回摆动，部分河段两岸分</w:t>
            </w:r>
            <w:r>
              <w:rPr>
                <w:rFonts w:hint="eastAsia" w:cs="Times New Roman"/>
                <w:color w:val="auto"/>
                <w:kern w:val="0"/>
                <w:sz w:val="24"/>
                <w:szCs w:val="24"/>
                <w:highlight w:val="none"/>
                <w:lang w:val="en-US" w:eastAsia="zh-CN" w:bidi="ar-SA"/>
              </w:rPr>
              <w:t>属</w:t>
            </w:r>
            <w:r>
              <w:rPr>
                <w:rFonts w:hint="default" w:ascii="Times New Roman" w:hAnsi="Times New Roman" w:cs="Times New Roman"/>
                <w:color w:val="auto"/>
                <w:kern w:val="0"/>
                <w:sz w:val="24"/>
                <w:szCs w:val="24"/>
                <w:highlight w:val="none"/>
                <w:lang w:val="en-US" w:eastAsia="zh-CN" w:bidi="ar-SA"/>
              </w:rPr>
              <w:t>两省，下游26km属于宁夏境内。</w:t>
            </w:r>
          </w:p>
          <w:p w14:paraId="41AA0164">
            <w:pPr>
              <w:adjustRightInd w:val="0"/>
              <w:spacing w:line="360" w:lineRule="auto"/>
              <w:ind w:firstLine="480" w:firstLineChars="200"/>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本次宁夏段高崖沟治理范围为沙坡头区兴仁镇西里村至香山乡景庄村，涉及河长67.36km，工程起点为甘肃和宁夏交界位置陆合村，末端至峡门水库附近。</w:t>
            </w:r>
          </w:p>
          <w:p w14:paraId="100FA29C">
            <w:pPr>
              <w:adjustRightInd w:val="0"/>
              <w:spacing w:line="360" w:lineRule="auto"/>
              <w:ind w:firstLine="480" w:firstLineChars="200"/>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根据现状查勘，高崖沟兴仁镇上游桩号GY0+000~GY5+340，长度5.34km，河道未经治理，现状河道宽度约10~28m，局部最大宽度约75m，河段比降7.4%。两岸边坡较陡，均为土坡，河道局部段落淤积，GY4+800~GY5+340河道防洪能力不足，河道两岸多为农田，分布有西里村、李寨柯、双寨、西里二队等村庄。</w:t>
            </w:r>
          </w:p>
          <w:p w14:paraId="71C76BA4">
            <w:pPr>
              <w:adjustRightInd w:val="0"/>
              <w:spacing w:line="360" w:lineRule="auto"/>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214620" cy="2140585"/>
                  <wp:effectExtent l="0" t="0" r="5080" b="1206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1"/>
                          <a:stretch>
                            <a:fillRect/>
                          </a:stretch>
                        </pic:blipFill>
                        <pic:spPr>
                          <a:xfrm>
                            <a:off x="0" y="0"/>
                            <a:ext cx="5214620" cy="2140585"/>
                          </a:xfrm>
                          <a:prstGeom prst="rect">
                            <a:avLst/>
                          </a:prstGeom>
                          <a:noFill/>
                          <a:ln>
                            <a:noFill/>
                          </a:ln>
                        </pic:spPr>
                      </pic:pic>
                    </a:graphicData>
                  </a:graphic>
                </wp:inline>
              </w:drawing>
            </w:r>
          </w:p>
          <w:p w14:paraId="5E304F00">
            <w:pPr>
              <w:keepNext w:val="0"/>
              <w:keepLines w:val="0"/>
              <w:pageBreakBefore w:val="0"/>
              <w:widowControl w:val="0"/>
              <w:tabs>
                <w:tab w:val="left" w:pos="2040"/>
              </w:tabs>
              <w:kinsoku/>
              <w:wordWrap/>
              <w:overflowPunct/>
              <w:topLinePunct w:val="0"/>
              <w:autoSpaceDE/>
              <w:autoSpaceDN/>
              <w:bidi w:val="0"/>
              <w:adjustRightInd/>
              <w:snapToGrid/>
              <w:spacing w:after="0" w:line="360" w:lineRule="auto"/>
              <w:ind w:firstLine="240" w:firstLineChars="100"/>
              <w:jc w:val="center"/>
              <w:textAlignment w:val="auto"/>
              <w:rPr>
                <w:rFonts w:hint="default" w:ascii="Times New Roman" w:hAnsi="Times New Roman" w:eastAsia="黑体" w:cs="Times New Roman"/>
                <w:b w:val="0"/>
                <w:bCs w:val="0"/>
                <w:color w:val="auto"/>
                <w:sz w:val="24"/>
                <w:szCs w:val="24"/>
                <w:highlight w:val="none"/>
                <w:lang w:val="en-US" w:eastAsia="zh-CN"/>
              </w:rPr>
            </w:pPr>
            <w:r>
              <w:rPr>
                <w:rFonts w:hint="default" w:ascii="Times New Roman" w:hAnsi="Times New Roman" w:eastAsia="黑体" w:cs="Times New Roman"/>
                <w:b w:val="0"/>
                <w:bCs w:val="0"/>
                <w:color w:val="auto"/>
                <w:sz w:val="24"/>
                <w:szCs w:val="24"/>
                <w:highlight w:val="none"/>
                <w:lang w:val="en-US" w:eastAsia="zh-CN"/>
              </w:rPr>
              <w:t>图3-</w:t>
            </w:r>
            <w:r>
              <w:rPr>
                <w:rFonts w:hint="eastAsia" w:eastAsia="黑体" w:cs="Times New Roman"/>
                <w:b w:val="0"/>
                <w:bCs w:val="0"/>
                <w:color w:val="auto"/>
                <w:sz w:val="24"/>
                <w:szCs w:val="24"/>
                <w:highlight w:val="none"/>
                <w:lang w:val="en-US" w:eastAsia="zh-CN"/>
              </w:rPr>
              <w:t>7</w:t>
            </w:r>
            <w:r>
              <w:rPr>
                <w:rFonts w:hint="default" w:ascii="Times New Roman" w:hAnsi="Times New Roman" w:eastAsia="黑体" w:cs="Times New Roman"/>
                <w:b w:val="0"/>
                <w:bCs w:val="0"/>
                <w:color w:val="auto"/>
                <w:sz w:val="24"/>
                <w:szCs w:val="24"/>
                <w:highlight w:val="none"/>
                <w:lang w:val="en-US" w:eastAsia="zh-CN"/>
              </w:rPr>
              <w:t xml:space="preserve"> </w:t>
            </w:r>
            <w:r>
              <w:rPr>
                <w:rFonts w:hint="eastAsia" w:eastAsia="黑体" w:cs="Times New Roman"/>
                <w:b w:val="0"/>
                <w:bCs w:val="0"/>
                <w:color w:val="auto"/>
                <w:sz w:val="24"/>
                <w:szCs w:val="24"/>
                <w:highlight w:val="none"/>
                <w:lang w:val="en-US" w:eastAsia="zh-CN"/>
              </w:rPr>
              <w:t xml:space="preserve"> </w:t>
            </w:r>
            <w:r>
              <w:rPr>
                <w:rFonts w:hint="default" w:ascii="Times New Roman" w:hAnsi="Times New Roman" w:eastAsia="黑体" w:cs="Times New Roman"/>
                <w:b w:val="0"/>
                <w:bCs w:val="0"/>
                <w:color w:val="auto"/>
                <w:sz w:val="24"/>
                <w:szCs w:val="24"/>
                <w:highlight w:val="none"/>
                <w:lang w:val="en-US" w:eastAsia="zh-CN"/>
              </w:rPr>
              <w:t>高崖沟兴仁镇上游现状图</w:t>
            </w:r>
          </w:p>
          <w:p w14:paraId="52949EFF">
            <w:pPr>
              <w:adjustRightInd w:val="0"/>
              <w:spacing w:line="360" w:lineRule="auto"/>
              <w:ind w:firstLine="480" w:firstLineChars="200"/>
              <w:rPr>
                <w:rFonts w:hint="eastAsia" w:cs="Times New Roman"/>
                <w:b w:val="0"/>
                <w:bCs w:val="0"/>
                <w:color w:val="auto"/>
                <w:kern w:val="0"/>
                <w:sz w:val="24"/>
                <w:szCs w:val="24"/>
                <w:highlight w:val="none"/>
                <w:lang w:val="en-US" w:eastAsia="zh-CN" w:bidi="ar-SA"/>
              </w:rPr>
            </w:pPr>
            <w:r>
              <w:rPr>
                <w:rFonts w:hint="default" w:ascii="Times New Roman" w:hAnsi="Times New Roman" w:cs="Times New Roman"/>
                <w:b w:val="0"/>
                <w:bCs w:val="0"/>
                <w:color w:val="auto"/>
                <w:kern w:val="0"/>
                <w:sz w:val="24"/>
                <w:szCs w:val="24"/>
                <w:highlight w:val="none"/>
                <w:lang w:val="en-US" w:eastAsia="zh-CN" w:bidi="ar-SA"/>
              </w:rPr>
              <w:t>高崖沟桩号GY5+340</w:t>
            </w:r>
            <w:r>
              <w:rPr>
                <w:rFonts w:hint="eastAsia" w:cs="Times New Roman"/>
                <w:b w:val="0"/>
                <w:bCs w:val="0"/>
                <w:color w:val="auto"/>
                <w:kern w:val="0"/>
                <w:sz w:val="24"/>
                <w:szCs w:val="24"/>
                <w:highlight w:val="none"/>
                <w:lang w:val="en-US" w:eastAsia="zh-CN" w:bidi="ar-SA"/>
              </w:rPr>
              <w:t>~</w:t>
            </w:r>
            <w:r>
              <w:rPr>
                <w:rFonts w:hint="default" w:ascii="Times New Roman" w:hAnsi="Times New Roman" w:cs="Times New Roman"/>
                <w:b w:val="0"/>
                <w:bCs w:val="0"/>
                <w:color w:val="auto"/>
                <w:kern w:val="0"/>
                <w:sz w:val="24"/>
                <w:szCs w:val="24"/>
                <w:highlight w:val="none"/>
                <w:lang w:val="en-US" w:eastAsia="zh-CN" w:bidi="ar-SA"/>
              </w:rPr>
              <w:t>GY6+840为兴仁镇，河道长度1.5km，河段比降6.2%o，京拉线(G109)之前基本为矩形断面，河道宽度约 8m，京拉线(G109)之后为梯形断面，现状河道宽度约22m，采用浆砌石对两侧岸坡进行了砌护，其中G109国道之前为浆砌石挡墙护岸，G109至京藏高速为浆砌石+混凝土连锁块坡护岸，本段已经治理</w:t>
            </w:r>
            <w:r>
              <w:rPr>
                <w:rFonts w:hint="eastAsia" w:cs="Times New Roman"/>
                <w:b w:val="0"/>
                <w:bCs w:val="0"/>
                <w:color w:val="auto"/>
                <w:kern w:val="0"/>
                <w:sz w:val="24"/>
                <w:szCs w:val="24"/>
                <w:highlight w:val="none"/>
                <w:lang w:val="en-US" w:eastAsia="zh-CN" w:bidi="ar-SA"/>
              </w:rPr>
              <w:t>。</w:t>
            </w:r>
          </w:p>
          <w:p w14:paraId="2A7EA433">
            <w:pPr>
              <w:adjustRightInd w:val="0"/>
              <w:spacing w:line="360" w:lineRule="auto"/>
              <w:rPr>
                <w:rFonts w:hint="default" w:ascii="Times New Roman" w:hAnsi="Times New Roman" w:eastAsia="宋体" w:cs="Times New Roman"/>
                <w:b w:val="0"/>
                <w:bCs w:val="0"/>
                <w:color w:val="auto"/>
                <w:kern w:val="0"/>
                <w:sz w:val="24"/>
                <w:szCs w:val="24"/>
                <w:highlight w:val="none"/>
                <w:lang w:val="en-US" w:eastAsia="zh-CN" w:bidi="ar-SA"/>
              </w:rPr>
            </w:pPr>
            <w:r>
              <w:rPr>
                <w:rFonts w:hint="default" w:ascii="Times New Roman" w:hAnsi="Times New Roman" w:cs="Times New Roman"/>
                <w:color w:val="auto"/>
                <w:highlight w:val="none"/>
              </w:rPr>
              <w:drawing>
                <wp:inline distT="0" distB="0" distL="114300" distR="114300">
                  <wp:extent cx="5215255" cy="1934845"/>
                  <wp:effectExtent l="0" t="0" r="4445" b="825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22"/>
                          <a:stretch>
                            <a:fillRect/>
                          </a:stretch>
                        </pic:blipFill>
                        <pic:spPr>
                          <a:xfrm>
                            <a:off x="0" y="0"/>
                            <a:ext cx="5215255" cy="1934845"/>
                          </a:xfrm>
                          <a:prstGeom prst="rect">
                            <a:avLst/>
                          </a:prstGeom>
                          <a:noFill/>
                          <a:ln>
                            <a:noFill/>
                          </a:ln>
                        </pic:spPr>
                      </pic:pic>
                    </a:graphicData>
                  </a:graphic>
                </wp:inline>
              </w:drawing>
            </w:r>
          </w:p>
          <w:p w14:paraId="5511DA84">
            <w:pPr>
              <w:keepNext w:val="0"/>
              <w:keepLines w:val="0"/>
              <w:pageBreakBefore w:val="0"/>
              <w:widowControl w:val="0"/>
              <w:tabs>
                <w:tab w:val="left" w:pos="2040"/>
              </w:tabs>
              <w:kinsoku/>
              <w:wordWrap/>
              <w:overflowPunct/>
              <w:topLinePunct w:val="0"/>
              <w:autoSpaceDE/>
              <w:autoSpaceDN/>
              <w:bidi w:val="0"/>
              <w:adjustRightInd/>
              <w:snapToGrid/>
              <w:spacing w:after="0" w:line="360" w:lineRule="auto"/>
              <w:ind w:firstLine="240" w:firstLineChars="100"/>
              <w:jc w:val="center"/>
              <w:textAlignment w:val="auto"/>
              <w:rPr>
                <w:rFonts w:hint="default" w:ascii="Times New Roman" w:hAnsi="Times New Roman" w:eastAsia="黑体" w:cs="Times New Roman"/>
                <w:b w:val="0"/>
                <w:bCs w:val="0"/>
                <w:color w:val="auto"/>
                <w:sz w:val="24"/>
                <w:szCs w:val="24"/>
                <w:highlight w:val="none"/>
                <w:lang w:val="en-US" w:eastAsia="zh-CN"/>
              </w:rPr>
            </w:pPr>
            <w:r>
              <w:rPr>
                <w:rFonts w:hint="default" w:ascii="Times New Roman" w:hAnsi="Times New Roman" w:eastAsia="黑体" w:cs="Times New Roman"/>
                <w:b w:val="0"/>
                <w:bCs w:val="0"/>
                <w:color w:val="auto"/>
                <w:sz w:val="24"/>
                <w:szCs w:val="24"/>
                <w:highlight w:val="none"/>
                <w:lang w:val="en-US" w:eastAsia="zh-CN"/>
              </w:rPr>
              <w:t>图3-</w:t>
            </w:r>
            <w:r>
              <w:rPr>
                <w:rFonts w:hint="eastAsia" w:eastAsia="黑体" w:cs="Times New Roman"/>
                <w:b w:val="0"/>
                <w:bCs w:val="0"/>
                <w:color w:val="auto"/>
                <w:sz w:val="24"/>
                <w:szCs w:val="24"/>
                <w:highlight w:val="none"/>
                <w:lang w:val="en-US" w:eastAsia="zh-CN"/>
              </w:rPr>
              <w:t>8</w:t>
            </w:r>
            <w:r>
              <w:rPr>
                <w:rFonts w:hint="default" w:ascii="Times New Roman" w:hAnsi="Times New Roman" w:eastAsia="黑体" w:cs="Times New Roman"/>
                <w:b w:val="0"/>
                <w:bCs w:val="0"/>
                <w:color w:val="auto"/>
                <w:sz w:val="24"/>
                <w:szCs w:val="24"/>
                <w:highlight w:val="none"/>
                <w:lang w:val="en-US" w:eastAsia="zh-CN"/>
              </w:rPr>
              <w:t xml:space="preserve">  高崖沟兴仁镇已治理段治理现状图</w:t>
            </w:r>
          </w:p>
          <w:p w14:paraId="4FFE5498">
            <w:pPr>
              <w:adjustRightInd w:val="0"/>
              <w:spacing w:line="360" w:lineRule="auto"/>
              <w:ind w:firstLine="480" w:firstLineChars="200"/>
              <w:rPr>
                <w:rFonts w:hint="default" w:ascii="Times New Roman" w:hAnsi="Times New Roman" w:cs="Times New Roman"/>
                <w:b w:val="0"/>
                <w:bCs w:val="0"/>
                <w:color w:val="auto"/>
                <w:kern w:val="0"/>
                <w:sz w:val="24"/>
                <w:szCs w:val="24"/>
                <w:highlight w:val="none"/>
                <w:lang w:val="en-US" w:eastAsia="zh-CN" w:bidi="ar-SA"/>
              </w:rPr>
            </w:pPr>
            <w:r>
              <w:rPr>
                <w:rFonts w:hint="default" w:ascii="Times New Roman" w:hAnsi="Times New Roman" w:cs="Times New Roman"/>
                <w:b w:val="0"/>
                <w:bCs w:val="0"/>
                <w:color w:val="auto"/>
                <w:kern w:val="0"/>
                <w:sz w:val="24"/>
                <w:szCs w:val="24"/>
                <w:highlight w:val="none"/>
                <w:lang w:val="en-US" w:eastAsia="zh-CN" w:bidi="ar-SA"/>
              </w:rPr>
              <w:t>高崖沟兴仁镇下游段桩号GY6+840</w:t>
            </w:r>
            <w:r>
              <w:rPr>
                <w:rFonts w:hint="eastAsia" w:cs="Times New Roman"/>
                <w:b w:val="0"/>
                <w:bCs w:val="0"/>
                <w:color w:val="auto"/>
                <w:kern w:val="0"/>
                <w:sz w:val="24"/>
                <w:szCs w:val="24"/>
                <w:highlight w:val="none"/>
                <w:lang w:val="en-US" w:eastAsia="zh-CN" w:bidi="ar-SA"/>
              </w:rPr>
              <w:t>~</w:t>
            </w:r>
            <w:r>
              <w:rPr>
                <w:rFonts w:hint="default" w:ascii="Times New Roman" w:hAnsi="Times New Roman" w:cs="Times New Roman"/>
                <w:b w:val="0"/>
                <w:bCs w:val="0"/>
                <w:color w:val="auto"/>
                <w:kern w:val="0"/>
                <w:sz w:val="24"/>
                <w:szCs w:val="24"/>
                <w:highlight w:val="none"/>
                <w:lang w:val="en-US" w:eastAsia="zh-CN" w:bidi="ar-SA"/>
              </w:rPr>
              <w:t>GY8+240(兴仁镇区~京藏高速段)河段长度1.4km，河道为比较规则梯形断面，右岸为浆砌石护砌，护砌长约1.40km，左岸土坡未防护，现状河道宽度约25m，河道基本无淤积，河段比降3.8%o。左岸防汛道路宽度约4.0m，为砂石路路面。河道两岸多为农田，分布有姬寨柯、葛寨柯等村庄，拟对右岸进行防护。</w:t>
            </w:r>
          </w:p>
          <w:p w14:paraId="182C7531">
            <w:pPr>
              <w:adjustRightInd w:val="0"/>
              <w:spacing w:line="360" w:lineRule="auto"/>
              <w:rPr>
                <w:rFonts w:hint="default" w:ascii="Times New Roman" w:hAnsi="Times New Roman" w:cs="Times New Roman"/>
                <w:b w:val="0"/>
                <w:bCs w:val="0"/>
                <w:color w:val="auto"/>
                <w:kern w:val="0"/>
                <w:sz w:val="24"/>
                <w:szCs w:val="24"/>
                <w:highlight w:val="none"/>
                <w:lang w:val="en-US" w:eastAsia="zh-CN" w:bidi="ar-SA"/>
              </w:rPr>
            </w:pPr>
            <w:r>
              <w:rPr>
                <w:rFonts w:hint="default" w:ascii="Times New Roman" w:hAnsi="Times New Roman" w:cs="Times New Roman"/>
                <w:color w:val="auto"/>
                <w:highlight w:val="none"/>
              </w:rPr>
              <w:drawing>
                <wp:inline distT="0" distB="0" distL="114300" distR="114300">
                  <wp:extent cx="5215255" cy="1904365"/>
                  <wp:effectExtent l="0" t="0" r="4445" b="63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23"/>
                          <a:stretch>
                            <a:fillRect/>
                          </a:stretch>
                        </pic:blipFill>
                        <pic:spPr>
                          <a:xfrm>
                            <a:off x="0" y="0"/>
                            <a:ext cx="5215255" cy="1904365"/>
                          </a:xfrm>
                          <a:prstGeom prst="rect">
                            <a:avLst/>
                          </a:prstGeom>
                          <a:noFill/>
                          <a:ln>
                            <a:noFill/>
                          </a:ln>
                        </pic:spPr>
                      </pic:pic>
                    </a:graphicData>
                  </a:graphic>
                </wp:inline>
              </w:drawing>
            </w:r>
          </w:p>
          <w:p w14:paraId="158B6C60">
            <w:pPr>
              <w:keepNext w:val="0"/>
              <w:keepLines w:val="0"/>
              <w:pageBreakBefore w:val="0"/>
              <w:widowControl w:val="0"/>
              <w:tabs>
                <w:tab w:val="left" w:pos="2040"/>
              </w:tabs>
              <w:kinsoku/>
              <w:wordWrap/>
              <w:overflowPunct/>
              <w:topLinePunct w:val="0"/>
              <w:autoSpaceDE/>
              <w:autoSpaceDN/>
              <w:bidi w:val="0"/>
              <w:adjustRightInd/>
              <w:snapToGrid/>
              <w:spacing w:after="0" w:line="360" w:lineRule="auto"/>
              <w:ind w:firstLine="240" w:firstLineChars="100"/>
              <w:jc w:val="center"/>
              <w:textAlignment w:val="auto"/>
              <w:rPr>
                <w:rFonts w:hint="default" w:ascii="Times New Roman" w:hAnsi="Times New Roman" w:eastAsia="黑体" w:cs="Times New Roman"/>
                <w:b w:val="0"/>
                <w:bCs w:val="0"/>
                <w:color w:val="auto"/>
                <w:sz w:val="24"/>
                <w:szCs w:val="24"/>
                <w:highlight w:val="none"/>
                <w:lang w:val="en-US" w:eastAsia="zh-CN"/>
              </w:rPr>
            </w:pPr>
            <w:r>
              <w:rPr>
                <w:rFonts w:hint="default" w:ascii="Times New Roman" w:hAnsi="Times New Roman" w:eastAsia="黑体" w:cs="Times New Roman"/>
                <w:b w:val="0"/>
                <w:bCs w:val="0"/>
                <w:color w:val="auto"/>
                <w:sz w:val="24"/>
                <w:szCs w:val="24"/>
                <w:highlight w:val="none"/>
                <w:lang w:val="en-US" w:eastAsia="zh-CN"/>
              </w:rPr>
              <w:t>图3-</w:t>
            </w:r>
            <w:r>
              <w:rPr>
                <w:rFonts w:hint="eastAsia" w:eastAsia="黑体" w:cs="Times New Roman"/>
                <w:b w:val="0"/>
                <w:bCs w:val="0"/>
                <w:color w:val="auto"/>
                <w:sz w:val="24"/>
                <w:szCs w:val="24"/>
                <w:highlight w:val="none"/>
                <w:lang w:val="en-US" w:eastAsia="zh-CN"/>
              </w:rPr>
              <w:t>9</w:t>
            </w:r>
            <w:r>
              <w:rPr>
                <w:rFonts w:hint="default" w:ascii="Times New Roman" w:hAnsi="Times New Roman" w:eastAsia="黑体" w:cs="Times New Roman"/>
                <w:b w:val="0"/>
                <w:bCs w:val="0"/>
                <w:color w:val="auto"/>
                <w:sz w:val="24"/>
                <w:szCs w:val="24"/>
                <w:highlight w:val="none"/>
                <w:lang w:val="en-US" w:eastAsia="zh-CN"/>
              </w:rPr>
              <w:t xml:space="preserve">  高崖沟兴仁镇~京藏高速段治理现状</w:t>
            </w:r>
          </w:p>
          <w:p w14:paraId="0B490436">
            <w:pPr>
              <w:adjustRightInd w:val="0"/>
              <w:spacing w:line="360" w:lineRule="auto"/>
              <w:ind w:firstLine="480" w:firstLineChars="200"/>
              <w:rPr>
                <w:rFonts w:hint="default" w:ascii="Times New Roman" w:hAnsi="Times New Roman" w:cs="Times New Roman"/>
                <w:b w:val="0"/>
                <w:bCs w:val="0"/>
                <w:color w:val="auto"/>
                <w:kern w:val="0"/>
                <w:sz w:val="24"/>
                <w:szCs w:val="24"/>
                <w:highlight w:val="none"/>
                <w:lang w:val="en-US" w:eastAsia="zh-CN" w:bidi="ar-SA"/>
              </w:rPr>
            </w:pPr>
            <w:r>
              <w:rPr>
                <w:rFonts w:hint="default" w:ascii="Times New Roman" w:hAnsi="Times New Roman" w:cs="Times New Roman"/>
                <w:b w:val="0"/>
                <w:bCs w:val="0"/>
                <w:color w:val="auto"/>
                <w:kern w:val="0"/>
                <w:sz w:val="24"/>
                <w:szCs w:val="24"/>
                <w:highlight w:val="none"/>
                <w:lang w:val="en-US" w:eastAsia="zh-CN" w:bidi="ar-SA"/>
              </w:rPr>
              <w:t>高崖沟京藏高速至下游桩号范围GY8+240</w:t>
            </w:r>
            <w:r>
              <w:rPr>
                <w:rFonts w:hint="eastAsia" w:cs="Times New Roman"/>
                <w:b w:val="0"/>
                <w:bCs w:val="0"/>
                <w:color w:val="auto"/>
                <w:kern w:val="0"/>
                <w:sz w:val="24"/>
                <w:szCs w:val="24"/>
                <w:highlight w:val="none"/>
                <w:lang w:val="en-US" w:eastAsia="zh-CN" w:bidi="ar-SA"/>
              </w:rPr>
              <w:t>~G</w:t>
            </w:r>
            <w:r>
              <w:rPr>
                <w:rFonts w:hint="default" w:ascii="Times New Roman" w:hAnsi="Times New Roman" w:cs="Times New Roman"/>
                <w:b w:val="0"/>
                <w:bCs w:val="0"/>
                <w:color w:val="auto"/>
                <w:kern w:val="0"/>
                <w:sz w:val="24"/>
                <w:szCs w:val="24"/>
                <w:highlight w:val="none"/>
                <w:lang w:val="en-US" w:eastAsia="zh-CN" w:bidi="ar-SA"/>
              </w:rPr>
              <w:t>Y13+600，长度约5.36km，河道基本无淤积，现状河道宽度约15~30m，河段比降3.1%o，两岸有堤防，均为土坡，左侧堤顶有防汛道路，道路宽度4.0m，河道两岸多为农田，分布有王家寨柯、郝家湾等村庄，此段防洪能力不足。</w:t>
            </w:r>
          </w:p>
          <w:p w14:paraId="14C90211">
            <w:pPr>
              <w:adjustRightInd w:val="0"/>
              <w:spacing w:line="360" w:lineRule="auto"/>
              <w:ind w:firstLine="480" w:firstLineChars="200"/>
              <w:rPr>
                <w:rFonts w:hint="default" w:ascii="Times New Roman" w:hAnsi="Times New Roman" w:cs="Times New Roman"/>
                <w:b w:val="0"/>
                <w:bCs w:val="0"/>
                <w:color w:val="auto"/>
                <w:kern w:val="0"/>
                <w:sz w:val="24"/>
                <w:szCs w:val="24"/>
                <w:highlight w:val="none"/>
                <w:lang w:val="en-US" w:eastAsia="zh-CN" w:bidi="ar-SA"/>
              </w:rPr>
            </w:pPr>
          </w:p>
          <w:p w14:paraId="5D0BB776">
            <w:pPr>
              <w:adjustRightInd w:val="0"/>
              <w:spacing w:line="360" w:lineRule="auto"/>
              <w:ind w:firstLine="480" w:firstLineChars="200"/>
              <w:rPr>
                <w:rFonts w:hint="default" w:ascii="Times New Roman" w:hAnsi="Times New Roman" w:cs="Times New Roman"/>
                <w:b w:val="0"/>
                <w:bCs w:val="0"/>
                <w:color w:val="auto"/>
                <w:kern w:val="0"/>
                <w:sz w:val="24"/>
                <w:szCs w:val="24"/>
                <w:highlight w:val="none"/>
                <w:lang w:val="en-US" w:eastAsia="zh-CN" w:bidi="ar-SA"/>
              </w:rPr>
            </w:pPr>
          </w:p>
          <w:p w14:paraId="5C6D77D5">
            <w:pPr>
              <w:adjustRightInd w:val="0"/>
              <w:spacing w:line="360" w:lineRule="auto"/>
              <w:ind w:firstLine="480" w:firstLineChars="200"/>
              <w:rPr>
                <w:rFonts w:hint="default" w:ascii="Times New Roman" w:hAnsi="Times New Roman" w:cs="Times New Roman"/>
                <w:b w:val="0"/>
                <w:bCs w:val="0"/>
                <w:color w:val="auto"/>
                <w:kern w:val="0"/>
                <w:sz w:val="24"/>
                <w:szCs w:val="24"/>
                <w:highlight w:val="none"/>
                <w:lang w:val="en-US" w:eastAsia="zh-CN" w:bidi="ar-SA"/>
              </w:rPr>
            </w:pPr>
          </w:p>
          <w:p w14:paraId="4412BCE9">
            <w:pPr>
              <w:adjustRightInd w:val="0"/>
              <w:spacing w:line="360" w:lineRule="auto"/>
              <w:ind w:firstLine="480" w:firstLineChars="200"/>
              <w:rPr>
                <w:rFonts w:hint="default" w:ascii="Times New Roman" w:hAnsi="Times New Roman" w:cs="Times New Roman"/>
                <w:b w:val="0"/>
                <w:bCs w:val="0"/>
                <w:color w:val="auto"/>
                <w:kern w:val="0"/>
                <w:sz w:val="24"/>
                <w:szCs w:val="24"/>
                <w:highlight w:val="none"/>
                <w:lang w:val="en-US" w:eastAsia="zh-CN" w:bidi="ar-SA"/>
              </w:rPr>
            </w:pPr>
          </w:p>
          <w:p w14:paraId="3F420BD7">
            <w:pPr>
              <w:adjustRightInd w:val="0"/>
              <w:spacing w:line="360" w:lineRule="auto"/>
              <w:rPr>
                <w:rFonts w:hint="default" w:ascii="Times New Roman" w:hAnsi="Times New Roman" w:cs="Times New Roman"/>
                <w:b w:val="0"/>
                <w:bCs w:val="0"/>
                <w:color w:val="auto"/>
                <w:kern w:val="0"/>
                <w:sz w:val="24"/>
                <w:szCs w:val="24"/>
                <w:highlight w:val="none"/>
                <w:lang w:val="en-US" w:eastAsia="zh-CN" w:bidi="ar-SA"/>
              </w:rPr>
            </w:pPr>
            <w:r>
              <w:rPr>
                <w:rFonts w:hint="default" w:ascii="Times New Roman" w:hAnsi="Times New Roman" w:cs="Times New Roman"/>
                <w:color w:val="auto"/>
                <w:highlight w:val="none"/>
              </w:rPr>
              <w:drawing>
                <wp:inline distT="0" distB="0" distL="114300" distR="114300">
                  <wp:extent cx="5211445" cy="1927860"/>
                  <wp:effectExtent l="0" t="0" r="8255" b="1524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24"/>
                          <a:stretch>
                            <a:fillRect/>
                          </a:stretch>
                        </pic:blipFill>
                        <pic:spPr>
                          <a:xfrm>
                            <a:off x="0" y="0"/>
                            <a:ext cx="5211445" cy="1927860"/>
                          </a:xfrm>
                          <a:prstGeom prst="rect">
                            <a:avLst/>
                          </a:prstGeom>
                          <a:noFill/>
                          <a:ln>
                            <a:noFill/>
                          </a:ln>
                        </pic:spPr>
                      </pic:pic>
                    </a:graphicData>
                  </a:graphic>
                </wp:inline>
              </w:drawing>
            </w:r>
          </w:p>
          <w:p w14:paraId="6E4D9307">
            <w:pPr>
              <w:keepNext w:val="0"/>
              <w:keepLines w:val="0"/>
              <w:pageBreakBefore w:val="0"/>
              <w:widowControl w:val="0"/>
              <w:tabs>
                <w:tab w:val="left" w:pos="2040"/>
              </w:tabs>
              <w:kinsoku/>
              <w:wordWrap/>
              <w:overflowPunct/>
              <w:topLinePunct w:val="0"/>
              <w:autoSpaceDE/>
              <w:autoSpaceDN/>
              <w:bidi w:val="0"/>
              <w:adjustRightInd/>
              <w:snapToGrid/>
              <w:spacing w:after="0" w:line="360" w:lineRule="auto"/>
              <w:ind w:firstLine="240" w:firstLineChars="100"/>
              <w:jc w:val="center"/>
              <w:textAlignment w:val="auto"/>
              <w:rPr>
                <w:rFonts w:hint="default" w:ascii="Times New Roman" w:hAnsi="Times New Roman" w:eastAsia="黑体" w:cs="Times New Roman"/>
                <w:b w:val="0"/>
                <w:bCs w:val="0"/>
                <w:color w:val="auto"/>
                <w:sz w:val="24"/>
                <w:szCs w:val="24"/>
                <w:highlight w:val="none"/>
                <w:lang w:val="en-US" w:eastAsia="zh-CN"/>
              </w:rPr>
            </w:pPr>
            <w:r>
              <w:rPr>
                <w:rFonts w:hint="default" w:ascii="Times New Roman" w:hAnsi="Times New Roman" w:eastAsia="黑体" w:cs="Times New Roman"/>
                <w:b w:val="0"/>
                <w:bCs w:val="0"/>
                <w:color w:val="auto"/>
                <w:sz w:val="24"/>
                <w:szCs w:val="24"/>
                <w:highlight w:val="none"/>
                <w:lang w:val="en-US" w:eastAsia="zh-CN"/>
              </w:rPr>
              <w:t>图3-</w:t>
            </w:r>
            <w:r>
              <w:rPr>
                <w:rFonts w:hint="eastAsia" w:eastAsia="黑体" w:cs="Times New Roman"/>
                <w:b w:val="0"/>
                <w:bCs w:val="0"/>
                <w:color w:val="auto"/>
                <w:sz w:val="24"/>
                <w:szCs w:val="24"/>
                <w:highlight w:val="none"/>
                <w:lang w:val="en-US" w:eastAsia="zh-CN"/>
              </w:rPr>
              <w:t>10</w:t>
            </w:r>
            <w:r>
              <w:rPr>
                <w:rFonts w:hint="default" w:ascii="Times New Roman" w:hAnsi="Times New Roman" w:eastAsia="黑体" w:cs="Times New Roman"/>
                <w:b w:val="0"/>
                <w:bCs w:val="0"/>
                <w:color w:val="auto"/>
                <w:sz w:val="24"/>
                <w:szCs w:val="24"/>
                <w:highlight w:val="none"/>
                <w:lang w:val="en-US" w:eastAsia="zh-CN"/>
              </w:rPr>
              <w:t xml:space="preserve">  高崖京藏高速至下游约5.8km处现状</w:t>
            </w:r>
          </w:p>
          <w:p w14:paraId="44B22EC7">
            <w:pPr>
              <w:adjustRightInd w:val="0"/>
              <w:spacing w:line="360" w:lineRule="auto"/>
              <w:ind w:firstLine="480" w:firstLineChars="200"/>
              <w:rPr>
                <w:rFonts w:hint="default" w:ascii="Times New Roman" w:hAnsi="Times New Roman" w:cs="Times New Roman"/>
                <w:b w:val="0"/>
                <w:bCs w:val="0"/>
                <w:color w:val="auto"/>
                <w:kern w:val="0"/>
                <w:sz w:val="24"/>
                <w:szCs w:val="24"/>
                <w:highlight w:val="none"/>
                <w:lang w:val="en-US" w:eastAsia="zh-CN" w:bidi="ar-SA"/>
              </w:rPr>
            </w:pPr>
            <w:r>
              <w:rPr>
                <w:rFonts w:hint="default" w:ascii="Times New Roman" w:hAnsi="Times New Roman" w:cs="Times New Roman"/>
                <w:b w:val="0"/>
                <w:bCs w:val="0"/>
                <w:color w:val="auto"/>
                <w:kern w:val="0"/>
                <w:sz w:val="24"/>
                <w:szCs w:val="24"/>
                <w:highlight w:val="none"/>
                <w:lang w:val="en-US" w:eastAsia="zh-CN" w:bidi="ar-SA"/>
              </w:rPr>
              <w:t>桩号GY13+950~ GY42+300基本无沟型，局部GY53+311~ GY36+940段有不明显的沟型，此段分布大量耕地和散落村庄，洪水处于漫流的状态，农田</w:t>
            </w:r>
            <w:r>
              <w:rPr>
                <w:rFonts w:hint="eastAsia" w:cs="Times New Roman"/>
                <w:b w:val="0"/>
                <w:bCs w:val="0"/>
                <w:color w:val="auto"/>
                <w:kern w:val="0"/>
                <w:sz w:val="24"/>
                <w:szCs w:val="24"/>
                <w:highlight w:val="none"/>
                <w:lang w:val="en-US" w:eastAsia="zh-CN" w:bidi="ar-SA"/>
              </w:rPr>
              <w:t>庄稼</w:t>
            </w:r>
            <w:r>
              <w:rPr>
                <w:rFonts w:hint="default" w:ascii="Times New Roman" w:hAnsi="Times New Roman" w:cs="Times New Roman"/>
                <w:b w:val="0"/>
                <w:bCs w:val="0"/>
                <w:color w:val="auto"/>
                <w:kern w:val="0"/>
                <w:sz w:val="24"/>
                <w:szCs w:val="24"/>
                <w:highlight w:val="none"/>
                <w:lang w:val="en-US" w:eastAsia="zh-CN" w:bidi="ar-SA"/>
              </w:rPr>
              <w:t>受淹，经济损失严重。疏通沟渠，投资较大，本次不考虑。</w:t>
            </w:r>
          </w:p>
          <w:p w14:paraId="25CBB3AF">
            <w:pPr>
              <w:adjustRightInd w:val="0"/>
              <w:spacing w:line="360" w:lineRule="auto"/>
              <w:rPr>
                <w:rFonts w:hint="default" w:ascii="Times New Roman" w:hAnsi="Times New Roman" w:cs="Times New Roman"/>
                <w:b w:val="0"/>
                <w:bCs w:val="0"/>
                <w:color w:val="auto"/>
                <w:kern w:val="0"/>
                <w:sz w:val="24"/>
                <w:szCs w:val="24"/>
                <w:highlight w:val="none"/>
                <w:lang w:val="en-US" w:eastAsia="zh-CN" w:bidi="ar-SA"/>
              </w:rPr>
            </w:pPr>
            <w:r>
              <w:rPr>
                <w:rFonts w:hint="default" w:ascii="Times New Roman" w:hAnsi="Times New Roman" w:cs="Times New Roman"/>
                <w:b w:val="0"/>
                <w:bCs w:val="0"/>
                <w:color w:val="auto"/>
                <w:kern w:val="0"/>
                <w:sz w:val="24"/>
                <w:szCs w:val="24"/>
                <w:highlight w:val="none"/>
                <w:lang w:val="en-US" w:eastAsia="zh-CN" w:bidi="ar-SA"/>
              </w:rPr>
              <w:drawing>
                <wp:inline distT="0" distB="0" distL="114300" distR="114300">
                  <wp:extent cx="5213985" cy="1740535"/>
                  <wp:effectExtent l="0" t="0" r="5715" b="12065"/>
                  <wp:docPr id="25" name="图片 25" descr="b06e95a77f664cc6ab95162471a7ce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b06e95a77f664cc6ab95162471a7ce73"/>
                          <pic:cNvPicPr>
                            <a:picLocks noChangeAspect="1"/>
                          </pic:cNvPicPr>
                        </pic:nvPicPr>
                        <pic:blipFill>
                          <a:blip r:embed="rId25"/>
                          <a:stretch>
                            <a:fillRect/>
                          </a:stretch>
                        </pic:blipFill>
                        <pic:spPr>
                          <a:xfrm>
                            <a:off x="0" y="0"/>
                            <a:ext cx="5213985" cy="1740535"/>
                          </a:xfrm>
                          <a:prstGeom prst="rect">
                            <a:avLst/>
                          </a:prstGeom>
                        </pic:spPr>
                      </pic:pic>
                    </a:graphicData>
                  </a:graphic>
                </wp:inline>
              </w:drawing>
            </w:r>
          </w:p>
          <w:p w14:paraId="06B78143">
            <w:pPr>
              <w:keepNext w:val="0"/>
              <w:keepLines w:val="0"/>
              <w:pageBreakBefore w:val="0"/>
              <w:widowControl w:val="0"/>
              <w:tabs>
                <w:tab w:val="left" w:pos="2040"/>
              </w:tabs>
              <w:kinsoku/>
              <w:wordWrap/>
              <w:overflowPunct/>
              <w:topLinePunct w:val="0"/>
              <w:autoSpaceDE/>
              <w:autoSpaceDN/>
              <w:bidi w:val="0"/>
              <w:adjustRightInd/>
              <w:snapToGrid/>
              <w:spacing w:after="0" w:line="360" w:lineRule="auto"/>
              <w:ind w:firstLine="240" w:firstLineChars="100"/>
              <w:jc w:val="center"/>
              <w:textAlignment w:val="auto"/>
              <w:rPr>
                <w:rFonts w:hint="default" w:ascii="Times New Roman" w:hAnsi="Times New Roman" w:eastAsia="黑体" w:cs="Times New Roman"/>
                <w:b w:val="0"/>
                <w:bCs w:val="0"/>
                <w:color w:val="auto"/>
                <w:sz w:val="24"/>
                <w:szCs w:val="24"/>
                <w:highlight w:val="none"/>
                <w:lang w:val="en-US" w:eastAsia="zh-CN"/>
              </w:rPr>
            </w:pPr>
            <w:r>
              <w:rPr>
                <w:rFonts w:hint="default" w:ascii="Times New Roman" w:hAnsi="Times New Roman" w:eastAsia="黑体" w:cs="Times New Roman"/>
                <w:b w:val="0"/>
                <w:bCs w:val="0"/>
                <w:color w:val="auto"/>
                <w:sz w:val="24"/>
                <w:szCs w:val="24"/>
                <w:highlight w:val="none"/>
                <w:lang w:val="en-US" w:eastAsia="zh-CN"/>
              </w:rPr>
              <w:t>图3-1</w:t>
            </w:r>
            <w:r>
              <w:rPr>
                <w:rFonts w:hint="eastAsia" w:eastAsia="黑体" w:cs="Times New Roman"/>
                <w:b w:val="0"/>
                <w:bCs w:val="0"/>
                <w:color w:val="auto"/>
                <w:sz w:val="24"/>
                <w:szCs w:val="24"/>
                <w:highlight w:val="none"/>
                <w:lang w:val="en-US" w:eastAsia="zh-CN"/>
              </w:rPr>
              <w:t>1</w:t>
            </w:r>
            <w:r>
              <w:rPr>
                <w:rFonts w:hint="default" w:ascii="Times New Roman" w:hAnsi="Times New Roman" w:eastAsia="黑体" w:cs="Times New Roman"/>
                <w:b w:val="0"/>
                <w:bCs w:val="0"/>
                <w:color w:val="auto"/>
                <w:sz w:val="24"/>
                <w:szCs w:val="24"/>
                <w:highlight w:val="none"/>
                <w:lang w:val="en-US" w:eastAsia="zh-CN"/>
              </w:rPr>
              <w:t xml:space="preserve">  高崖沟火石沟~榆树沟段现状</w:t>
            </w:r>
          </w:p>
          <w:p w14:paraId="07FD8059">
            <w:pPr>
              <w:adjustRightInd w:val="0"/>
              <w:spacing w:line="360" w:lineRule="auto"/>
              <w:ind w:firstLine="480" w:firstLineChars="200"/>
              <w:rPr>
                <w:rFonts w:hint="default" w:ascii="Times New Roman" w:hAnsi="Times New Roman" w:cs="Times New Roman"/>
                <w:b w:val="0"/>
                <w:bCs w:val="0"/>
                <w:color w:val="auto"/>
                <w:kern w:val="0"/>
                <w:sz w:val="24"/>
                <w:szCs w:val="24"/>
                <w:highlight w:val="none"/>
                <w:lang w:val="en-US" w:eastAsia="zh-CN" w:bidi="ar-SA"/>
              </w:rPr>
            </w:pPr>
            <w:r>
              <w:rPr>
                <w:rFonts w:hint="default" w:ascii="Times New Roman" w:hAnsi="Times New Roman" w:cs="Times New Roman"/>
                <w:b w:val="0"/>
                <w:bCs w:val="0"/>
                <w:color w:val="auto"/>
                <w:kern w:val="0"/>
                <w:sz w:val="24"/>
                <w:szCs w:val="24"/>
                <w:highlight w:val="none"/>
                <w:lang w:val="en-US" w:eastAsia="zh-CN" w:bidi="ar-SA"/>
              </w:rPr>
              <w:t>下游桩号GY42+300~GY44+240河道宽度6~10m，河道由窄逐渐变宽，河段比降3.3%，边坡均为土坡，河道两岸分布碱滩地。</w:t>
            </w:r>
          </w:p>
          <w:p w14:paraId="693AF0A3">
            <w:pPr>
              <w:adjustRightInd w:val="0"/>
              <w:spacing w:line="360" w:lineRule="auto"/>
              <w:rPr>
                <w:rFonts w:hint="default" w:ascii="Times New Roman" w:hAnsi="Times New Roman" w:cs="Times New Roman"/>
                <w:b w:val="0"/>
                <w:bCs w:val="0"/>
                <w:color w:val="auto"/>
                <w:kern w:val="0"/>
                <w:sz w:val="24"/>
                <w:szCs w:val="24"/>
                <w:highlight w:val="none"/>
                <w:lang w:val="en-US" w:eastAsia="zh-CN" w:bidi="ar-SA"/>
              </w:rPr>
            </w:pPr>
            <w:r>
              <w:rPr>
                <w:rFonts w:hint="default" w:ascii="Times New Roman" w:hAnsi="Times New Roman" w:cs="Times New Roman"/>
                <w:b w:val="0"/>
                <w:bCs w:val="0"/>
                <w:color w:val="auto"/>
                <w:kern w:val="0"/>
                <w:sz w:val="24"/>
                <w:szCs w:val="24"/>
                <w:highlight w:val="none"/>
                <w:lang w:val="en-US" w:eastAsia="zh-CN" w:bidi="ar-SA"/>
              </w:rPr>
              <w:drawing>
                <wp:inline distT="0" distB="0" distL="114300" distR="114300">
                  <wp:extent cx="5216525" cy="1904365"/>
                  <wp:effectExtent l="0" t="0" r="3175" b="635"/>
                  <wp:docPr id="27" name="图片 27" descr="1c8866c41621bb0f79d4bdd7842444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c8866c41621bb0f79d4bdd78424443b"/>
                          <pic:cNvPicPr>
                            <a:picLocks noChangeAspect="1"/>
                          </pic:cNvPicPr>
                        </pic:nvPicPr>
                        <pic:blipFill>
                          <a:blip r:embed="rId26"/>
                          <a:stretch>
                            <a:fillRect/>
                          </a:stretch>
                        </pic:blipFill>
                        <pic:spPr>
                          <a:xfrm>
                            <a:off x="0" y="0"/>
                            <a:ext cx="5216525" cy="1904365"/>
                          </a:xfrm>
                          <a:prstGeom prst="rect">
                            <a:avLst/>
                          </a:prstGeom>
                        </pic:spPr>
                      </pic:pic>
                    </a:graphicData>
                  </a:graphic>
                </wp:inline>
              </w:drawing>
            </w:r>
          </w:p>
          <w:p w14:paraId="679EA7E8">
            <w:pPr>
              <w:keepNext w:val="0"/>
              <w:keepLines w:val="0"/>
              <w:pageBreakBefore w:val="0"/>
              <w:widowControl w:val="0"/>
              <w:tabs>
                <w:tab w:val="left" w:pos="2040"/>
              </w:tabs>
              <w:kinsoku/>
              <w:wordWrap/>
              <w:overflowPunct/>
              <w:topLinePunct w:val="0"/>
              <w:autoSpaceDE/>
              <w:autoSpaceDN/>
              <w:bidi w:val="0"/>
              <w:adjustRightInd/>
              <w:snapToGrid/>
              <w:spacing w:after="0" w:line="360" w:lineRule="auto"/>
              <w:ind w:firstLine="240" w:firstLineChars="100"/>
              <w:jc w:val="center"/>
              <w:textAlignment w:val="auto"/>
              <w:rPr>
                <w:rFonts w:hint="default" w:ascii="Times New Roman" w:hAnsi="Times New Roman" w:eastAsia="黑体" w:cs="Times New Roman"/>
                <w:b w:val="0"/>
                <w:bCs w:val="0"/>
                <w:color w:val="auto"/>
                <w:sz w:val="24"/>
                <w:szCs w:val="24"/>
                <w:highlight w:val="none"/>
                <w:lang w:val="en-US" w:eastAsia="zh-CN"/>
              </w:rPr>
            </w:pPr>
            <w:r>
              <w:rPr>
                <w:rFonts w:hint="default" w:ascii="Times New Roman" w:hAnsi="Times New Roman" w:eastAsia="黑体" w:cs="Times New Roman"/>
                <w:b w:val="0"/>
                <w:bCs w:val="0"/>
                <w:color w:val="auto"/>
                <w:sz w:val="24"/>
                <w:szCs w:val="24"/>
                <w:highlight w:val="none"/>
                <w:lang w:val="en-US" w:eastAsia="zh-CN"/>
              </w:rPr>
              <w:t>图3-1</w:t>
            </w:r>
            <w:r>
              <w:rPr>
                <w:rFonts w:hint="eastAsia" w:eastAsia="黑体" w:cs="Times New Roman"/>
                <w:b w:val="0"/>
                <w:bCs w:val="0"/>
                <w:color w:val="auto"/>
                <w:sz w:val="24"/>
                <w:szCs w:val="24"/>
                <w:highlight w:val="none"/>
                <w:lang w:val="en-US" w:eastAsia="zh-CN"/>
              </w:rPr>
              <w:t>2</w:t>
            </w:r>
            <w:r>
              <w:rPr>
                <w:rFonts w:hint="default" w:ascii="Times New Roman" w:hAnsi="Times New Roman" w:eastAsia="黑体" w:cs="Times New Roman"/>
                <w:b w:val="0"/>
                <w:bCs w:val="0"/>
                <w:color w:val="auto"/>
                <w:sz w:val="24"/>
                <w:szCs w:val="24"/>
                <w:highlight w:val="none"/>
                <w:lang w:val="en-US" w:eastAsia="zh-CN"/>
              </w:rPr>
              <w:t xml:space="preserve">  高崖沟324乡道~峡门水库现状</w:t>
            </w:r>
          </w:p>
          <w:p w14:paraId="686C2F60">
            <w:pPr>
              <w:adjustRightInd w:val="0"/>
              <w:spacing w:line="360" w:lineRule="auto"/>
              <w:ind w:firstLine="480" w:firstLineChars="200"/>
              <w:rPr>
                <w:rFonts w:hint="default" w:ascii="Times New Roman" w:hAnsi="Times New Roman" w:cs="Times New Roman"/>
                <w:b w:val="0"/>
                <w:bCs w:val="0"/>
                <w:color w:val="auto"/>
                <w:kern w:val="0"/>
                <w:sz w:val="24"/>
                <w:szCs w:val="24"/>
                <w:highlight w:val="none"/>
                <w:lang w:val="en-US" w:eastAsia="zh-CN" w:bidi="ar-SA"/>
              </w:rPr>
            </w:pPr>
            <w:r>
              <w:rPr>
                <w:rFonts w:hint="default" w:ascii="Times New Roman" w:hAnsi="Times New Roman" w:cs="Times New Roman"/>
                <w:b w:val="0"/>
                <w:bCs w:val="0"/>
                <w:color w:val="auto"/>
                <w:kern w:val="0"/>
                <w:sz w:val="24"/>
                <w:szCs w:val="24"/>
                <w:highlight w:val="none"/>
                <w:lang w:val="en-US" w:eastAsia="zh-CN" w:bidi="ar-SA"/>
              </w:rPr>
              <w:t>下游至峡门水库段桩号 GY45+010~GY67+360长度约20.2km，河流沟道及岸线比较明显，两岸基本为农田和散落村庄，此段现状河道宽度变化较大，上游10km河道宽度25~60m，下游5km河道宽度约90~180m，河段比降2.1%o~3.3%o，此段未进行过防护，边坡均为土坡，局部河道淤积。河道两岸多为农田，分布有深井村、米粮川村、双家寨</w:t>
            </w:r>
            <w:r>
              <w:rPr>
                <w:rFonts w:hint="eastAsia" w:cs="Times New Roman"/>
                <w:b w:val="0"/>
                <w:bCs w:val="0"/>
                <w:color w:val="auto"/>
                <w:kern w:val="0"/>
                <w:sz w:val="24"/>
                <w:szCs w:val="24"/>
                <w:highlight w:val="none"/>
                <w:lang w:val="en-US" w:eastAsia="zh-CN" w:bidi="ar-SA"/>
              </w:rPr>
              <w:t>村</w:t>
            </w:r>
            <w:r>
              <w:rPr>
                <w:rFonts w:hint="default" w:ascii="Times New Roman" w:hAnsi="Times New Roman" w:cs="Times New Roman"/>
                <w:b w:val="0"/>
                <w:bCs w:val="0"/>
                <w:color w:val="auto"/>
                <w:kern w:val="0"/>
                <w:sz w:val="24"/>
                <w:szCs w:val="24"/>
                <w:highlight w:val="none"/>
                <w:lang w:val="en-US" w:eastAsia="zh-CN" w:bidi="ar-SA"/>
              </w:rPr>
              <w:t>、景庄村等村庄。</w:t>
            </w:r>
          </w:p>
          <w:p w14:paraId="49CB6139">
            <w:pPr>
              <w:adjustRightInd w:val="0"/>
              <w:spacing w:line="360" w:lineRule="auto"/>
              <w:rPr>
                <w:rFonts w:hint="default" w:ascii="Times New Roman" w:hAnsi="Times New Roman" w:cs="Times New Roman"/>
                <w:b w:val="0"/>
                <w:bCs w:val="0"/>
                <w:color w:val="auto"/>
                <w:kern w:val="0"/>
                <w:sz w:val="24"/>
                <w:szCs w:val="24"/>
                <w:highlight w:val="none"/>
                <w:lang w:val="en-US" w:eastAsia="zh-CN" w:bidi="ar-SA"/>
              </w:rPr>
            </w:pPr>
            <w:r>
              <w:rPr>
                <w:rFonts w:hint="default" w:ascii="Times New Roman" w:hAnsi="Times New Roman" w:cs="Times New Roman"/>
                <w:b w:val="0"/>
                <w:bCs w:val="0"/>
                <w:color w:val="auto"/>
                <w:kern w:val="0"/>
                <w:sz w:val="24"/>
                <w:szCs w:val="24"/>
                <w:highlight w:val="none"/>
                <w:lang w:val="en-US" w:eastAsia="zh-CN" w:bidi="ar-SA"/>
              </w:rPr>
              <w:drawing>
                <wp:inline distT="0" distB="0" distL="114300" distR="114300">
                  <wp:extent cx="5217795" cy="1685925"/>
                  <wp:effectExtent l="0" t="0" r="1905" b="9525"/>
                  <wp:docPr id="29" name="图片 29" descr="4e4d2aaf39672738d7c39070c636a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4e4d2aaf39672738d7c39070c636a233"/>
                          <pic:cNvPicPr>
                            <a:picLocks noChangeAspect="1"/>
                          </pic:cNvPicPr>
                        </pic:nvPicPr>
                        <pic:blipFill>
                          <a:blip r:embed="rId27"/>
                          <a:stretch>
                            <a:fillRect/>
                          </a:stretch>
                        </pic:blipFill>
                        <pic:spPr>
                          <a:xfrm>
                            <a:off x="0" y="0"/>
                            <a:ext cx="5217795" cy="1685925"/>
                          </a:xfrm>
                          <a:prstGeom prst="rect">
                            <a:avLst/>
                          </a:prstGeom>
                        </pic:spPr>
                      </pic:pic>
                    </a:graphicData>
                  </a:graphic>
                </wp:inline>
              </w:drawing>
            </w:r>
          </w:p>
          <w:p w14:paraId="2737CE0C">
            <w:pPr>
              <w:keepNext w:val="0"/>
              <w:keepLines w:val="0"/>
              <w:pageBreakBefore w:val="0"/>
              <w:widowControl w:val="0"/>
              <w:tabs>
                <w:tab w:val="left" w:pos="2040"/>
              </w:tabs>
              <w:kinsoku/>
              <w:wordWrap/>
              <w:overflowPunct/>
              <w:topLinePunct w:val="0"/>
              <w:autoSpaceDE/>
              <w:autoSpaceDN/>
              <w:bidi w:val="0"/>
              <w:adjustRightInd/>
              <w:snapToGrid/>
              <w:spacing w:after="0" w:line="360" w:lineRule="auto"/>
              <w:ind w:firstLine="240" w:firstLineChars="100"/>
              <w:jc w:val="center"/>
              <w:textAlignment w:val="auto"/>
              <w:rPr>
                <w:rFonts w:hint="default" w:ascii="Times New Roman" w:hAnsi="Times New Roman" w:eastAsia="黑体" w:cs="Times New Roman"/>
                <w:b w:val="0"/>
                <w:bCs w:val="0"/>
                <w:color w:val="auto"/>
                <w:sz w:val="24"/>
                <w:szCs w:val="24"/>
                <w:highlight w:val="none"/>
                <w:lang w:val="en-US" w:eastAsia="zh-CN"/>
              </w:rPr>
            </w:pPr>
            <w:r>
              <w:rPr>
                <w:rFonts w:hint="default" w:ascii="Times New Roman" w:hAnsi="Times New Roman" w:eastAsia="黑体" w:cs="Times New Roman"/>
                <w:b w:val="0"/>
                <w:bCs w:val="0"/>
                <w:color w:val="auto"/>
                <w:sz w:val="24"/>
                <w:szCs w:val="24"/>
                <w:highlight w:val="none"/>
                <w:lang w:val="en-US" w:eastAsia="zh-CN"/>
              </w:rPr>
              <w:t>图3-1</w:t>
            </w:r>
            <w:r>
              <w:rPr>
                <w:rFonts w:hint="eastAsia" w:eastAsia="黑体" w:cs="Times New Roman"/>
                <w:b w:val="0"/>
                <w:bCs w:val="0"/>
                <w:color w:val="auto"/>
                <w:sz w:val="24"/>
                <w:szCs w:val="24"/>
                <w:highlight w:val="none"/>
                <w:lang w:val="en-US" w:eastAsia="zh-CN"/>
              </w:rPr>
              <w:t>3</w:t>
            </w:r>
            <w:r>
              <w:rPr>
                <w:rFonts w:hint="default" w:ascii="Times New Roman" w:hAnsi="Times New Roman" w:eastAsia="黑体" w:cs="Times New Roman"/>
                <w:b w:val="0"/>
                <w:bCs w:val="0"/>
                <w:color w:val="auto"/>
                <w:sz w:val="24"/>
                <w:szCs w:val="24"/>
                <w:highlight w:val="none"/>
                <w:lang w:val="en-US" w:eastAsia="zh-CN"/>
              </w:rPr>
              <w:t xml:space="preserve">  高崖沟324乡道~峡门水库现状</w:t>
            </w:r>
          </w:p>
          <w:p w14:paraId="0AE9024B">
            <w:pPr>
              <w:adjustRightInd w:val="0"/>
              <w:spacing w:line="360" w:lineRule="auto"/>
              <w:ind w:firstLine="480" w:firstLineChars="200"/>
              <w:rPr>
                <w:rFonts w:hint="default" w:ascii="Times New Roman" w:hAnsi="Times New Roman" w:cs="Times New Roman"/>
                <w:b w:val="0"/>
                <w:bCs w:val="0"/>
                <w:color w:val="auto"/>
                <w:kern w:val="0"/>
                <w:sz w:val="24"/>
                <w:szCs w:val="24"/>
                <w:highlight w:val="none"/>
                <w:lang w:val="en-US" w:eastAsia="zh-CN" w:bidi="ar-SA"/>
              </w:rPr>
            </w:pPr>
            <w:r>
              <w:rPr>
                <w:rFonts w:hint="default" w:ascii="Times New Roman" w:hAnsi="Times New Roman" w:cs="Times New Roman"/>
                <w:b w:val="0"/>
                <w:bCs w:val="0"/>
                <w:color w:val="auto"/>
                <w:kern w:val="0"/>
                <w:sz w:val="24"/>
                <w:szCs w:val="24"/>
                <w:highlight w:val="none"/>
                <w:lang w:val="en-US" w:eastAsia="zh-CN" w:bidi="ar-SA"/>
              </w:rPr>
              <w:t>高崖沟未实施过整体的防洪治理工程，高崖沟仅城区段实施过防洪治理工程，其他段未治理，抵御洪水的能力非常低。高崖沟主要问题为河道凹岸冲刷现象严重，塌岸形成高坎，高坎遭遇暴雨洪水冲刷、淘蚀，导致高坎上的农田被洪水搬运带走，造成经济损失严重;低坎一岸，局部段主河槽高出了河岸线，耕地被冲刷带走。部分河段淤积严重，防洪断面不满足要求。中游段无沟型，大水漫流，沿河两岸的广大人民群众财产和大量农田受到威胁。历次洪水携带的块石堆积造成河道阻塞，进一步影响河道行洪，加剧了洪水对耕地边界的冲刷，形成恶性循环。部分支沟和主沟不连通，部分支沟洪水无出路。</w:t>
            </w:r>
          </w:p>
          <w:p w14:paraId="030884A2">
            <w:pPr>
              <w:adjustRightInd w:val="0"/>
              <w:spacing w:line="360" w:lineRule="auto"/>
              <w:ind w:firstLine="482" w:firstLineChars="200"/>
              <w:rPr>
                <w:rFonts w:hint="default" w:ascii="Times New Roman" w:hAnsi="Times New Roman" w:cs="Times New Roman"/>
                <w:b/>
                <w:bCs/>
                <w:color w:val="auto"/>
                <w:kern w:val="0"/>
                <w:sz w:val="24"/>
                <w:szCs w:val="24"/>
                <w:highlight w:val="none"/>
                <w:lang w:val="en-US" w:eastAsia="zh-CN" w:bidi="ar-SA"/>
              </w:rPr>
            </w:pPr>
            <w:r>
              <w:rPr>
                <w:rFonts w:hint="default" w:ascii="Times New Roman" w:hAnsi="Times New Roman" w:cs="Times New Roman"/>
                <w:b/>
                <w:bCs/>
                <w:color w:val="auto"/>
                <w:kern w:val="0"/>
                <w:sz w:val="24"/>
                <w:szCs w:val="24"/>
                <w:highlight w:val="none"/>
                <w:lang w:val="en-US" w:eastAsia="zh-CN" w:bidi="ar-SA"/>
              </w:rPr>
              <w:t>2.2高崖沟存在的问题</w:t>
            </w:r>
          </w:p>
          <w:p w14:paraId="5070CFB1">
            <w:pPr>
              <w:adjustRightInd w:val="0"/>
              <w:spacing w:line="360" w:lineRule="auto"/>
              <w:ind w:firstLine="480" w:firstLineChars="200"/>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高崖沟未实施过整体的防洪治理工程，抵御洪水的能力较低。河段很多地方达不到10年一遇的防洪标准，高崖沟主要存在问题为河道凹岸冲刷现象严重，塌岸形成高坎，高坎遭遇暴雨洪水冲刷、淘蚀，导致高坎上的农田被洪水搬运带走，造成一定经济损失</w:t>
            </w:r>
            <w:r>
              <w:rPr>
                <w:rFonts w:hint="eastAsia" w:cs="Times New Roman"/>
                <w:color w:val="auto"/>
                <w:kern w:val="0"/>
                <w:sz w:val="24"/>
                <w:szCs w:val="24"/>
                <w:highlight w:val="none"/>
                <w:lang w:val="en-US" w:eastAsia="zh-CN" w:bidi="ar-SA"/>
              </w:rPr>
              <w:t>；</w:t>
            </w:r>
            <w:r>
              <w:rPr>
                <w:rFonts w:hint="default" w:ascii="Times New Roman" w:hAnsi="Times New Roman" w:cs="Times New Roman"/>
                <w:color w:val="auto"/>
                <w:kern w:val="0"/>
                <w:sz w:val="24"/>
                <w:szCs w:val="24"/>
                <w:highlight w:val="none"/>
                <w:lang w:val="en-US" w:eastAsia="zh-CN" w:bidi="ar-SA"/>
              </w:rPr>
              <w:t>低坎一岸，局部段主河槽高出了河岸线，耕地被冲刷带走。沿河两岸的广大人民群众财产和大量农田受到威胁。历次洪水携带的块石堆积造成河道阻塞，进一步影响河道行洪，加剧了洪水对耕地边界的冲刷，形成恶性循环。</w:t>
            </w:r>
          </w:p>
          <w:p w14:paraId="1FD463F5">
            <w:pPr>
              <w:adjustRightInd w:val="0"/>
              <w:spacing w:line="360" w:lineRule="auto"/>
              <w:ind w:firstLine="480" w:firstLineChars="200"/>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高崖沟治理具体问题</w:t>
            </w:r>
            <w:r>
              <w:rPr>
                <w:rFonts w:hint="eastAsia" w:cs="Times New Roman"/>
                <w:color w:val="auto"/>
                <w:kern w:val="0"/>
                <w:sz w:val="24"/>
                <w:szCs w:val="24"/>
                <w:highlight w:val="none"/>
                <w:lang w:val="en-US" w:eastAsia="zh-CN" w:bidi="ar-SA"/>
              </w:rPr>
              <w:t>：</w:t>
            </w:r>
            <w:r>
              <w:rPr>
                <w:rFonts w:hint="default" w:ascii="Times New Roman" w:hAnsi="Times New Roman" w:cs="Times New Roman"/>
                <w:color w:val="auto"/>
                <w:kern w:val="0"/>
                <w:sz w:val="24"/>
                <w:szCs w:val="24"/>
                <w:highlight w:val="none"/>
                <w:lang w:val="en-US" w:eastAsia="zh-CN" w:bidi="ar-SA"/>
              </w:rPr>
              <w:t>高崖沟兴仁镇镇区上游 GY4+800~GY5+340段长度约540m，河道断面较窄，淤积严重，洪水出槽不满足防洪要求，其他上游基本满足防洪要求。</w:t>
            </w:r>
          </w:p>
          <w:p w14:paraId="67A5EF02">
            <w:pPr>
              <w:adjustRightInd w:val="0"/>
              <w:spacing w:line="360" w:lineRule="auto"/>
              <w:ind w:firstLine="480" w:firstLineChars="200"/>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城镇下游GY10+000~GY13+600段两岸有居民点及农田，现状河道宽度约15~30m，河道岸坡未防护，部分河岸冲刷或坍塌，需要进行岸坡防护。</w:t>
            </w:r>
          </w:p>
          <w:p w14:paraId="581A48F0">
            <w:pPr>
              <w:adjustRightInd w:val="0"/>
              <w:spacing w:line="360" w:lineRule="auto"/>
              <w:ind w:firstLine="480" w:firstLineChars="200"/>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桩号GY13+950~GY42+300基本无成型河道，此段分布大量耕地和散落村庄，洪水处于漫流的状态，农田</w:t>
            </w:r>
            <w:r>
              <w:rPr>
                <w:rFonts w:hint="eastAsia" w:cs="Times New Roman"/>
                <w:color w:val="auto"/>
                <w:kern w:val="0"/>
                <w:sz w:val="24"/>
                <w:szCs w:val="24"/>
                <w:highlight w:val="none"/>
                <w:lang w:val="en-US" w:eastAsia="zh-CN" w:bidi="ar-SA"/>
              </w:rPr>
              <w:t>庄稼</w:t>
            </w:r>
            <w:r>
              <w:rPr>
                <w:rFonts w:hint="default" w:ascii="Times New Roman" w:hAnsi="Times New Roman" w:cs="Times New Roman"/>
                <w:color w:val="auto"/>
                <w:kern w:val="0"/>
                <w:sz w:val="24"/>
                <w:szCs w:val="24"/>
                <w:highlight w:val="none"/>
                <w:lang w:val="en-US" w:eastAsia="zh-CN" w:bidi="ar-SA"/>
              </w:rPr>
              <w:t>受淹，经济损失严重，是较为严重的洪灾区。</w:t>
            </w:r>
          </w:p>
          <w:p w14:paraId="69670C11">
            <w:pPr>
              <w:adjustRightInd w:val="0"/>
              <w:spacing w:line="360" w:lineRule="auto"/>
              <w:ind w:firstLine="480" w:firstLineChars="200"/>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桩号GY45+010</w:t>
            </w:r>
            <w:r>
              <w:rPr>
                <w:rFonts w:hint="eastAsia" w:cs="Times New Roman"/>
                <w:color w:val="auto"/>
                <w:kern w:val="0"/>
                <w:sz w:val="24"/>
                <w:szCs w:val="24"/>
                <w:highlight w:val="none"/>
                <w:lang w:val="en-US" w:eastAsia="zh-CN" w:bidi="ar-SA"/>
              </w:rPr>
              <w:t>~G</w:t>
            </w:r>
            <w:r>
              <w:rPr>
                <w:rFonts w:hint="default" w:ascii="Times New Roman" w:hAnsi="Times New Roman" w:cs="Times New Roman"/>
                <w:color w:val="auto"/>
                <w:kern w:val="0"/>
                <w:sz w:val="24"/>
                <w:szCs w:val="24"/>
                <w:highlight w:val="none"/>
                <w:lang w:val="en-US" w:eastAsia="zh-CN" w:bidi="ar-SA"/>
              </w:rPr>
              <w:t>Y65+210河道宽度6~10m，河道由窄变宽较宽，河道弯曲，有明显沟型，</w:t>
            </w:r>
            <w:r>
              <w:rPr>
                <w:rFonts w:hint="eastAsia" w:cs="Times New Roman"/>
                <w:color w:val="auto"/>
                <w:kern w:val="0"/>
                <w:sz w:val="24"/>
                <w:szCs w:val="24"/>
                <w:highlight w:val="none"/>
                <w:lang w:val="en-US" w:eastAsia="zh-CN" w:bidi="ar-SA"/>
              </w:rPr>
              <w:t>大部分</w:t>
            </w:r>
            <w:r>
              <w:rPr>
                <w:rFonts w:hint="default" w:ascii="Times New Roman" w:hAnsi="Times New Roman" w:cs="Times New Roman"/>
                <w:color w:val="auto"/>
                <w:kern w:val="0"/>
                <w:sz w:val="24"/>
                <w:szCs w:val="24"/>
                <w:highlight w:val="none"/>
                <w:lang w:val="en-US" w:eastAsia="zh-CN" w:bidi="ar-SA"/>
              </w:rPr>
              <w:t>河道能满足防洪要求，但也有局部较窄断面，且岸线部分滑塌较为严重，严重威胁右岸农田安全。</w:t>
            </w:r>
          </w:p>
          <w:p w14:paraId="39793E14">
            <w:pPr>
              <w:adjustRightInd w:val="0"/>
              <w:spacing w:line="360" w:lineRule="auto"/>
              <w:ind w:firstLine="480" w:firstLineChars="200"/>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高崖沟未实施过整体的防洪治理工程，抵御洪水的能力较低。河道凹岸冲刷现象严重，局部段主河槽高出了河岸线，整体不连通。本次需提高防洪能力，对凹岸进行防护，防止岸坡坍塌进一步侵蚀农田，对局部河道进行整治疏挖或者建设堤防。</w:t>
            </w:r>
          </w:p>
          <w:p w14:paraId="1D757627">
            <w:pPr>
              <w:adjustRightInd w:val="0"/>
              <w:spacing w:line="360" w:lineRule="auto"/>
              <w:ind w:firstLine="480" w:firstLineChars="200"/>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目前，流域防洪监测基础设施初具规模，测报手段、技术水平有了一定提</w:t>
            </w:r>
            <w:r>
              <w:rPr>
                <w:rFonts w:hint="eastAsia" w:cs="Times New Roman"/>
                <w:color w:val="auto"/>
                <w:kern w:val="0"/>
                <w:sz w:val="24"/>
                <w:szCs w:val="24"/>
                <w:highlight w:val="none"/>
                <w:lang w:val="en-US" w:eastAsia="zh-CN" w:bidi="ar-SA"/>
              </w:rPr>
              <w:t>升和改善</w:t>
            </w:r>
            <w:r>
              <w:rPr>
                <w:rFonts w:hint="default" w:ascii="Times New Roman" w:hAnsi="Times New Roman" w:cs="Times New Roman"/>
                <w:color w:val="auto"/>
                <w:kern w:val="0"/>
                <w:sz w:val="24"/>
                <w:szCs w:val="24"/>
                <w:highlight w:val="none"/>
                <w:lang w:val="en-US" w:eastAsia="zh-CN" w:bidi="ar-SA"/>
              </w:rPr>
              <w:t>，为防洪调度提供了技术支撑。但由于资金投入等方面的不足，防洪基础设施依然薄弱，监测站网密度不够，部分重点河段存在监测空白区，备用信道不够完善，数据传输保障率低，工情监测不够到位，无法及时掌握工程实时动态，防洪智慧化程度亟待提升。</w:t>
            </w:r>
          </w:p>
          <w:p w14:paraId="5A0E58C4">
            <w:pPr>
              <w:adjustRightInd w:val="0"/>
              <w:spacing w:line="360" w:lineRule="auto"/>
              <w:ind w:firstLine="480" w:firstLineChars="200"/>
              <w:rPr>
                <w:rFonts w:hint="default" w:ascii="Times New Roman" w:hAnsi="Times New Roman" w:eastAsia="黑体" w:cs="Times New Roman"/>
                <w:b w:val="0"/>
                <w:bCs w:val="0"/>
                <w:color w:val="auto"/>
                <w:kern w:val="0"/>
                <w:sz w:val="24"/>
                <w:szCs w:val="24"/>
                <w:highlight w:val="none"/>
                <w:lang w:val="en-US" w:eastAsia="zh-CN" w:bidi="ar-SA"/>
              </w:rPr>
            </w:pPr>
            <w:r>
              <w:rPr>
                <w:rFonts w:hint="default" w:ascii="Times New Roman" w:hAnsi="Times New Roman" w:eastAsia="黑体" w:cs="Times New Roman"/>
                <w:b w:val="0"/>
                <w:bCs w:val="0"/>
                <w:color w:val="auto"/>
                <w:kern w:val="0"/>
                <w:sz w:val="24"/>
                <w:szCs w:val="24"/>
                <w:highlight w:val="none"/>
                <w:lang w:val="en-US" w:eastAsia="zh-CN" w:bidi="ar-SA"/>
              </w:rPr>
              <w:t>（3）洪水危害</w:t>
            </w:r>
          </w:p>
          <w:p w14:paraId="7BBCAA68">
            <w:pPr>
              <w:adjustRightInd w:val="0"/>
              <w:spacing w:line="360" w:lineRule="auto"/>
              <w:ind w:firstLine="480" w:firstLineChars="200"/>
              <w:rPr>
                <w:rFonts w:hint="default" w:ascii="Times New Roman" w:hAnsi="Times New Roman" w:eastAsia="宋体" w:cs="Times New Roman"/>
                <w:b w:val="0"/>
                <w:bCs w:val="0"/>
                <w:color w:val="auto"/>
                <w:kern w:val="0"/>
                <w:sz w:val="24"/>
                <w:szCs w:val="24"/>
                <w:highlight w:val="none"/>
                <w:lang w:val="en-US" w:eastAsia="zh-CN" w:bidi="ar-SA"/>
              </w:rPr>
            </w:pPr>
            <w:r>
              <w:rPr>
                <w:rFonts w:hint="default" w:ascii="Times New Roman" w:hAnsi="Times New Roman" w:eastAsia="宋体" w:cs="Times New Roman"/>
                <w:b w:val="0"/>
                <w:bCs w:val="0"/>
                <w:color w:val="auto"/>
                <w:kern w:val="0"/>
                <w:sz w:val="24"/>
                <w:szCs w:val="24"/>
                <w:highlight w:val="none"/>
                <w:lang w:val="en-US" w:eastAsia="zh-CN" w:bidi="ar-SA"/>
              </w:rPr>
              <w:t>山洪灾害是当地自然灾害中的主要灾害之一，洪水灾害</w:t>
            </w:r>
            <w:r>
              <w:rPr>
                <w:rFonts w:hint="eastAsia" w:cs="Times New Roman"/>
                <w:b w:val="0"/>
                <w:bCs w:val="0"/>
                <w:color w:val="auto"/>
                <w:kern w:val="0"/>
                <w:sz w:val="24"/>
                <w:szCs w:val="24"/>
                <w:highlight w:val="none"/>
                <w:lang w:val="en-US" w:eastAsia="zh-CN" w:bidi="ar-SA"/>
              </w:rPr>
              <w:t>以暴雨洪水为主</w:t>
            </w:r>
            <w:r>
              <w:rPr>
                <w:rFonts w:hint="default" w:ascii="Times New Roman" w:hAnsi="Times New Roman" w:eastAsia="宋体" w:cs="Times New Roman"/>
                <w:b w:val="0"/>
                <w:bCs w:val="0"/>
                <w:color w:val="auto"/>
                <w:kern w:val="0"/>
                <w:sz w:val="24"/>
                <w:szCs w:val="24"/>
                <w:highlight w:val="none"/>
                <w:lang w:val="en-US" w:eastAsia="zh-CN" w:bidi="ar-SA"/>
              </w:rPr>
              <w:t>，由于资金问题，长期以来，高崖沟没有实施过山洪治理工程，山洪灾害防御工程措施现状远滞后于经济社会发展的要求，特别是与有效应对频繁发生的山洪灾害的需求相比，防御基础设施十分薄弱。</w:t>
            </w:r>
          </w:p>
          <w:p w14:paraId="02AE01AA">
            <w:pPr>
              <w:adjustRightInd w:val="0"/>
              <w:spacing w:line="360" w:lineRule="auto"/>
              <w:ind w:firstLine="480" w:firstLineChars="200"/>
              <w:rPr>
                <w:rFonts w:hint="default" w:ascii="Times New Roman" w:hAnsi="Times New Roman" w:eastAsia="宋体" w:cs="Times New Roman"/>
                <w:b w:val="0"/>
                <w:bCs w:val="0"/>
                <w:color w:val="auto"/>
                <w:kern w:val="0"/>
                <w:sz w:val="24"/>
                <w:szCs w:val="24"/>
                <w:highlight w:val="none"/>
                <w:lang w:val="en-US" w:eastAsia="zh-CN" w:bidi="ar-SA"/>
              </w:rPr>
            </w:pPr>
            <w:r>
              <w:rPr>
                <w:rFonts w:hint="default" w:ascii="Times New Roman" w:hAnsi="Times New Roman" w:eastAsia="宋体" w:cs="Times New Roman"/>
                <w:b w:val="0"/>
                <w:bCs w:val="0"/>
                <w:color w:val="auto"/>
                <w:kern w:val="0"/>
                <w:sz w:val="24"/>
                <w:szCs w:val="24"/>
                <w:highlight w:val="none"/>
                <w:lang w:val="en-US" w:eastAsia="zh-CN" w:bidi="ar-SA"/>
              </w:rPr>
              <w:t>暴雨造成的洪水对国民经济和人民群众财产造成了很大的损失。据不完全统计，根据调查，2018年9月2日下午高崖沟流域发生较大洪水，受灾人口达到0.66万人，农作物受灾面积为1.44万亩，直接经济损失达2430万元。</w:t>
            </w:r>
          </w:p>
          <w:p w14:paraId="0A75B8C3">
            <w:pPr>
              <w:pStyle w:val="8"/>
              <w:adjustRightInd w:val="0"/>
              <w:spacing w:line="360" w:lineRule="auto"/>
              <w:ind w:firstLine="480" w:firstLineChars="200"/>
              <w:rPr>
                <w:rFonts w:hint="default" w:ascii="Times New Roman" w:hAnsi="Times New Roman" w:eastAsia="黑体" w:cs="Times New Roman"/>
                <w:b w:val="0"/>
                <w:bCs w:val="0"/>
                <w:color w:val="auto"/>
                <w:kern w:val="2"/>
                <w:sz w:val="24"/>
                <w:szCs w:val="24"/>
                <w:highlight w:val="none"/>
                <w:lang w:val="en-US" w:eastAsia="zh-CN" w:bidi="ar-SA"/>
              </w:rPr>
            </w:pPr>
            <w:r>
              <w:rPr>
                <w:rFonts w:hint="default" w:ascii="Times New Roman" w:hAnsi="Times New Roman" w:eastAsia="黑体" w:cs="Times New Roman"/>
                <w:b w:val="0"/>
                <w:bCs w:val="0"/>
                <w:color w:val="auto"/>
                <w:kern w:val="2"/>
                <w:sz w:val="24"/>
                <w:szCs w:val="24"/>
                <w:highlight w:val="none"/>
                <w:lang w:val="en-US" w:eastAsia="zh-CN" w:bidi="ar-SA"/>
              </w:rPr>
              <w:t>3、大气环境质量现状</w:t>
            </w:r>
          </w:p>
          <w:p w14:paraId="65504948">
            <w:pPr>
              <w:adjustRightInd w:val="0"/>
              <w:spacing w:line="360" w:lineRule="auto"/>
              <w:ind w:firstLine="480" w:firstLineChars="200"/>
              <w:rPr>
                <w:rFonts w:hint="default" w:ascii="Times New Roman" w:hAnsi="Times New Roman" w:cs="Times New Roman"/>
                <w:b w:val="0"/>
                <w:bCs/>
                <w:color w:val="auto"/>
                <w:sz w:val="24"/>
                <w:szCs w:val="24"/>
                <w:highlight w:val="none"/>
                <w:lang w:eastAsia="zh-CN"/>
              </w:rPr>
            </w:pPr>
            <w:r>
              <w:rPr>
                <w:rFonts w:hint="default" w:ascii="Times New Roman" w:hAnsi="Times New Roman" w:eastAsia="宋体" w:cs="Times New Roman"/>
                <w:color w:val="auto"/>
                <w:kern w:val="2"/>
                <w:sz w:val="24"/>
                <w:szCs w:val="24"/>
                <w:highlight w:val="none"/>
                <w:lang w:val="en-US" w:eastAsia="zh-CN" w:bidi="ar-SA"/>
              </w:rPr>
              <w:t>本项目位于宁夏回族自治区</w:t>
            </w:r>
            <w:r>
              <w:rPr>
                <w:rFonts w:hint="default" w:ascii="Times New Roman" w:hAnsi="Times New Roman" w:cs="Times New Roman"/>
                <w:color w:val="auto"/>
                <w:kern w:val="2"/>
                <w:sz w:val="24"/>
                <w:szCs w:val="24"/>
                <w:highlight w:val="none"/>
                <w:lang w:val="en-US" w:eastAsia="zh-CN" w:bidi="ar-SA"/>
              </w:rPr>
              <w:t>沙坡头区兴仁镇及香山乡</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cs="Times New Roman"/>
                <w:b w:val="0"/>
                <w:bCs/>
                <w:color w:val="auto"/>
                <w:sz w:val="24"/>
                <w:szCs w:val="24"/>
                <w:highlight w:val="none"/>
                <w:lang w:eastAsia="zh-CN"/>
              </w:rPr>
              <w:t>按照《环境影响评价技术导则大气环境》(HJ2.2-2018)中环境空气现状调查数据来源要求，采用宁夏回族自治区生态环境厅公开发布的《202</w:t>
            </w:r>
            <w:r>
              <w:rPr>
                <w:rFonts w:hint="default" w:ascii="Times New Roman" w:hAnsi="Times New Roman" w:cs="Times New Roman"/>
                <w:b w:val="0"/>
                <w:bCs/>
                <w:color w:val="auto"/>
                <w:sz w:val="24"/>
                <w:szCs w:val="24"/>
                <w:highlight w:val="none"/>
                <w:lang w:val="en-US" w:eastAsia="zh-CN"/>
              </w:rPr>
              <w:t>4</w:t>
            </w:r>
            <w:r>
              <w:rPr>
                <w:rFonts w:hint="default" w:ascii="Times New Roman" w:hAnsi="Times New Roman" w:cs="Times New Roman"/>
                <w:b w:val="0"/>
                <w:bCs/>
                <w:color w:val="auto"/>
                <w:sz w:val="24"/>
                <w:szCs w:val="24"/>
                <w:highlight w:val="none"/>
                <w:lang w:eastAsia="zh-CN"/>
              </w:rPr>
              <w:t>年宁夏生态环境质量状况》中</w:t>
            </w:r>
            <w:r>
              <w:rPr>
                <w:rFonts w:hint="default" w:ascii="Times New Roman" w:hAnsi="Times New Roman" w:cs="Times New Roman"/>
                <w:b w:val="0"/>
                <w:bCs/>
                <w:color w:val="auto"/>
                <w:sz w:val="24"/>
                <w:szCs w:val="24"/>
                <w:highlight w:val="none"/>
                <w:lang w:val="en-US" w:eastAsia="zh-CN"/>
              </w:rPr>
              <w:t>中卫</w:t>
            </w:r>
            <w:r>
              <w:rPr>
                <w:rFonts w:hint="default" w:ascii="Times New Roman" w:hAnsi="Times New Roman" w:cs="Times New Roman"/>
                <w:b w:val="0"/>
                <w:bCs/>
                <w:color w:val="auto"/>
                <w:sz w:val="24"/>
                <w:szCs w:val="24"/>
                <w:highlight w:val="none"/>
                <w:lang w:eastAsia="zh-CN"/>
              </w:rPr>
              <w:t>市</w:t>
            </w:r>
            <w:r>
              <w:rPr>
                <w:rFonts w:hint="default" w:ascii="Times New Roman" w:hAnsi="Times New Roman" w:cs="Times New Roman"/>
                <w:b w:val="0"/>
                <w:bCs/>
                <w:color w:val="auto"/>
                <w:sz w:val="24"/>
                <w:szCs w:val="24"/>
                <w:highlight w:val="none"/>
                <w:lang w:val="en-US" w:eastAsia="zh-CN"/>
              </w:rPr>
              <w:t>沙坡头区</w:t>
            </w:r>
            <w:r>
              <w:rPr>
                <w:rFonts w:hint="default" w:ascii="Times New Roman" w:hAnsi="Times New Roman" w:cs="Times New Roman"/>
                <w:b w:val="0"/>
                <w:bCs/>
                <w:color w:val="auto"/>
                <w:sz w:val="24"/>
                <w:szCs w:val="24"/>
                <w:highlight w:val="none"/>
                <w:lang w:eastAsia="zh-CN"/>
              </w:rPr>
              <w:t>环境空气监测数据和结论作为本次评价依据，符合《环境影响评价技术导则 大气环境》(HJ2.2-2018)中环境质量数据来源要求。项目所在区域环境空气质量状况表具体见表3-</w:t>
            </w:r>
            <w:r>
              <w:rPr>
                <w:rFonts w:hint="default" w:ascii="Times New Roman" w:hAnsi="Times New Roman" w:cs="Times New Roman"/>
                <w:b w:val="0"/>
                <w:bCs/>
                <w:color w:val="auto"/>
                <w:sz w:val="24"/>
                <w:szCs w:val="24"/>
                <w:highlight w:val="none"/>
                <w:lang w:val="en-US" w:eastAsia="zh-CN"/>
              </w:rPr>
              <w:t>2</w:t>
            </w:r>
            <w:r>
              <w:rPr>
                <w:rFonts w:hint="default" w:ascii="Times New Roman" w:hAnsi="Times New Roman" w:cs="Times New Roman"/>
                <w:b w:val="0"/>
                <w:bCs/>
                <w:color w:val="auto"/>
                <w:sz w:val="24"/>
                <w:szCs w:val="24"/>
                <w:highlight w:val="none"/>
                <w:lang w:eastAsia="zh-CN"/>
              </w:rPr>
              <w:t>。</w:t>
            </w:r>
          </w:p>
          <w:p w14:paraId="2AD96DC7">
            <w:pPr>
              <w:pStyle w:val="12"/>
              <w:keepNext w:val="0"/>
              <w:keepLines w:val="0"/>
              <w:pageBreakBefore w:val="0"/>
              <w:widowControl w:val="0"/>
              <w:kinsoku/>
              <w:wordWrap/>
              <w:overflowPunct/>
              <w:topLinePunct w:val="0"/>
              <w:autoSpaceDE/>
              <w:autoSpaceDN/>
              <w:bidi w:val="0"/>
              <w:adjustRightInd w:val="0"/>
              <w:snapToGrid w:val="0"/>
              <w:spacing w:after="0" w:line="288" w:lineRule="auto"/>
              <w:ind w:left="0" w:leftChars="0"/>
              <w:jc w:val="center"/>
              <w:textAlignment w:val="auto"/>
              <w:rPr>
                <w:rFonts w:hint="default"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lang w:val="en-US" w:eastAsia="zh-CN"/>
              </w:rPr>
              <w:t>表3-2  项目所在区域环境空气质量评价表</w:t>
            </w:r>
          </w:p>
          <w:tbl>
            <w:tblPr>
              <w:tblStyle w:val="26"/>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15" w:type="dxa"/>
                <w:left w:w="15" w:type="dxa"/>
                <w:bottom w:w="15" w:type="dxa"/>
                <w:right w:w="15" w:type="dxa"/>
              </w:tblCellMar>
            </w:tblPr>
            <w:tblGrid>
              <w:gridCol w:w="879"/>
              <w:gridCol w:w="2261"/>
              <w:gridCol w:w="1258"/>
              <w:gridCol w:w="1184"/>
              <w:gridCol w:w="880"/>
              <w:gridCol w:w="745"/>
              <w:gridCol w:w="1013"/>
            </w:tblGrid>
            <w:tr w14:paraId="384E34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0" w:hRule="atLeast"/>
                <w:jc w:val="center"/>
              </w:trPr>
              <w:tc>
                <w:tcPr>
                  <w:tcW w:w="535" w:type="pct"/>
                  <w:tcBorders>
                    <w:tl2br w:val="nil"/>
                    <w:tr2bl w:val="nil"/>
                  </w:tcBorders>
                  <w:noWrap w:val="0"/>
                  <w:vAlign w:val="center"/>
                </w:tcPr>
                <w:p w14:paraId="60B60D6B">
                  <w:pPr>
                    <w:pStyle w:val="11"/>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污染物</w:t>
                  </w:r>
                </w:p>
              </w:tc>
              <w:tc>
                <w:tcPr>
                  <w:tcW w:w="1376" w:type="pct"/>
                  <w:tcBorders>
                    <w:tl2br w:val="nil"/>
                    <w:tr2bl w:val="nil"/>
                  </w:tcBorders>
                  <w:noWrap w:val="0"/>
                  <w:vAlign w:val="center"/>
                </w:tcPr>
                <w:p w14:paraId="35DD0701">
                  <w:pPr>
                    <w:pStyle w:val="11"/>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评价指标</w:t>
                  </w:r>
                </w:p>
              </w:tc>
              <w:tc>
                <w:tcPr>
                  <w:tcW w:w="765" w:type="pct"/>
                  <w:tcBorders>
                    <w:tl2br w:val="nil"/>
                    <w:tr2bl w:val="nil"/>
                  </w:tcBorders>
                  <w:noWrap w:val="0"/>
                  <w:vAlign w:val="center"/>
                </w:tcPr>
                <w:p w14:paraId="1725BBD3">
                  <w:pPr>
                    <w:pStyle w:val="11"/>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评价标准/（µg/m³）</w:t>
                  </w:r>
                </w:p>
              </w:tc>
              <w:tc>
                <w:tcPr>
                  <w:tcW w:w="720" w:type="pct"/>
                  <w:tcBorders>
                    <w:tl2br w:val="nil"/>
                    <w:tr2bl w:val="nil"/>
                  </w:tcBorders>
                  <w:noWrap w:val="0"/>
                  <w:vAlign w:val="center"/>
                </w:tcPr>
                <w:p w14:paraId="1E857A97">
                  <w:pPr>
                    <w:pStyle w:val="11"/>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现状浓度/（µg/m³）</w:t>
                  </w:r>
                </w:p>
              </w:tc>
              <w:tc>
                <w:tcPr>
                  <w:tcW w:w="535" w:type="pct"/>
                  <w:tcBorders>
                    <w:tl2br w:val="nil"/>
                    <w:tr2bl w:val="nil"/>
                  </w:tcBorders>
                  <w:noWrap w:val="0"/>
                  <w:vAlign w:val="center"/>
                </w:tcPr>
                <w:p w14:paraId="78BD1F7B">
                  <w:pPr>
                    <w:pStyle w:val="11"/>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占标率/%</w:t>
                  </w:r>
                </w:p>
              </w:tc>
              <w:tc>
                <w:tcPr>
                  <w:tcW w:w="453" w:type="pct"/>
                  <w:tcBorders>
                    <w:tl2br w:val="nil"/>
                    <w:tr2bl w:val="nil"/>
                  </w:tcBorders>
                  <w:noWrap w:val="0"/>
                  <w:vAlign w:val="center"/>
                </w:tcPr>
                <w:p w14:paraId="24774D3D">
                  <w:pPr>
                    <w:pStyle w:val="11"/>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超标</w:t>
                  </w:r>
                </w:p>
                <w:p w14:paraId="41E1A120">
                  <w:pPr>
                    <w:pStyle w:val="11"/>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倍数</w:t>
                  </w:r>
                </w:p>
              </w:tc>
              <w:tc>
                <w:tcPr>
                  <w:tcW w:w="613" w:type="pct"/>
                  <w:tcBorders>
                    <w:tl2br w:val="nil"/>
                    <w:tr2bl w:val="nil"/>
                  </w:tcBorders>
                  <w:noWrap w:val="0"/>
                  <w:vAlign w:val="center"/>
                </w:tcPr>
                <w:p w14:paraId="0C8D8395">
                  <w:pPr>
                    <w:pStyle w:val="11"/>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达标情况</w:t>
                  </w:r>
                </w:p>
              </w:tc>
            </w:tr>
            <w:tr w14:paraId="602C07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0" w:hRule="atLeast"/>
                <w:jc w:val="center"/>
              </w:trPr>
              <w:tc>
                <w:tcPr>
                  <w:tcW w:w="535" w:type="pct"/>
                  <w:tcBorders>
                    <w:tl2br w:val="nil"/>
                    <w:tr2bl w:val="nil"/>
                  </w:tcBorders>
                  <w:noWrap w:val="0"/>
                  <w:vAlign w:val="center"/>
                </w:tcPr>
                <w:p w14:paraId="425562FD">
                  <w:pPr>
                    <w:pStyle w:val="11"/>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SO</w:t>
                  </w:r>
                  <w:r>
                    <w:rPr>
                      <w:rFonts w:hint="default" w:ascii="Times New Roman" w:hAnsi="Times New Roman" w:eastAsia="宋体" w:cs="Times New Roman"/>
                      <w:color w:val="auto"/>
                      <w:sz w:val="21"/>
                      <w:szCs w:val="21"/>
                      <w:highlight w:val="none"/>
                      <w:vertAlign w:val="subscript"/>
                      <w:lang w:val="en-US" w:eastAsia="zh-CN"/>
                    </w:rPr>
                    <w:t>2</w:t>
                  </w:r>
                </w:p>
              </w:tc>
              <w:tc>
                <w:tcPr>
                  <w:tcW w:w="1376" w:type="pct"/>
                  <w:tcBorders>
                    <w:tl2br w:val="nil"/>
                    <w:tr2bl w:val="nil"/>
                  </w:tcBorders>
                  <w:noWrap w:val="0"/>
                  <w:vAlign w:val="center"/>
                </w:tcPr>
                <w:p w14:paraId="3E7B0D7F">
                  <w:pPr>
                    <w:pStyle w:val="11"/>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年平均质量浓度</w:t>
                  </w:r>
                </w:p>
              </w:tc>
              <w:tc>
                <w:tcPr>
                  <w:tcW w:w="765" w:type="pct"/>
                  <w:tcBorders>
                    <w:tl2br w:val="nil"/>
                    <w:tr2bl w:val="nil"/>
                  </w:tcBorders>
                  <w:noWrap w:val="0"/>
                  <w:vAlign w:val="center"/>
                </w:tcPr>
                <w:p w14:paraId="674062D9">
                  <w:pPr>
                    <w:pStyle w:val="11"/>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60</w:t>
                  </w:r>
                </w:p>
              </w:tc>
              <w:tc>
                <w:tcPr>
                  <w:tcW w:w="720" w:type="pct"/>
                  <w:tcBorders>
                    <w:tl2br w:val="nil"/>
                    <w:tr2bl w:val="nil"/>
                  </w:tcBorders>
                  <w:noWrap w:val="0"/>
                  <w:vAlign w:val="center"/>
                </w:tcPr>
                <w:p w14:paraId="6C94B1DB">
                  <w:pPr>
                    <w:pStyle w:val="11"/>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535" w:type="pct"/>
                  <w:tcBorders>
                    <w:tl2br w:val="nil"/>
                    <w:tr2bl w:val="nil"/>
                  </w:tcBorders>
                  <w:noWrap w:val="0"/>
                  <w:vAlign w:val="center"/>
                </w:tcPr>
                <w:p w14:paraId="569C4B09">
                  <w:pPr>
                    <w:pStyle w:val="11"/>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13.3</w:t>
                  </w:r>
                </w:p>
              </w:tc>
              <w:tc>
                <w:tcPr>
                  <w:tcW w:w="453" w:type="pct"/>
                  <w:tcBorders>
                    <w:tl2br w:val="nil"/>
                    <w:tr2bl w:val="nil"/>
                  </w:tcBorders>
                  <w:noWrap w:val="0"/>
                  <w:vAlign w:val="center"/>
                </w:tcPr>
                <w:p w14:paraId="60D71C97">
                  <w:pPr>
                    <w:pStyle w:val="11"/>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613" w:type="pct"/>
                  <w:tcBorders>
                    <w:tl2br w:val="nil"/>
                    <w:tr2bl w:val="nil"/>
                  </w:tcBorders>
                  <w:noWrap w:val="0"/>
                  <w:vAlign w:val="center"/>
                </w:tcPr>
                <w:p w14:paraId="6DCABCBD">
                  <w:pPr>
                    <w:pStyle w:val="11"/>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达标</w:t>
                  </w:r>
                </w:p>
              </w:tc>
            </w:tr>
            <w:tr w14:paraId="388F9E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0" w:hRule="atLeast"/>
                <w:jc w:val="center"/>
              </w:trPr>
              <w:tc>
                <w:tcPr>
                  <w:tcW w:w="535" w:type="pct"/>
                  <w:tcBorders>
                    <w:tl2br w:val="nil"/>
                    <w:tr2bl w:val="nil"/>
                  </w:tcBorders>
                  <w:noWrap w:val="0"/>
                  <w:vAlign w:val="center"/>
                </w:tcPr>
                <w:p w14:paraId="42087093">
                  <w:pPr>
                    <w:pStyle w:val="11"/>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NO</w:t>
                  </w:r>
                  <w:r>
                    <w:rPr>
                      <w:rFonts w:hint="default" w:ascii="Times New Roman" w:hAnsi="Times New Roman" w:eastAsia="宋体" w:cs="Times New Roman"/>
                      <w:color w:val="auto"/>
                      <w:sz w:val="21"/>
                      <w:szCs w:val="21"/>
                      <w:highlight w:val="none"/>
                      <w:vertAlign w:val="subscript"/>
                      <w:lang w:val="en-US" w:eastAsia="zh-CN"/>
                    </w:rPr>
                    <w:t>2</w:t>
                  </w:r>
                </w:p>
              </w:tc>
              <w:tc>
                <w:tcPr>
                  <w:tcW w:w="1376" w:type="pct"/>
                  <w:tcBorders>
                    <w:tl2br w:val="nil"/>
                    <w:tr2bl w:val="nil"/>
                  </w:tcBorders>
                  <w:noWrap w:val="0"/>
                  <w:vAlign w:val="center"/>
                </w:tcPr>
                <w:p w14:paraId="1CB92671">
                  <w:pPr>
                    <w:pStyle w:val="11"/>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年平均质量浓度</w:t>
                  </w:r>
                </w:p>
              </w:tc>
              <w:tc>
                <w:tcPr>
                  <w:tcW w:w="765" w:type="pct"/>
                  <w:tcBorders>
                    <w:tl2br w:val="nil"/>
                    <w:tr2bl w:val="nil"/>
                  </w:tcBorders>
                  <w:noWrap w:val="0"/>
                  <w:vAlign w:val="center"/>
                </w:tcPr>
                <w:p w14:paraId="31CD8290">
                  <w:pPr>
                    <w:pStyle w:val="11"/>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40</w:t>
                  </w:r>
                </w:p>
              </w:tc>
              <w:tc>
                <w:tcPr>
                  <w:tcW w:w="720" w:type="pct"/>
                  <w:tcBorders>
                    <w:tl2br w:val="nil"/>
                    <w:tr2bl w:val="nil"/>
                  </w:tcBorders>
                  <w:noWrap w:val="0"/>
                  <w:vAlign w:val="center"/>
                </w:tcPr>
                <w:p w14:paraId="43EF9A30">
                  <w:pPr>
                    <w:pStyle w:val="11"/>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23</w:t>
                  </w:r>
                </w:p>
              </w:tc>
              <w:tc>
                <w:tcPr>
                  <w:tcW w:w="535" w:type="pct"/>
                  <w:tcBorders>
                    <w:tl2br w:val="nil"/>
                    <w:tr2bl w:val="nil"/>
                  </w:tcBorders>
                  <w:noWrap w:val="0"/>
                  <w:vAlign w:val="center"/>
                </w:tcPr>
                <w:p w14:paraId="06DF9142">
                  <w:pPr>
                    <w:pStyle w:val="11"/>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57.5</w:t>
                  </w:r>
                </w:p>
              </w:tc>
              <w:tc>
                <w:tcPr>
                  <w:tcW w:w="453" w:type="pct"/>
                  <w:tcBorders>
                    <w:tl2br w:val="nil"/>
                    <w:tr2bl w:val="nil"/>
                  </w:tcBorders>
                  <w:noWrap w:val="0"/>
                  <w:vAlign w:val="center"/>
                </w:tcPr>
                <w:p w14:paraId="28250C5D">
                  <w:pPr>
                    <w:pStyle w:val="11"/>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613" w:type="pct"/>
                  <w:tcBorders>
                    <w:tl2br w:val="nil"/>
                    <w:tr2bl w:val="nil"/>
                  </w:tcBorders>
                  <w:noWrap w:val="0"/>
                  <w:vAlign w:val="center"/>
                </w:tcPr>
                <w:p w14:paraId="40838006">
                  <w:pPr>
                    <w:pStyle w:val="11"/>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达标</w:t>
                  </w:r>
                </w:p>
              </w:tc>
            </w:tr>
            <w:tr w14:paraId="1D5718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0" w:hRule="atLeast"/>
                <w:jc w:val="center"/>
              </w:trPr>
              <w:tc>
                <w:tcPr>
                  <w:tcW w:w="535" w:type="pct"/>
                  <w:tcBorders>
                    <w:tl2br w:val="nil"/>
                    <w:tr2bl w:val="nil"/>
                  </w:tcBorders>
                  <w:noWrap w:val="0"/>
                  <w:vAlign w:val="center"/>
                </w:tcPr>
                <w:p w14:paraId="534CC65D">
                  <w:pPr>
                    <w:pStyle w:val="11"/>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CO</w:t>
                  </w:r>
                </w:p>
              </w:tc>
              <w:tc>
                <w:tcPr>
                  <w:tcW w:w="1376" w:type="pct"/>
                  <w:tcBorders>
                    <w:tl2br w:val="nil"/>
                    <w:tr2bl w:val="nil"/>
                  </w:tcBorders>
                  <w:noWrap w:val="0"/>
                  <w:vAlign w:val="center"/>
                </w:tcPr>
                <w:p w14:paraId="5971FC49">
                  <w:pPr>
                    <w:pStyle w:val="11"/>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24h平均第95百分位数</w:t>
                  </w:r>
                </w:p>
              </w:tc>
              <w:tc>
                <w:tcPr>
                  <w:tcW w:w="765" w:type="pct"/>
                  <w:tcBorders>
                    <w:tl2br w:val="nil"/>
                    <w:tr2bl w:val="nil"/>
                  </w:tcBorders>
                  <w:noWrap w:val="0"/>
                  <w:vAlign w:val="center"/>
                </w:tcPr>
                <w:p w14:paraId="0F3268A2">
                  <w:pPr>
                    <w:pStyle w:val="11"/>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w:t>
                  </w:r>
                </w:p>
              </w:tc>
              <w:tc>
                <w:tcPr>
                  <w:tcW w:w="720" w:type="pct"/>
                  <w:tcBorders>
                    <w:tl2br w:val="nil"/>
                    <w:tr2bl w:val="nil"/>
                  </w:tcBorders>
                  <w:noWrap w:val="0"/>
                  <w:vAlign w:val="center"/>
                </w:tcPr>
                <w:p w14:paraId="258B35DA">
                  <w:pPr>
                    <w:pStyle w:val="11"/>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0.8</w:t>
                  </w:r>
                </w:p>
              </w:tc>
              <w:tc>
                <w:tcPr>
                  <w:tcW w:w="535" w:type="pct"/>
                  <w:tcBorders>
                    <w:tl2br w:val="nil"/>
                    <w:tr2bl w:val="nil"/>
                  </w:tcBorders>
                  <w:noWrap w:val="0"/>
                  <w:vAlign w:val="center"/>
                </w:tcPr>
                <w:p w14:paraId="6F6B84FD">
                  <w:pPr>
                    <w:pStyle w:val="11"/>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453" w:type="pct"/>
                  <w:tcBorders>
                    <w:tl2br w:val="nil"/>
                    <w:tr2bl w:val="nil"/>
                  </w:tcBorders>
                  <w:noWrap w:val="0"/>
                  <w:vAlign w:val="center"/>
                </w:tcPr>
                <w:p w14:paraId="55D7E895">
                  <w:pPr>
                    <w:pStyle w:val="11"/>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613" w:type="pct"/>
                  <w:tcBorders>
                    <w:tl2br w:val="nil"/>
                    <w:tr2bl w:val="nil"/>
                  </w:tcBorders>
                  <w:noWrap w:val="0"/>
                  <w:vAlign w:val="center"/>
                </w:tcPr>
                <w:p w14:paraId="5DB2214F">
                  <w:pPr>
                    <w:pStyle w:val="11"/>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达标</w:t>
                  </w:r>
                </w:p>
              </w:tc>
            </w:tr>
            <w:tr w14:paraId="494713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0" w:hRule="atLeast"/>
                <w:jc w:val="center"/>
              </w:trPr>
              <w:tc>
                <w:tcPr>
                  <w:tcW w:w="535" w:type="pct"/>
                  <w:tcBorders>
                    <w:tl2br w:val="nil"/>
                    <w:tr2bl w:val="nil"/>
                  </w:tcBorders>
                  <w:noWrap w:val="0"/>
                  <w:vAlign w:val="center"/>
                </w:tcPr>
                <w:p w14:paraId="2E84A6E5">
                  <w:pPr>
                    <w:pStyle w:val="11"/>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O</w:t>
                  </w:r>
                  <w:r>
                    <w:rPr>
                      <w:rFonts w:hint="default" w:ascii="Times New Roman" w:hAnsi="Times New Roman" w:eastAsia="宋体" w:cs="Times New Roman"/>
                      <w:color w:val="auto"/>
                      <w:sz w:val="21"/>
                      <w:szCs w:val="21"/>
                      <w:highlight w:val="none"/>
                      <w:vertAlign w:val="subscript"/>
                      <w:lang w:val="en-US" w:eastAsia="zh-CN"/>
                    </w:rPr>
                    <w:t>3</w:t>
                  </w:r>
                </w:p>
              </w:tc>
              <w:tc>
                <w:tcPr>
                  <w:tcW w:w="1376" w:type="pct"/>
                  <w:tcBorders>
                    <w:tl2br w:val="nil"/>
                    <w:tr2bl w:val="nil"/>
                  </w:tcBorders>
                  <w:noWrap w:val="0"/>
                  <w:vAlign w:val="center"/>
                </w:tcPr>
                <w:p w14:paraId="26F6D8BE">
                  <w:pPr>
                    <w:pStyle w:val="11"/>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日最大8h滑动平均值的第90百分位数</w:t>
                  </w:r>
                </w:p>
              </w:tc>
              <w:tc>
                <w:tcPr>
                  <w:tcW w:w="765" w:type="pct"/>
                  <w:tcBorders>
                    <w:tl2br w:val="nil"/>
                    <w:tr2bl w:val="nil"/>
                  </w:tcBorders>
                  <w:noWrap w:val="0"/>
                  <w:vAlign w:val="center"/>
                </w:tcPr>
                <w:p w14:paraId="057950D6">
                  <w:pPr>
                    <w:pStyle w:val="11"/>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160</w:t>
                  </w:r>
                </w:p>
              </w:tc>
              <w:tc>
                <w:tcPr>
                  <w:tcW w:w="720" w:type="pct"/>
                  <w:tcBorders>
                    <w:tl2br w:val="nil"/>
                    <w:tr2bl w:val="nil"/>
                  </w:tcBorders>
                  <w:noWrap w:val="0"/>
                  <w:vAlign w:val="center"/>
                </w:tcPr>
                <w:p w14:paraId="4A9976AB">
                  <w:pPr>
                    <w:pStyle w:val="11"/>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144</w:t>
                  </w:r>
                </w:p>
              </w:tc>
              <w:tc>
                <w:tcPr>
                  <w:tcW w:w="535" w:type="pct"/>
                  <w:tcBorders>
                    <w:tl2br w:val="nil"/>
                    <w:tr2bl w:val="nil"/>
                  </w:tcBorders>
                  <w:noWrap w:val="0"/>
                  <w:vAlign w:val="center"/>
                </w:tcPr>
                <w:p w14:paraId="2FCD8CA7">
                  <w:pPr>
                    <w:pStyle w:val="11"/>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w:t>
                  </w:r>
                </w:p>
              </w:tc>
              <w:tc>
                <w:tcPr>
                  <w:tcW w:w="453" w:type="pct"/>
                  <w:tcBorders>
                    <w:tl2br w:val="nil"/>
                    <w:tr2bl w:val="nil"/>
                  </w:tcBorders>
                  <w:noWrap w:val="0"/>
                  <w:vAlign w:val="center"/>
                </w:tcPr>
                <w:p w14:paraId="4C3D5625">
                  <w:pPr>
                    <w:pStyle w:val="11"/>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613" w:type="pct"/>
                  <w:tcBorders>
                    <w:tl2br w:val="nil"/>
                    <w:tr2bl w:val="nil"/>
                  </w:tcBorders>
                  <w:noWrap w:val="0"/>
                  <w:vAlign w:val="center"/>
                </w:tcPr>
                <w:p w14:paraId="5D6D31E2">
                  <w:pPr>
                    <w:pStyle w:val="11"/>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达标</w:t>
                  </w:r>
                </w:p>
              </w:tc>
            </w:tr>
            <w:tr w14:paraId="5502FB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0" w:hRule="atLeast"/>
                <w:jc w:val="center"/>
              </w:trPr>
              <w:tc>
                <w:tcPr>
                  <w:tcW w:w="535" w:type="pct"/>
                  <w:tcBorders>
                    <w:tl2br w:val="nil"/>
                    <w:tr2bl w:val="nil"/>
                  </w:tcBorders>
                  <w:noWrap w:val="0"/>
                  <w:vAlign w:val="center"/>
                </w:tcPr>
                <w:p w14:paraId="177AEC68">
                  <w:pPr>
                    <w:pStyle w:val="11"/>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PM</w:t>
                  </w:r>
                  <w:r>
                    <w:rPr>
                      <w:rFonts w:hint="eastAsia" w:cs="Times New Roman"/>
                      <w:color w:val="auto"/>
                      <w:sz w:val="21"/>
                      <w:szCs w:val="21"/>
                      <w:highlight w:val="none"/>
                      <w:vertAlign w:val="subscript"/>
                      <w:lang w:val="en-US" w:eastAsia="zh-CN"/>
                    </w:rPr>
                    <w:t>2</w:t>
                  </w:r>
                  <w:r>
                    <w:rPr>
                      <w:rFonts w:hint="default" w:ascii="Times New Roman" w:hAnsi="Times New Roman" w:eastAsia="宋体" w:cs="Times New Roman"/>
                      <w:color w:val="auto"/>
                      <w:sz w:val="21"/>
                      <w:szCs w:val="21"/>
                      <w:highlight w:val="none"/>
                      <w:vertAlign w:val="subscript"/>
                      <w:lang w:val="en-US" w:eastAsia="zh-CN"/>
                    </w:rPr>
                    <w:t>.5</w:t>
                  </w:r>
                </w:p>
              </w:tc>
              <w:tc>
                <w:tcPr>
                  <w:tcW w:w="1376" w:type="pct"/>
                  <w:tcBorders>
                    <w:tl2br w:val="nil"/>
                    <w:tr2bl w:val="nil"/>
                  </w:tcBorders>
                  <w:noWrap w:val="0"/>
                  <w:vAlign w:val="center"/>
                </w:tcPr>
                <w:p w14:paraId="06E51D89">
                  <w:pPr>
                    <w:pStyle w:val="11"/>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年平均质量浓度</w:t>
                  </w:r>
                </w:p>
              </w:tc>
              <w:tc>
                <w:tcPr>
                  <w:tcW w:w="765" w:type="pct"/>
                  <w:tcBorders>
                    <w:tl2br w:val="nil"/>
                    <w:tr2bl w:val="nil"/>
                  </w:tcBorders>
                  <w:noWrap w:val="0"/>
                  <w:vAlign w:val="center"/>
                </w:tcPr>
                <w:p w14:paraId="778713AA">
                  <w:pPr>
                    <w:pStyle w:val="11"/>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35</w:t>
                  </w:r>
                </w:p>
              </w:tc>
              <w:tc>
                <w:tcPr>
                  <w:tcW w:w="720" w:type="pct"/>
                  <w:tcBorders>
                    <w:tl2br w:val="nil"/>
                    <w:tr2bl w:val="nil"/>
                  </w:tcBorders>
                  <w:noWrap w:val="0"/>
                  <w:vAlign w:val="center"/>
                </w:tcPr>
                <w:p w14:paraId="3D88EE60">
                  <w:pPr>
                    <w:pStyle w:val="11"/>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31</w:t>
                  </w:r>
                </w:p>
              </w:tc>
              <w:tc>
                <w:tcPr>
                  <w:tcW w:w="535" w:type="pct"/>
                  <w:tcBorders>
                    <w:tl2br w:val="nil"/>
                    <w:tr2bl w:val="nil"/>
                  </w:tcBorders>
                  <w:noWrap w:val="0"/>
                  <w:vAlign w:val="center"/>
                </w:tcPr>
                <w:p w14:paraId="705F9327">
                  <w:pPr>
                    <w:pStyle w:val="11"/>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88.6</w:t>
                  </w:r>
                </w:p>
              </w:tc>
              <w:tc>
                <w:tcPr>
                  <w:tcW w:w="453" w:type="pct"/>
                  <w:tcBorders>
                    <w:tl2br w:val="nil"/>
                    <w:tr2bl w:val="nil"/>
                  </w:tcBorders>
                  <w:noWrap w:val="0"/>
                  <w:vAlign w:val="center"/>
                </w:tcPr>
                <w:p w14:paraId="53B7CDCA">
                  <w:pPr>
                    <w:pStyle w:val="11"/>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613" w:type="pct"/>
                  <w:tcBorders>
                    <w:tl2br w:val="nil"/>
                    <w:tr2bl w:val="nil"/>
                  </w:tcBorders>
                  <w:noWrap w:val="0"/>
                  <w:vAlign w:val="center"/>
                </w:tcPr>
                <w:p w14:paraId="45E6E9A1">
                  <w:pPr>
                    <w:pStyle w:val="11"/>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达标</w:t>
                  </w:r>
                </w:p>
              </w:tc>
            </w:tr>
            <w:tr w14:paraId="2B91D5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0" w:hRule="atLeast"/>
                <w:jc w:val="center"/>
              </w:trPr>
              <w:tc>
                <w:tcPr>
                  <w:tcW w:w="535" w:type="pct"/>
                  <w:tcBorders>
                    <w:tl2br w:val="nil"/>
                    <w:tr2bl w:val="nil"/>
                  </w:tcBorders>
                  <w:noWrap w:val="0"/>
                  <w:vAlign w:val="center"/>
                </w:tcPr>
                <w:p w14:paraId="7DC44148">
                  <w:pPr>
                    <w:pStyle w:val="11"/>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PM</w:t>
                  </w:r>
                  <w:r>
                    <w:rPr>
                      <w:rFonts w:hint="default" w:ascii="Times New Roman" w:hAnsi="Times New Roman" w:eastAsia="宋体" w:cs="Times New Roman"/>
                      <w:color w:val="auto"/>
                      <w:sz w:val="21"/>
                      <w:szCs w:val="21"/>
                      <w:highlight w:val="none"/>
                      <w:vertAlign w:val="subscript"/>
                      <w:lang w:val="en-US" w:eastAsia="zh-CN"/>
                    </w:rPr>
                    <w:t>10</w:t>
                  </w:r>
                </w:p>
              </w:tc>
              <w:tc>
                <w:tcPr>
                  <w:tcW w:w="1376" w:type="pct"/>
                  <w:tcBorders>
                    <w:tl2br w:val="nil"/>
                    <w:tr2bl w:val="nil"/>
                  </w:tcBorders>
                  <w:noWrap w:val="0"/>
                  <w:vAlign w:val="center"/>
                </w:tcPr>
                <w:p w14:paraId="024ACBCF">
                  <w:pPr>
                    <w:pStyle w:val="11"/>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年平均质量浓度</w:t>
                  </w:r>
                </w:p>
              </w:tc>
              <w:tc>
                <w:tcPr>
                  <w:tcW w:w="765" w:type="pct"/>
                  <w:tcBorders>
                    <w:tl2br w:val="nil"/>
                    <w:tr2bl w:val="nil"/>
                  </w:tcBorders>
                  <w:noWrap w:val="0"/>
                  <w:vAlign w:val="center"/>
                </w:tcPr>
                <w:p w14:paraId="29F81BFD">
                  <w:pPr>
                    <w:pStyle w:val="11"/>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70</w:t>
                  </w:r>
                </w:p>
              </w:tc>
              <w:tc>
                <w:tcPr>
                  <w:tcW w:w="720" w:type="pct"/>
                  <w:tcBorders>
                    <w:tl2br w:val="nil"/>
                    <w:tr2bl w:val="nil"/>
                  </w:tcBorders>
                  <w:noWrap w:val="0"/>
                  <w:vAlign w:val="center"/>
                </w:tcPr>
                <w:p w14:paraId="1F714B05">
                  <w:pPr>
                    <w:pStyle w:val="11"/>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62</w:t>
                  </w:r>
                </w:p>
              </w:tc>
              <w:tc>
                <w:tcPr>
                  <w:tcW w:w="535" w:type="pct"/>
                  <w:tcBorders>
                    <w:tl2br w:val="nil"/>
                    <w:tr2bl w:val="nil"/>
                  </w:tcBorders>
                  <w:noWrap w:val="0"/>
                  <w:vAlign w:val="center"/>
                </w:tcPr>
                <w:p w14:paraId="2F509EE2">
                  <w:pPr>
                    <w:pStyle w:val="11"/>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88.6</w:t>
                  </w:r>
                </w:p>
              </w:tc>
              <w:tc>
                <w:tcPr>
                  <w:tcW w:w="453" w:type="pct"/>
                  <w:tcBorders>
                    <w:tl2br w:val="nil"/>
                    <w:tr2bl w:val="nil"/>
                  </w:tcBorders>
                  <w:noWrap w:val="0"/>
                  <w:vAlign w:val="center"/>
                </w:tcPr>
                <w:p w14:paraId="4CE104C0">
                  <w:pPr>
                    <w:pStyle w:val="11"/>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w:t>
                  </w:r>
                </w:p>
              </w:tc>
              <w:tc>
                <w:tcPr>
                  <w:tcW w:w="613" w:type="pct"/>
                  <w:tcBorders>
                    <w:tl2br w:val="nil"/>
                    <w:tr2bl w:val="nil"/>
                  </w:tcBorders>
                  <w:noWrap w:val="0"/>
                  <w:vAlign w:val="center"/>
                </w:tcPr>
                <w:p w14:paraId="22C20E40">
                  <w:pPr>
                    <w:pStyle w:val="11"/>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达标</w:t>
                  </w:r>
                </w:p>
              </w:tc>
            </w:tr>
            <w:tr w14:paraId="68E4D0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0" w:hRule="atLeast"/>
                <w:jc w:val="center"/>
              </w:trPr>
              <w:tc>
                <w:tcPr>
                  <w:tcW w:w="5000" w:type="pct"/>
                  <w:gridSpan w:val="7"/>
                  <w:tcBorders>
                    <w:tl2br w:val="nil"/>
                    <w:tr2bl w:val="nil"/>
                  </w:tcBorders>
                  <w:noWrap w:val="0"/>
                  <w:vAlign w:val="center"/>
                </w:tcPr>
                <w:p w14:paraId="3A33CB08">
                  <w:pPr>
                    <w:pStyle w:val="81"/>
                    <w:keepNext w:val="0"/>
                    <w:keepLines w:val="0"/>
                    <w:pageBreakBefore w:val="0"/>
                    <w:suppressLineNumbers w:val="0"/>
                    <w:kinsoku/>
                    <w:wordWrap/>
                    <w:overflowPunct/>
                    <w:topLinePunct w:val="0"/>
                    <w:autoSpaceDE/>
                    <w:autoSpaceDN/>
                    <w:bidi w:val="0"/>
                    <w:adjustRightInd w:val="0"/>
                    <w:snapToGrid w:val="0"/>
                    <w:spacing w:beforeAutospacing="0" w:afterAutospacing="0" w:line="240" w:lineRule="auto"/>
                    <w:ind w:left="0" w:right="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注：</w:t>
                  </w:r>
                </w:p>
                <w:p w14:paraId="65F0397D">
                  <w:pPr>
                    <w:pStyle w:val="81"/>
                    <w:keepNext w:val="0"/>
                    <w:keepLines w:val="0"/>
                    <w:pageBreakBefore w:val="0"/>
                    <w:suppressLineNumbers w:val="0"/>
                    <w:kinsoku/>
                    <w:wordWrap/>
                    <w:overflowPunct/>
                    <w:topLinePunct w:val="0"/>
                    <w:autoSpaceDE/>
                    <w:autoSpaceDN/>
                    <w:bidi w:val="0"/>
                    <w:adjustRightInd w:val="0"/>
                    <w:snapToGrid w:val="0"/>
                    <w:spacing w:beforeAutospacing="0" w:afterAutospacing="0" w:line="240" w:lineRule="auto"/>
                    <w:ind w:left="0" w:right="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1、CO现状浓度和标准值单位均为mg/</w:t>
                  </w:r>
                  <w:r>
                    <w:rPr>
                      <w:rFonts w:hint="default" w:ascii="Times New Roman" w:hAnsi="Times New Roman" w:cs="Times New Roman"/>
                      <w:color w:val="auto"/>
                      <w:sz w:val="21"/>
                      <w:szCs w:val="21"/>
                      <w:highlight w:val="none"/>
                      <w:lang w:val="en-US" w:eastAsia="zh-CN"/>
                    </w:rPr>
                    <w:t>m³</w:t>
                  </w:r>
                  <w:r>
                    <w:rPr>
                      <w:rFonts w:hint="default" w:ascii="Times New Roman" w:hAnsi="Times New Roman" w:eastAsia="宋体" w:cs="Times New Roman"/>
                      <w:color w:val="auto"/>
                      <w:sz w:val="21"/>
                      <w:szCs w:val="21"/>
                      <w:highlight w:val="none"/>
                      <w:lang w:val="en-US" w:eastAsia="zh-CN"/>
                    </w:rPr>
                    <w:t>。</w:t>
                  </w:r>
                </w:p>
                <w:p w14:paraId="4F61377B">
                  <w:pPr>
                    <w:pStyle w:val="81"/>
                    <w:keepNext w:val="0"/>
                    <w:keepLines w:val="0"/>
                    <w:pageBreakBefore w:val="0"/>
                    <w:suppressLineNumbers w:val="0"/>
                    <w:kinsoku/>
                    <w:wordWrap/>
                    <w:overflowPunct/>
                    <w:topLinePunct w:val="0"/>
                    <w:autoSpaceDE/>
                    <w:autoSpaceDN/>
                    <w:bidi w:val="0"/>
                    <w:adjustRightInd w:val="0"/>
                    <w:snapToGrid w:val="0"/>
                    <w:spacing w:beforeAutospacing="0" w:afterAutospacing="0" w:line="240" w:lineRule="auto"/>
                    <w:ind w:left="0" w:right="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2、现状浓度中P</w:t>
                  </w:r>
                  <w:r>
                    <w:rPr>
                      <w:rFonts w:hint="eastAsia" w:cs="Times New Roman"/>
                      <w:color w:val="auto"/>
                      <w:sz w:val="21"/>
                      <w:szCs w:val="21"/>
                      <w:highlight w:val="none"/>
                      <w:lang w:val="en-US" w:eastAsia="zh-CN"/>
                    </w:rPr>
                    <w:t>M</w:t>
                  </w:r>
                  <w:r>
                    <w:rPr>
                      <w:rFonts w:hint="eastAsia" w:cs="Times New Roman"/>
                      <w:color w:val="auto"/>
                      <w:sz w:val="21"/>
                      <w:szCs w:val="21"/>
                      <w:highlight w:val="none"/>
                      <w:vertAlign w:val="subscript"/>
                      <w:lang w:val="en-US" w:eastAsia="zh-CN"/>
                    </w:rPr>
                    <w:t>2</w:t>
                  </w:r>
                  <w:r>
                    <w:rPr>
                      <w:rFonts w:hint="default" w:ascii="Times New Roman" w:hAnsi="Times New Roman" w:cs="Times New Roman"/>
                      <w:color w:val="auto"/>
                      <w:sz w:val="21"/>
                      <w:szCs w:val="21"/>
                      <w:highlight w:val="none"/>
                      <w:vertAlign w:val="subscript"/>
                      <w:lang w:val="en-US" w:eastAsia="zh-CN"/>
                    </w:rPr>
                    <w:t>.</w:t>
                  </w:r>
                  <w:r>
                    <w:rPr>
                      <w:rFonts w:hint="default" w:ascii="Times New Roman" w:hAnsi="Times New Roman" w:eastAsia="宋体" w:cs="Times New Roman"/>
                      <w:color w:val="auto"/>
                      <w:sz w:val="21"/>
                      <w:szCs w:val="21"/>
                      <w:highlight w:val="none"/>
                      <w:vertAlign w:val="subscript"/>
                      <w:lang w:val="en-US" w:eastAsia="zh-CN"/>
                    </w:rPr>
                    <w:t>5</w:t>
                  </w:r>
                  <w:r>
                    <w:rPr>
                      <w:rFonts w:hint="eastAsia"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lang w:val="en-US" w:eastAsia="zh-CN"/>
                    </w:rPr>
                    <w:t>P</w:t>
                  </w:r>
                  <w:r>
                    <w:rPr>
                      <w:rFonts w:hint="eastAsia" w:cs="Times New Roman"/>
                      <w:color w:val="auto"/>
                      <w:sz w:val="21"/>
                      <w:szCs w:val="21"/>
                      <w:highlight w:val="none"/>
                      <w:lang w:val="en-US" w:eastAsia="zh-CN"/>
                    </w:rPr>
                    <w:t>M</w:t>
                  </w:r>
                  <w:r>
                    <w:rPr>
                      <w:rFonts w:hint="eastAsia" w:cs="Times New Roman"/>
                      <w:color w:val="auto"/>
                      <w:sz w:val="21"/>
                      <w:szCs w:val="21"/>
                      <w:highlight w:val="none"/>
                      <w:vertAlign w:val="subscript"/>
                      <w:lang w:val="en-US" w:eastAsia="zh-CN"/>
                    </w:rPr>
                    <w:t>10</w:t>
                  </w:r>
                  <w:r>
                    <w:rPr>
                      <w:rFonts w:hint="default" w:ascii="Times New Roman" w:hAnsi="Times New Roman" w:eastAsia="宋体" w:cs="Times New Roman"/>
                      <w:color w:val="auto"/>
                      <w:sz w:val="21"/>
                      <w:szCs w:val="21"/>
                      <w:highlight w:val="none"/>
                      <w:lang w:val="en-US" w:eastAsia="zh-CN"/>
                    </w:rPr>
                    <w:t>为剔除沙尘天气后的数值。</w:t>
                  </w:r>
                </w:p>
                <w:p w14:paraId="0303EC78">
                  <w:pPr>
                    <w:pStyle w:val="81"/>
                    <w:keepNext w:val="0"/>
                    <w:keepLines w:val="0"/>
                    <w:pageBreakBefore w:val="0"/>
                    <w:suppressLineNumbers w:val="0"/>
                    <w:kinsoku/>
                    <w:wordWrap/>
                    <w:overflowPunct/>
                    <w:topLinePunct w:val="0"/>
                    <w:autoSpaceDE/>
                    <w:autoSpaceDN/>
                    <w:bidi w:val="0"/>
                    <w:adjustRightInd w:val="0"/>
                    <w:snapToGrid w:val="0"/>
                    <w:spacing w:beforeAutospacing="0" w:afterAutospacing="0" w:line="240" w:lineRule="auto"/>
                    <w:ind w:left="0" w:right="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3、《2024年宁夏生态环境报告》中未公布SO</w:t>
                  </w:r>
                  <w:r>
                    <w:rPr>
                      <w:rFonts w:hint="default" w:ascii="Times New Roman" w:hAnsi="Times New Roman" w:eastAsia="宋体" w:cs="Times New Roman"/>
                      <w:color w:val="auto"/>
                      <w:sz w:val="21"/>
                      <w:szCs w:val="21"/>
                      <w:highlight w:val="none"/>
                      <w:vertAlign w:val="subscript"/>
                      <w:lang w:val="en-US" w:eastAsia="zh-CN"/>
                    </w:rPr>
                    <w:t>2</w:t>
                  </w:r>
                  <w:r>
                    <w:rPr>
                      <w:rFonts w:hint="default" w:ascii="Times New Roman" w:hAnsi="Times New Roman" w:eastAsia="宋体" w:cs="Times New Roman"/>
                      <w:color w:val="auto"/>
                      <w:sz w:val="21"/>
                      <w:szCs w:val="21"/>
                      <w:highlight w:val="none"/>
                      <w:lang w:val="en-US" w:eastAsia="zh-CN"/>
                    </w:rPr>
                    <w:t>、NO</w:t>
                  </w:r>
                  <w:r>
                    <w:rPr>
                      <w:rFonts w:hint="default" w:ascii="Times New Roman" w:hAnsi="Times New Roman" w:eastAsia="宋体" w:cs="Times New Roman"/>
                      <w:color w:val="auto"/>
                      <w:sz w:val="21"/>
                      <w:szCs w:val="21"/>
                      <w:highlight w:val="none"/>
                      <w:vertAlign w:val="subscript"/>
                      <w:lang w:val="en-US" w:eastAsia="zh-CN"/>
                    </w:rPr>
                    <w:t>2</w:t>
                  </w:r>
                  <w:r>
                    <w:rPr>
                      <w:rFonts w:hint="default" w:ascii="Times New Roman" w:hAnsi="Times New Roman" w:eastAsia="宋体" w:cs="Times New Roman"/>
                      <w:color w:val="auto"/>
                      <w:sz w:val="21"/>
                      <w:szCs w:val="21"/>
                      <w:highlight w:val="none"/>
                      <w:lang w:val="en-US" w:eastAsia="zh-CN"/>
                    </w:rPr>
                    <w:t>、PM</w:t>
                  </w:r>
                  <w:r>
                    <w:rPr>
                      <w:rFonts w:hint="default" w:ascii="Times New Roman" w:hAnsi="Times New Roman" w:eastAsia="宋体" w:cs="Times New Roman"/>
                      <w:color w:val="auto"/>
                      <w:sz w:val="21"/>
                      <w:szCs w:val="21"/>
                      <w:highlight w:val="none"/>
                      <w:vertAlign w:val="subscript"/>
                      <w:lang w:val="en-US" w:eastAsia="zh-CN"/>
                    </w:rPr>
                    <w:t>10</w:t>
                  </w:r>
                  <w:r>
                    <w:rPr>
                      <w:rFonts w:hint="default" w:ascii="Times New Roman" w:hAnsi="Times New Roman" w:eastAsia="宋体" w:cs="Times New Roman"/>
                      <w:color w:val="auto"/>
                      <w:sz w:val="21"/>
                      <w:szCs w:val="21"/>
                      <w:highlight w:val="none"/>
                      <w:lang w:val="en-US" w:eastAsia="zh-CN"/>
                    </w:rPr>
                    <w:t>、PM</w:t>
                  </w:r>
                  <w:r>
                    <w:rPr>
                      <w:rFonts w:hint="eastAsia" w:cs="Times New Roman"/>
                      <w:color w:val="auto"/>
                      <w:sz w:val="21"/>
                      <w:szCs w:val="21"/>
                      <w:highlight w:val="none"/>
                      <w:vertAlign w:val="subscript"/>
                      <w:lang w:val="en-US" w:eastAsia="zh-CN"/>
                    </w:rPr>
                    <w:t>2</w:t>
                  </w:r>
                  <w:r>
                    <w:rPr>
                      <w:rFonts w:hint="default" w:ascii="Times New Roman" w:hAnsi="Times New Roman" w:cs="Times New Roman"/>
                      <w:color w:val="auto"/>
                      <w:sz w:val="21"/>
                      <w:szCs w:val="21"/>
                      <w:highlight w:val="none"/>
                      <w:vertAlign w:val="subscript"/>
                      <w:lang w:val="en-US" w:eastAsia="zh-CN"/>
                    </w:rPr>
                    <w:t>.</w:t>
                  </w:r>
                  <w:r>
                    <w:rPr>
                      <w:rFonts w:hint="default" w:ascii="Times New Roman" w:hAnsi="Times New Roman" w:eastAsia="宋体" w:cs="Times New Roman"/>
                      <w:color w:val="auto"/>
                      <w:sz w:val="21"/>
                      <w:szCs w:val="21"/>
                      <w:highlight w:val="none"/>
                      <w:vertAlign w:val="subscript"/>
                      <w:lang w:val="en-US" w:eastAsia="zh-CN"/>
                    </w:rPr>
                    <w:t>5</w:t>
                  </w:r>
                  <w:r>
                    <w:rPr>
                      <w:rFonts w:hint="default" w:ascii="Times New Roman" w:hAnsi="Times New Roman" w:eastAsia="宋体" w:cs="Times New Roman"/>
                      <w:color w:val="auto"/>
                      <w:sz w:val="21"/>
                      <w:szCs w:val="21"/>
                      <w:highlight w:val="none"/>
                      <w:lang w:val="en-US" w:eastAsia="zh-CN"/>
                    </w:rPr>
                    <w:t>相应百分位数24h平均浓度，故未评价上述污染物相应百分位数24h平均浓度达标情况。</w:t>
                  </w:r>
                </w:p>
              </w:tc>
            </w:tr>
          </w:tbl>
          <w:p w14:paraId="50964103">
            <w:pPr>
              <w:pStyle w:val="83"/>
              <w:spacing w:line="360" w:lineRule="auto"/>
              <w:ind w:firstLine="514"/>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根据《202</w:t>
            </w: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年宁夏生态环境质量报告》公开的区域环境空气质量数据可知</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剔除沙尘天气后</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项目区域的</w:t>
            </w:r>
            <w:r>
              <w:rPr>
                <w:rFonts w:hint="default" w:ascii="Times New Roman" w:hAnsi="Times New Roman" w:eastAsia="宋体" w:cs="Times New Roman"/>
                <w:color w:val="auto"/>
                <w:sz w:val="24"/>
                <w:szCs w:val="24"/>
                <w:highlight w:val="none"/>
                <w:lang w:val="en-US" w:eastAsia="zh-CN"/>
              </w:rPr>
              <w:t>P</w:t>
            </w:r>
            <w:r>
              <w:rPr>
                <w:rFonts w:hint="eastAsia" w:cs="Times New Roman"/>
                <w:color w:val="auto"/>
                <w:sz w:val="24"/>
                <w:szCs w:val="24"/>
                <w:highlight w:val="none"/>
                <w:lang w:val="en-US" w:eastAsia="zh-CN"/>
              </w:rPr>
              <w:t>M</w:t>
            </w:r>
            <w:r>
              <w:rPr>
                <w:rFonts w:hint="eastAsia" w:cs="Times New Roman"/>
                <w:color w:val="auto"/>
                <w:sz w:val="24"/>
                <w:szCs w:val="24"/>
                <w:highlight w:val="none"/>
                <w:vertAlign w:val="subscript"/>
                <w:lang w:val="en-US" w:eastAsia="zh-CN"/>
              </w:rPr>
              <w:t>2</w:t>
            </w:r>
            <w:r>
              <w:rPr>
                <w:rFonts w:hint="default" w:ascii="Times New Roman" w:hAnsi="Times New Roman" w:cs="Times New Roman"/>
                <w:color w:val="auto"/>
                <w:sz w:val="24"/>
                <w:szCs w:val="24"/>
                <w:highlight w:val="none"/>
                <w:vertAlign w:val="subscript"/>
                <w:lang w:val="en-US" w:eastAsia="zh-CN"/>
              </w:rPr>
              <w:t>.</w:t>
            </w:r>
            <w:r>
              <w:rPr>
                <w:rFonts w:hint="default" w:ascii="Times New Roman" w:hAnsi="Times New Roman" w:eastAsia="宋体" w:cs="Times New Roman"/>
                <w:color w:val="auto"/>
                <w:sz w:val="24"/>
                <w:szCs w:val="24"/>
                <w:highlight w:val="none"/>
                <w:vertAlign w:val="subscript"/>
                <w:lang w:val="en-US" w:eastAsia="zh-CN"/>
              </w:rPr>
              <w:t>5</w:t>
            </w:r>
            <w:r>
              <w:rPr>
                <w:rFonts w:hint="eastAsia" w:cs="Times New Roman"/>
                <w:color w:val="auto"/>
                <w:sz w:val="24"/>
                <w:szCs w:val="24"/>
                <w:highlight w:val="none"/>
                <w:vertAlign w:val="baseline"/>
                <w:lang w:val="en-US" w:eastAsia="zh-CN"/>
              </w:rPr>
              <w:t>、</w:t>
            </w:r>
            <w:r>
              <w:rPr>
                <w:rFonts w:hint="default" w:ascii="Times New Roman" w:hAnsi="Times New Roman" w:eastAsia="宋体" w:cs="Times New Roman"/>
                <w:color w:val="auto"/>
                <w:sz w:val="24"/>
                <w:szCs w:val="24"/>
                <w:highlight w:val="none"/>
                <w:lang w:val="en-US" w:eastAsia="zh-CN"/>
              </w:rPr>
              <w:t>P</w:t>
            </w:r>
            <w:r>
              <w:rPr>
                <w:rFonts w:hint="eastAsia" w:cs="Times New Roman"/>
                <w:color w:val="auto"/>
                <w:sz w:val="24"/>
                <w:szCs w:val="24"/>
                <w:highlight w:val="none"/>
                <w:lang w:val="en-US" w:eastAsia="zh-CN"/>
              </w:rPr>
              <w:t>M</w:t>
            </w:r>
            <w:r>
              <w:rPr>
                <w:rFonts w:hint="eastAsia" w:cs="Times New Roman"/>
                <w:color w:val="auto"/>
                <w:sz w:val="24"/>
                <w:szCs w:val="24"/>
                <w:highlight w:val="none"/>
                <w:vertAlign w:val="subscript"/>
                <w:lang w:val="en-US" w:eastAsia="zh-CN"/>
              </w:rPr>
              <w:t>10</w:t>
            </w:r>
            <w:r>
              <w:rPr>
                <w:rFonts w:hint="eastAsia"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rPr>
              <w:t>SO</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、NO</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年平均质量浓度和CO24h平均第95百分位数浓度</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O</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日最大8h滑动平均值的第90百分位数均满足《环境空气质量标准》（GB3095-2</w:t>
            </w:r>
            <w:r>
              <w:rPr>
                <w:rFonts w:hint="default" w:ascii="Times New Roman" w:hAnsi="Times New Roman" w:cs="Times New Roman"/>
                <w:color w:val="auto"/>
                <w:sz w:val="24"/>
                <w:szCs w:val="24"/>
                <w:highlight w:val="none"/>
                <w:lang w:val="en-US" w:eastAsia="zh-CN"/>
              </w:rPr>
              <w:t>012</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及修改单</w:t>
            </w:r>
            <w:r>
              <w:rPr>
                <w:rFonts w:hint="default" w:ascii="Times New Roman" w:hAnsi="Times New Roman" w:cs="Times New Roman"/>
                <w:color w:val="auto"/>
                <w:sz w:val="24"/>
                <w:szCs w:val="24"/>
                <w:highlight w:val="none"/>
              </w:rPr>
              <w:t>中的二级标准要求。</w:t>
            </w:r>
            <w:r>
              <w:rPr>
                <w:rFonts w:hint="default" w:ascii="Times New Roman" w:hAnsi="Times New Roman" w:cs="Times New Roman"/>
                <w:color w:val="auto"/>
                <w:sz w:val="24"/>
                <w:szCs w:val="24"/>
                <w:highlight w:val="none"/>
                <w:lang w:val="en-US" w:eastAsia="zh-CN"/>
              </w:rPr>
              <w:t>根据HJ633-2013判定，中卫市</w:t>
            </w:r>
            <w:r>
              <w:rPr>
                <w:rFonts w:hint="default" w:ascii="Times New Roman" w:hAnsi="Times New Roman" w:cs="Times New Roman"/>
                <w:b w:val="0"/>
                <w:bCs/>
                <w:color w:val="auto"/>
                <w:sz w:val="24"/>
                <w:szCs w:val="24"/>
                <w:highlight w:val="none"/>
                <w:lang w:val="en-US" w:eastAsia="zh-CN"/>
              </w:rPr>
              <w:t>沙坡头区</w:t>
            </w:r>
            <w:r>
              <w:rPr>
                <w:rFonts w:hint="default" w:ascii="Times New Roman" w:hAnsi="Times New Roman" w:cs="Times New Roman"/>
                <w:color w:val="auto"/>
                <w:sz w:val="24"/>
                <w:szCs w:val="24"/>
                <w:highlight w:val="none"/>
                <w:lang w:val="en-US" w:eastAsia="zh-CN"/>
              </w:rPr>
              <w:t>2024年为环境空气质量达标区。</w:t>
            </w:r>
          </w:p>
          <w:p w14:paraId="0F05B3FB">
            <w:pPr>
              <w:tabs>
                <w:tab w:val="left" w:pos="2700"/>
              </w:tabs>
              <w:autoSpaceDE w:val="0"/>
              <w:autoSpaceDN w:val="0"/>
              <w:adjustRightInd w:val="0"/>
              <w:snapToGrid w:val="0"/>
              <w:spacing w:line="360" w:lineRule="auto"/>
              <w:ind w:firstLine="480" w:firstLineChars="200"/>
              <w:rPr>
                <w:rFonts w:hint="default" w:ascii="Times New Roman" w:hAnsi="Times New Roman" w:eastAsia="黑体" w:cs="Times New Roman"/>
                <w:b w:val="0"/>
                <w:bCs w:val="0"/>
                <w:color w:val="auto"/>
                <w:kern w:val="2"/>
                <w:sz w:val="24"/>
                <w:szCs w:val="24"/>
                <w:highlight w:val="none"/>
                <w:lang w:val="en-US" w:eastAsia="zh-CN" w:bidi="ar-SA"/>
              </w:rPr>
            </w:pPr>
            <w:r>
              <w:rPr>
                <w:rFonts w:hint="default" w:ascii="Times New Roman" w:hAnsi="Times New Roman" w:eastAsia="黑体" w:cs="Times New Roman"/>
                <w:b w:val="0"/>
                <w:bCs w:val="0"/>
                <w:color w:val="auto"/>
                <w:kern w:val="2"/>
                <w:sz w:val="24"/>
                <w:szCs w:val="24"/>
                <w:highlight w:val="none"/>
                <w:lang w:val="en-US" w:eastAsia="zh-CN" w:bidi="ar-SA"/>
              </w:rPr>
              <w:t>4、地表水环境质量状况</w:t>
            </w:r>
          </w:p>
          <w:p w14:paraId="402C7269">
            <w:pPr>
              <w:tabs>
                <w:tab w:val="left" w:pos="2700"/>
              </w:tabs>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w:t>
            </w:r>
            <w:r>
              <w:rPr>
                <w:rFonts w:hint="default" w:ascii="Times New Roman" w:hAnsi="Times New Roman" w:cs="Times New Roman"/>
                <w:color w:val="auto"/>
                <w:kern w:val="0"/>
                <w:sz w:val="24"/>
                <w:szCs w:val="24"/>
                <w:highlight w:val="none"/>
                <w:lang w:val="en-US" w:eastAsia="zh-CN" w:bidi="ar-SA"/>
              </w:rPr>
              <w:t>高崖沟</w:t>
            </w:r>
            <w:r>
              <w:rPr>
                <w:rFonts w:hint="default" w:ascii="Times New Roman" w:hAnsi="Times New Roman" w:eastAsia="宋体" w:cs="Times New Roman"/>
                <w:color w:val="auto"/>
                <w:kern w:val="0"/>
                <w:sz w:val="24"/>
                <w:szCs w:val="24"/>
                <w:highlight w:val="none"/>
                <w:lang w:val="en-US" w:eastAsia="zh-CN" w:bidi="ar-SA"/>
              </w:rPr>
              <w:t>为泄洪沟，无常年流径地表水，</w:t>
            </w:r>
            <w:r>
              <w:rPr>
                <w:rFonts w:hint="default" w:ascii="Times New Roman" w:hAnsi="Times New Roman" w:cs="Times New Roman"/>
                <w:color w:val="auto"/>
                <w:kern w:val="0"/>
                <w:sz w:val="24"/>
                <w:szCs w:val="24"/>
                <w:highlight w:val="none"/>
                <w:lang w:val="en-US" w:eastAsia="zh-CN" w:bidi="ar-SA"/>
              </w:rPr>
              <w:t>高崖沟</w:t>
            </w:r>
            <w:r>
              <w:rPr>
                <w:rFonts w:hint="default" w:ascii="Times New Roman" w:hAnsi="Times New Roman" w:eastAsia="宋体" w:cs="Times New Roman"/>
                <w:color w:val="auto"/>
                <w:kern w:val="0"/>
                <w:sz w:val="24"/>
                <w:szCs w:val="24"/>
                <w:highlight w:val="none"/>
                <w:lang w:val="en-US" w:eastAsia="zh-CN" w:bidi="ar-SA"/>
              </w:rPr>
              <w:t>最终汇入黄河，本次工程终点距离黄河</w:t>
            </w:r>
            <w:r>
              <w:rPr>
                <w:rFonts w:hint="default" w:ascii="Times New Roman" w:hAnsi="Times New Roman" w:cs="Times New Roman"/>
                <w:color w:val="auto"/>
                <w:kern w:val="0"/>
                <w:sz w:val="24"/>
                <w:szCs w:val="24"/>
                <w:highlight w:val="none"/>
                <w:lang w:val="en-US" w:eastAsia="zh-CN" w:bidi="ar-SA"/>
              </w:rPr>
              <w:t>约24k</w:t>
            </w:r>
            <w:r>
              <w:rPr>
                <w:rFonts w:hint="default" w:ascii="Times New Roman" w:hAnsi="Times New Roman" w:eastAsia="宋体" w:cs="Times New Roman"/>
                <w:color w:val="auto"/>
                <w:kern w:val="0"/>
                <w:sz w:val="24"/>
                <w:szCs w:val="24"/>
                <w:highlight w:val="none"/>
                <w:lang w:val="en-US" w:eastAsia="zh-CN" w:bidi="ar-SA"/>
              </w:rPr>
              <w:t>m，根据《2024年宁夏生态环境质量报告》，2024年黄河干流下河沿断面水质均达到</w:t>
            </w:r>
            <w:r>
              <w:rPr>
                <w:rFonts w:hint="eastAsia" w:cs="Times New Roman"/>
                <w:color w:val="auto"/>
                <w:kern w:val="0"/>
                <w:sz w:val="24"/>
                <w:szCs w:val="24"/>
                <w:highlight w:val="none"/>
                <w:lang w:val="en-US" w:eastAsia="zh-CN" w:bidi="ar-SA"/>
              </w:rPr>
              <w:t>《地表水环境质量标准》（GB 3838-2002）中</w:t>
            </w:r>
            <w:r>
              <w:rPr>
                <w:rFonts w:hint="default" w:ascii="Times New Roman" w:hAnsi="Times New Roman" w:eastAsia="微软雅黑" w:cs="Times New Roman"/>
                <w:color w:val="auto"/>
                <w:kern w:val="0"/>
                <w:sz w:val="24"/>
                <w:szCs w:val="24"/>
                <w:highlight w:val="none"/>
                <w:lang w:val="en-US" w:eastAsia="zh-CN" w:bidi="ar-SA"/>
              </w:rPr>
              <w:t>Ⅱ</w:t>
            </w:r>
            <w:r>
              <w:rPr>
                <w:rFonts w:hint="default" w:ascii="Times New Roman" w:hAnsi="Times New Roman" w:eastAsia="宋体" w:cs="Times New Roman"/>
                <w:color w:val="auto"/>
                <w:kern w:val="0"/>
                <w:sz w:val="24"/>
                <w:szCs w:val="24"/>
                <w:highlight w:val="none"/>
                <w:lang w:val="en-US" w:eastAsia="zh-CN" w:bidi="ar-SA"/>
              </w:rPr>
              <w:t>类标准要求</w:t>
            </w:r>
            <w:r>
              <w:rPr>
                <w:rFonts w:hint="default" w:ascii="Times New Roman" w:hAnsi="Times New Roman" w:eastAsia="宋体" w:cs="Times New Roman"/>
                <w:color w:val="auto"/>
                <w:kern w:val="2"/>
                <w:sz w:val="24"/>
                <w:szCs w:val="24"/>
                <w:highlight w:val="none"/>
                <w:lang w:val="en-US" w:eastAsia="zh-CN" w:bidi="ar-SA"/>
              </w:rPr>
              <w:t>。</w:t>
            </w:r>
          </w:p>
          <w:p w14:paraId="03347A97">
            <w:pPr>
              <w:tabs>
                <w:tab w:val="left" w:pos="2700"/>
              </w:tabs>
              <w:autoSpaceDE w:val="0"/>
              <w:autoSpaceDN w:val="0"/>
              <w:adjustRightInd w:val="0"/>
              <w:snapToGrid w:val="0"/>
              <w:spacing w:line="360" w:lineRule="auto"/>
              <w:ind w:firstLine="480" w:firstLineChars="200"/>
              <w:rPr>
                <w:rFonts w:hint="default" w:ascii="Times New Roman" w:hAnsi="Times New Roman" w:eastAsia="黑体" w:cs="Times New Roman"/>
                <w:b w:val="0"/>
                <w:bCs w:val="0"/>
                <w:color w:val="auto"/>
                <w:kern w:val="2"/>
                <w:sz w:val="24"/>
                <w:szCs w:val="24"/>
                <w:highlight w:val="none"/>
                <w:lang w:val="en-US" w:eastAsia="zh-CN" w:bidi="ar-SA"/>
              </w:rPr>
            </w:pPr>
            <w:r>
              <w:rPr>
                <w:rFonts w:hint="default" w:ascii="Times New Roman" w:hAnsi="Times New Roman" w:eastAsia="黑体" w:cs="Times New Roman"/>
                <w:b w:val="0"/>
                <w:bCs w:val="0"/>
                <w:color w:val="auto"/>
                <w:kern w:val="2"/>
                <w:sz w:val="24"/>
                <w:szCs w:val="24"/>
                <w:highlight w:val="none"/>
                <w:lang w:val="en-US" w:eastAsia="zh-CN" w:bidi="ar-SA"/>
              </w:rPr>
              <w:t>5、高崖沟底泥质量现状</w:t>
            </w:r>
          </w:p>
          <w:p w14:paraId="445F61C7">
            <w:pPr>
              <w:tabs>
                <w:tab w:val="left" w:pos="2700"/>
              </w:tabs>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为了解项目</w:t>
            </w:r>
            <w:r>
              <w:rPr>
                <w:rFonts w:hint="default" w:ascii="Times New Roman" w:hAnsi="Times New Roman" w:cs="Times New Roman"/>
                <w:color w:val="auto"/>
                <w:kern w:val="2"/>
                <w:sz w:val="24"/>
                <w:szCs w:val="24"/>
                <w:highlight w:val="none"/>
                <w:lang w:val="en-US" w:eastAsia="zh-CN" w:bidi="ar-SA"/>
              </w:rPr>
              <w:t>高崖沟</w:t>
            </w:r>
            <w:r>
              <w:rPr>
                <w:rFonts w:hint="default" w:ascii="Times New Roman" w:hAnsi="Times New Roman" w:eastAsia="宋体" w:cs="Times New Roman"/>
                <w:color w:val="auto"/>
                <w:kern w:val="2"/>
                <w:sz w:val="24"/>
                <w:szCs w:val="24"/>
                <w:highlight w:val="none"/>
                <w:lang w:val="en-US" w:eastAsia="zh-CN" w:bidi="ar-SA"/>
              </w:rPr>
              <w:t>沟道内底泥重金属污染情况，本次委托甘</w:t>
            </w:r>
            <w:r>
              <w:rPr>
                <w:rFonts w:hint="default" w:ascii="Times New Roman" w:hAnsi="Times New Roman" w:eastAsia="宋体" w:cs="Times New Roman"/>
                <w:color w:val="auto"/>
                <w:kern w:val="0"/>
                <w:sz w:val="24"/>
                <w:highlight w:val="none"/>
                <w:lang w:val="en-US" w:eastAsia="zh-CN"/>
              </w:rPr>
              <w:t>肃亿源环境检测科技有限公司对</w:t>
            </w:r>
            <w:r>
              <w:rPr>
                <w:rFonts w:hint="default" w:ascii="Times New Roman" w:hAnsi="Times New Roman" w:cs="Times New Roman"/>
                <w:color w:val="auto"/>
                <w:kern w:val="2"/>
                <w:sz w:val="24"/>
                <w:szCs w:val="24"/>
                <w:highlight w:val="none"/>
                <w:lang w:val="en-US" w:eastAsia="zh-CN" w:bidi="ar-SA"/>
              </w:rPr>
              <w:t>高崖沟</w:t>
            </w:r>
            <w:r>
              <w:rPr>
                <w:rFonts w:hint="default" w:ascii="Times New Roman" w:hAnsi="Times New Roman" w:eastAsia="宋体" w:cs="Times New Roman"/>
                <w:color w:val="auto"/>
                <w:kern w:val="0"/>
                <w:sz w:val="24"/>
                <w:highlight w:val="none"/>
                <w:lang w:val="en-US" w:eastAsia="zh-CN"/>
              </w:rPr>
              <w:t>底泥进行监</w:t>
            </w:r>
            <w:r>
              <w:rPr>
                <w:rFonts w:hint="default" w:ascii="Times New Roman" w:hAnsi="Times New Roman" w:eastAsia="宋体" w:cs="Times New Roman"/>
                <w:color w:val="auto"/>
                <w:kern w:val="2"/>
                <w:sz w:val="24"/>
                <w:szCs w:val="24"/>
                <w:highlight w:val="none"/>
                <w:lang w:val="en-US" w:eastAsia="zh-CN" w:bidi="ar-SA"/>
              </w:rPr>
              <w:t>测</w:t>
            </w:r>
            <w:r>
              <w:rPr>
                <w:rFonts w:hint="default" w:ascii="Times New Roman" w:hAnsi="Times New Roman" w:cs="Times New Roman"/>
                <w:color w:val="auto"/>
                <w:kern w:val="2"/>
                <w:sz w:val="24"/>
                <w:szCs w:val="24"/>
                <w:highlight w:val="none"/>
                <w:lang w:val="en-US" w:eastAsia="zh-CN" w:bidi="ar-SA"/>
              </w:rPr>
              <w:t>，检测报告见附件</w:t>
            </w:r>
            <w:r>
              <w:rPr>
                <w:rFonts w:hint="eastAsia" w:cs="Times New Roman"/>
                <w:color w:val="auto"/>
                <w:kern w:val="2"/>
                <w:sz w:val="24"/>
                <w:szCs w:val="24"/>
                <w:highlight w:val="none"/>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w:t>
            </w:r>
          </w:p>
          <w:p w14:paraId="2182B5DD">
            <w:pPr>
              <w:pStyle w:val="9"/>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（1）监测布点</w:t>
            </w:r>
          </w:p>
          <w:p w14:paraId="2A5C1CD6">
            <w:pPr>
              <w:pStyle w:val="9"/>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highlight w:val="none"/>
                <w:lang w:val="en-US" w:eastAsia="zh-CN"/>
              </w:rPr>
              <w:t>本项目为</w:t>
            </w:r>
            <w:r>
              <w:rPr>
                <w:rFonts w:hint="eastAsia" w:ascii="Times New Roman" w:hAnsi="Times New Roman" w:eastAsia="宋体" w:cs="Times New Roman"/>
                <w:color w:val="auto"/>
                <w:kern w:val="0"/>
                <w:sz w:val="24"/>
                <w:highlight w:val="none"/>
                <w:lang w:val="en-US" w:eastAsia="zh-CN"/>
              </w:rPr>
              <w:t>高崖沟岸坡砌护及沟道清淤</w:t>
            </w:r>
            <w:r>
              <w:rPr>
                <w:rFonts w:hint="default" w:ascii="Times New Roman" w:hAnsi="Times New Roman" w:eastAsia="宋体"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共计涉及清淤沟道3段，</w:t>
            </w:r>
            <w:r>
              <w:rPr>
                <w:rFonts w:hint="default" w:ascii="Times New Roman" w:hAnsi="Times New Roman" w:eastAsia="宋体" w:cs="Times New Roman"/>
                <w:color w:val="auto"/>
                <w:sz w:val="24"/>
                <w:szCs w:val="24"/>
                <w:highlight w:val="none"/>
                <w:lang w:val="en-US" w:eastAsia="zh-CN"/>
              </w:rPr>
              <w:t>项目在</w:t>
            </w:r>
            <w:r>
              <w:rPr>
                <w:rFonts w:hint="eastAsia" w:eastAsia="宋体" w:cs="Times New Roman"/>
                <w:color w:val="auto"/>
                <w:sz w:val="24"/>
                <w:szCs w:val="24"/>
                <w:highlight w:val="none"/>
                <w:lang w:val="en-US" w:eastAsia="zh-CN"/>
              </w:rPr>
              <w:t>每个清淤段，即</w:t>
            </w:r>
            <w:r>
              <w:rPr>
                <w:rFonts w:hint="default" w:ascii="Times New Roman" w:hAnsi="Times New Roman" w:eastAsia="宋体" w:cs="Times New Roman"/>
                <w:color w:val="auto"/>
                <w:sz w:val="24"/>
                <w:szCs w:val="24"/>
                <w:highlight w:val="none"/>
                <w:lang w:val="en-US" w:eastAsia="zh-CN"/>
              </w:rPr>
              <w:t>桩号GY1+130处、桩号GY48+880及桩号GY48+880处分别布设一个点，项目现状监测布点见图3-1</w:t>
            </w:r>
            <w:r>
              <w:rPr>
                <w:rFonts w:hint="eastAsia"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w:t>
            </w:r>
          </w:p>
          <w:p w14:paraId="71D5A73B">
            <w:pPr>
              <w:pStyle w:val="9"/>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）监测因子及频率</w:t>
            </w:r>
          </w:p>
          <w:p w14:paraId="40EE3AF2">
            <w:pPr>
              <w:pStyle w:val="9"/>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监测因子：pH值、汞、砷、镉、铅、铬、铜、锌、镍</w:t>
            </w:r>
            <w:r>
              <w:rPr>
                <w:rFonts w:hint="default" w:ascii="Times New Roman" w:hAnsi="Times New Roman" w:eastAsia="宋体" w:cs="Times New Roman"/>
                <w:color w:val="auto"/>
                <w:sz w:val="24"/>
                <w:szCs w:val="24"/>
                <w:highlight w:val="none"/>
                <w:lang w:eastAsia="zh-CN"/>
              </w:rPr>
              <w:t>；</w:t>
            </w:r>
          </w:p>
          <w:p w14:paraId="62DD922B">
            <w:pPr>
              <w:pStyle w:val="9"/>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监测日期：2026年3月12日；</w:t>
            </w:r>
          </w:p>
          <w:p w14:paraId="6A686E92">
            <w:pPr>
              <w:pStyle w:val="9"/>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监测频率：监测1次</w:t>
            </w:r>
            <w:r>
              <w:rPr>
                <w:rFonts w:hint="default" w:ascii="Times New Roman" w:hAnsi="Times New Roman" w:eastAsia="宋体" w:cs="Times New Roman"/>
                <w:color w:val="auto"/>
                <w:sz w:val="24"/>
                <w:szCs w:val="24"/>
                <w:highlight w:val="none"/>
              </w:rPr>
              <w:t>，监测</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天。</w:t>
            </w:r>
          </w:p>
          <w:p w14:paraId="3554F8DD">
            <w:pPr>
              <w:pStyle w:val="9"/>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）评价标准</w:t>
            </w:r>
          </w:p>
          <w:p w14:paraId="495DB658">
            <w:pPr>
              <w:pStyle w:val="9"/>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《土壤环境质量 农用地土壤污染风险管控标准（试行）》（GB15618-2018）标准。</w:t>
            </w:r>
          </w:p>
          <w:p w14:paraId="47A6C9F0">
            <w:pPr>
              <w:pStyle w:val="9"/>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）监测结果分析与评价</w:t>
            </w:r>
          </w:p>
          <w:p w14:paraId="10CD7B70">
            <w:pPr>
              <w:tabs>
                <w:tab w:val="left" w:pos="2700"/>
              </w:tabs>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具体监测结果见表</w:t>
            </w:r>
            <w:r>
              <w:rPr>
                <w:rFonts w:hint="default" w:ascii="Times New Roman" w:hAnsi="Times New Roman" w:cs="Times New Roman"/>
                <w:color w:val="auto"/>
                <w:kern w:val="2"/>
                <w:sz w:val="24"/>
                <w:szCs w:val="24"/>
                <w:highlight w:val="none"/>
                <w:lang w:val="en-US" w:eastAsia="zh-CN" w:bidi="ar-SA"/>
              </w:rPr>
              <w:t>3-3</w:t>
            </w:r>
            <w:r>
              <w:rPr>
                <w:rFonts w:hint="default" w:ascii="Times New Roman" w:hAnsi="Times New Roman" w:eastAsia="宋体" w:cs="Times New Roman"/>
                <w:color w:val="auto"/>
                <w:kern w:val="2"/>
                <w:sz w:val="24"/>
                <w:szCs w:val="24"/>
                <w:highlight w:val="none"/>
                <w:lang w:val="en-US" w:eastAsia="zh-CN" w:bidi="ar-SA"/>
              </w:rPr>
              <w:t>。</w:t>
            </w:r>
          </w:p>
          <w:p w14:paraId="5648F097">
            <w:pPr>
              <w:pStyle w:val="36"/>
              <w:keepNext w:val="0"/>
              <w:keepLines w:val="0"/>
              <w:pageBreakBefore w:val="0"/>
              <w:widowControl w:val="0"/>
              <w:kinsoku/>
              <w:wordWrap/>
              <w:overflowPunct/>
              <w:topLinePunct w:val="0"/>
              <w:autoSpaceDE w:val="0"/>
              <w:autoSpaceDN w:val="0"/>
              <w:bidi w:val="0"/>
              <w:adjustRightInd w:val="0"/>
              <w:snapToGrid w:val="0"/>
              <w:spacing w:after="0" w:line="240" w:lineRule="auto"/>
              <w:jc w:val="center"/>
              <w:textAlignment w:val="auto"/>
              <w:rPr>
                <w:rFonts w:hint="default" w:ascii="Times New Roman" w:hAnsi="Times New Roman" w:eastAsia="黑体" w:cs="Times New Roman"/>
                <w:color w:val="auto"/>
                <w:kern w:val="0"/>
                <w:sz w:val="24"/>
                <w:szCs w:val="24"/>
                <w:highlight w:val="none"/>
                <w:lang w:val="en-US" w:eastAsia="zh-CN" w:bidi="ar-SA"/>
              </w:rPr>
            </w:pPr>
            <w:r>
              <w:rPr>
                <w:rFonts w:hint="default" w:ascii="Times New Roman" w:hAnsi="Times New Roman" w:eastAsia="黑体" w:cs="Times New Roman"/>
                <w:color w:val="auto"/>
                <w:kern w:val="0"/>
                <w:sz w:val="24"/>
                <w:szCs w:val="24"/>
                <w:highlight w:val="none"/>
                <w:lang w:val="en-US" w:eastAsia="zh-CN" w:bidi="ar-SA"/>
              </w:rPr>
              <w:t>表3-3  沟道底泥现状监测结果一览表</w:t>
            </w:r>
          </w:p>
          <w:tbl>
            <w:tblPr>
              <w:tblStyle w:val="27"/>
              <w:tblW w:w="797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720"/>
              <w:gridCol w:w="885"/>
              <w:gridCol w:w="855"/>
              <w:gridCol w:w="825"/>
              <w:gridCol w:w="840"/>
              <w:gridCol w:w="842"/>
              <w:gridCol w:w="793"/>
              <w:gridCol w:w="780"/>
              <w:gridCol w:w="737"/>
            </w:tblGrid>
            <w:tr w14:paraId="723F5B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vMerge w:val="restart"/>
                  <w:tcBorders>
                    <w:tl2br w:val="nil"/>
                    <w:tr2bl w:val="nil"/>
                  </w:tcBorders>
                  <w:noWrap w:val="0"/>
                  <w:vAlign w:val="center"/>
                </w:tcPr>
                <w:p w14:paraId="50389BD9">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项目</w:t>
                  </w:r>
                </w:p>
              </w:tc>
              <w:tc>
                <w:tcPr>
                  <w:tcW w:w="720" w:type="dxa"/>
                  <w:vMerge w:val="restart"/>
                  <w:tcBorders>
                    <w:tl2br w:val="nil"/>
                    <w:tr2bl w:val="nil"/>
                  </w:tcBorders>
                  <w:noWrap w:val="0"/>
                  <w:vAlign w:val="center"/>
                </w:tcPr>
                <w:p w14:paraId="34551D62">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单位</w:t>
                  </w:r>
                </w:p>
              </w:tc>
              <w:tc>
                <w:tcPr>
                  <w:tcW w:w="5040" w:type="dxa"/>
                  <w:gridSpan w:val="6"/>
                  <w:tcBorders>
                    <w:tl2br w:val="nil"/>
                    <w:tr2bl w:val="nil"/>
                  </w:tcBorders>
                  <w:noWrap w:val="0"/>
                  <w:vAlign w:val="center"/>
                </w:tcPr>
                <w:p w14:paraId="75F7A2B3">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监测结果</w:t>
                  </w:r>
                </w:p>
              </w:tc>
              <w:tc>
                <w:tcPr>
                  <w:tcW w:w="780" w:type="dxa"/>
                  <w:vMerge w:val="restart"/>
                  <w:tcBorders>
                    <w:tl2br w:val="nil"/>
                    <w:tr2bl w:val="nil"/>
                  </w:tcBorders>
                  <w:noWrap w:val="0"/>
                  <w:vAlign w:val="center"/>
                </w:tcPr>
                <w:p w14:paraId="45ABF121">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eastAsia="zh-CN"/>
                    </w:rPr>
                    <w:t>标准限值</w:t>
                  </w:r>
                </w:p>
              </w:tc>
              <w:tc>
                <w:tcPr>
                  <w:tcW w:w="737" w:type="dxa"/>
                  <w:vMerge w:val="restart"/>
                  <w:tcBorders>
                    <w:tl2br w:val="nil"/>
                    <w:tr2bl w:val="nil"/>
                  </w:tcBorders>
                  <w:noWrap w:val="0"/>
                  <w:vAlign w:val="center"/>
                </w:tcPr>
                <w:p w14:paraId="04AEFC7B">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达标情况</w:t>
                  </w:r>
                </w:p>
              </w:tc>
            </w:tr>
            <w:tr w14:paraId="287D57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693" w:type="dxa"/>
                  <w:vMerge w:val="continue"/>
                  <w:tcBorders>
                    <w:tl2br w:val="nil"/>
                    <w:tr2bl w:val="nil"/>
                  </w:tcBorders>
                  <w:noWrap w:val="0"/>
                  <w:vAlign w:val="center"/>
                </w:tcPr>
                <w:p w14:paraId="5E19D378">
                  <w:pPr>
                    <w:jc w:val="center"/>
                    <w:rPr>
                      <w:rFonts w:hint="default" w:ascii="Times New Roman" w:hAnsi="Times New Roman" w:eastAsia="宋体" w:cs="Times New Roman"/>
                      <w:color w:val="auto"/>
                      <w:sz w:val="21"/>
                      <w:szCs w:val="21"/>
                      <w:highlight w:val="none"/>
                      <w:lang w:val="en-US" w:eastAsia="zh-CN"/>
                    </w:rPr>
                  </w:pPr>
                </w:p>
              </w:tc>
              <w:tc>
                <w:tcPr>
                  <w:tcW w:w="720" w:type="dxa"/>
                  <w:vMerge w:val="continue"/>
                  <w:tcBorders>
                    <w:tl2br w:val="nil"/>
                    <w:tr2bl w:val="nil"/>
                  </w:tcBorders>
                  <w:noWrap w:val="0"/>
                  <w:vAlign w:val="center"/>
                </w:tcPr>
                <w:p w14:paraId="1D016962">
                  <w:pPr>
                    <w:jc w:val="center"/>
                    <w:rPr>
                      <w:rFonts w:hint="default" w:ascii="Times New Roman" w:hAnsi="Times New Roman" w:eastAsia="宋体" w:cs="Times New Roman"/>
                      <w:color w:val="auto"/>
                      <w:sz w:val="21"/>
                      <w:szCs w:val="21"/>
                      <w:highlight w:val="none"/>
                      <w:lang w:val="en-US" w:eastAsia="zh-CN"/>
                    </w:rPr>
                  </w:pPr>
                </w:p>
              </w:tc>
              <w:tc>
                <w:tcPr>
                  <w:tcW w:w="1740" w:type="dxa"/>
                  <w:gridSpan w:val="2"/>
                  <w:tcBorders>
                    <w:tl2br w:val="nil"/>
                    <w:tr2bl w:val="nil"/>
                  </w:tcBorders>
                  <w:noWrap w:val="0"/>
                  <w:vAlign w:val="center"/>
                </w:tcPr>
                <w:p w14:paraId="737F9FC4">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桩号GY1+130</w:t>
                  </w:r>
                </w:p>
              </w:tc>
              <w:tc>
                <w:tcPr>
                  <w:tcW w:w="1665" w:type="dxa"/>
                  <w:gridSpan w:val="2"/>
                  <w:tcBorders>
                    <w:tl2br w:val="nil"/>
                    <w:tr2bl w:val="nil"/>
                  </w:tcBorders>
                  <w:noWrap w:val="0"/>
                  <w:vAlign w:val="center"/>
                </w:tcPr>
                <w:p w14:paraId="4E37A579">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桩号GY48+880</w:t>
                  </w:r>
                </w:p>
              </w:tc>
              <w:tc>
                <w:tcPr>
                  <w:tcW w:w="1635" w:type="dxa"/>
                  <w:gridSpan w:val="2"/>
                  <w:tcBorders>
                    <w:tl2br w:val="nil"/>
                    <w:tr2bl w:val="nil"/>
                  </w:tcBorders>
                  <w:noWrap w:val="0"/>
                  <w:vAlign w:val="center"/>
                </w:tcPr>
                <w:p w14:paraId="061F3AFB">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桩号GY48+880</w:t>
                  </w:r>
                </w:p>
              </w:tc>
              <w:tc>
                <w:tcPr>
                  <w:tcW w:w="780" w:type="dxa"/>
                  <w:vMerge w:val="continue"/>
                  <w:tcBorders>
                    <w:tl2br w:val="nil"/>
                    <w:tr2bl w:val="nil"/>
                  </w:tcBorders>
                  <w:noWrap w:val="0"/>
                  <w:vAlign w:val="center"/>
                </w:tcPr>
                <w:p w14:paraId="3F303439">
                  <w:pPr>
                    <w:jc w:val="center"/>
                    <w:rPr>
                      <w:rFonts w:hint="default" w:ascii="Times New Roman" w:hAnsi="Times New Roman" w:eastAsia="宋体" w:cs="Times New Roman"/>
                      <w:color w:val="auto"/>
                      <w:sz w:val="21"/>
                      <w:szCs w:val="21"/>
                      <w:highlight w:val="none"/>
                      <w:lang w:val="en-US" w:eastAsia="zh-CN"/>
                    </w:rPr>
                  </w:pPr>
                </w:p>
              </w:tc>
              <w:tc>
                <w:tcPr>
                  <w:tcW w:w="737" w:type="dxa"/>
                  <w:vMerge w:val="continue"/>
                  <w:tcBorders>
                    <w:tl2br w:val="nil"/>
                    <w:tr2bl w:val="nil"/>
                  </w:tcBorders>
                  <w:noWrap w:val="0"/>
                  <w:vAlign w:val="center"/>
                </w:tcPr>
                <w:p w14:paraId="19BCA8FC">
                  <w:pPr>
                    <w:jc w:val="center"/>
                    <w:rPr>
                      <w:rFonts w:hint="default" w:ascii="Times New Roman" w:hAnsi="Times New Roman" w:eastAsia="宋体" w:cs="Times New Roman"/>
                      <w:color w:val="auto"/>
                      <w:sz w:val="21"/>
                      <w:szCs w:val="21"/>
                      <w:highlight w:val="none"/>
                      <w:lang w:val="en-US" w:eastAsia="zh-CN"/>
                    </w:rPr>
                  </w:pPr>
                </w:p>
              </w:tc>
            </w:tr>
            <w:tr w14:paraId="1F13BA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693" w:type="dxa"/>
                  <w:vMerge w:val="continue"/>
                  <w:tcBorders>
                    <w:tl2br w:val="nil"/>
                    <w:tr2bl w:val="nil"/>
                  </w:tcBorders>
                  <w:noWrap w:val="0"/>
                  <w:vAlign w:val="center"/>
                </w:tcPr>
                <w:p w14:paraId="724B84EC">
                  <w:pPr>
                    <w:jc w:val="center"/>
                    <w:rPr>
                      <w:rFonts w:hint="default" w:ascii="Times New Roman" w:hAnsi="Times New Roman" w:cs="Times New Roman"/>
                      <w:color w:val="auto"/>
                      <w:highlight w:val="none"/>
                    </w:rPr>
                  </w:pPr>
                </w:p>
              </w:tc>
              <w:tc>
                <w:tcPr>
                  <w:tcW w:w="720" w:type="dxa"/>
                  <w:vMerge w:val="continue"/>
                  <w:tcBorders>
                    <w:tl2br w:val="nil"/>
                    <w:tr2bl w:val="nil"/>
                  </w:tcBorders>
                  <w:noWrap w:val="0"/>
                  <w:vAlign w:val="center"/>
                </w:tcPr>
                <w:p w14:paraId="41C1B7E3">
                  <w:pPr>
                    <w:jc w:val="center"/>
                    <w:rPr>
                      <w:rFonts w:hint="default" w:ascii="Times New Roman" w:hAnsi="Times New Roman" w:cs="Times New Roman"/>
                      <w:color w:val="auto"/>
                      <w:highlight w:val="none"/>
                    </w:rPr>
                  </w:pPr>
                </w:p>
              </w:tc>
              <w:tc>
                <w:tcPr>
                  <w:tcW w:w="885" w:type="dxa"/>
                  <w:tcBorders>
                    <w:tl2br w:val="nil"/>
                    <w:tr2bl w:val="nil"/>
                  </w:tcBorders>
                  <w:noWrap w:val="0"/>
                  <w:vAlign w:val="center"/>
                </w:tcPr>
                <w:p w14:paraId="2584D28D">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0~15</w:t>
                  </w:r>
                </w:p>
              </w:tc>
              <w:tc>
                <w:tcPr>
                  <w:tcW w:w="855" w:type="dxa"/>
                  <w:tcBorders>
                    <w:tl2br w:val="nil"/>
                    <w:tr2bl w:val="nil"/>
                  </w:tcBorders>
                  <w:noWrap w:val="0"/>
                  <w:vAlign w:val="center"/>
                </w:tcPr>
                <w:p w14:paraId="7974D9A9">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15~30</w:t>
                  </w:r>
                </w:p>
              </w:tc>
              <w:tc>
                <w:tcPr>
                  <w:tcW w:w="825" w:type="dxa"/>
                  <w:tcBorders>
                    <w:tl2br w:val="nil"/>
                    <w:tr2bl w:val="nil"/>
                  </w:tcBorders>
                  <w:noWrap w:val="0"/>
                  <w:vAlign w:val="center"/>
                </w:tcPr>
                <w:p w14:paraId="0F2E5C41">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0~15</w:t>
                  </w:r>
                </w:p>
              </w:tc>
              <w:tc>
                <w:tcPr>
                  <w:tcW w:w="840" w:type="dxa"/>
                  <w:tcBorders>
                    <w:tl2br w:val="nil"/>
                    <w:tr2bl w:val="nil"/>
                  </w:tcBorders>
                  <w:noWrap w:val="0"/>
                  <w:vAlign w:val="center"/>
                </w:tcPr>
                <w:p w14:paraId="43DAA450">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15~30</w:t>
                  </w:r>
                </w:p>
              </w:tc>
              <w:tc>
                <w:tcPr>
                  <w:tcW w:w="842" w:type="dxa"/>
                  <w:tcBorders>
                    <w:tl2br w:val="nil"/>
                    <w:tr2bl w:val="nil"/>
                  </w:tcBorders>
                  <w:noWrap w:val="0"/>
                  <w:vAlign w:val="center"/>
                </w:tcPr>
                <w:p w14:paraId="6C5C9B5B">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0~15</w:t>
                  </w:r>
                </w:p>
              </w:tc>
              <w:tc>
                <w:tcPr>
                  <w:tcW w:w="793" w:type="dxa"/>
                  <w:tcBorders>
                    <w:tl2br w:val="nil"/>
                    <w:tr2bl w:val="nil"/>
                  </w:tcBorders>
                  <w:noWrap w:val="0"/>
                  <w:vAlign w:val="center"/>
                </w:tcPr>
                <w:p w14:paraId="4533A68F">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15~30</w:t>
                  </w:r>
                </w:p>
              </w:tc>
              <w:tc>
                <w:tcPr>
                  <w:tcW w:w="780" w:type="dxa"/>
                  <w:vMerge w:val="continue"/>
                  <w:tcBorders>
                    <w:tl2br w:val="nil"/>
                    <w:tr2bl w:val="nil"/>
                  </w:tcBorders>
                  <w:noWrap w:val="0"/>
                  <w:vAlign w:val="center"/>
                </w:tcPr>
                <w:p w14:paraId="54BAA78D">
                  <w:pPr>
                    <w:jc w:val="center"/>
                    <w:rPr>
                      <w:rFonts w:hint="default" w:ascii="Times New Roman" w:hAnsi="Times New Roman" w:cs="Times New Roman"/>
                      <w:color w:val="auto"/>
                      <w:sz w:val="21"/>
                      <w:szCs w:val="21"/>
                      <w:highlight w:val="none"/>
                      <w:lang w:val="en-US" w:eastAsia="zh-CN"/>
                    </w:rPr>
                  </w:pPr>
                </w:p>
              </w:tc>
              <w:tc>
                <w:tcPr>
                  <w:tcW w:w="737" w:type="dxa"/>
                  <w:vMerge w:val="continue"/>
                  <w:tcBorders>
                    <w:tl2br w:val="nil"/>
                    <w:tr2bl w:val="nil"/>
                  </w:tcBorders>
                  <w:noWrap w:val="0"/>
                  <w:vAlign w:val="center"/>
                </w:tcPr>
                <w:p w14:paraId="0E53F60D">
                  <w:pPr>
                    <w:jc w:val="center"/>
                    <w:rPr>
                      <w:rFonts w:hint="default" w:ascii="Times New Roman" w:hAnsi="Times New Roman" w:cs="Times New Roman"/>
                      <w:color w:val="auto"/>
                      <w:sz w:val="21"/>
                      <w:szCs w:val="21"/>
                      <w:highlight w:val="none"/>
                      <w:lang w:val="en-US" w:eastAsia="zh-CN"/>
                    </w:rPr>
                  </w:pPr>
                </w:p>
              </w:tc>
            </w:tr>
            <w:tr w14:paraId="46EC1E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93" w:type="dxa"/>
                  <w:tcBorders>
                    <w:tl2br w:val="nil"/>
                    <w:tr2bl w:val="nil"/>
                  </w:tcBorders>
                  <w:noWrap w:val="0"/>
                  <w:vAlign w:val="center"/>
                </w:tcPr>
                <w:p w14:paraId="56178F53">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pH</w:t>
                  </w:r>
                </w:p>
              </w:tc>
              <w:tc>
                <w:tcPr>
                  <w:tcW w:w="720" w:type="dxa"/>
                  <w:tcBorders>
                    <w:tl2br w:val="nil"/>
                    <w:tr2bl w:val="nil"/>
                  </w:tcBorders>
                  <w:noWrap w:val="0"/>
                  <w:vAlign w:val="center"/>
                </w:tcPr>
                <w:p w14:paraId="276672D8">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无量纲</w:t>
                  </w:r>
                </w:p>
              </w:tc>
              <w:tc>
                <w:tcPr>
                  <w:tcW w:w="885" w:type="dxa"/>
                  <w:tcBorders>
                    <w:tl2br w:val="nil"/>
                    <w:tr2bl w:val="nil"/>
                  </w:tcBorders>
                  <w:noWrap w:val="0"/>
                  <w:vAlign w:val="center"/>
                </w:tcPr>
                <w:p w14:paraId="5B4EEAD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7.6</w:t>
                  </w:r>
                </w:p>
              </w:tc>
              <w:tc>
                <w:tcPr>
                  <w:tcW w:w="855" w:type="dxa"/>
                  <w:tcBorders>
                    <w:tl2br w:val="nil"/>
                    <w:tr2bl w:val="nil"/>
                  </w:tcBorders>
                  <w:noWrap w:val="0"/>
                  <w:vAlign w:val="center"/>
                </w:tcPr>
                <w:p w14:paraId="5CB59DAA">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7.8</w:t>
                  </w:r>
                </w:p>
              </w:tc>
              <w:tc>
                <w:tcPr>
                  <w:tcW w:w="825" w:type="dxa"/>
                  <w:tcBorders>
                    <w:tl2br w:val="nil"/>
                    <w:tr2bl w:val="nil"/>
                  </w:tcBorders>
                  <w:noWrap w:val="0"/>
                  <w:vAlign w:val="center"/>
                </w:tcPr>
                <w:p w14:paraId="42755C38">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7.7</w:t>
                  </w:r>
                </w:p>
              </w:tc>
              <w:tc>
                <w:tcPr>
                  <w:tcW w:w="840" w:type="dxa"/>
                  <w:tcBorders>
                    <w:tl2br w:val="nil"/>
                    <w:tr2bl w:val="nil"/>
                  </w:tcBorders>
                  <w:noWrap w:val="0"/>
                  <w:vAlign w:val="center"/>
                </w:tcPr>
                <w:p w14:paraId="6EDB5788">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7.9</w:t>
                  </w:r>
                </w:p>
              </w:tc>
              <w:tc>
                <w:tcPr>
                  <w:tcW w:w="842" w:type="dxa"/>
                  <w:tcBorders>
                    <w:tl2br w:val="nil"/>
                    <w:tr2bl w:val="nil"/>
                  </w:tcBorders>
                  <w:noWrap w:val="0"/>
                  <w:vAlign w:val="center"/>
                </w:tcPr>
                <w:p w14:paraId="06753E39">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7.9</w:t>
                  </w:r>
                </w:p>
              </w:tc>
              <w:tc>
                <w:tcPr>
                  <w:tcW w:w="793" w:type="dxa"/>
                  <w:tcBorders>
                    <w:tl2br w:val="nil"/>
                    <w:tr2bl w:val="nil"/>
                  </w:tcBorders>
                  <w:noWrap w:val="0"/>
                  <w:vAlign w:val="center"/>
                </w:tcPr>
                <w:p w14:paraId="28CA99BA">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7.7</w:t>
                  </w:r>
                </w:p>
              </w:tc>
              <w:tc>
                <w:tcPr>
                  <w:tcW w:w="780" w:type="dxa"/>
                  <w:tcBorders>
                    <w:tl2br w:val="nil"/>
                    <w:tr2bl w:val="nil"/>
                  </w:tcBorders>
                  <w:noWrap w:val="0"/>
                  <w:vAlign w:val="center"/>
                </w:tcPr>
                <w:p w14:paraId="5B4EE349">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737" w:type="dxa"/>
                  <w:tcBorders>
                    <w:tl2br w:val="nil"/>
                    <w:tr2bl w:val="nil"/>
                  </w:tcBorders>
                  <w:noWrap w:val="0"/>
                  <w:vAlign w:val="center"/>
                </w:tcPr>
                <w:p w14:paraId="4348746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2C0066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tcBorders>
                    <w:tl2br w:val="nil"/>
                    <w:tr2bl w:val="nil"/>
                  </w:tcBorders>
                  <w:noWrap w:val="0"/>
                  <w:vAlign w:val="center"/>
                </w:tcPr>
                <w:p w14:paraId="2175CD72">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总汞</w:t>
                  </w:r>
                </w:p>
              </w:tc>
              <w:tc>
                <w:tcPr>
                  <w:tcW w:w="720" w:type="dxa"/>
                  <w:tcBorders>
                    <w:tl2br w:val="nil"/>
                    <w:tr2bl w:val="nil"/>
                  </w:tcBorders>
                  <w:noWrap w:val="0"/>
                  <w:vAlign w:val="center"/>
                </w:tcPr>
                <w:p w14:paraId="53F4E0F1">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mg/L</w:t>
                  </w:r>
                </w:p>
              </w:tc>
              <w:tc>
                <w:tcPr>
                  <w:tcW w:w="885" w:type="dxa"/>
                  <w:tcBorders>
                    <w:tl2br w:val="nil"/>
                    <w:tr2bl w:val="nil"/>
                  </w:tcBorders>
                  <w:noWrap w:val="0"/>
                  <w:vAlign w:val="center"/>
                </w:tcPr>
                <w:p w14:paraId="6CE493D6">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0.768</w:t>
                  </w:r>
                </w:p>
              </w:tc>
              <w:tc>
                <w:tcPr>
                  <w:tcW w:w="855" w:type="dxa"/>
                  <w:tcBorders>
                    <w:tl2br w:val="nil"/>
                    <w:tr2bl w:val="nil"/>
                  </w:tcBorders>
                  <w:noWrap w:val="0"/>
                  <w:vAlign w:val="center"/>
                </w:tcPr>
                <w:p w14:paraId="7E4B6900">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0.715</w:t>
                  </w:r>
                </w:p>
              </w:tc>
              <w:tc>
                <w:tcPr>
                  <w:tcW w:w="825" w:type="dxa"/>
                  <w:tcBorders>
                    <w:tl2br w:val="nil"/>
                    <w:tr2bl w:val="nil"/>
                  </w:tcBorders>
                  <w:noWrap w:val="0"/>
                  <w:vAlign w:val="center"/>
                </w:tcPr>
                <w:p w14:paraId="415A821E">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0.639</w:t>
                  </w:r>
                </w:p>
              </w:tc>
              <w:tc>
                <w:tcPr>
                  <w:tcW w:w="840" w:type="dxa"/>
                  <w:tcBorders>
                    <w:tl2br w:val="nil"/>
                    <w:tr2bl w:val="nil"/>
                  </w:tcBorders>
                  <w:noWrap w:val="0"/>
                  <w:vAlign w:val="center"/>
                </w:tcPr>
                <w:p w14:paraId="3E60B6B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0.677</w:t>
                  </w:r>
                </w:p>
              </w:tc>
              <w:tc>
                <w:tcPr>
                  <w:tcW w:w="842" w:type="dxa"/>
                  <w:tcBorders>
                    <w:tl2br w:val="nil"/>
                    <w:tr2bl w:val="nil"/>
                  </w:tcBorders>
                  <w:noWrap w:val="0"/>
                  <w:vAlign w:val="center"/>
                </w:tcPr>
                <w:p w14:paraId="16953939">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0.636</w:t>
                  </w:r>
                </w:p>
              </w:tc>
              <w:tc>
                <w:tcPr>
                  <w:tcW w:w="793" w:type="dxa"/>
                  <w:tcBorders>
                    <w:tl2br w:val="nil"/>
                    <w:tr2bl w:val="nil"/>
                  </w:tcBorders>
                  <w:noWrap w:val="0"/>
                  <w:vAlign w:val="center"/>
                </w:tcPr>
                <w:p w14:paraId="56BB7B5F">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0.682</w:t>
                  </w:r>
                </w:p>
              </w:tc>
              <w:tc>
                <w:tcPr>
                  <w:tcW w:w="780" w:type="dxa"/>
                  <w:tcBorders>
                    <w:tl2br w:val="nil"/>
                    <w:tr2bl w:val="nil"/>
                  </w:tcBorders>
                  <w:noWrap w:val="0"/>
                  <w:vAlign w:val="center"/>
                </w:tcPr>
                <w:p w14:paraId="28B1852D">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3.4</w:t>
                  </w:r>
                </w:p>
              </w:tc>
              <w:tc>
                <w:tcPr>
                  <w:tcW w:w="737" w:type="dxa"/>
                  <w:tcBorders>
                    <w:tl2br w:val="nil"/>
                    <w:tr2bl w:val="nil"/>
                  </w:tcBorders>
                  <w:noWrap w:val="0"/>
                  <w:vAlign w:val="center"/>
                </w:tcPr>
                <w:p w14:paraId="192ECEF7">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5A6553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tcBorders>
                    <w:tl2br w:val="nil"/>
                    <w:tr2bl w:val="nil"/>
                  </w:tcBorders>
                  <w:noWrap w:val="0"/>
                  <w:vAlign w:val="center"/>
                </w:tcPr>
                <w:p w14:paraId="683FA699">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总砷</w:t>
                  </w:r>
                </w:p>
              </w:tc>
              <w:tc>
                <w:tcPr>
                  <w:tcW w:w="720" w:type="dxa"/>
                  <w:tcBorders>
                    <w:tl2br w:val="nil"/>
                    <w:tr2bl w:val="nil"/>
                  </w:tcBorders>
                  <w:shd w:val="clear" w:color="auto" w:fill="auto"/>
                  <w:noWrap w:val="0"/>
                  <w:vAlign w:val="center"/>
                </w:tcPr>
                <w:p w14:paraId="3A4D371A">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mg/L</w:t>
                  </w:r>
                </w:p>
              </w:tc>
              <w:tc>
                <w:tcPr>
                  <w:tcW w:w="885" w:type="dxa"/>
                  <w:tcBorders>
                    <w:tl2br w:val="nil"/>
                    <w:tr2bl w:val="nil"/>
                  </w:tcBorders>
                  <w:shd w:val="clear" w:color="auto" w:fill="auto"/>
                  <w:noWrap w:val="0"/>
                  <w:vAlign w:val="center"/>
                </w:tcPr>
                <w:p w14:paraId="115E9F32">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7.45</w:t>
                  </w:r>
                </w:p>
              </w:tc>
              <w:tc>
                <w:tcPr>
                  <w:tcW w:w="855" w:type="dxa"/>
                  <w:tcBorders>
                    <w:tl2br w:val="nil"/>
                    <w:tr2bl w:val="nil"/>
                  </w:tcBorders>
                  <w:shd w:val="clear" w:color="auto" w:fill="auto"/>
                  <w:noWrap w:val="0"/>
                  <w:vAlign w:val="center"/>
                </w:tcPr>
                <w:p w14:paraId="2241733B">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6.01</w:t>
                  </w:r>
                </w:p>
              </w:tc>
              <w:tc>
                <w:tcPr>
                  <w:tcW w:w="825" w:type="dxa"/>
                  <w:tcBorders>
                    <w:tl2br w:val="nil"/>
                    <w:tr2bl w:val="nil"/>
                  </w:tcBorders>
                  <w:shd w:val="clear" w:color="auto" w:fill="auto"/>
                  <w:noWrap w:val="0"/>
                  <w:vAlign w:val="center"/>
                </w:tcPr>
                <w:p w14:paraId="06F0772C">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6.88</w:t>
                  </w:r>
                </w:p>
              </w:tc>
              <w:tc>
                <w:tcPr>
                  <w:tcW w:w="840" w:type="dxa"/>
                  <w:tcBorders>
                    <w:tl2br w:val="nil"/>
                    <w:tr2bl w:val="nil"/>
                  </w:tcBorders>
                  <w:shd w:val="clear" w:color="auto" w:fill="auto"/>
                  <w:noWrap w:val="0"/>
                  <w:vAlign w:val="center"/>
                </w:tcPr>
                <w:p w14:paraId="352E12FE">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7.10</w:t>
                  </w:r>
                </w:p>
              </w:tc>
              <w:tc>
                <w:tcPr>
                  <w:tcW w:w="842" w:type="dxa"/>
                  <w:tcBorders>
                    <w:tl2br w:val="nil"/>
                    <w:tr2bl w:val="nil"/>
                  </w:tcBorders>
                  <w:shd w:val="clear" w:color="auto" w:fill="auto"/>
                  <w:noWrap w:val="0"/>
                  <w:vAlign w:val="center"/>
                </w:tcPr>
                <w:p w14:paraId="47DEC8F3">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7.92</w:t>
                  </w:r>
                </w:p>
              </w:tc>
              <w:tc>
                <w:tcPr>
                  <w:tcW w:w="793" w:type="dxa"/>
                  <w:tcBorders>
                    <w:tl2br w:val="nil"/>
                    <w:tr2bl w:val="nil"/>
                  </w:tcBorders>
                  <w:shd w:val="clear" w:color="auto" w:fill="auto"/>
                  <w:noWrap w:val="0"/>
                  <w:vAlign w:val="center"/>
                </w:tcPr>
                <w:p w14:paraId="0E294DFB">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7.79</w:t>
                  </w:r>
                </w:p>
              </w:tc>
              <w:tc>
                <w:tcPr>
                  <w:tcW w:w="780" w:type="dxa"/>
                  <w:tcBorders>
                    <w:tl2br w:val="nil"/>
                    <w:tr2bl w:val="nil"/>
                  </w:tcBorders>
                  <w:noWrap w:val="0"/>
                  <w:vAlign w:val="center"/>
                </w:tcPr>
                <w:p w14:paraId="30C1695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w:t>
                  </w:r>
                </w:p>
              </w:tc>
              <w:tc>
                <w:tcPr>
                  <w:tcW w:w="737" w:type="dxa"/>
                  <w:tcBorders>
                    <w:tl2br w:val="nil"/>
                    <w:tr2bl w:val="nil"/>
                  </w:tcBorders>
                  <w:noWrap w:val="0"/>
                  <w:vAlign w:val="center"/>
                </w:tcPr>
                <w:p w14:paraId="7EBC9337">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达标</w:t>
                  </w:r>
                </w:p>
              </w:tc>
            </w:tr>
            <w:tr w14:paraId="5E9070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693" w:type="dxa"/>
                  <w:tcBorders>
                    <w:tl2br w:val="nil"/>
                    <w:tr2bl w:val="nil"/>
                  </w:tcBorders>
                  <w:noWrap w:val="0"/>
                  <w:vAlign w:val="center"/>
                </w:tcPr>
                <w:p w14:paraId="634CAFBD">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总镉</w:t>
                  </w:r>
                </w:p>
              </w:tc>
              <w:tc>
                <w:tcPr>
                  <w:tcW w:w="720" w:type="dxa"/>
                  <w:tcBorders>
                    <w:tl2br w:val="nil"/>
                    <w:tr2bl w:val="nil"/>
                  </w:tcBorders>
                  <w:noWrap w:val="0"/>
                  <w:vAlign w:val="center"/>
                </w:tcPr>
                <w:p w14:paraId="6016AE97">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mg/L</w:t>
                  </w:r>
                </w:p>
              </w:tc>
              <w:tc>
                <w:tcPr>
                  <w:tcW w:w="885" w:type="dxa"/>
                  <w:tcBorders>
                    <w:tl2br w:val="nil"/>
                    <w:tr2bl w:val="nil"/>
                  </w:tcBorders>
                  <w:shd w:val="clear" w:color="auto" w:fill="auto"/>
                  <w:noWrap w:val="0"/>
                  <w:vAlign w:val="center"/>
                </w:tcPr>
                <w:p w14:paraId="45CD5453">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0.21</w:t>
                  </w:r>
                </w:p>
              </w:tc>
              <w:tc>
                <w:tcPr>
                  <w:tcW w:w="855" w:type="dxa"/>
                  <w:tcBorders>
                    <w:tl2br w:val="nil"/>
                    <w:tr2bl w:val="nil"/>
                  </w:tcBorders>
                  <w:shd w:val="clear" w:color="auto" w:fill="auto"/>
                  <w:noWrap w:val="0"/>
                  <w:vAlign w:val="center"/>
                </w:tcPr>
                <w:p w14:paraId="53021BF3">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0.28</w:t>
                  </w:r>
                </w:p>
              </w:tc>
              <w:tc>
                <w:tcPr>
                  <w:tcW w:w="825" w:type="dxa"/>
                  <w:tcBorders>
                    <w:tl2br w:val="nil"/>
                    <w:tr2bl w:val="nil"/>
                  </w:tcBorders>
                  <w:shd w:val="clear" w:color="auto" w:fill="auto"/>
                  <w:noWrap w:val="0"/>
                  <w:vAlign w:val="center"/>
                </w:tcPr>
                <w:p w14:paraId="1980C49F">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0.25</w:t>
                  </w:r>
                </w:p>
              </w:tc>
              <w:tc>
                <w:tcPr>
                  <w:tcW w:w="840" w:type="dxa"/>
                  <w:tcBorders>
                    <w:tl2br w:val="nil"/>
                    <w:tr2bl w:val="nil"/>
                  </w:tcBorders>
                  <w:shd w:val="clear" w:color="auto" w:fill="auto"/>
                  <w:noWrap w:val="0"/>
                  <w:vAlign w:val="center"/>
                </w:tcPr>
                <w:p w14:paraId="74D985CD">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0.26</w:t>
                  </w:r>
                </w:p>
              </w:tc>
              <w:tc>
                <w:tcPr>
                  <w:tcW w:w="842" w:type="dxa"/>
                  <w:tcBorders>
                    <w:tl2br w:val="nil"/>
                    <w:tr2bl w:val="nil"/>
                  </w:tcBorders>
                  <w:shd w:val="clear" w:color="auto" w:fill="auto"/>
                  <w:noWrap w:val="0"/>
                  <w:vAlign w:val="center"/>
                </w:tcPr>
                <w:p w14:paraId="19FE7494">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0.28</w:t>
                  </w:r>
                </w:p>
              </w:tc>
              <w:tc>
                <w:tcPr>
                  <w:tcW w:w="793" w:type="dxa"/>
                  <w:tcBorders>
                    <w:tl2br w:val="nil"/>
                    <w:tr2bl w:val="nil"/>
                  </w:tcBorders>
                  <w:shd w:val="clear" w:color="auto" w:fill="auto"/>
                  <w:noWrap w:val="0"/>
                  <w:vAlign w:val="center"/>
                </w:tcPr>
                <w:p w14:paraId="219AFB73">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0.26</w:t>
                  </w:r>
                </w:p>
              </w:tc>
              <w:tc>
                <w:tcPr>
                  <w:tcW w:w="780" w:type="dxa"/>
                  <w:tcBorders>
                    <w:tl2br w:val="nil"/>
                    <w:tr2bl w:val="nil"/>
                  </w:tcBorders>
                  <w:noWrap w:val="0"/>
                  <w:vAlign w:val="center"/>
                </w:tcPr>
                <w:p w14:paraId="5DDF368D">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w:t>
                  </w:r>
                </w:p>
              </w:tc>
              <w:tc>
                <w:tcPr>
                  <w:tcW w:w="737" w:type="dxa"/>
                  <w:tcBorders>
                    <w:tl2br w:val="nil"/>
                    <w:tr2bl w:val="nil"/>
                  </w:tcBorders>
                  <w:noWrap w:val="0"/>
                  <w:vAlign w:val="center"/>
                </w:tcPr>
                <w:p w14:paraId="3C6A5B6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47856F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tcBorders>
                    <w:tl2br w:val="nil"/>
                    <w:tr2bl w:val="nil"/>
                  </w:tcBorders>
                  <w:noWrap w:val="0"/>
                  <w:vAlign w:val="center"/>
                </w:tcPr>
                <w:p w14:paraId="4EA64A71">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总铅</w:t>
                  </w:r>
                </w:p>
              </w:tc>
              <w:tc>
                <w:tcPr>
                  <w:tcW w:w="720" w:type="dxa"/>
                  <w:tcBorders>
                    <w:tl2br w:val="nil"/>
                    <w:tr2bl w:val="nil"/>
                  </w:tcBorders>
                  <w:shd w:val="clear" w:color="auto" w:fill="auto"/>
                  <w:noWrap w:val="0"/>
                  <w:vAlign w:val="center"/>
                </w:tcPr>
                <w:p w14:paraId="7888F6E2">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mg/L</w:t>
                  </w:r>
                </w:p>
              </w:tc>
              <w:tc>
                <w:tcPr>
                  <w:tcW w:w="885" w:type="dxa"/>
                  <w:tcBorders>
                    <w:tl2br w:val="nil"/>
                    <w:tr2bl w:val="nil"/>
                  </w:tcBorders>
                  <w:shd w:val="clear" w:color="auto" w:fill="auto"/>
                  <w:noWrap w:val="0"/>
                  <w:vAlign w:val="center"/>
                </w:tcPr>
                <w:p w14:paraId="7185FEFA">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26</w:t>
                  </w:r>
                </w:p>
              </w:tc>
              <w:tc>
                <w:tcPr>
                  <w:tcW w:w="855" w:type="dxa"/>
                  <w:tcBorders>
                    <w:tl2br w:val="nil"/>
                    <w:tr2bl w:val="nil"/>
                  </w:tcBorders>
                  <w:shd w:val="clear" w:color="auto" w:fill="auto"/>
                  <w:noWrap w:val="0"/>
                  <w:vAlign w:val="center"/>
                </w:tcPr>
                <w:p w14:paraId="305157B6">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24</w:t>
                  </w:r>
                </w:p>
              </w:tc>
              <w:tc>
                <w:tcPr>
                  <w:tcW w:w="825" w:type="dxa"/>
                  <w:tcBorders>
                    <w:tl2br w:val="nil"/>
                    <w:tr2bl w:val="nil"/>
                  </w:tcBorders>
                  <w:shd w:val="clear" w:color="auto" w:fill="auto"/>
                  <w:noWrap w:val="0"/>
                  <w:vAlign w:val="center"/>
                </w:tcPr>
                <w:p w14:paraId="2414512E">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21</w:t>
                  </w:r>
                </w:p>
              </w:tc>
              <w:tc>
                <w:tcPr>
                  <w:tcW w:w="840" w:type="dxa"/>
                  <w:tcBorders>
                    <w:tl2br w:val="nil"/>
                    <w:tr2bl w:val="nil"/>
                  </w:tcBorders>
                  <w:shd w:val="clear" w:color="auto" w:fill="auto"/>
                  <w:noWrap w:val="0"/>
                  <w:vAlign w:val="center"/>
                </w:tcPr>
                <w:p w14:paraId="54BE0772">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25</w:t>
                  </w:r>
                </w:p>
              </w:tc>
              <w:tc>
                <w:tcPr>
                  <w:tcW w:w="842" w:type="dxa"/>
                  <w:tcBorders>
                    <w:tl2br w:val="nil"/>
                    <w:tr2bl w:val="nil"/>
                  </w:tcBorders>
                  <w:shd w:val="clear" w:color="auto" w:fill="auto"/>
                  <w:noWrap w:val="0"/>
                  <w:vAlign w:val="center"/>
                </w:tcPr>
                <w:p w14:paraId="25F00B5C">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23</w:t>
                  </w:r>
                </w:p>
              </w:tc>
              <w:tc>
                <w:tcPr>
                  <w:tcW w:w="793" w:type="dxa"/>
                  <w:tcBorders>
                    <w:tl2br w:val="nil"/>
                    <w:tr2bl w:val="nil"/>
                  </w:tcBorders>
                  <w:shd w:val="clear" w:color="auto" w:fill="auto"/>
                  <w:noWrap w:val="0"/>
                  <w:vAlign w:val="center"/>
                </w:tcPr>
                <w:p w14:paraId="48F692B9">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25</w:t>
                  </w:r>
                </w:p>
              </w:tc>
              <w:tc>
                <w:tcPr>
                  <w:tcW w:w="780" w:type="dxa"/>
                  <w:tcBorders>
                    <w:tl2br w:val="nil"/>
                    <w:tr2bl w:val="nil"/>
                  </w:tcBorders>
                  <w:noWrap w:val="0"/>
                  <w:vAlign w:val="center"/>
                </w:tcPr>
                <w:p w14:paraId="6B9EE647">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170</w:t>
                  </w:r>
                </w:p>
              </w:tc>
              <w:tc>
                <w:tcPr>
                  <w:tcW w:w="737" w:type="dxa"/>
                  <w:tcBorders>
                    <w:tl2br w:val="nil"/>
                    <w:tr2bl w:val="nil"/>
                  </w:tcBorders>
                  <w:noWrap w:val="0"/>
                  <w:vAlign w:val="center"/>
                </w:tcPr>
                <w:p w14:paraId="3F3B98D8">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402F1B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tcBorders>
                    <w:tl2br w:val="nil"/>
                    <w:tr2bl w:val="nil"/>
                  </w:tcBorders>
                  <w:noWrap w:val="0"/>
                  <w:vAlign w:val="center"/>
                </w:tcPr>
                <w:p w14:paraId="39F3F4BF">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总铬</w:t>
                  </w:r>
                </w:p>
              </w:tc>
              <w:tc>
                <w:tcPr>
                  <w:tcW w:w="720" w:type="dxa"/>
                  <w:tcBorders>
                    <w:tl2br w:val="nil"/>
                    <w:tr2bl w:val="nil"/>
                  </w:tcBorders>
                  <w:shd w:val="clear" w:color="auto" w:fill="auto"/>
                  <w:noWrap w:val="0"/>
                  <w:vAlign w:val="center"/>
                </w:tcPr>
                <w:p w14:paraId="6822FC27">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mg/L</w:t>
                  </w:r>
                </w:p>
              </w:tc>
              <w:tc>
                <w:tcPr>
                  <w:tcW w:w="885" w:type="dxa"/>
                  <w:tcBorders>
                    <w:tl2br w:val="nil"/>
                    <w:tr2bl w:val="nil"/>
                  </w:tcBorders>
                  <w:shd w:val="clear" w:color="auto" w:fill="auto"/>
                  <w:noWrap w:val="0"/>
                  <w:vAlign w:val="center"/>
                </w:tcPr>
                <w:p w14:paraId="1C4CD0F1">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69</w:t>
                  </w:r>
                </w:p>
              </w:tc>
              <w:tc>
                <w:tcPr>
                  <w:tcW w:w="855" w:type="dxa"/>
                  <w:tcBorders>
                    <w:tl2br w:val="nil"/>
                    <w:tr2bl w:val="nil"/>
                  </w:tcBorders>
                  <w:shd w:val="clear" w:color="auto" w:fill="auto"/>
                  <w:noWrap w:val="0"/>
                  <w:vAlign w:val="center"/>
                </w:tcPr>
                <w:p w14:paraId="34DC9B64">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63</w:t>
                  </w:r>
                </w:p>
              </w:tc>
              <w:tc>
                <w:tcPr>
                  <w:tcW w:w="825" w:type="dxa"/>
                  <w:tcBorders>
                    <w:tl2br w:val="nil"/>
                    <w:tr2bl w:val="nil"/>
                  </w:tcBorders>
                  <w:shd w:val="clear" w:color="auto" w:fill="auto"/>
                  <w:noWrap w:val="0"/>
                  <w:vAlign w:val="center"/>
                </w:tcPr>
                <w:p w14:paraId="102AA1EA">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59</w:t>
                  </w:r>
                </w:p>
              </w:tc>
              <w:tc>
                <w:tcPr>
                  <w:tcW w:w="840" w:type="dxa"/>
                  <w:tcBorders>
                    <w:tl2br w:val="nil"/>
                    <w:tr2bl w:val="nil"/>
                  </w:tcBorders>
                  <w:shd w:val="clear" w:color="auto" w:fill="auto"/>
                  <w:noWrap w:val="0"/>
                  <w:vAlign w:val="center"/>
                </w:tcPr>
                <w:p w14:paraId="65F7CFC7">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66</w:t>
                  </w:r>
                </w:p>
              </w:tc>
              <w:tc>
                <w:tcPr>
                  <w:tcW w:w="842" w:type="dxa"/>
                  <w:tcBorders>
                    <w:tl2br w:val="nil"/>
                    <w:tr2bl w:val="nil"/>
                  </w:tcBorders>
                  <w:shd w:val="clear" w:color="auto" w:fill="auto"/>
                  <w:noWrap w:val="0"/>
                  <w:vAlign w:val="center"/>
                </w:tcPr>
                <w:p w14:paraId="0B939D93">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84</w:t>
                  </w:r>
                </w:p>
              </w:tc>
              <w:tc>
                <w:tcPr>
                  <w:tcW w:w="793" w:type="dxa"/>
                  <w:tcBorders>
                    <w:tl2br w:val="nil"/>
                    <w:tr2bl w:val="nil"/>
                  </w:tcBorders>
                  <w:shd w:val="clear" w:color="auto" w:fill="auto"/>
                  <w:noWrap w:val="0"/>
                  <w:vAlign w:val="center"/>
                </w:tcPr>
                <w:p w14:paraId="521E798A">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57</w:t>
                  </w:r>
                </w:p>
              </w:tc>
              <w:tc>
                <w:tcPr>
                  <w:tcW w:w="780" w:type="dxa"/>
                  <w:tcBorders>
                    <w:tl2br w:val="nil"/>
                    <w:tr2bl w:val="nil"/>
                  </w:tcBorders>
                  <w:noWrap w:val="0"/>
                  <w:vAlign w:val="center"/>
                </w:tcPr>
                <w:p w14:paraId="450A5942">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250</w:t>
                  </w:r>
                </w:p>
              </w:tc>
              <w:tc>
                <w:tcPr>
                  <w:tcW w:w="737" w:type="dxa"/>
                  <w:tcBorders>
                    <w:tl2br w:val="nil"/>
                    <w:tr2bl w:val="nil"/>
                  </w:tcBorders>
                  <w:noWrap w:val="0"/>
                  <w:vAlign w:val="center"/>
                </w:tcPr>
                <w:p w14:paraId="5EA27A67">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24D775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tcBorders>
                    <w:tl2br w:val="nil"/>
                    <w:tr2bl w:val="nil"/>
                  </w:tcBorders>
                  <w:shd w:val="clear" w:color="auto" w:fill="auto"/>
                  <w:noWrap w:val="0"/>
                  <w:vAlign w:val="center"/>
                </w:tcPr>
                <w:p w14:paraId="1A8666BE">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总铜</w:t>
                  </w:r>
                </w:p>
              </w:tc>
              <w:tc>
                <w:tcPr>
                  <w:tcW w:w="720" w:type="dxa"/>
                  <w:tcBorders>
                    <w:tl2br w:val="nil"/>
                    <w:tr2bl w:val="nil"/>
                  </w:tcBorders>
                  <w:noWrap w:val="0"/>
                  <w:vAlign w:val="center"/>
                </w:tcPr>
                <w:p w14:paraId="58787B0D">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mg/L</w:t>
                  </w:r>
                </w:p>
              </w:tc>
              <w:tc>
                <w:tcPr>
                  <w:tcW w:w="885" w:type="dxa"/>
                  <w:tcBorders>
                    <w:tl2br w:val="nil"/>
                    <w:tr2bl w:val="nil"/>
                  </w:tcBorders>
                  <w:noWrap w:val="0"/>
                  <w:vAlign w:val="center"/>
                </w:tcPr>
                <w:p w14:paraId="2E0B33AD">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69</w:t>
                  </w:r>
                </w:p>
              </w:tc>
              <w:tc>
                <w:tcPr>
                  <w:tcW w:w="855" w:type="dxa"/>
                  <w:tcBorders>
                    <w:tl2br w:val="nil"/>
                    <w:tr2bl w:val="nil"/>
                  </w:tcBorders>
                  <w:noWrap w:val="0"/>
                  <w:vAlign w:val="center"/>
                </w:tcPr>
                <w:p w14:paraId="4B54C9C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57</w:t>
                  </w:r>
                </w:p>
              </w:tc>
              <w:tc>
                <w:tcPr>
                  <w:tcW w:w="825" w:type="dxa"/>
                  <w:tcBorders>
                    <w:tl2br w:val="nil"/>
                    <w:tr2bl w:val="nil"/>
                  </w:tcBorders>
                  <w:noWrap w:val="0"/>
                  <w:vAlign w:val="center"/>
                </w:tcPr>
                <w:p w14:paraId="79D61FF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52</w:t>
                  </w:r>
                </w:p>
              </w:tc>
              <w:tc>
                <w:tcPr>
                  <w:tcW w:w="840" w:type="dxa"/>
                  <w:tcBorders>
                    <w:tl2br w:val="nil"/>
                    <w:tr2bl w:val="nil"/>
                  </w:tcBorders>
                  <w:noWrap w:val="0"/>
                  <w:vAlign w:val="center"/>
                </w:tcPr>
                <w:p w14:paraId="44878EE2">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61</w:t>
                  </w:r>
                </w:p>
              </w:tc>
              <w:tc>
                <w:tcPr>
                  <w:tcW w:w="842" w:type="dxa"/>
                  <w:tcBorders>
                    <w:tl2br w:val="nil"/>
                    <w:tr2bl w:val="nil"/>
                  </w:tcBorders>
                  <w:noWrap w:val="0"/>
                  <w:vAlign w:val="center"/>
                </w:tcPr>
                <w:p w14:paraId="59F47D5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58</w:t>
                  </w:r>
                </w:p>
              </w:tc>
              <w:tc>
                <w:tcPr>
                  <w:tcW w:w="793" w:type="dxa"/>
                  <w:tcBorders>
                    <w:tl2br w:val="nil"/>
                    <w:tr2bl w:val="nil"/>
                  </w:tcBorders>
                  <w:noWrap w:val="0"/>
                  <w:vAlign w:val="center"/>
                </w:tcPr>
                <w:p w14:paraId="4B6B6C78">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w:t>
                  </w:r>
                </w:p>
              </w:tc>
              <w:tc>
                <w:tcPr>
                  <w:tcW w:w="780" w:type="dxa"/>
                  <w:tcBorders>
                    <w:tl2br w:val="nil"/>
                    <w:tr2bl w:val="nil"/>
                  </w:tcBorders>
                  <w:noWrap w:val="0"/>
                  <w:vAlign w:val="center"/>
                </w:tcPr>
                <w:p w14:paraId="4A831E9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w:t>
                  </w:r>
                </w:p>
              </w:tc>
              <w:tc>
                <w:tcPr>
                  <w:tcW w:w="737" w:type="dxa"/>
                  <w:tcBorders>
                    <w:tl2br w:val="nil"/>
                    <w:tr2bl w:val="nil"/>
                  </w:tcBorders>
                  <w:noWrap w:val="0"/>
                  <w:vAlign w:val="center"/>
                </w:tcPr>
                <w:p w14:paraId="2466115D">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64459D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tcBorders>
                    <w:tl2br w:val="nil"/>
                    <w:tr2bl w:val="nil"/>
                  </w:tcBorders>
                  <w:shd w:val="clear" w:color="auto" w:fill="auto"/>
                  <w:noWrap w:val="0"/>
                  <w:vAlign w:val="center"/>
                </w:tcPr>
                <w:p w14:paraId="28132FE2">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总锌</w:t>
                  </w:r>
                </w:p>
              </w:tc>
              <w:tc>
                <w:tcPr>
                  <w:tcW w:w="720" w:type="dxa"/>
                  <w:tcBorders>
                    <w:tl2br w:val="nil"/>
                    <w:tr2bl w:val="nil"/>
                  </w:tcBorders>
                  <w:noWrap w:val="0"/>
                  <w:vAlign w:val="center"/>
                </w:tcPr>
                <w:p w14:paraId="63177D40">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mg/L</w:t>
                  </w:r>
                </w:p>
              </w:tc>
              <w:tc>
                <w:tcPr>
                  <w:tcW w:w="885" w:type="dxa"/>
                  <w:tcBorders>
                    <w:tl2br w:val="nil"/>
                    <w:tr2bl w:val="nil"/>
                  </w:tcBorders>
                  <w:noWrap w:val="0"/>
                  <w:vAlign w:val="center"/>
                </w:tcPr>
                <w:p w14:paraId="05203852">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26</w:t>
                  </w:r>
                </w:p>
              </w:tc>
              <w:tc>
                <w:tcPr>
                  <w:tcW w:w="855" w:type="dxa"/>
                  <w:tcBorders>
                    <w:tl2br w:val="nil"/>
                    <w:tr2bl w:val="nil"/>
                  </w:tcBorders>
                  <w:noWrap w:val="0"/>
                  <w:vAlign w:val="center"/>
                </w:tcPr>
                <w:p w14:paraId="6651AD6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23</w:t>
                  </w:r>
                </w:p>
              </w:tc>
              <w:tc>
                <w:tcPr>
                  <w:tcW w:w="825" w:type="dxa"/>
                  <w:tcBorders>
                    <w:tl2br w:val="nil"/>
                    <w:tr2bl w:val="nil"/>
                  </w:tcBorders>
                  <w:noWrap w:val="0"/>
                  <w:vAlign w:val="center"/>
                </w:tcPr>
                <w:p w14:paraId="10460152">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w:t>
                  </w:r>
                </w:p>
              </w:tc>
              <w:tc>
                <w:tcPr>
                  <w:tcW w:w="840" w:type="dxa"/>
                  <w:tcBorders>
                    <w:tl2br w:val="nil"/>
                    <w:tr2bl w:val="nil"/>
                  </w:tcBorders>
                  <w:noWrap w:val="0"/>
                  <w:vAlign w:val="center"/>
                </w:tcPr>
                <w:p w14:paraId="15CA6E97">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w:t>
                  </w:r>
                </w:p>
              </w:tc>
              <w:tc>
                <w:tcPr>
                  <w:tcW w:w="842" w:type="dxa"/>
                  <w:tcBorders>
                    <w:tl2br w:val="nil"/>
                    <w:tr2bl w:val="nil"/>
                  </w:tcBorders>
                  <w:noWrap w:val="0"/>
                  <w:vAlign w:val="center"/>
                </w:tcPr>
                <w:p w14:paraId="7B87D4EF">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29</w:t>
                  </w:r>
                </w:p>
              </w:tc>
              <w:tc>
                <w:tcPr>
                  <w:tcW w:w="793" w:type="dxa"/>
                  <w:tcBorders>
                    <w:tl2br w:val="nil"/>
                    <w:tr2bl w:val="nil"/>
                  </w:tcBorders>
                  <w:noWrap w:val="0"/>
                  <w:vAlign w:val="center"/>
                </w:tcPr>
                <w:p w14:paraId="496BCCE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w:t>
                  </w:r>
                </w:p>
              </w:tc>
              <w:tc>
                <w:tcPr>
                  <w:tcW w:w="780" w:type="dxa"/>
                  <w:tcBorders>
                    <w:tl2br w:val="nil"/>
                    <w:tr2bl w:val="nil"/>
                  </w:tcBorders>
                  <w:noWrap w:val="0"/>
                  <w:vAlign w:val="center"/>
                </w:tcPr>
                <w:p w14:paraId="4E7AFE6E">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300</w:t>
                  </w:r>
                </w:p>
              </w:tc>
              <w:tc>
                <w:tcPr>
                  <w:tcW w:w="737" w:type="dxa"/>
                  <w:tcBorders>
                    <w:tl2br w:val="nil"/>
                    <w:tr2bl w:val="nil"/>
                  </w:tcBorders>
                  <w:noWrap w:val="0"/>
                  <w:vAlign w:val="center"/>
                </w:tcPr>
                <w:p w14:paraId="359BF6C5">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2A64B8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693" w:type="dxa"/>
                  <w:tcBorders>
                    <w:tl2br w:val="nil"/>
                    <w:tr2bl w:val="nil"/>
                  </w:tcBorders>
                  <w:shd w:val="clear" w:color="auto" w:fill="auto"/>
                  <w:noWrap w:val="0"/>
                  <w:vAlign w:val="center"/>
                </w:tcPr>
                <w:p w14:paraId="048FD99F">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总镍</w:t>
                  </w:r>
                </w:p>
              </w:tc>
              <w:tc>
                <w:tcPr>
                  <w:tcW w:w="720" w:type="dxa"/>
                  <w:tcBorders>
                    <w:tl2br w:val="nil"/>
                    <w:tr2bl w:val="nil"/>
                  </w:tcBorders>
                  <w:shd w:val="clear" w:color="auto" w:fill="auto"/>
                  <w:noWrap w:val="0"/>
                  <w:vAlign w:val="center"/>
                </w:tcPr>
                <w:p w14:paraId="7E6A6614">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mg/L</w:t>
                  </w:r>
                </w:p>
              </w:tc>
              <w:tc>
                <w:tcPr>
                  <w:tcW w:w="885" w:type="dxa"/>
                  <w:tcBorders>
                    <w:tl2br w:val="nil"/>
                    <w:tr2bl w:val="nil"/>
                  </w:tcBorders>
                  <w:shd w:val="clear" w:color="auto" w:fill="auto"/>
                  <w:noWrap w:val="0"/>
                  <w:vAlign w:val="center"/>
                </w:tcPr>
                <w:p w14:paraId="50415188">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40</w:t>
                  </w:r>
                </w:p>
              </w:tc>
              <w:tc>
                <w:tcPr>
                  <w:tcW w:w="855" w:type="dxa"/>
                  <w:tcBorders>
                    <w:tl2br w:val="nil"/>
                    <w:tr2bl w:val="nil"/>
                  </w:tcBorders>
                  <w:shd w:val="clear" w:color="auto" w:fill="auto"/>
                  <w:noWrap w:val="0"/>
                  <w:vAlign w:val="center"/>
                </w:tcPr>
                <w:p w14:paraId="3176CAA3">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36</w:t>
                  </w:r>
                </w:p>
              </w:tc>
              <w:tc>
                <w:tcPr>
                  <w:tcW w:w="825" w:type="dxa"/>
                  <w:tcBorders>
                    <w:tl2br w:val="nil"/>
                    <w:tr2bl w:val="nil"/>
                  </w:tcBorders>
                  <w:shd w:val="clear" w:color="auto" w:fill="auto"/>
                  <w:noWrap w:val="0"/>
                  <w:vAlign w:val="center"/>
                </w:tcPr>
                <w:p w14:paraId="3EFBF8F7">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35</w:t>
                  </w:r>
                </w:p>
              </w:tc>
              <w:tc>
                <w:tcPr>
                  <w:tcW w:w="840" w:type="dxa"/>
                  <w:tcBorders>
                    <w:tl2br w:val="nil"/>
                    <w:tr2bl w:val="nil"/>
                  </w:tcBorders>
                  <w:shd w:val="clear" w:color="auto" w:fill="auto"/>
                  <w:noWrap w:val="0"/>
                  <w:vAlign w:val="center"/>
                </w:tcPr>
                <w:p w14:paraId="2342CC8A">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41</w:t>
                  </w:r>
                </w:p>
              </w:tc>
              <w:tc>
                <w:tcPr>
                  <w:tcW w:w="842" w:type="dxa"/>
                  <w:tcBorders>
                    <w:tl2br w:val="nil"/>
                    <w:tr2bl w:val="nil"/>
                  </w:tcBorders>
                  <w:shd w:val="clear" w:color="auto" w:fill="auto"/>
                  <w:noWrap w:val="0"/>
                  <w:vAlign w:val="center"/>
                </w:tcPr>
                <w:p w14:paraId="1B34B118">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39</w:t>
                  </w:r>
                </w:p>
              </w:tc>
              <w:tc>
                <w:tcPr>
                  <w:tcW w:w="793" w:type="dxa"/>
                  <w:tcBorders>
                    <w:tl2br w:val="nil"/>
                    <w:tr2bl w:val="nil"/>
                  </w:tcBorders>
                  <w:shd w:val="clear" w:color="auto" w:fill="auto"/>
                  <w:noWrap w:val="0"/>
                  <w:vAlign w:val="center"/>
                </w:tcPr>
                <w:p w14:paraId="0CAE22C6">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33</w:t>
                  </w:r>
                </w:p>
              </w:tc>
              <w:tc>
                <w:tcPr>
                  <w:tcW w:w="780" w:type="dxa"/>
                  <w:tcBorders>
                    <w:tl2br w:val="nil"/>
                    <w:tr2bl w:val="nil"/>
                  </w:tcBorders>
                  <w:shd w:val="clear" w:color="auto" w:fill="auto"/>
                  <w:noWrap w:val="0"/>
                  <w:vAlign w:val="center"/>
                </w:tcPr>
                <w:p w14:paraId="70F6AC91">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190</w:t>
                  </w:r>
                </w:p>
              </w:tc>
              <w:tc>
                <w:tcPr>
                  <w:tcW w:w="737" w:type="dxa"/>
                  <w:tcBorders>
                    <w:tl2br w:val="nil"/>
                    <w:tr2bl w:val="nil"/>
                  </w:tcBorders>
                  <w:noWrap w:val="0"/>
                  <w:vAlign w:val="center"/>
                </w:tcPr>
                <w:p w14:paraId="2187D63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bl>
          <w:p w14:paraId="6E9C8CCA">
            <w:pPr>
              <w:pStyle w:val="8"/>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根据监测数据分析结果，本项目</w:t>
            </w:r>
            <w:r>
              <w:rPr>
                <w:rFonts w:hint="default" w:ascii="Times New Roman" w:hAnsi="Times New Roman" w:cs="Times New Roman"/>
                <w:color w:val="auto"/>
                <w:kern w:val="2"/>
                <w:sz w:val="24"/>
                <w:szCs w:val="24"/>
                <w:highlight w:val="none"/>
                <w:lang w:val="en-US" w:eastAsia="zh-CN" w:bidi="ar-SA"/>
              </w:rPr>
              <w:t>高崖沟</w:t>
            </w:r>
            <w:r>
              <w:rPr>
                <w:rFonts w:hint="default" w:ascii="Times New Roman" w:hAnsi="Times New Roman" w:eastAsia="宋体" w:cs="Times New Roman"/>
                <w:color w:val="auto"/>
                <w:kern w:val="2"/>
                <w:sz w:val="24"/>
                <w:szCs w:val="24"/>
                <w:highlight w:val="none"/>
                <w:lang w:val="en-US" w:eastAsia="zh-CN" w:bidi="ar-SA"/>
              </w:rPr>
              <w:t>沟道内底泥各项污染物均达标，均满足《土壤环境质量 农用地土壤污染风险管控标准（试行）》（GB15618-2018）标准。</w:t>
            </w:r>
          </w:p>
          <w:p w14:paraId="79AE6F3E">
            <w:pPr>
              <w:pStyle w:val="8"/>
              <w:spacing w:line="360" w:lineRule="auto"/>
              <w:ind w:firstLine="480" w:firstLineChars="200"/>
              <w:rPr>
                <w:rFonts w:hint="default" w:ascii="Times New Roman" w:hAnsi="Times New Roman" w:eastAsia="黑体" w:cs="Times New Roman"/>
                <w:b w:val="0"/>
                <w:bCs w:val="0"/>
                <w:color w:val="auto"/>
                <w:kern w:val="2"/>
                <w:sz w:val="24"/>
                <w:szCs w:val="24"/>
                <w:highlight w:val="none"/>
                <w:lang w:val="en-US" w:eastAsia="zh-CN" w:bidi="ar-SA"/>
              </w:rPr>
            </w:pPr>
            <w:r>
              <w:rPr>
                <w:rFonts w:hint="default" w:ascii="Times New Roman" w:hAnsi="Times New Roman" w:eastAsia="黑体" w:cs="Times New Roman"/>
                <w:b w:val="0"/>
                <w:bCs w:val="0"/>
                <w:color w:val="auto"/>
                <w:kern w:val="2"/>
                <w:sz w:val="24"/>
                <w:szCs w:val="24"/>
                <w:highlight w:val="none"/>
                <w:lang w:val="en-US" w:eastAsia="zh-CN" w:bidi="ar-SA"/>
              </w:rPr>
              <w:t>6、声环境</w:t>
            </w:r>
          </w:p>
          <w:p w14:paraId="7520892D">
            <w:pPr>
              <w:pStyle w:val="67"/>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根据实地调查，本项目外周边</w:t>
            </w:r>
            <w:r>
              <w:rPr>
                <w:rFonts w:hint="eastAsia" w:eastAsia="宋体" w:cs="Times New Roman"/>
                <w:color w:val="auto"/>
                <w:kern w:val="2"/>
                <w:sz w:val="24"/>
                <w:szCs w:val="24"/>
                <w:highlight w:val="none"/>
                <w:lang w:val="en-US" w:eastAsia="zh-CN" w:bidi="ar-SA"/>
              </w:rPr>
              <w:t>200</w:t>
            </w:r>
            <w:r>
              <w:rPr>
                <w:rFonts w:hint="default" w:ascii="Times New Roman" w:hAnsi="Times New Roman" w:eastAsia="宋体" w:cs="Times New Roman"/>
                <w:color w:val="auto"/>
                <w:kern w:val="2"/>
                <w:sz w:val="24"/>
                <w:szCs w:val="24"/>
                <w:highlight w:val="none"/>
                <w:lang w:val="en-US" w:eastAsia="zh-CN" w:bidi="ar-SA"/>
              </w:rPr>
              <w:t>米范围</w:t>
            </w:r>
            <w:r>
              <w:rPr>
                <w:rFonts w:hint="eastAsia" w:eastAsia="宋体" w:cs="Times New Roman"/>
                <w:color w:val="auto"/>
                <w:kern w:val="2"/>
                <w:sz w:val="24"/>
                <w:szCs w:val="24"/>
                <w:highlight w:val="none"/>
                <w:lang w:val="en-US" w:eastAsia="zh-CN" w:bidi="ar-SA"/>
              </w:rPr>
              <w:t>内</w:t>
            </w:r>
            <w:r>
              <w:rPr>
                <w:rFonts w:hint="default" w:ascii="Times New Roman" w:hAnsi="Times New Roman" w:eastAsia="宋体" w:cs="Times New Roman"/>
                <w:color w:val="auto"/>
                <w:kern w:val="2"/>
                <w:sz w:val="24"/>
                <w:szCs w:val="24"/>
                <w:highlight w:val="none"/>
                <w:lang w:val="en-US" w:eastAsia="zh-CN" w:bidi="ar-SA"/>
              </w:rPr>
              <w:t>有居民区声环境保护目标。因此，本次委托甘肃亿源环境检测科技有限公司于2026年2月11日对居民区声环境开展了监测。</w:t>
            </w:r>
          </w:p>
          <w:p w14:paraId="1999031C">
            <w:pPr>
              <w:pStyle w:val="9"/>
              <w:adjustRightInd w:val="0"/>
              <w:snapToGrid w:val="0"/>
              <w:spacing w:after="0"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（1）监测布点</w:t>
            </w:r>
          </w:p>
          <w:p w14:paraId="6B0DA794">
            <w:pPr>
              <w:pStyle w:val="9"/>
              <w:adjustRightInd w:val="0"/>
              <w:snapToGrid w:val="0"/>
              <w:spacing w:after="0" w:line="360" w:lineRule="auto"/>
              <w:ind w:firstLine="480" w:firstLineChars="200"/>
              <w:jc w:val="left"/>
              <w:rPr>
                <w:rFonts w:hint="default" w:ascii="Times New Roman" w:hAnsi="Times New Roman" w:eastAsia="宋体" w:cs="Times New Roman"/>
                <w:color w:val="auto"/>
                <w:sz w:val="24"/>
                <w:szCs w:val="24"/>
                <w:highlight w:val="none"/>
              </w:rPr>
            </w:pPr>
            <w:r>
              <w:rPr>
                <w:rFonts w:hint="eastAsia" w:eastAsia="宋体" w:cs="Times New Roman"/>
                <w:color w:val="auto"/>
                <w:sz w:val="24"/>
                <w:szCs w:val="24"/>
                <w:highlight w:val="none"/>
                <w:lang w:val="en-US" w:eastAsia="zh-CN"/>
              </w:rPr>
              <w:t>本项目仅在施工期产生噪声，运营期无噪声影响，因此本次评价仅</w:t>
            </w:r>
            <w:r>
              <w:rPr>
                <w:rFonts w:hint="default" w:ascii="Times New Roman" w:hAnsi="Times New Roman" w:eastAsia="宋体" w:cs="Times New Roman"/>
                <w:color w:val="auto"/>
                <w:sz w:val="24"/>
                <w:szCs w:val="24"/>
                <w:highlight w:val="none"/>
                <w:lang w:val="en-US" w:eastAsia="zh-CN"/>
              </w:rPr>
              <w:t>在</w:t>
            </w:r>
            <w:r>
              <w:rPr>
                <w:rFonts w:hint="eastAsia" w:eastAsia="宋体" w:cs="Times New Roman"/>
                <w:color w:val="auto"/>
                <w:sz w:val="24"/>
                <w:szCs w:val="24"/>
                <w:highlight w:val="none"/>
                <w:lang w:val="en-US" w:eastAsia="zh-CN"/>
              </w:rPr>
              <w:t>距离最近的声环境</w:t>
            </w:r>
            <w:r>
              <w:rPr>
                <w:rFonts w:hint="default" w:ascii="Times New Roman" w:hAnsi="Times New Roman" w:eastAsia="宋体" w:cs="Times New Roman"/>
                <w:color w:val="auto"/>
                <w:sz w:val="24"/>
                <w:szCs w:val="24"/>
                <w:highlight w:val="none"/>
                <w:lang w:val="en-US" w:eastAsia="zh-CN"/>
              </w:rPr>
              <w:t>敏感目标陆合村及兴仁村</w:t>
            </w:r>
            <w:r>
              <w:rPr>
                <w:rFonts w:hint="eastAsia" w:ascii="Times New Roman" w:hAnsi="Times New Roman" w:eastAsia="宋体" w:cs="Times New Roman"/>
                <w:color w:val="auto"/>
                <w:sz w:val="24"/>
                <w:szCs w:val="24"/>
                <w:highlight w:val="none"/>
                <w:lang w:val="en-US" w:eastAsia="zh-CN"/>
              </w:rPr>
              <w:t>距离本项目最近的农户</w:t>
            </w:r>
            <w:r>
              <w:rPr>
                <w:rFonts w:hint="eastAsia" w:eastAsia="宋体" w:cs="Times New Roman"/>
                <w:color w:val="auto"/>
                <w:sz w:val="24"/>
                <w:szCs w:val="24"/>
                <w:highlight w:val="none"/>
                <w:lang w:val="en-US" w:eastAsia="zh-CN"/>
              </w:rPr>
              <w:t>（均为平房）</w:t>
            </w:r>
            <w:r>
              <w:rPr>
                <w:rFonts w:hint="default" w:ascii="Times New Roman" w:hAnsi="Times New Roman" w:eastAsia="宋体" w:cs="Times New Roman"/>
                <w:color w:val="auto"/>
                <w:sz w:val="24"/>
                <w:szCs w:val="24"/>
                <w:highlight w:val="none"/>
                <w:lang w:val="en-US" w:eastAsia="zh-CN"/>
              </w:rPr>
              <w:t>各设置1个监测点，共</w:t>
            </w:r>
            <w:r>
              <w:rPr>
                <w:rFonts w:hint="default" w:ascii="Times New Roman" w:hAnsi="Times New Roman" w:eastAsia="宋体" w:cs="Times New Roman"/>
                <w:color w:val="auto"/>
                <w:sz w:val="24"/>
                <w:szCs w:val="24"/>
                <w:highlight w:val="none"/>
              </w:rPr>
              <w:t>布设</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个监测点；</w:t>
            </w:r>
          </w:p>
          <w:p w14:paraId="57214907">
            <w:pPr>
              <w:pStyle w:val="9"/>
              <w:adjustRightInd w:val="0"/>
              <w:snapToGrid w:val="0"/>
              <w:spacing w:after="0"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）监测因子及频率</w:t>
            </w:r>
          </w:p>
          <w:p w14:paraId="72E2BBB7">
            <w:pPr>
              <w:pStyle w:val="9"/>
              <w:adjustRightInd w:val="0"/>
              <w:snapToGrid w:val="0"/>
              <w:spacing w:after="0"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监测因子：等效连续A声级</w:t>
            </w:r>
          </w:p>
          <w:p w14:paraId="7AB0147A">
            <w:pPr>
              <w:pStyle w:val="9"/>
              <w:adjustRightInd w:val="0"/>
              <w:snapToGrid w:val="0"/>
              <w:spacing w:after="0"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监测频率：昼间（6：00～22：00）和夜间（22：00～6：00）两个时段，昼、夜各1次，监测</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天。</w:t>
            </w:r>
          </w:p>
          <w:p w14:paraId="35912C85">
            <w:pPr>
              <w:pStyle w:val="9"/>
              <w:adjustRightInd w:val="0"/>
              <w:snapToGrid w:val="0"/>
              <w:spacing w:after="0"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）监测仪器</w:t>
            </w:r>
          </w:p>
          <w:p w14:paraId="515BA3FE">
            <w:pPr>
              <w:pStyle w:val="9"/>
              <w:adjustRightInd w:val="0"/>
              <w:snapToGrid w:val="0"/>
              <w:spacing w:after="0" w:line="360" w:lineRule="auto"/>
              <w:ind w:firstLine="480" w:firstLineChars="200"/>
              <w:jc w:val="left"/>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仪器名称：</w:t>
            </w:r>
            <w:r>
              <w:rPr>
                <w:rFonts w:hint="default" w:ascii="Times New Roman" w:hAnsi="Times New Roman" w:eastAsia="宋体" w:cs="Times New Roman"/>
                <w:color w:val="auto"/>
                <w:sz w:val="24"/>
                <w:szCs w:val="24"/>
                <w:highlight w:val="none"/>
                <w:lang w:val="en-US" w:eastAsia="zh-CN"/>
              </w:rPr>
              <w:t>多功能声级计AWA5688</w:t>
            </w:r>
            <w:r>
              <w:rPr>
                <w:rFonts w:hint="default" w:ascii="Times New Roman" w:hAnsi="Times New Roman" w:eastAsia="宋体" w:cs="Times New Roman"/>
                <w:color w:val="auto"/>
                <w:sz w:val="24"/>
                <w:szCs w:val="24"/>
                <w:highlight w:val="none"/>
                <w:lang w:eastAsia="zh-CN"/>
              </w:rPr>
              <w:t>；</w:t>
            </w:r>
          </w:p>
          <w:p w14:paraId="58CF883E">
            <w:pPr>
              <w:pStyle w:val="9"/>
              <w:adjustRightInd w:val="0"/>
              <w:snapToGrid w:val="0"/>
              <w:spacing w:after="0"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）评价标准</w:t>
            </w:r>
          </w:p>
          <w:p w14:paraId="581E741C">
            <w:pPr>
              <w:pStyle w:val="9"/>
              <w:adjustRightInd w:val="0"/>
              <w:snapToGrid w:val="0"/>
              <w:spacing w:after="0"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根据《声环境质量标准》（GB3096-2008）中各类标准适用区域的说明，本项目所在地为乡村居住环境，属于区域环境噪声1类标准适用区，因此执行1类标准：昼间55dB（A）、夜间45dB（A）。</w:t>
            </w:r>
          </w:p>
          <w:p w14:paraId="01C275BF">
            <w:pPr>
              <w:pStyle w:val="9"/>
              <w:adjustRightInd w:val="0"/>
              <w:snapToGrid w:val="0"/>
              <w:spacing w:after="0"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）监测结果分析与评价</w:t>
            </w:r>
          </w:p>
          <w:p w14:paraId="128048D6">
            <w:pPr>
              <w:pStyle w:val="9"/>
              <w:adjustRightInd w:val="0"/>
              <w:snapToGrid w:val="0"/>
              <w:spacing w:after="0" w:line="360" w:lineRule="auto"/>
              <w:ind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检测结果见表3-3。</w:t>
            </w:r>
          </w:p>
          <w:p w14:paraId="24CDE1B9">
            <w:pPr>
              <w:spacing w:after="0" w:line="400" w:lineRule="exact"/>
              <w:jc w:val="center"/>
              <w:rPr>
                <w:rFonts w:hint="default" w:ascii="Times New Roman" w:hAnsi="Times New Roman" w:eastAsia="黑体" w:cs="Times New Roman"/>
                <w:b w:val="0"/>
                <w:bCs w:val="0"/>
                <w:color w:val="auto"/>
                <w:sz w:val="24"/>
                <w:szCs w:val="24"/>
                <w:highlight w:val="none"/>
              </w:rPr>
            </w:pPr>
            <w:r>
              <w:rPr>
                <w:rFonts w:hint="default" w:ascii="Times New Roman" w:hAnsi="Times New Roman" w:eastAsia="黑体" w:cs="Times New Roman"/>
                <w:b w:val="0"/>
                <w:bCs w:val="0"/>
                <w:color w:val="auto"/>
                <w:sz w:val="24"/>
                <w:szCs w:val="24"/>
                <w:highlight w:val="none"/>
              </w:rPr>
              <w:t>表3-</w:t>
            </w:r>
            <w:r>
              <w:rPr>
                <w:rFonts w:hint="default" w:ascii="Times New Roman" w:hAnsi="Times New Roman" w:eastAsia="黑体" w:cs="Times New Roman"/>
                <w:b w:val="0"/>
                <w:bCs w:val="0"/>
                <w:color w:val="auto"/>
                <w:sz w:val="24"/>
                <w:szCs w:val="24"/>
                <w:highlight w:val="none"/>
                <w:lang w:val="en-US" w:eastAsia="zh-CN"/>
              </w:rPr>
              <w:t>4</w:t>
            </w:r>
            <w:r>
              <w:rPr>
                <w:rFonts w:hint="default" w:ascii="Times New Roman" w:hAnsi="Times New Roman" w:eastAsia="黑体" w:cs="Times New Roman"/>
                <w:b w:val="0"/>
                <w:bCs w:val="0"/>
                <w:color w:val="auto"/>
                <w:sz w:val="24"/>
                <w:szCs w:val="24"/>
                <w:highlight w:val="none"/>
              </w:rPr>
              <w:t xml:space="preserve">  环境噪声现状监测结果表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27"/>
              <w:gridCol w:w="3631"/>
              <w:gridCol w:w="1874"/>
              <w:gridCol w:w="1488"/>
            </w:tblGrid>
            <w:tr w14:paraId="16115B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27" w:type="dxa"/>
                  <w:vMerge w:val="restart"/>
                  <w:noWrap w:val="0"/>
                  <w:vAlign w:val="center"/>
                </w:tcPr>
                <w:p w14:paraId="31AD3441">
                  <w:pPr>
                    <w:spacing w:after="0" w:line="300" w:lineRule="exact"/>
                    <w:jc w:val="center"/>
                    <w:rPr>
                      <w:rStyle w:val="84"/>
                      <w:rFonts w:hint="default" w:ascii="Times New Roman" w:hAnsi="Times New Roman" w:cs="Times New Roman"/>
                      <w:b/>
                      <w:bCs/>
                      <w:color w:val="auto"/>
                      <w:sz w:val="21"/>
                      <w:szCs w:val="21"/>
                      <w:highlight w:val="none"/>
                    </w:rPr>
                  </w:pPr>
                  <w:r>
                    <w:rPr>
                      <w:rStyle w:val="84"/>
                      <w:rFonts w:hint="default" w:ascii="Times New Roman" w:hAnsi="Times New Roman" w:cs="Times New Roman"/>
                      <w:b/>
                      <w:bCs/>
                      <w:color w:val="auto"/>
                      <w:sz w:val="21"/>
                      <w:szCs w:val="21"/>
                      <w:highlight w:val="none"/>
                    </w:rPr>
                    <w:t>序号</w:t>
                  </w:r>
                </w:p>
              </w:tc>
              <w:tc>
                <w:tcPr>
                  <w:tcW w:w="3630" w:type="dxa"/>
                  <w:vMerge w:val="restart"/>
                  <w:noWrap w:val="0"/>
                  <w:vAlign w:val="center"/>
                </w:tcPr>
                <w:p w14:paraId="7D5830DA">
                  <w:pPr>
                    <w:spacing w:after="0" w:line="300" w:lineRule="exact"/>
                    <w:jc w:val="center"/>
                    <w:rPr>
                      <w:rStyle w:val="84"/>
                      <w:rFonts w:hint="default" w:ascii="Times New Roman" w:hAnsi="Times New Roman" w:cs="Times New Roman"/>
                      <w:b/>
                      <w:bCs/>
                      <w:color w:val="auto"/>
                      <w:sz w:val="21"/>
                      <w:szCs w:val="21"/>
                      <w:highlight w:val="none"/>
                    </w:rPr>
                  </w:pPr>
                  <w:r>
                    <w:rPr>
                      <w:rStyle w:val="84"/>
                      <w:rFonts w:hint="default" w:ascii="Times New Roman" w:hAnsi="Times New Roman" w:cs="Times New Roman"/>
                      <w:b/>
                      <w:bCs/>
                      <w:color w:val="auto"/>
                      <w:sz w:val="21"/>
                      <w:szCs w:val="21"/>
                      <w:highlight w:val="none"/>
                    </w:rPr>
                    <w:t>点位描述</w:t>
                  </w:r>
                </w:p>
              </w:tc>
              <w:tc>
                <w:tcPr>
                  <w:tcW w:w="3361" w:type="dxa"/>
                  <w:gridSpan w:val="2"/>
                  <w:noWrap w:val="0"/>
                  <w:vAlign w:val="center"/>
                </w:tcPr>
                <w:p w14:paraId="01A2932F">
                  <w:pPr>
                    <w:spacing w:after="0" w:line="300" w:lineRule="exact"/>
                    <w:jc w:val="center"/>
                    <w:rPr>
                      <w:rStyle w:val="84"/>
                      <w:rFonts w:hint="default" w:ascii="Times New Roman" w:hAnsi="Times New Roman" w:eastAsia="宋体" w:cs="Times New Roman"/>
                      <w:b/>
                      <w:bCs/>
                      <w:color w:val="auto"/>
                      <w:sz w:val="21"/>
                      <w:szCs w:val="21"/>
                      <w:highlight w:val="none"/>
                      <w:lang w:val="en-US" w:eastAsia="zh-CN"/>
                    </w:rPr>
                  </w:pPr>
                  <w:r>
                    <w:rPr>
                      <w:rStyle w:val="84"/>
                      <w:rFonts w:hint="default" w:ascii="Times New Roman" w:hAnsi="Times New Roman" w:cs="Times New Roman"/>
                      <w:b/>
                      <w:bCs/>
                      <w:color w:val="auto"/>
                      <w:sz w:val="21"/>
                      <w:szCs w:val="21"/>
                      <w:highlight w:val="none"/>
                      <w:lang w:val="en-US" w:eastAsia="zh-CN"/>
                    </w:rPr>
                    <w:t>2月11日</w:t>
                  </w:r>
                </w:p>
              </w:tc>
            </w:tr>
            <w:tr w14:paraId="038AAB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27" w:type="dxa"/>
                  <w:vMerge w:val="continue"/>
                  <w:noWrap w:val="0"/>
                  <w:vAlign w:val="center"/>
                </w:tcPr>
                <w:p w14:paraId="4C571D96">
                  <w:pPr>
                    <w:spacing w:after="0" w:line="300" w:lineRule="exact"/>
                    <w:jc w:val="center"/>
                    <w:rPr>
                      <w:rFonts w:hint="default" w:ascii="Times New Roman" w:hAnsi="Times New Roman" w:cs="Times New Roman"/>
                      <w:color w:val="auto"/>
                      <w:highlight w:val="none"/>
                    </w:rPr>
                  </w:pPr>
                </w:p>
              </w:tc>
              <w:tc>
                <w:tcPr>
                  <w:tcW w:w="3630" w:type="dxa"/>
                  <w:vMerge w:val="continue"/>
                  <w:noWrap w:val="0"/>
                  <w:vAlign w:val="center"/>
                </w:tcPr>
                <w:p w14:paraId="589B7C64">
                  <w:pPr>
                    <w:spacing w:after="0" w:line="300" w:lineRule="exact"/>
                    <w:jc w:val="center"/>
                    <w:rPr>
                      <w:rFonts w:hint="default" w:ascii="Times New Roman" w:hAnsi="Times New Roman" w:cs="Times New Roman"/>
                      <w:color w:val="auto"/>
                      <w:highlight w:val="none"/>
                    </w:rPr>
                  </w:pPr>
                </w:p>
              </w:tc>
              <w:tc>
                <w:tcPr>
                  <w:tcW w:w="1874" w:type="dxa"/>
                  <w:noWrap w:val="0"/>
                  <w:vAlign w:val="center"/>
                </w:tcPr>
                <w:p w14:paraId="3A81E365">
                  <w:pPr>
                    <w:spacing w:after="0" w:line="300" w:lineRule="exact"/>
                    <w:jc w:val="center"/>
                    <w:rPr>
                      <w:rStyle w:val="84"/>
                      <w:rFonts w:hint="default" w:ascii="Times New Roman" w:hAnsi="Times New Roman" w:cs="Times New Roman"/>
                      <w:b/>
                      <w:bCs/>
                      <w:color w:val="auto"/>
                      <w:sz w:val="21"/>
                      <w:szCs w:val="21"/>
                      <w:highlight w:val="none"/>
                    </w:rPr>
                  </w:pPr>
                  <w:r>
                    <w:rPr>
                      <w:rStyle w:val="84"/>
                      <w:rFonts w:hint="default" w:ascii="Times New Roman" w:hAnsi="Times New Roman" w:cs="Times New Roman"/>
                      <w:b/>
                      <w:bCs/>
                      <w:color w:val="auto"/>
                      <w:sz w:val="21"/>
                      <w:szCs w:val="21"/>
                      <w:highlight w:val="none"/>
                    </w:rPr>
                    <w:t>昼间dB(A)</w:t>
                  </w:r>
                </w:p>
              </w:tc>
              <w:tc>
                <w:tcPr>
                  <w:tcW w:w="1487" w:type="dxa"/>
                  <w:noWrap w:val="0"/>
                  <w:vAlign w:val="center"/>
                </w:tcPr>
                <w:p w14:paraId="3DD8DABA">
                  <w:pPr>
                    <w:spacing w:after="0" w:line="300" w:lineRule="exact"/>
                    <w:jc w:val="center"/>
                    <w:rPr>
                      <w:rStyle w:val="84"/>
                      <w:rFonts w:hint="default" w:ascii="Times New Roman" w:hAnsi="Times New Roman" w:cs="Times New Roman"/>
                      <w:b/>
                      <w:bCs/>
                      <w:color w:val="auto"/>
                      <w:sz w:val="21"/>
                      <w:szCs w:val="21"/>
                      <w:highlight w:val="none"/>
                    </w:rPr>
                  </w:pPr>
                  <w:r>
                    <w:rPr>
                      <w:rStyle w:val="84"/>
                      <w:rFonts w:hint="default" w:ascii="Times New Roman" w:hAnsi="Times New Roman" w:cs="Times New Roman"/>
                      <w:b/>
                      <w:bCs/>
                      <w:color w:val="auto"/>
                      <w:sz w:val="21"/>
                      <w:szCs w:val="21"/>
                      <w:highlight w:val="none"/>
                    </w:rPr>
                    <w:t>夜间dB(A)</w:t>
                  </w:r>
                </w:p>
              </w:tc>
            </w:tr>
            <w:tr w14:paraId="5905A1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27" w:type="dxa"/>
                  <w:noWrap w:val="0"/>
                  <w:vAlign w:val="center"/>
                </w:tcPr>
                <w:p w14:paraId="753F95C4">
                  <w:pPr>
                    <w:pStyle w:val="4"/>
                    <w:spacing w:after="0" w:line="300" w:lineRule="exact"/>
                    <w:jc w:val="center"/>
                    <w:outlineLvl w:val="2"/>
                    <w:rPr>
                      <w:rFonts w:hint="default" w:ascii="Times New Roman" w:hAnsi="Times New Roman" w:cs="Times New Roman"/>
                      <w:b w:val="0"/>
                      <w:bCs w:val="0"/>
                      <w:color w:val="auto"/>
                      <w:sz w:val="21"/>
                      <w:szCs w:val="21"/>
                      <w:highlight w:val="none"/>
                      <w:lang w:val="en-US"/>
                    </w:rPr>
                  </w:pPr>
                  <w:r>
                    <w:rPr>
                      <w:rFonts w:hint="default" w:ascii="Times New Roman" w:hAnsi="Times New Roman" w:cs="Times New Roman"/>
                      <w:b w:val="0"/>
                      <w:bCs w:val="0"/>
                      <w:color w:val="auto"/>
                      <w:sz w:val="21"/>
                      <w:szCs w:val="21"/>
                      <w:highlight w:val="none"/>
                      <w:lang w:val="en-US"/>
                    </w:rPr>
                    <w:t>1</w:t>
                  </w:r>
                </w:p>
              </w:tc>
              <w:tc>
                <w:tcPr>
                  <w:tcW w:w="3630" w:type="dxa"/>
                  <w:noWrap w:val="0"/>
                  <w:vAlign w:val="center"/>
                </w:tcPr>
                <w:p w14:paraId="6B10037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陆合村</w:t>
                  </w:r>
                </w:p>
              </w:tc>
              <w:tc>
                <w:tcPr>
                  <w:tcW w:w="1874" w:type="dxa"/>
                  <w:noWrap w:val="0"/>
                  <w:vAlign w:val="center"/>
                </w:tcPr>
                <w:p w14:paraId="1E77D73C">
                  <w:pPr>
                    <w:keepNext w:val="0"/>
                    <w:keepLines w:val="0"/>
                    <w:widowControl/>
                    <w:suppressLineNumbers w:val="0"/>
                    <w:spacing w:after="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53</w:t>
                  </w:r>
                </w:p>
              </w:tc>
              <w:tc>
                <w:tcPr>
                  <w:tcW w:w="1487" w:type="dxa"/>
                  <w:noWrap w:val="0"/>
                  <w:vAlign w:val="center"/>
                </w:tcPr>
                <w:p w14:paraId="3ED56CB7">
                  <w:pPr>
                    <w:keepNext w:val="0"/>
                    <w:keepLines w:val="0"/>
                    <w:widowControl/>
                    <w:suppressLineNumbers w:val="0"/>
                    <w:spacing w:after="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w:t>
                  </w:r>
                  <w:r>
                    <w:rPr>
                      <w:rFonts w:hint="default" w:ascii="Times New Roman" w:hAnsi="Times New Roman" w:cs="Times New Roman"/>
                      <w:b w:val="0"/>
                      <w:bCs w:val="0"/>
                      <w:color w:val="auto"/>
                      <w:sz w:val="21"/>
                      <w:szCs w:val="21"/>
                      <w:highlight w:val="none"/>
                      <w:lang w:val="en-US" w:eastAsia="zh-CN"/>
                    </w:rPr>
                    <w:t>2</w:t>
                  </w:r>
                </w:p>
              </w:tc>
            </w:tr>
            <w:tr w14:paraId="726A55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27" w:type="dxa"/>
                  <w:noWrap w:val="0"/>
                  <w:vAlign w:val="center"/>
                </w:tcPr>
                <w:p w14:paraId="6656EEF5">
                  <w:pPr>
                    <w:pStyle w:val="4"/>
                    <w:spacing w:after="0" w:line="300" w:lineRule="exact"/>
                    <w:jc w:val="center"/>
                    <w:outlineLvl w:val="2"/>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2</w:t>
                  </w:r>
                </w:p>
              </w:tc>
              <w:tc>
                <w:tcPr>
                  <w:tcW w:w="3630" w:type="dxa"/>
                  <w:noWrap w:val="0"/>
                  <w:vAlign w:val="center"/>
                </w:tcPr>
                <w:p w14:paraId="27077BC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兴仁村</w:t>
                  </w:r>
                </w:p>
              </w:tc>
              <w:tc>
                <w:tcPr>
                  <w:tcW w:w="1874" w:type="dxa"/>
                  <w:noWrap w:val="0"/>
                  <w:vAlign w:val="center"/>
                </w:tcPr>
                <w:p w14:paraId="379B1094">
                  <w:pPr>
                    <w:keepNext w:val="0"/>
                    <w:keepLines w:val="0"/>
                    <w:widowControl/>
                    <w:suppressLineNumbers w:val="0"/>
                    <w:spacing w:after="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52</w:t>
                  </w:r>
                </w:p>
              </w:tc>
              <w:tc>
                <w:tcPr>
                  <w:tcW w:w="1487" w:type="dxa"/>
                  <w:noWrap w:val="0"/>
                  <w:vAlign w:val="center"/>
                </w:tcPr>
                <w:p w14:paraId="054B1743">
                  <w:pPr>
                    <w:keepNext w:val="0"/>
                    <w:keepLines w:val="0"/>
                    <w:widowControl/>
                    <w:suppressLineNumbers w:val="0"/>
                    <w:spacing w:after="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41</w:t>
                  </w:r>
                </w:p>
              </w:tc>
            </w:tr>
          </w:tbl>
          <w:p w14:paraId="2A2AA30A">
            <w:pPr>
              <w:adjustRightInd w:val="0"/>
              <w:snapToGrid w:val="0"/>
              <w:spacing w:before="120" w:beforeLines="50" w:after="0"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由表可知，</w:t>
            </w:r>
            <w:r>
              <w:rPr>
                <w:rFonts w:hint="default" w:ascii="Times New Roman" w:hAnsi="Times New Roman" w:cs="Times New Roman"/>
                <w:color w:val="auto"/>
                <w:sz w:val="24"/>
                <w:highlight w:val="none"/>
                <w:lang w:val="en-US" w:eastAsia="zh-CN"/>
              </w:rPr>
              <w:t>现状</w:t>
            </w:r>
            <w:r>
              <w:rPr>
                <w:rFonts w:hint="default" w:ascii="Times New Roman" w:hAnsi="Times New Roman" w:cs="Times New Roman"/>
                <w:color w:val="auto"/>
                <w:sz w:val="24"/>
                <w:highlight w:val="none"/>
              </w:rPr>
              <w:t>昼间等效声级在</w:t>
            </w:r>
            <w:r>
              <w:rPr>
                <w:rFonts w:hint="default" w:ascii="Times New Roman" w:hAnsi="Times New Roman" w:cs="Times New Roman"/>
                <w:color w:val="auto"/>
                <w:sz w:val="24"/>
                <w:highlight w:val="none"/>
                <w:lang w:val="en-US" w:eastAsia="zh-CN"/>
              </w:rPr>
              <w:t>52~53</w:t>
            </w:r>
            <w:r>
              <w:rPr>
                <w:rFonts w:hint="default" w:ascii="Times New Roman" w:hAnsi="Times New Roman" w:cs="Times New Roman"/>
                <w:color w:val="auto"/>
                <w:sz w:val="24"/>
                <w:highlight w:val="none"/>
              </w:rPr>
              <w:t>dB(A)之间，夜间等效声级在</w:t>
            </w:r>
            <w:r>
              <w:rPr>
                <w:rFonts w:hint="default" w:ascii="Times New Roman" w:hAnsi="Times New Roman" w:cs="Times New Roman"/>
                <w:color w:val="auto"/>
                <w:sz w:val="24"/>
                <w:highlight w:val="none"/>
                <w:lang w:val="en-US" w:eastAsia="zh-CN"/>
              </w:rPr>
              <w:t>41~42</w:t>
            </w:r>
            <w:r>
              <w:rPr>
                <w:rFonts w:hint="default" w:ascii="Times New Roman" w:hAnsi="Times New Roman" w:cs="Times New Roman"/>
                <w:color w:val="auto"/>
                <w:sz w:val="24"/>
                <w:highlight w:val="none"/>
              </w:rPr>
              <w:t>dB(A)之间，均符合《声环境质量标准》（GB3096-2008）</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rPr>
              <w:t>类标准要求。</w:t>
            </w:r>
          </w:p>
          <w:p w14:paraId="493335AE">
            <w:pPr>
              <w:tabs>
                <w:tab w:val="left" w:pos="6384"/>
              </w:tabs>
              <w:adjustRightInd w:val="0"/>
              <w:snapToGrid w:val="0"/>
              <w:spacing w:line="360" w:lineRule="auto"/>
              <w:ind w:firstLine="480" w:firstLineChars="200"/>
              <w:rPr>
                <w:rFonts w:hint="default" w:ascii="Times New Roman" w:hAnsi="Times New Roman" w:eastAsia="黑体" w:cs="Times New Roman"/>
                <w:b w:val="0"/>
                <w:bCs w:val="0"/>
                <w:color w:val="auto"/>
                <w:kern w:val="2"/>
                <w:sz w:val="24"/>
                <w:szCs w:val="24"/>
                <w:highlight w:val="none"/>
                <w:lang w:val="en-US" w:eastAsia="zh-CN" w:bidi="ar-SA"/>
              </w:rPr>
            </w:pPr>
            <w:r>
              <w:rPr>
                <w:rFonts w:hint="default" w:ascii="Times New Roman" w:hAnsi="Times New Roman" w:eastAsia="黑体" w:cs="Times New Roman"/>
                <w:b w:val="0"/>
                <w:bCs w:val="0"/>
                <w:color w:val="auto"/>
                <w:kern w:val="2"/>
                <w:sz w:val="24"/>
                <w:szCs w:val="24"/>
                <w:highlight w:val="none"/>
                <w:lang w:val="en-US" w:eastAsia="zh-CN" w:bidi="ar-SA"/>
              </w:rPr>
              <w:t>7、地下水、土壤环境质量现状</w:t>
            </w:r>
          </w:p>
          <w:p w14:paraId="51B11664">
            <w:pPr>
              <w:tabs>
                <w:tab w:val="left" w:pos="6384"/>
              </w:tabs>
              <w:adjustRightInd w:val="0"/>
              <w:snapToGrid w:val="0"/>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本项目为</w:t>
            </w:r>
            <w:r>
              <w:rPr>
                <w:rFonts w:hint="eastAsia" w:cs="Times New Roman"/>
                <w:color w:val="auto"/>
                <w:kern w:val="2"/>
                <w:sz w:val="24"/>
                <w:szCs w:val="24"/>
                <w:highlight w:val="none"/>
                <w:lang w:val="en-US" w:eastAsia="zh-CN" w:bidi="ar-SA"/>
              </w:rPr>
              <w:t>河道边坡砌护及清淤疏浚</w:t>
            </w:r>
            <w:r>
              <w:rPr>
                <w:rFonts w:hint="default" w:ascii="Times New Roman" w:hAnsi="Times New Roman" w:eastAsia="宋体" w:cs="Times New Roman"/>
                <w:color w:val="auto"/>
                <w:kern w:val="2"/>
                <w:sz w:val="24"/>
                <w:szCs w:val="24"/>
                <w:highlight w:val="none"/>
                <w:lang w:val="en-US" w:eastAsia="zh-CN" w:bidi="ar-SA"/>
              </w:rPr>
              <w:t>工程，根据《环境影响评价技术导则 地下水环境》（HJ610-2016）附录A，确定本工程所属的地下水环境影响评价项目类别为Ⅳ类，不需要开展地下水评价工作。</w:t>
            </w:r>
          </w:p>
          <w:p w14:paraId="68D0A86A">
            <w:pPr>
              <w:tabs>
                <w:tab w:val="left" w:pos="6384"/>
              </w:tabs>
              <w:adjustRightInd w:val="0"/>
              <w:snapToGrid w:val="0"/>
              <w:spacing w:line="360" w:lineRule="auto"/>
              <w:ind w:firstLine="480" w:firstLineChars="200"/>
              <w:rPr>
                <w:rFonts w:hint="default" w:ascii="Times New Roman" w:hAnsi="Times New Roman" w:eastAsia="仿宋_GB2312" w:cs="Times New Roman"/>
                <w:color w:val="auto"/>
                <w:kern w:val="0"/>
                <w:sz w:val="24"/>
                <w:highlight w:val="none"/>
              </w:rPr>
            </w:pPr>
            <w:r>
              <w:rPr>
                <w:rFonts w:hint="default" w:ascii="Times New Roman" w:hAnsi="Times New Roman" w:eastAsia="宋体" w:cs="Times New Roman"/>
                <w:color w:val="auto"/>
                <w:kern w:val="2"/>
                <w:sz w:val="24"/>
                <w:szCs w:val="24"/>
                <w:highlight w:val="none"/>
                <w:lang w:val="en-US" w:eastAsia="zh-CN" w:bidi="ar-SA"/>
              </w:rPr>
              <w:t>根据《环境影响评价技术导则 土壤环境（试行）》（HJ964-2018）附录A，本项目</w:t>
            </w:r>
            <w:r>
              <w:rPr>
                <w:rFonts w:hint="default" w:ascii="Times New Roman" w:hAnsi="Times New Roman" w:cs="Times New Roman"/>
                <w:color w:val="auto"/>
                <w:kern w:val="2"/>
                <w:sz w:val="24"/>
                <w:szCs w:val="24"/>
                <w:highlight w:val="none"/>
                <w:lang w:val="en-US" w:eastAsia="zh-CN" w:bidi="ar-SA"/>
              </w:rPr>
              <w:t>属于</w:t>
            </w:r>
            <w:r>
              <w:rPr>
                <w:rFonts w:hint="eastAsia" w:cs="Times New Roman"/>
                <w:color w:val="auto"/>
                <w:kern w:val="2"/>
                <w:sz w:val="24"/>
                <w:szCs w:val="24"/>
                <w:highlight w:val="none"/>
                <w:lang w:val="en-US" w:eastAsia="zh-CN" w:bidi="ar-SA"/>
              </w:rPr>
              <w:t>水利-其他</w:t>
            </w:r>
            <w:r>
              <w:rPr>
                <w:rFonts w:hint="default" w:ascii="Times New Roman" w:hAnsi="Times New Roman" w:eastAsia="宋体" w:cs="Times New Roman"/>
                <w:color w:val="auto"/>
                <w:kern w:val="2"/>
                <w:sz w:val="24"/>
                <w:szCs w:val="24"/>
                <w:highlight w:val="none"/>
                <w:lang w:val="en-US" w:eastAsia="zh-CN" w:bidi="ar-SA"/>
              </w:rPr>
              <w:t>。根据《环境影响评价技术导则 土壤环境（试行）》（HJ964-2018）中评价工作等级划分依据，本工程不需要开展土壤评价工作。</w:t>
            </w:r>
          </w:p>
        </w:tc>
      </w:tr>
      <w:tr w14:paraId="2D765BE3">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0" w:hRule="atLeast"/>
          <w:jc w:val="center"/>
        </w:trPr>
        <w:tc>
          <w:tcPr>
            <w:tcW w:w="556" w:type="dxa"/>
            <w:tcBorders>
              <w:tl2br w:val="nil"/>
              <w:tr2bl w:val="nil"/>
            </w:tcBorders>
            <w:vAlign w:val="center"/>
          </w:tcPr>
          <w:p w14:paraId="4ADCBCFE">
            <w:pPr>
              <w:adjustRightInd w:val="0"/>
              <w:snapToGrid w:val="0"/>
              <w:jc w:val="center"/>
              <w:rPr>
                <w:rFonts w:hint="default" w:ascii="Times New Roman" w:hAnsi="Times New Roman" w:eastAsia="宋体" w:cs="Times New Roman"/>
                <w:b/>
                <w:bCs/>
                <w:color w:val="auto"/>
                <w:kern w:val="0"/>
                <w:sz w:val="24"/>
                <w:highlight w:val="none"/>
                <w:lang w:eastAsia="zh-CN"/>
              </w:rPr>
            </w:pPr>
            <w:r>
              <w:rPr>
                <w:rFonts w:hint="default" w:ascii="Times New Roman" w:hAnsi="Times New Roman" w:cs="Times New Roman"/>
                <w:b/>
                <w:bCs/>
                <w:color w:val="auto"/>
                <w:kern w:val="0"/>
                <w:sz w:val="24"/>
                <w:highlight w:val="none"/>
                <w:lang w:eastAsia="zh-CN"/>
              </w:rPr>
              <w:t>与项目有关的原有环境污染和生态破坏问题</w:t>
            </w:r>
          </w:p>
        </w:tc>
        <w:tc>
          <w:tcPr>
            <w:tcW w:w="8434" w:type="dxa"/>
            <w:tcBorders>
              <w:tl2br w:val="nil"/>
              <w:tr2bl w:val="nil"/>
            </w:tcBorders>
            <w:vAlign w:val="center"/>
          </w:tcPr>
          <w:p w14:paraId="10D0703B">
            <w:pPr>
              <w:pStyle w:val="11"/>
              <w:adjustRightInd w:val="0"/>
              <w:spacing w:before="0" w:after="0" w:line="360" w:lineRule="auto"/>
              <w:ind w:right="0" w:firstLine="480" w:firstLineChars="200"/>
              <w:rPr>
                <w:rFonts w:hint="default" w:ascii="Times New Roman" w:hAnsi="Times New Roman" w:eastAsia="宋体" w:cs="Times New Roman"/>
                <w:b w:val="0"/>
                <w:bCs w:val="0"/>
                <w:color w:val="auto"/>
                <w:kern w:val="0"/>
                <w:sz w:val="24"/>
                <w:szCs w:val="24"/>
                <w:highlight w:val="none"/>
                <w:lang w:val="en-US" w:eastAsia="zh-CN" w:bidi="ar-SA"/>
              </w:rPr>
            </w:pPr>
            <w:r>
              <w:rPr>
                <w:rFonts w:hint="eastAsia" w:cs="Times New Roman"/>
                <w:b w:val="0"/>
                <w:bCs w:val="0"/>
                <w:color w:val="auto"/>
                <w:kern w:val="0"/>
                <w:sz w:val="24"/>
                <w:szCs w:val="24"/>
                <w:highlight w:val="none"/>
                <w:lang w:val="en-US" w:eastAsia="zh-CN" w:bidi="ar-SA"/>
              </w:rPr>
              <w:t>本项目为新建项目，主要在高崖沟局部段实施岸坡砌护、沟道清淤及巡护道路修建等工程，根据现场踏勘，高崖沟现状主要存在以下生态环境问题：</w:t>
            </w:r>
          </w:p>
          <w:p w14:paraId="4930125B">
            <w:pPr>
              <w:pStyle w:val="11"/>
              <w:adjustRightInd w:val="0"/>
              <w:spacing w:before="0" w:after="0" w:line="360" w:lineRule="auto"/>
              <w:ind w:right="0"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（1）</w:t>
            </w:r>
            <w:r>
              <w:rPr>
                <w:rFonts w:hint="default" w:ascii="Times New Roman" w:hAnsi="Times New Roman" w:cs="Times New Roman"/>
                <w:color w:val="auto"/>
                <w:kern w:val="0"/>
                <w:sz w:val="24"/>
                <w:szCs w:val="24"/>
                <w:highlight w:val="none"/>
                <w:lang w:val="en-US" w:eastAsia="zh-CN" w:bidi="ar-SA"/>
              </w:rPr>
              <w:t>高崖沟</w:t>
            </w:r>
            <w:r>
              <w:rPr>
                <w:rFonts w:hint="eastAsia" w:cs="Times New Roman"/>
                <w:color w:val="auto"/>
                <w:kern w:val="0"/>
                <w:sz w:val="24"/>
                <w:szCs w:val="24"/>
                <w:highlight w:val="none"/>
                <w:lang w:val="en-US" w:eastAsia="zh-CN" w:bidi="ar-SA"/>
              </w:rPr>
              <w:t>部分沟段沟道淤积严重，现状不能满足较大洪水来临时的行洪安全要求，部分河段形成漫滩。每遇汛期，洪水漫滩而行。整体未能形成一个系统完整的防洪工程体系，防洪存在着很大的隐患，严重威胁着两岸人民群众的生命财产安全</w:t>
            </w:r>
            <w:r>
              <w:rPr>
                <w:rFonts w:hint="default" w:ascii="Times New Roman" w:hAnsi="Times New Roman" w:eastAsia="宋体" w:cs="Times New Roman"/>
                <w:color w:val="auto"/>
                <w:kern w:val="0"/>
                <w:sz w:val="24"/>
                <w:szCs w:val="24"/>
                <w:highlight w:val="none"/>
                <w:lang w:val="en-US" w:eastAsia="zh-CN" w:bidi="ar-SA"/>
              </w:rPr>
              <w:t>。</w:t>
            </w:r>
            <w:r>
              <w:rPr>
                <w:rFonts w:hint="eastAsia" w:cs="Times New Roman"/>
                <w:color w:val="auto"/>
                <w:kern w:val="0"/>
                <w:sz w:val="24"/>
                <w:szCs w:val="24"/>
                <w:highlight w:val="none"/>
                <w:lang w:val="en-US" w:eastAsia="zh-CN" w:bidi="ar-SA"/>
              </w:rPr>
              <w:t>因此继续整治。</w:t>
            </w:r>
          </w:p>
          <w:p w14:paraId="6F7456DF">
            <w:pPr>
              <w:pStyle w:val="11"/>
              <w:adjustRightInd w:val="0"/>
              <w:spacing w:before="0" w:after="0" w:line="360" w:lineRule="auto"/>
              <w:ind w:right="0"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2）高崖沟流域属黄土高原丘陵沟壑区，天然植被较差，小范围的突降暴雨强度大，冲刷力强，形成大量地表径流，对河道两岸冲刷严重，破坏性较大。高崖沟蜿蜒曲折，河流左右摇摆，河床下切及侧向侵蚀并重，</w:t>
            </w:r>
            <w:r>
              <w:rPr>
                <w:rFonts w:hint="eastAsia" w:cs="Times New Roman"/>
                <w:color w:val="auto"/>
                <w:kern w:val="0"/>
                <w:sz w:val="24"/>
                <w:szCs w:val="24"/>
                <w:highlight w:val="none"/>
                <w:lang w:val="en-US" w:eastAsia="zh-CN" w:bidi="ar-SA"/>
              </w:rPr>
              <w:t>部分</w:t>
            </w:r>
            <w:r>
              <w:rPr>
                <w:rFonts w:hint="default" w:ascii="Times New Roman" w:hAnsi="Times New Roman" w:eastAsia="宋体" w:cs="Times New Roman"/>
                <w:color w:val="auto"/>
                <w:kern w:val="0"/>
                <w:sz w:val="24"/>
                <w:szCs w:val="24"/>
                <w:highlight w:val="none"/>
                <w:lang w:val="en-US" w:eastAsia="zh-CN" w:bidi="ar-SA"/>
              </w:rPr>
              <w:t>河道两岸为土质岸坡，由于河岸冲刷，河道主流不稳定，两岸坍塌严重，致使洪涝等自然灾害频繁，生态环境日趋恶劣，不仅影响到当地群众的正常生活、生产，还严重影响河道的行洪能力，增大了中小河流泥沙输送量，造成河道中下游段存在淤积情况，对河道两岸村庄、道路及基础设施等造成巨大威胁。迫切需要对工程区内河道进行综合整治，控制水土流失，改善生态环境</w:t>
            </w:r>
            <w:r>
              <w:rPr>
                <w:rFonts w:hint="default" w:ascii="Times New Roman" w:hAnsi="Times New Roman" w:cs="Times New Roman"/>
                <w:color w:val="auto"/>
                <w:kern w:val="0"/>
                <w:sz w:val="24"/>
                <w:szCs w:val="24"/>
                <w:highlight w:val="none"/>
                <w:lang w:val="en-US" w:eastAsia="zh-CN" w:bidi="ar-SA"/>
              </w:rPr>
              <w:t>。</w:t>
            </w:r>
          </w:p>
          <w:p w14:paraId="139C81AB">
            <w:pPr>
              <w:pStyle w:val="11"/>
              <w:adjustRightInd w:val="0"/>
              <w:spacing w:before="0" w:after="0" w:line="360" w:lineRule="auto"/>
              <w:ind w:right="0" w:firstLine="480" w:firstLineChars="200"/>
              <w:rPr>
                <w:rFonts w:hint="default" w:ascii="Times New Roman" w:hAnsi="Times New Roman" w:eastAsia="仿宋_GB2312" w:cs="Times New Roman"/>
                <w:color w:val="auto"/>
                <w:kern w:val="0"/>
                <w:sz w:val="24"/>
                <w:highlight w:val="none"/>
              </w:rPr>
            </w:pPr>
            <w:r>
              <w:rPr>
                <w:rFonts w:hint="default" w:ascii="Times New Roman" w:hAnsi="Times New Roman" w:cs="Times New Roman"/>
                <w:color w:val="auto"/>
                <w:kern w:val="0"/>
                <w:sz w:val="24"/>
                <w:szCs w:val="24"/>
                <w:highlight w:val="none"/>
                <w:lang w:val="en-US" w:eastAsia="zh-CN" w:bidi="ar-SA"/>
              </w:rPr>
              <w:t>（3）</w:t>
            </w:r>
            <w:r>
              <w:rPr>
                <w:rFonts w:hint="eastAsia" w:cs="Times New Roman"/>
                <w:color w:val="auto"/>
                <w:kern w:val="0"/>
                <w:sz w:val="24"/>
                <w:szCs w:val="24"/>
                <w:highlight w:val="none"/>
                <w:lang w:val="en-US" w:eastAsia="zh-CN" w:bidi="ar-SA"/>
              </w:rPr>
              <w:t>高崖沟现状部分沟段可借助现有乡村道路及耕地田间道路行至沟道旁，部分沟段由于沟道两侧无村庄、耕地等，因此现状无道路至沟道旁，给沟道巡护及抢修造成困难，因此为了便于工程抢修，方便高崖沟两岸群众的生产生活，根据工程管理的需要，结合已建护岸及现有生产道路的布置，在GY43+600 -GY65+990 右岸布置新建巡护路长度约20.2 km。</w:t>
            </w:r>
          </w:p>
        </w:tc>
      </w:tr>
      <w:tr w14:paraId="529962AD">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38" w:hRule="atLeast"/>
          <w:jc w:val="center"/>
        </w:trPr>
        <w:tc>
          <w:tcPr>
            <w:tcW w:w="556" w:type="dxa"/>
            <w:tcBorders>
              <w:tl2br w:val="nil"/>
              <w:tr2bl w:val="nil"/>
            </w:tcBorders>
            <w:vAlign w:val="center"/>
          </w:tcPr>
          <w:p w14:paraId="2D15EC06">
            <w:pPr>
              <w:adjustRightInd w:val="0"/>
              <w:snapToGrid w:val="0"/>
              <w:jc w:val="center"/>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lang w:eastAsia="zh-CN"/>
              </w:rPr>
              <w:t>生态</w:t>
            </w:r>
            <w:r>
              <w:rPr>
                <w:rFonts w:hint="default" w:ascii="Times New Roman" w:hAnsi="Times New Roman" w:cs="Times New Roman"/>
                <w:b/>
                <w:bCs/>
                <w:color w:val="auto"/>
                <w:kern w:val="0"/>
                <w:sz w:val="24"/>
                <w:highlight w:val="none"/>
              </w:rPr>
              <w:t>环境</w:t>
            </w:r>
          </w:p>
          <w:p w14:paraId="1356A9D7">
            <w:pPr>
              <w:adjustRightInd w:val="0"/>
              <w:snapToGrid w:val="0"/>
              <w:jc w:val="center"/>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保护</w:t>
            </w:r>
          </w:p>
          <w:p w14:paraId="2E821339">
            <w:pPr>
              <w:adjustRightInd w:val="0"/>
              <w:snapToGrid w:val="0"/>
              <w:jc w:val="center"/>
              <w:rPr>
                <w:rFonts w:hint="default" w:ascii="Times New Roman" w:hAnsi="Times New Roman" w:eastAsia="仿宋_GB2312" w:cs="Times New Roman"/>
                <w:b/>
                <w:bCs/>
                <w:color w:val="auto"/>
                <w:kern w:val="0"/>
                <w:sz w:val="24"/>
                <w:highlight w:val="none"/>
              </w:rPr>
            </w:pPr>
            <w:r>
              <w:rPr>
                <w:rFonts w:hint="default" w:ascii="Times New Roman" w:hAnsi="Times New Roman" w:cs="Times New Roman"/>
                <w:b/>
                <w:bCs/>
                <w:color w:val="auto"/>
                <w:kern w:val="0"/>
                <w:sz w:val="24"/>
                <w:highlight w:val="none"/>
              </w:rPr>
              <w:t>目标</w:t>
            </w:r>
          </w:p>
        </w:tc>
        <w:tc>
          <w:tcPr>
            <w:tcW w:w="8434" w:type="dxa"/>
            <w:tcBorders>
              <w:tl2br w:val="nil"/>
              <w:tr2bl w:val="nil"/>
            </w:tcBorders>
            <w:vAlign w:val="center"/>
          </w:tcPr>
          <w:p w14:paraId="49746B0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根据《建设项目环境影响报告表编制技术指南》（生态影响类）（试行），按照环境影响评价相关技术导则要求确定评价范围并识别环境保护目标。</w:t>
            </w:r>
          </w:p>
          <w:p w14:paraId="26591ED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lang w:val="en-US" w:eastAsia="zh-CN"/>
              </w:rPr>
              <w:t>1、生态环境评价范围及环境保护目标</w:t>
            </w:r>
          </w:p>
          <w:p w14:paraId="7D4E7DF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cs="Times New Roman"/>
                <w:b w:val="0"/>
                <w:bCs w:val="0"/>
                <w:color w:val="auto"/>
                <w:kern w:val="2"/>
                <w:sz w:val="24"/>
                <w:szCs w:val="24"/>
                <w:highlight w:val="none"/>
                <w:lang w:val="en-US" w:eastAsia="zh-CN" w:bidi="ar-SA"/>
              </w:rPr>
              <w:t>（1）评价等级</w:t>
            </w:r>
          </w:p>
          <w:p w14:paraId="0BA8550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本项目占地</w:t>
            </w:r>
            <w:r>
              <w:rPr>
                <w:rFonts w:hint="default" w:ascii="Times New Roman" w:hAnsi="Times New Roman" w:cs="Times New Roman"/>
                <w:b w:val="0"/>
                <w:bCs w:val="0"/>
                <w:color w:val="auto"/>
                <w:kern w:val="2"/>
                <w:sz w:val="24"/>
                <w:szCs w:val="24"/>
                <w:highlight w:val="none"/>
                <w:lang w:val="en-US" w:eastAsia="zh-CN" w:bidi="ar-SA"/>
              </w:rPr>
              <w:t>永久占地474.68亩（316454.91m²），临时占地34.2亩（22800m²）</w:t>
            </w:r>
            <w:r>
              <w:rPr>
                <w:rFonts w:hint="default" w:ascii="Times New Roman" w:hAnsi="Times New Roman" w:eastAsia="宋体" w:cs="Times New Roman"/>
                <w:b w:val="0"/>
                <w:bCs w:val="0"/>
                <w:color w:val="auto"/>
                <w:kern w:val="2"/>
                <w:sz w:val="24"/>
                <w:szCs w:val="24"/>
                <w:highlight w:val="none"/>
                <w:lang w:val="en-US" w:eastAsia="zh-CN" w:bidi="ar-SA"/>
              </w:rPr>
              <w:t>，土地利用类型</w:t>
            </w:r>
            <w:r>
              <w:rPr>
                <w:rFonts w:hint="eastAsia" w:cs="Times New Roman"/>
                <w:b w:val="0"/>
                <w:bCs w:val="0"/>
                <w:color w:val="auto"/>
                <w:kern w:val="2"/>
                <w:sz w:val="24"/>
                <w:szCs w:val="24"/>
                <w:highlight w:val="none"/>
                <w:lang w:val="en-US" w:eastAsia="zh-CN" w:bidi="ar-SA"/>
              </w:rPr>
              <w:t>主要包括草地及林地</w:t>
            </w:r>
            <w:r>
              <w:rPr>
                <w:rFonts w:hint="default" w:ascii="Times New Roman" w:hAnsi="Times New Roman" w:eastAsia="宋体" w:cs="Times New Roman"/>
                <w:b w:val="0"/>
                <w:bCs w:val="0"/>
                <w:color w:val="auto"/>
                <w:kern w:val="2"/>
                <w:sz w:val="24"/>
                <w:szCs w:val="24"/>
                <w:highlight w:val="none"/>
                <w:lang w:val="en-US" w:eastAsia="zh-CN" w:bidi="ar-SA"/>
              </w:rPr>
              <w:t>。根据《环境影响评价技术导则 生态影响》（HJ19-2022）6.1“评价等级判定”中的确定原则，本项目生态环境影响评价工作等级判定过程对照如下</w:t>
            </w:r>
            <w:r>
              <w:rPr>
                <w:rFonts w:hint="default" w:ascii="Times New Roman" w:hAnsi="Times New Roman" w:cs="Times New Roman"/>
                <w:b w:val="0"/>
                <w:bCs w:val="0"/>
                <w:color w:val="auto"/>
                <w:kern w:val="2"/>
                <w:sz w:val="24"/>
                <w:szCs w:val="24"/>
                <w:highlight w:val="none"/>
                <w:lang w:val="en-US" w:eastAsia="zh-CN" w:bidi="ar-SA"/>
              </w:rPr>
              <w:t>：</w:t>
            </w:r>
          </w:p>
          <w:p w14:paraId="73E766AF">
            <w:pPr>
              <w:pStyle w:val="25"/>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黑体" w:cs="Times New Roman"/>
                <w:color w:val="auto"/>
                <w:highlight w:val="none"/>
                <w:lang w:val="en-US" w:eastAsia="zh-CN"/>
              </w:rPr>
            </w:pPr>
            <w:r>
              <w:rPr>
                <w:rFonts w:hint="default" w:ascii="Times New Roman" w:hAnsi="Times New Roman" w:eastAsia="黑体" w:cs="Times New Roman"/>
                <w:b w:val="0"/>
                <w:bCs w:val="0"/>
                <w:color w:val="auto"/>
                <w:kern w:val="2"/>
                <w:sz w:val="24"/>
                <w:szCs w:val="24"/>
                <w:highlight w:val="none"/>
                <w:lang w:val="en-US" w:eastAsia="zh-CN" w:bidi="ar-SA"/>
              </w:rPr>
              <w:t>表3-5  生态影响评价工作等级划分表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6"/>
              <w:gridCol w:w="5618"/>
              <w:gridCol w:w="1496"/>
            </w:tblGrid>
            <w:tr w14:paraId="0944B4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6" w:type="dxa"/>
                  <w:tcBorders>
                    <w:tl2br w:val="nil"/>
                    <w:tr2bl w:val="nil"/>
                  </w:tcBorders>
                  <w:noWrap w:val="0"/>
                  <w:vAlign w:val="center"/>
                </w:tcPr>
                <w:p w14:paraId="362C51C0">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评价等级</w:t>
                  </w:r>
                </w:p>
              </w:tc>
              <w:tc>
                <w:tcPr>
                  <w:tcW w:w="5617" w:type="dxa"/>
                  <w:tcBorders>
                    <w:tl2br w:val="nil"/>
                    <w:tr2bl w:val="nil"/>
                  </w:tcBorders>
                  <w:noWrap w:val="0"/>
                  <w:vAlign w:val="center"/>
                </w:tcPr>
                <w:p w14:paraId="2AE67CD3">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评价等级判定原则</w:t>
                  </w:r>
                </w:p>
              </w:tc>
              <w:tc>
                <w:tcPr>
                  <w:tcW w:w="1495" w:type="dxa"/>
                  <w:tcBorders>
                    <w:tl2br w:val="nil"/>
                    <w:tr2bl w:val="nil"/>
                  </w:tcBorders>
                  <w:noWrap w:val="0"/>
                  <w:vAlign w:val="center"/>
                </w:tcPr>
                <w:p w14:paraId="49A9C9A4">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本项目</w:t>
                  </w:r>
                </w:p>
              </w:tc>
            </w:tr>
            <w:tr w14:paraId="0911D6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6" w:type="dxa"/>
                  <w:tcBorders>
                    <w:tl2br w:val="nil"/>
                    <w:tr2bl w:val="nil"/>
                  </w:tcBorders>
                  <w:noWrap w:val="0"/>
                  <w:vAlign w:val="center"/>
                </w:tcPr>
                <w:p w14:paraId="2AF527CF">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（一）</w:t>
                  </w:r>
                </w:p>
              </w:tc>
              <w:tc>
                <w:tcPr>
                  <w:tcW w:w="7112" w:type="dxa"/>
                  <w:gridSpan w:val="2"/>
                  <w:tcBorders>
                    <w:tl2br w:val="nil"/>
                    <w:tr2bl w:val="nil"/>
                  </w:tcBorders>
                  <w:noWrap w:val="0"/>
                  <w:vAlign w:val="center"/>
                </w:tcPr>
                <w:p w14:paraId="2D168C91">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left"/>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rPr>
                    <w:t>6.1.2 相关内容</w:t>
                  </w:r>
                </w:p>
              </w:tc>
            </w:tr>
            <w:tr w14:paraId="291586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6" w:type="dxa"/>
                  <w:tcBorders>
                    <w:tl2br w:val="nil"/>
                    <w:tr2bl w:val="nil"/>
                  </w:tcBorders>
                  <w:noWrap w:val="0"/>
                  <w:vAlign w:val="center"/>
                </w:tcPr>
                <w:p w14:paraId="11EE4439">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一级</w:t>
                  </w:r>
                </w:p>
              </w:tc>
              <w:tc>
                <w:tcPr>
                  <w:tcW w:w="5617" w:type="dxa"/>
                  <w:tcBorders>
                    <w:tl2br w:val="nil"/>
                    <w:tr2bl w:val="nil"/>
                  </w:tcBorders>
                  <w:noWrap w:val="0"/>
                  <w:vAlign w:val="center"/>
                </w:tcPr>
                <w:p w14:paraId="284AE05C">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a.涉及国家公园、自然保护区、世界自然遗产、重要生态环境时</w:t>
                  </w:r>
                  <w:r>
                    <w:rPr>
                      <w:rFonts w:hint="default" w:ascii="Times New Roman" w:hAnsi="Times New Roman" w:cs="Times New Roman"/>
                      <w:color w:val="auto"/>
                      <w:sz w:val="21"/>
                      <w:szCs w:val="21"/>
                      <w:highlight w:val="none"/>
                      <w:lang w:val="en-US" w:eastAsia="zh-CN"/>
                    </w:rPr>
                    <w:t>；</w:t>
                  </w:r>
                </w:p>
              </w:tc>
              <w:tc>
                <w:tcPr>
                  <w:tcW w:w="1495" w:type="dxa"/>
                  <w:vMerge w:val="restart"/>
                  <w:tcBorders>
                    <w:tl2br w:val="nil"/>
                    <w:tr2bl w:val="nil"/>
                  </w:tcBorders>
                  <w:noWrap w:val="0"/>
                  <w:vAlign w:val="center"/>
                </w:tcPr>
                <w:p w14:paraId="0522AE87">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本项目位于宁夏回族自治区</w:t>
                  </w:r>
                  <w:r>
                    <w:rPr>
                      <w:rFonts w:hint="default" w:ascii="Times New Roman" w:hAnsi="Times New Roman" w:cs="Times New Roman"/>
                      <w:color w:val="auto"/>
                      <w:sz w:val="21"/>
                      <w:szCs w:val="21"/>
                      <w:highlight w:val="none"/>
                      <w:lang w:val="en-US" w:eastAsia="zh-CN"/>
                    </w:rPr>
                    <w:t>沙坡头区兴仁镇及香山乡</w:t>
                  </w:r>
                  <w:r>
                    <w:rPr>
                      <w:rFonts w:hint="default" w:ascii="Times New Roman" w:hAnsi="Times New Roman" w:eastAsia="宋体" w:cs="Times New Roman"/>
                      <w:color w:val="auto"/>
                      <w:sz w:val="21"/>
                      <w:szCs w:val="21"/>
                      <w:highlight w:val="none"/>
                      <w:lang w:val="en-US" w:eastAsia="zh-CN"/>
                    </w:rPr>
                    <w:t>，占地面积为</w:t>
                  </w:r>
                  <w:r>
                    <w:rPr>
                      <w:rFonts w:hint="default" w:ascii="Times New Roman" w:hAnsi="Times New Roman" w:cs="Times New Roman"/>
                      <w:color w:val="auto"/>
                      <w:sz w:val="21"/>
                      <w:szCs w:val="21"/>
                      <w:highlight w:val="none"/>
                      <w:lang w:val="en-US" w:eastAsia="zh-CN"/>
                    </w:rPr>
                    <w:t>0.34km²</w:t>
                  </w:r>
                  <w:r>
                    <w:rPr>
                      <w:rFonts w:hint="default" w:ascii="Times New Roman" w:hAnsi="Times New Roman" w:eastAsia="宋体" w:cs="Times New Roman"/>
                      <w:color w:val="auto"/>
                      <w:sz w:val="21"/>
                      <w:szCs w:val="21"/>
                      <w:highlight w:val="none"/>
                      <w:lang w:val="en-US" w:eastAsia="zh-CN"/>
                    </w:rPr>
                    <w:t>，项目不涉及a)、b)、c)、d)、e)、f)中的情况，因此本项目评价等级为三级。</w:t>
                  </w:r>
                </w:p>
              </w:tc>
            </w:tr>
            <w:tr w14:paraId="27FA2B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6" w:type="dxa"/>
                  <w:tcBorders>
                    <w:tl2br w:val="nil"/>
                    <w:tr2bl w:val="nil"/>
                  </w:tcBorders>
                  <w:noWrap w:val="0"/>
                  <w:vAlign w:val="center"/>
                </w:tcPr>
                <w:p w14:paraId="01429331">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二级</w:t>
                  </w:r>
                </w:p>
              </w:tc>
              <w:tc>
                <w:tcPr>
                  <w:tcW w:w="5617" w:type="dxa"/>
                  <w:tcBorders>
                    <w:tl2br w:val="nil"/>
                    <w:tr2bl w:val="nil"/>
                  </w:tcBorders>
                  <w:noWrap w:val="0"/>
                  <w:vAlign w:val="center"/>
                </w:tcPr>
                <w:p w14:paraId="4E3554E8">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b.涉及自然公园时；</w:t>
                  </w:r>
                </w:p>
              </w:tc>
              <w:tc>
                <w:tcPr>
                  <w:tcW w:w="1495" w:type="dxa"/>
                  <w:vMerge w:val="continue"/>
                  <w:tcBorders>
                    <w:tl2br w:val="nil"/>
                    <w:tr2bl w:val="nil"/>
                  </w:tcBorders>
                  <w:noWrap w:val="0"/>
                  <w:vAlign w:val="center"/>
                </w:tcPr>
                <w:p w14:paraId="07D87C1A">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both"/>
                    <w:textAlignment w:val="auto"/>
                    <w:rPr>
                      <w:rFonts w:hint="default" w:ascii="Times New Roman" w:hAnsi="Times New Roman" w:eastAsia="宋体" w:cs="Times New Roman"/>
                      <w:color w:val="auto"/>
                      <w:sz w:val="21"/>
                      <w:szCs w:val="21"/>
                      <w:highlight w:val="none"/>
                      <w:lang w:val="en-US" w:eastAsia="zh-CN"/>
                    </w:rPr>
                  </w:pPr>
                </w:p>
              </w:tc>
            </w:tr>
            <w:tr w14:paraId="60865C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6" w:type="dxa"/>
                  <w:vMerge w:val="restart"/>
                  <w:tcBorders>
                    <w:tl2br w:val="nil"/>
                    <w:tr2bl w:val="nil"/>
                  </w:tcBorders>
                  <w:noWrap w:val="0"/>
                  <w:vAlign w:val="center"/>
                </w:tcPr>
                <w:p w14:paraId="7696BAB4">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不低于二级</w:t>
                  </w:r>
                </w:p>
              </w:tc>
              <w:tc>
                <w:tcPr>
                  <w:tcW w:w="5617" w:type="dxa"/>
                  <w:tcBorders>
                    <w:tl2br w:val="nil"/>
                    <w:tr2bl w:val="nil"/>
                  </w:tcBorders>
                  <w:noWrap w:val="0"/>
                  <w:vAlign w:val="center"/>
                </w:tcPr>
                <w:p w14:paraId="411561FD">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c.涉及生态保护红线时；</w:t>
                  </w:r>
                </w:p>
              </w:tc>
              <w:tc>
                <w:tcPr>
                  <w:tcW w:w="1495" w:type="dxa"/>
                  <w:vMerge w:val="continue"/>
                  <w:tcBorders>
                    <w:tl2br w:val="nil"/>
                    <w:tr2bl w:val="nil"/>
                  </w:tcBorders>
                  <w:noWrap w:val="0"/>
                  <w:vAlign w:val="center"/>
                </w:tcPr>
                <w:p w14:paraId="2FC6AB7A">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both"/>
                    <w:textAlignment w:val="auto"/>
                    <w:rPr>
                      <w:rFonts w:hint="default" w:ascii="Times New Roman" w:hAnsi="Times New Roman" w:eastAsia="宋体" w:cs="Times New Roman"/>
                      <w:color w:val="auto"/>
                      <w:sz w:val="21"/>
                      <w:szCs w:val="21"/>
                      <w:highlight w:val="none"/>
                      <w:lang w:val="en-US" w:eastAsia="zh-CN"/>
                    </w:rPr>
                  </w:pPr>
                </w:p>
              </w:tc>
            </w:tr>
            <w:tr w14:paraId="50D966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6" w:type="dxa"/>
                  <w:vMerge w:val="continue"/>
                  <w:tcBorders>
                    <w:tl2br w:val="nil"/>
                    <w:tr2bl w:val="nil"/>
                  </w:tcBorders>
                  <w:noWrap w:val="0"/>
                  <w:vAlign w:val="center"/>
                </w:tcPr>
                <w:p w14:paraId="333FA99D">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p>
              </w:tc>
              <w:tc>
                <w:tcPr>
                  <w:tcW w:w="5617" w:type="dxa"/>
                  <w:tcBorders>
                    <w:tl2br w:val="nil"/>
                    <w:tr2bl w:val="nil"/>
                  </w:tcBorders>
                  <w:noWrap w:val="0"/>
                  <w:vAlign w:val="center"/>
                </w:tcPr>
                <w:p w14:paraId="748F76C5">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d.根据HJ2.3判断属于水文要素影响型且地表水评价等级不低于二级的建设项目</w:t>
                  </w:r>
                  <w:r>
                    <w:rPr>
                      <w:rFonts w:hint="default" w:ascii="Times New Roman" w:hAnsi="Times New Roman" w:cs="Times New Roman"/>
                      <w:color w:val="auto"/>
                      <w:sz w:val="21"/>
                      <w:szCs w:val="21"/>
                      <w:highlight w:val="none"/>
                      <w:lang w:val="en-US" w:eastAsia="zh-CN"/>
                    </w:rPr>
                    <w:t>；</w:t>
                  </w:r>
                </w:p>
              </w:tc>
              <w:tc>
                <w:tcPr>
                  <w:tcW w:w="1495" w:type="dxa"/>
                  <w:vMerge w:val="continue"/>
                  <w:tcBorders>
                    <w:tl2br w:val="nil"/>
                    <w:tr2bl w:val="nil"/>
                  </w:tcBorders>
                  <w:noWrap w:val="0"/>
                  <w:vAlign w:val="center"/>
                </w:tcPr>
                <w:p w14:paraId="4DD2F36C">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both"/>
                    <w:textAlignment w:val="auto"/>
                    <w:rPr>
                      <w:rFonts w:hint="default" w:ascii="Times New Roman" w:hAnsi="Times New Roman" w:eastAsia="宋体" w:cs="Times New Roman"/>
                      <w:color w:val="auto"/>
                      <w:sz w:val="21"/>
                      <w:szCs w:val="21"/>
                      <w:highlight w:val="none"/>
                      <w:lang w:val="en-US" w:eastAsia="zh-CN"/>
                    </w:rPr>
                  </w:pPr>
                </w:p>
              </w:tc>
            </w:tr>
            <w:tr w14:paraId="247D30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6" w:type="dxa"/>
                  <w:vMerge w:val="continue"/>
                  <w:tcBorders>
                    <w:tl2br w:val="nil"/>
                    <w:tr2bl w:val="nil"/>
                  </w:tcBorders>
                  <w:noWrap w:val="0"/>
                  <w:vAlign w:val="center"/>
                </w:tcPr>
                <w:p w14:paraId="35DCBB9C">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p>
              </w:tc>
              <w:tc>
                <w:tcPr>
                  <w:tcW w:w="5617" w:type="dxa"/>
                  <w:tcBorders>
                    <w:tl2br w:val="nil"/>
                    <w:tr2bl w:val="nil"/>
                  </w:tcBorders>
                  <w:noWrap w:val="0"/>
                  <w:vAlign w:val="center"/>
                </w:tcPr>
                <w:p w14:paraId="1F7B918F">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e.根据HJ610、HJ964判断地下水水位或土壤影响范围内分布有天然林、公益林、湿地等生态保护目标建设项目</w:t>
                  </w:r>
                  <w:r>
                    <w:rPr>
                      <w:rFonts w:hint="default" w:ascii="Times New Roman" w:hAnsi="Times New Roman" w:cs="Times New Roman"/>
                      <w:color w:val="auto"/>
                      <w:sz w:val="21"/>
                      <w:szCs w:val="21"/>
                      <w:highlight w:val="none"/>
                      <w:lang w:val="en-US" w:eastAsia="zh-CN"/>
                    </w:rPr>
                    <w:t>；</w:t>
                  </w:r>
                </w:p>
              </w:tc>
              <w:tc>
                <w:tcPr>
                  <w:tcW w:w="1495" w:type="dxa"/>
                  <w:vMerge w:val="continue"/>
                  <w:tcBorders>
                    <w:tl2br w:val="nil"/>
                    <w:tr2bl w:val="nil"/>
                  </w:tcBorders>
                  <w:noWrap w:val="0"/>
                  <w:vAlign w:val="center"/>
                </w:tcPr>
                <w:p w14:paraId="5D67390D">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both"/>
                    <w:textAlignment w:val="auto"/>
                    <w:rPr>
                      <w:rFonts w:hint="default" w:ascii="Times New Roman" w:hAnsi="Times New Roman" w:eastAsia="宋体" w:cs="Times New Roman"/>
                      <w:color w:val="auto"/>
                      <w:sz w:val="21"/>
                      <w:szCs w:val="21"/>
                      <w:highlight w:val="none"/>
                      <w:lang w:val="en-US" w:eastAsia="zh-CN"/>
                    </w:rPr>
                  </w:pPr>
                </w:p>
              </w:tc>
            </w:tr>
            <w:tr w14:paraId="70FA28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6" w:type="dxa"/>
                  <w:vMerge w:val="continue"/>
                  <w:tcBorders>
                    <w:tl2br w:val="nil"/>
                    <w:tr2bl w:val="nil"/>
                  </w:tcBorders>
                  <w:noWrap w:val="0"/>
                  <w:vAlign w:val="center"/>
                </w:tcPr>
                <w:p w14:paraId="5226C6CC">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p>
              </w:tc>
              <w:tc>
                <w:tcPr>
                  <w:tcW w:w="5617" w:type="dxa"/>
                  <w:tcBorders>
                    <w:tl2br w:val="nil"/>
                    <w:tr2bl w:val="nil"/>
                  </w:tcBorders>
                  <w:noWrap w:val="0"/>
                  <w:vAlign w:val="center"/>
                </w:tcPr>
                <w:p w14:paraId="1124A5C2">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f.当工程占地规模大于20km</w:t>
                  </w:r>
                  <w:r>
                    <w:rPr>
                      <w:rFonts w:hint="default" w:ascii="Times New Roman" w:hAnsi="Times New Roman" w:cs="Times New Roman"/>
                      <w:color w:val="auto"/>
                      <w:sz w:val="21"/>
                      <w:szCs w:val="21"/>
                      <w:highlight w:val="none"/>
                      <w:lang w:val="en-US" w:eastAsia="zh-CN"/>
                    </w:rPr>
                    <w:t>²</w:t>
                  </w:r>
                  <w:r>
                    <w:rPr>
                      <w:rFonts w:hint="default" w:ascii="Times New Roman" w:hAnsi="Times New Roman" w:eastAsia="宋体" w:cs="Times New Roman"/>
                      <w:color w:val="auto"/>
                      <w:sz w:val="21"/>
                      <w:szCs w:val="21"/>
                      <w:highlight w:val="none"/>
                      <w:lang w:val="en-US" w:eastAsia="zh-CN"/>
                    </w:rPr>
                    <w:t>（包括永久和临时占用陆域和水域）时；改扩建项目的占地范围以新增占地（包括陆域和水域）确定</w:t>
                  </w:r>
                  <w:r>
                    <w:rPr>
                      <w:rFonts w:hint="default" w:ascii="Times New Roman" w:hAnsi="Times New Roman" w:cs="Times New Roman"/>
                      <w:color w:val="auto"/>
                      <w:sz w:val="21"/>
                      <w:szCs w:val="21"/>
                      <w:highlight w:val="none"/>
                      <w:lang w:val="en-US" w:eastAsia="zh-CN"/>
                    </w:rPr>
                    <w:t>；</w:t>
                  </w:r>
                </w:p>
              </w:tc>
              <w:tc>
                <w:tcPr>
                  <w:tcW w:w="1495" w:type="dxa"/>
                  <w:vMerge w:val="continue"/>
                  <w:tcBorders>
                    <w:tl2br w:val="nil"/>
                    <w:tr2bl w:val="nil"/>
                  </w:tcBorders>
                  <w:noWrap w:val="0"/>
                  <w:vAlign w:val="center"/>
                </w:tcPr>
                <w:p w14:paraId="4CC0A5AA">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both"/>
                    <w:textAlignment w:val="auto"/>
                    <w:rPr>
                      <w:rFonts w:hint="default" w:ascii="Times New Roman" w:hAnsi="Times New Roman" w:eastAsia="宋体" w:cs="Times New Roman"/>
                      <w:color w:val="auto"/>
                      <w:sz w:val="21"/>
                      <w:szCs w:val="21"/>
                      <w:highlight w:val="none"/>
                      <w:lang w:val="en-US" w:eastAsia="zh-CN"/>
                    </w:rPr>
                  </w:pPr>
                </w:p>
              </w:tc>
            </w:tr>
            <w:tr w14:paraId="4D0A6D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6" w:type="dxa"/>
                  <w:tcBorders>
                    <w:tl2br w:val="nil"/>
                    <w:tr2bl w:val="nil"/>
                  </w:tcBorders>
                  <w:noWrap w:val="0"/>
                  <w:vAlign w:val="center"/>
                </w:tcPr>
                <w:p w14:paraId="6C08771F">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三级</w:t>
                  </w:r>
                </w:p>
              </w:tc>
              <w:tc>
                <w:tcPr>
                  <w:tcW w:w="5617" w:type="dxa"/>
                  <w:tcBorders>
                    <w:tl2br w:val="nil"/>
                    <w:tr2bl w:val="nil"/>
                  </w:tcBorders>
                  <w:noWrap w:val="0"/>
                  <w:vAlign w:val="center"/>
                </w:tcPr>
                <w:p w14:paraId="1E4CBBC5">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g.除本条a)、b)、c)、d)、e)、f)以外的情况，评价等级为三级</w:t>
                  </w:r>
                </w:p>
              </w:tc>
              <w:tc>
                <w:tcPr>
                  <w:tcW w:w="1495" w:type="dxa"/>
                  <w:vMerge w:val="continue"/>
                  <w:tcBorders>
                    <w:tl2br w:val="nil"/>
                    <w:tr2bl w:val="nil"/>
                  </w:tcBorders>
                  <w:noWrap w:val="0"/>
                  <w:vAlign w:val="center"/>
                </w:tcPr>
                <w:p w14:paraId="096EF314">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both"/>
                    <w:textAlignment w:val="auto"/>
                    <w:rPr>
                      <w:rFonts w:hint="default" w:ascii="Times New Roman" w:hAnsi="Times New Roman" w:eastAsia="宋体" w:cs="Times New Roman"/>
                      <w:color w:val="auto"/>
                      <w:sz w:val="21"/>
                      <w:szCs w:val="21"/>
                      <w:highlight w:val="none"/>
                      <w:lang w:val="en-US" w:eastAsia="zh-CN"/>
                    </w:rPr>
                  </w:pPr>
                </w:p>
              </w:tc>
            </w:tr>
            <w:tr w14:paraId="4AA0BF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6" w:type="dxa"/>
                  <w:tcBorders>
                    <w:tl2br w:val="nil"/>
                    <w:tr2bl w:val="nil"/>
                  </w:tcBorders>
                  <w:noWrap w:val="0"/>
                  <w:vAlign w:val="center"/>
                </w:tcPr>
                <w:p w14:paraId="7463261E">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其他要求</w:t>
                  </w:r>
                </w:p>
              </w:tc>
              <w:tc>
                <w:tcPr>
                  <w:tcW w:w="5617" w:type="dxa"/>
                  <w:tcBorders>
                    <w:tl2br w:val="nil"/>
                    <w:tr2bl w:val="nil"/>
                  </w:tcBorders>
                  <w:noWrap w:val="0"/>
                  <w:vAlign w:val="center"/>
                </w:tcPr>
                <w:p w14:paraId="7AF5B012">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h.同时符合多种情况，应采用其中最高的评价等级</w:t>
                  </w:r>
                  <w:r>
                    <w:rPr>
                      <w:rFonts w:hint="default" w:ascii="Times New Roman" w:hAnsi="Times New Roman" w:cs="Times New Roman"/>
                      <w:color w:val="auto"/>
                      <w:sz w:val="21"/>
                      <w:szCs w:val="21"/>
                      <w:highlight w:val="none"/>
                      <w:lang w:val="en-US" w:eastAsia="zh-CN"/>
                    </w:rPr>
                    <w:t>；</w:t>
                  </w:r>
                </w:p>
              </w:tc>
              <w:tc>
                <w:tcPr>
                  <w:tcW w:w="1495" w:type="dxa"/>
                  <w:vMerge w:val="continue"/>
                  <w:tcBorders>
                    <w:tl2br w:val="nil"/>
                    <w:tr2bl w:val="nil"/>
                  </w:tcBorders>
                  <w:noWrap w:val="0"/>
                  <w:vAlign w:val="center"/>
                </w:tcPr>
                <w:p w14:paraId="028A3C21">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both"/>
                    <w:textAlignment w:val="auto"/>
                    <w:rPr>
                      <w:rFonts w:hint="default" w:ascii="Times New Roman" w:hAnsi="Times New Roman" w:eastAsia="宋体" w:cs="Times New Roman"/>
                      <w:color w:val="auto"/>
                      <w:sz w:val="21"/>
                      <w:szCs w:val="21"/>
                      <w:highlight w:val="none"/>
                      <w:lang w:val="en-US" w:eastAsia="zh-CN"/>
                    </w:rPr>
                  </w:pPr>
                </w:p>
              </w:tc>
            </w:tr>
            <w:tr w14:paraId="5B4D00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6" w:type="dxa"/>
                  <w:tcBorders>
                    <w:tl2br w:val="nil"/>
                    <w:tr2bl w:val="nil"/>
                  </w:tcBorders>
                  <w:noWrap w:val="0"/>
                  <w:vAlign w:val="center"/>
                </w:tcPr>
                <w:p w14:paraId="6C7C709A">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（二）</w:t>
                  </w:r>
                </w:p>
              </w:tc>
              <w:tc>
                <w:tcPr>
                  <w:tcW w:w="7112" w:type="dxa"/>
                  <w:gridSpan w:val="2"/>
                  <w:tcBorders>
                    <w:tl2br w:val="nil"/>
                    <w:tr2bl w:val="nil"/>
                  </w:tcBorders>
                  <w:noWrap w:val="0"/>
                  <w:vAlign w:val="center"/>
                </w:tcPr>
                <w:p w14:paraId="0063391F">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简单分析（可不确定评价等级）</w:t>
                  </w:r>
                </w:p>
              </w:tc>
            </w:tr>
            <w:tr w14:paraId="7A1CF3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6" w:type="dxa"/>
                  <w:tcBorders>
                    <w:tl2br w:val="nil"/>
                    <w:tr2bl w:val="nil"/>
                  </w:tcBorders>
                  <w:noWrap w:val="0"/>
                  <w:vAlign w:val="center"/>
                </w:tcPr>
                <w:p w14:paraId="6D40B651">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6.1.8</w:t>
                  </w:r>
                </w:p>
              </w:tc>
              <w:tc>
                <w:tcPr>
                  <w:tcW w:w="5617" w:type="dxa"/>
                  <w:tcBorders>
                    <w:tl2br w:val="nil"/>
                    <w:tr2bl w:val="nil"/>
                  </w:tcBorders>
                  <w:noWrap w:val="0"/>
                  <w:vAlign w:val="center"/>
                </w:tcPr>
                <w:p w14:paraId="6A587E6F">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①符合生态环境分区管控要求且位于原厂界（或永久用地）范围内的污染影响类改扩建项目；</w:t>
                  </w:r>
                </w:p>
                <w:p w14:paraId="023C4CDE">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②位于已批准规划环评的产业园区内且符合规划环评要求、不涉及生态敏感区的污染影响类建设项目</w:t>
                  </w:r>
                  <w:r>
                    <w:rPr>
                      <w:rFonts w:hint="default" w:ascii="Times New Roman" w:hAnsi="Times New Roman" w:cs="Times New Roman"/>
                      <w:color w:val="auto"/>
                      <w:sz w:val="21"/>
                      <w:szCs w:val="21"/>
                      <w:highlight w:val="none"/>
                      <w:lang w:val="en-US" w:eastAsia="zh-CN"/>
                    </w:rPr>
                    <w:t>。</w:t>
                  </w:r>
                </w:p>
              </w:tc>
              <w:tc>
                <w:tcPr>
                  <w:tcW w:w="1495" w:type="dxa"/>
                  <w:tcBorders>
                    <w:tl2br w:val="nil"/>
                    <w:tr2bl w:val="nil"/>
                  </w:tcBorders>
                  <w:noWrap w:val="0"/>
                  <w:vAlign w:val="center"/>
                </w:tcPr>
                <w:p w14:paraId="418626CE">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不涉及</w:t>
                  </w:r>
                </w:p>
              </w:tc>
            </w:tr>
            <w:tr w14:paraId="510F16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6" w:type="dxa"/>
                  <w:tcBorders>
                    <w:tl2br w:val="nil"/>
                    <w:tr2bl w:val="nil"/>
                  </w:tcBorders>
                  <w:noWrap w:val="0"/>
                  <w:vAlign w:val="center"/>
                </w:tcPr>
                <w:p w14:paraId="0DAB7E1F">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（三）</w:t>
                  </w:r>
                </w:p>
              </w:tc>
              <w:tc>
                <w:tcPr>
                  <w:tcW w:w="7112" w:type="dxa"/>
                  <w:gridSpan w:val="2"/>
                  <w:tcBorders>
                    <w:tl2br w:val="nil"/>
                    <w:tr2bl w:val="nil"/>
                  </w:tcBorders>
                  <w:noWrap w:val="0"/>
                  <w:vAlign w:val="center"/>
                </w:tcPr>
                <w:p w14:paraId="1B459544">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left"/>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其他原则</w:t>
                  </w:r>
                </w:p>
              </w:tc>
            </w:tr>
            <w:tr w14:paraId="0EC9FA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6" w:type="dxa"/>
                  <w:tcBorders>
                    <w:tl2br w:val="nil"/>
                    <w:tr2bl w:val="nil"/>
                  </w:tcBorders>
                  <w:noWrap w:val="0"/>
                  <w:vAlign w:val="center"/>
                </w:tcPr>
                <w:p w14:paraId="77BF3EF5">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6.1.6</w:t>
                  </w:r>
                </w:p>
              </w:tc>
              <w:tc>
                <w:tcPr>
                  <w:tcW w:w="5617" w:type="dxa"/>
                  <w:tcBorders>
                    <w:tl2br w:val="nil"/>
                    <w:tr2bl w:val="nil"/>
                  </w:tcBorders>
                  <w:noWrap w:val="0"/>
                  <w:vAlign w:val="center"/>
                </w:tcPr>
                <w:p w14:paraId="2DDAAB5C">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线性工程可分段确定评价等级。</w:t>
                  </w:r>
                </w:p>
                <w:p w14:paraId="60601C67">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线性工程地下穿越或地表跨越生态敏感区，在生态敏感区范围内无永久、临时占地时，评价等级可下调一级。</w:t>
                  </w:r>
                </w:p>
              </w:tc>
              <w:tc>
                <w:tcPr>
                  <w:tcW w:w="1495" w:type="dxa"/>
                  <w:tcBorders>
                    <w:tl2br w:val="nil"/>
                    <w:tr2bl w:val="nil"/>
                  </w:tcBorders>
                  <w:noWrap w:val="0"/>
                  <w:vAlign w:val="center"/>
                </w:tcPr>
                <w:p w14:paraId="52A4A2E7">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不涉及</w:t>
                  </w:r>
                </w:p>
              </w:tc>
            </w:tr>
          </w:tbl>
          <w:p w14:paraId="75C357D5">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cs="Times New Roman"/>
                <w:b w:val="0"/>
                <w:bCs w:val="0"/>
                <w:color w:val="auto"/>
                <w:kern w:val="2"/>
                <w:sz w:val="24"/>
                <w:szCs w:val="24"/>
                <w:highlight w:val="none"/>
                <w:lang w:val="en-US" w:eastAsia="zh-CN" w:bidi="ar-SA"/>
              </w:rPr>
              <w:t>根据《环境影响评价技术导则 生态环境》（HJ19-2022）“线性工程……穿越非生态敏感区时，以线路中心线向两侧外延300m为参考评价范围”，因此确定本项目评价范围为项目沿线两侧外延300m范围。</w:t>
            </w:r>
          </w:p>
          <w:p w14:paraId="62DB91B7">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cs="Times New Roman"/>
                <w:b w:val="0"/>
                <w:bCs w:val="0"/>
                <w:color w:val="auto"/>
                <w:kern w:val="2"/>
                <w:sz w:val="24"/>
                <w:szCs w:val="24"/>
                <w:highlight w:val="none"/>
                <w:lang w:val="en-US" w:eastAsia="zh-CN" w:bidi="ar-SA"/>
              </w:rPr>
            </w:pPr>
            <w:r>
              <w:rPr>
                <w:rFonts w:hint="default" w:ascii="Times New Roman" w:hAnsi="Times New Roman" w:cs="Times New Roman"/>
                <w:b w:val="0"/>
                <w:bCs w:val="0"/>
                <w:color w:val="auto"/>
                <w:kern w:val="2"/>
                <w:sz w:val="24"/>
                <w:szCs w:val="24"/>
                <w:highlight w:val="none"/>
                <w:lang w:val="en-US" w:eastAsia="zh-CN" w:bidi="ar-SA"/>
              </w:rPr>
              <w:t>（2）生态保护目标</w:t>
            </w:r>
          </w:p>
          <w:p w14:paraId="7D25F00E">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根据《环境影响评价技术导则 生态影响》（HJ19-20</w:t>
            </w:r>
            <w:r>
              <w:rPr>
                <w:rFonts w:hint="default" w:ascii="Times New Roman" w:hAnsi="Times New Roman" w:cs="Times New Roman"/>
                <w:b w:val="0"/>
                <w:bCs w:val="0"/>
                <w:color w:val="auto"/>
                <w:kern w:val="2"/>
                <w:sz w:val="24"/>
                <w:szCs w:val="24"/>
                <w:highlight w:val="none"/>
                <w:lang w:val="en-US" w:eastAsia="zh-CN" w:bidi="ar-SA"/>
              </w:rPr>
              <w:t>22</w:t>
            </w:r>
            <w:r>
              <w:rPr>
                <w:rFonts w:hint="default" w:ascii="Times New Roman" w:hAnsi="Times New Roman" w:eastAsia="宋体" w:cs="Times New Roman"/>
                <w:b w:val="0"/>
                <w:bCs w:val="0"/>
                <w:color w:val="auto"/>
                <w:kern w:val="2"/>
                <w:sz w:val="24"/>
                <w:szCs w:val="24"/>
                <w:highlight w:val="none"/>
                <w:lang w:val="en-US" w:eastAsia="zh-CN" w:bidi="ar-SA"/>
              </w:rPr>
              <w:t>），生态环境保护目标指国家公园、自然保护区、世界文化和自然遗产地、风景名胜区、森林公园等生态敏感区。</w:t>
            </w:r>
          </w:p>
          <w:p w14:paraId="0B33F65F">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根据确定的评价范围，本项目不涉及生态环境保护目标。</w:t>
            </w:r>
          </w:p>
          <w:p w14:paraId="1E9E60E1">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lang w:val="en-US" w:eastAsia="zh-CN"/>
              </w:rPr>
              <w:t>2、声环境评价范围及环境保护目标</w:t>
            </w:r>
          </w:p>
          <w:p w14:paraId="12E6BBFB">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cs="Times New Roman"/>
                <w:b w:val="0"/>
                <w:bCs w:val="0"/>
                <w:color w:val="auto"/>
                <w:kern w:val="2"/>
                <w:sz w:val="24"/>
                <w:szCs w:val="24"/>
                <w:highlight w:val="none"/>
                <w:lang w:val="en-US" w:eastAsia="zh-CN" w:bidi="ar-SA"/>
              </w:rPr>
            </w:pPr>
            <w:r>
              <w:rPr>
                <w:rFonts w:hint="default" w:ascii="Times New Roman" w:hAnsi="Times New Roman" w:cs="Times New Roman"/>
                <w:b w:val="0"/>
                <w:bCs w:val="0"/>
                <w:color w:val="auto"/>
                <w:kern w:val="2"/>
                <w:sz w:val="24"/>
                <w:szCs w:val="24"/>
                <w:highlight w:val="none"/>
                <w:lang w:val="en-US" w:eastAsia="zh-CN" w:bidi="ar-SA"/>
              </w:rPr>
              <w:t>根据《环境影响评价技术导则 声环境》（HJ2.4-2021）中“建设项目所处的声环境功能区为GB 3096规定的1类、2类地区，或建设项目建设前后评价范围内声环境保护目标噪声级增量达3dB(A)~5dB(A)，或受噪声影响人口数量增加较多时，按二级评价。”因此本项目声环境评价等级为二级。</w:t>
            </w:r>
          </w:p>
          <w:p w14:paraId="42362B8B">
            <w:pPr>
              <w:pStyle w:val="56"/>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jc w:val="both"/>
              <w:textAlignment w:val="auto"/>
              <w:rPr>
                <w:rFonts w:hint="default" w:ascii="Times New Roman" w:hAnsi="Times New Roman" w:cs="Times New Roman"/>
                <w:b w:val="0"/>
                <w:bCs w:val="0"/>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rPr>
              <w:t>《环境影响评价技术导则 声环境》（HJ2.4-2021）中</w:t>
            </w:r>
            <w:r>
              <w:rPr>
                <w:rFonts w:hint="default" w:ascii="Times New Roman" w:hAnsi="Times New Roman" w:eastAsia="宋体" w:cs="Times New Roman"/>
                <w:color w:val="auto"/>
                <w:sz w:val="24"/>
                <w:szCs w:val="24"/>
                <w:highlight w:val="none"/>
                <w:lang w:eastAsia="zh-CN"/>
              </w:rPr>
              <w:t>“二级、三级评价范围可根据建设项目所在区域和相邻区域的声环境功能区类别及声环境保护目标等</w:t>
            </w:r>
            <w:r>
              <w:rPr>
                <w:rFonts w:hint="default" w:ascii="Times New Roman" w:hAnsi="Times New Roman" w:eastAsia="宋体" w:cs="Times New Roman"/>
                <w:color w:val="auto"/>
                <w:sz w:val="24"/>
                <w:szCs w:val="24"/>
                <w:highlight w:val="none"/>
                <w:lang w:val="en-US" w:eastAsia="zh-CN"/>
              </w:rPr>
              <w:t>视</w:t>
            </w:r>
            <w:r>
              <w:rPr>
                <w:rFonts w:hint="default" w:ascii="Times New Roman" w:hAnsi="Times New Roman" w:eastAsia="宋体" w:cs="Times New Roman"/>
                <w:color w:val="auto"/>
                <w:sz w:val="24"/>
                <w:szCs w:val="24"/>
                <w:highlight w:val="none"/>
                <w:lang w:eastAsia="zh-CN"/>
              </w:rPr>
              <w:t>情况适当缩小”</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本项目声环境评价范围为200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lang w:val="en-US" w:eastAsia="zh-CN"/>
              </w:rPr>
              <w:t>范围</w:t>
            </w:r>
            <w:r>
              <w:rPr>
                <w:rFonts w:hint="eastAsia" w:cs="Times New Roman"/>
                <w:b w:val="0"/>
                <w:bCs w:val="0"/>
                <w:color w:val="auto"/>
                <w:kern w:val="2"/>
                <w:sz w:val="24"/>
                <w:szCs w:val="24"/>
                <w:highlight w:val="none"/>
                <w:lang w:val="en-US" w:eastAsia="zh-CN" w:bidi="ar-SA"/>
              </w:rPr>
              <w:t>。</w:t>
            </w:r>
          </w:p>
          <w:p w14:paraId="0915F35C">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lang w:val="en-US" w:eastAsia="zh-CN"/>
              </w:rPr>
              <w:t>3、地表水环境</w:t>
            </w:r>
          </w:p>
          <w:p w14:paraId="70A27A65">
            <w:pPr>
              <w:pStyle w:val="11"/>
              <w:adjustRightInd w:val="0"/>
              <w:spacing w:before="0" w:after="0" w:line="360" w:lineRule="auto"/>
              <w:ind w:right="0" w:firstLine="480" w:firstLineChars="200"/>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根据《环境影响评价技术导则 地表水环境》（HJ2.3-2018）中水域影响评价范围的</w:t>
            </w:r>
            <w:r>
              <w:rPr>
                <w:rFonts w:hint="default" w:ascii="Times New Roman" w:hAnsi="Times New Roman" w:cs="Times New Roman"/>
                <w:color w:val="auto"/>
                <w:kern w:val="2"/>
                <w:sz w:val="24"/>
                <w:szCs w:val="24"/>
                <w:highlight w:val="none"/>
                <w:lang w:val="en-US" w:eastAsia="zh-CN" w:bidi="ar-SA"/>
              </w:rPr>
              <w:t>划分</w:t>
            </w:r>
            <w:r>
              <w:rPr>
                <w:rFonts w:hint="default" w:ascii="Times New Roman" w:hAnsi="Times New Roman" w:eastAsia="宋体" w:cs="Times New Roman"/>
                <w:color w:val="auto"/>
                <w:kern w:val="2"/>
                <w:sz w:val="24"/>
                <w:szCs w:val="24"/>
                <w:highlight w:val="none"/>
                <w:lang w:val="en-US" w:eastAsia="zh-CN" w:bidi="ar-SA"/>
              </w:rPr>
              <w:t>，本项目评价范围为</w:t>
            </w:r>
            <w:r>
              <w:rPr>
                <w:rFonts w:hint="default" w:ascii="Times New Roman" w:hAnsi="Times New Roman" w:cs="Times New Roman"/>
                <w:color w:val="auto"/>
                <w:kern w:val="2"/>
                <w:sz w:val="24"/>
                <w:szCs w:val="24"/>
                <w:highlight w:val="none"/>
                <w:lang w:val="en-US" w:eastAsia="zh-CN" w:bidi="ar-SA"/>
              </w:rPr>
              <w:t>高崖沟</w:t>
            </w:r>
            <w:r>
              <w:rPr>
                <w:rFonts w:hint="default" w:ascii="Times New Roman" w:hAnsi="Times New Roman" w:eastAsia="宋体" w:cs="Times New Roman"/>
                <w:color w:val="auto"/>
                <w:kern w:val="2"/>
                <w:sz w:val="24"/>
                <w:szCs w:val="24"/>
                <w:highlight w:val="none"/>
                <w:lang w:val="en-US" w:eastAsia="zh-CN" w:bidi="ar-SA"/>
              </w:rPr>
              <w:t>工程扰动范围。本项目地表水环境保护目标为项目</w:t>
            </w:r>
            <w:r>
              <w:rPr>
                <w:rFonts w:hint="eastAsia" w:cs="Times New Roman"/>
                <w:color w:val="auto"/>
                <w:kern w:val="2"/>
                <w:sz w:val="24"/>
                <w:szCs w:val="24"/>
                <w:highlight w:val="none"/>
                <w:lang w:val="en-US" w:eastAsia="zh-CN" w:bidi="ar-SA"/>
              </w:rPr>
              <w:t>自身高崖沟及高崖沟汇入河流黄河</w:t>
            </w:r>
            <w:r>
              <w:rPr>
                <w:rFonts w:hint="default" w:ascii="Times New Roman" w:hAnsi="Times New Roman" w:eastAsia="宋体" w:cs="Times New Roman"/>
                <w:color w:val="auto"/>
                <w:kern w:val="2"/>
                <w:sz w:val="24"/>
                <w:szCs w:val="24"/>
                <w:highlight w:val="none"/>
                <w:lang w:val="en-US" w:eastAsia="zh-CN" w:bidi="ar-SA"/>
              </w:rPr>
              <w:t>。</w:t>
            </w:r>
          </w:p>
          <w:p w14:paraId="1F3DD9D8">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lang w:val="en-US" w:eastAsia="zh-CN"/>
              </w:rPr>
              <w:t>4、地下水环境</w:t>
            </w:r>
          </w:p>
          <w:p w14:paraId="2982724F">
            <w:pPr>
              <w:pStyle w:val="56"/>
              <w:spacing w:before="0" w:after="0" w:line="360" w:lineRule="auto"/>
              <w:ind w:firstLine="480" w:firstLineChars="200"/>
              <w:jc w:val="both"/>
              <w:rPr>
                <w:rFonts w:hint="default" w:ascii="Times New Roman" w:hAnsi="Times New Roman"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根据现场勘查，</w:t>
            </w:r>
            <w:r>
              <w:rPr>
                <w:rFonts w:hint="eastAsia" w:cs="Times New Roman"/>
                <w:b w:val="0"/>
                <w:bCs w:val="0"/>
                <w:color w:val="auto"/>
                <w:kern w:val="2"/>
                <w:sz w:val="24"/>
                <w:szCs w:val="24"/>
                <w:highlight w:val="none"/>
                <w:lang w:val="en-US" w:eastAsia="zh-CN" w:bidi="ar-SA"/>
              </w:rPr>
              <w:t>沟道沿线两侧</w:t>
            </w:r>
            <w:r>
              <w:rPr>
                <w:rFonts w:hint="default" w:ascii="Times New Roman" w:hAnsi="Times New Roman" w:eastAsia="宋体" w:cs="Times New Roman"/>
                <w:b w:val="0"/>
                <w:bCs w:val="0"/>
                <w:color w:val="auto"/>
                <w:kern w:val="2"/>
                <w:sz w:val="24"/>
                <w:szCs w:val="24"/>
                <w:highlight w:val="none"/>
                <w:lang w:val="en-US" w:eastAsia="zh-CN" w:bidi="ar-SA"/>
              </w:rPr>
              <w:t>500m范围内无地下水集中式饮用水水源或热水、矿泉水、温泉等特殊地下水资源。因此，项目无地下水环境保护目标</w:t>
            </w:r>
            <w:r>
              <w:rPr>
                <w:rFonts w:hint="default" w:ascii="Times New Roman" w:hAnsi="Times New Roman" w:cs="Times New Roman"/>
                <w:b w:val="0"/>
                <w:bCs w:val="0"/>
                <w:color w:val="auto"/>
                <w:kern w:val="2"/>
                <w:sz w:val="24"/>
                <w:szCs w:val="24"/>
                <w:highlight w:val="none"/>
                <w:lang w:val="en-US" w:eastAsia="zh-CN" w:bidi="ar-SA"/>
              </w:rPr>
              <w:t>。</w:t>
            </w:r>
          </w:p>
          <w:p w14:paraId="0EED6701">
            <w:pPr>
              <w:pStyle w:val="11"/>
              <w:numPr>
                <w:ilvl w:val="0"/>
                <w:numId w:val="0"/>
              </w:numPr>
              <w:adjustRightInd w:val="0"/>
              <w:spacing w:before="0" w:after="0" w:line="360" w:lineRule="auto"/>
              <w:ind w:right="0" w:rightChars="0" w:firstLine="480" w:firstLineChars="200"/>
              <w:rPr>
                <w:rFonts w:hint="default" w:ascii="Times New Roman" w:hAnsi="Times New Roman" w:eastAsia="黑体" w:cs="Times New Roman"/>
                <w:b w:val="0"/>
                <w:bCs w:val="0"/>
                <w:color w:val="auto"/>
                <w:kern w:val="2"/>
                <w:sz w:val="24"/>
                <w:szCs w:val="24"/>
                <w:highlight w:val="none"/>
                <w:lang w:val="en-US" w:eastAsia="zh-CN" w:bidi="ar-SA"/>
              </w:rPr>
            </w:pPr>
            <w:r>
              <w:rPr>
                <w:rFonts w:hint="default" w:ascii="Times New Roman" w:hAnsi="Times New Roman" w:eastAsia="黑体" w:cs="Times New Roman"/>
                <w:b w:val="0"/>
                <w:bCs w:val="0"/>
                <w:color w:val="auto"/>
                <w:kern w:val="2"/>
                <w:sz w:val="24"/>
                <w:szCs w:val="24"/>
                <w:highlight w:val="none"/>
                <w:lang w:val="en-US" w:eastAsia="zh-CN" w:bidi="ar-SA"/>
              </w:rPr>
              <w:t>5、环境敏感目标</w:t>
            </w:r>
          </w:p>
          <w:p w14:paraId="61E80FBA">
            <w:pPr>
              <w:pStyle w:val="11"/>
              <w:numPr>
                <w:ilvl w:val="0"/>
                <w:numId w:val="0"/>
              </w:numPr>
              <w:adjustRightInd w:val="0"/>
              <w:spacing w:before="0" w:after="0" w:line="360" w:lineRule="auto"/>
              <w:ind w:right="0" w:rightChars="0"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本项目建设地点位于宁夏回族自治区</w:t>
            </w:r>
            <w:r>
              <w:rPr>
                <w:rFonts w:hint="default" w:ascii="Times New Roman" w:hAnsi="Times New Roman" w:cs="Times New Roman"/>
                <w:color w:val="auto"/>
                <w:kern w:val="0"/>
                <w:sz w:val="24"/>
                <w:szCs w:val="24"/>
                <w:highlight w:val="none"/>
                <w:lang w:val="en-US" w:eastAsia="zh-CN" w:bidi="ar-SA"/>
              </w:rPr>
              <w:t>沙坡头区兴仁镇及香山乡</w:t>
            </w:r>
            <w:r>
              <w:rPr>
                <w:rFonts w:hint="default" w:ascii="Times New Roman" w:hAnsi="Times New Roman" w:eastAsia="宋体" w:cs="Times New Roman"/>
                <w:color w:val="auto"/>
                <w:kern w:val="0"/>
                <w:sz w:val="24"/>
                <w:szCs w:val="24"/>
                <w:highlight w:val="none"/>
                <w:lang w:val="en-US" w:eastAsia="zh-CN" w:bidi="ar-SA"/>
              </w:rPr>
              <w:t>。本项目环境保护目标见表</w:t>
            </w:r>
            <w:r>
              <w:rPr>
                <w:rFonts w:hint="default" w:ascii="Times New Roman" w:hAnsi="Times New Roman" w:cs="Times New Roman"/>
                <w:color w:val="auto"/>
                <w:kern w:val="0"/>
                <w:sz w:val="24"/>
                <w:szCs w:val="24"/>
                <w:highlight w:val="none"/>
                <w:lang w:val="en-US" w:eastAsia="zh-CN" w:bidi="ar-SA"/>
              </w:rPr>
              <w:t>3-6</w:t>
            </w:r>
            <w:r>
              <w:rPr>
                <w:rFonts w:hint="eastAsia" w:cs="Times New Roman"/>
                <w:color w:val="auto"/>
                <w:kern w:val="0"/>
                <w:sz w:val="24"/>
                <w:szCs w:val="24"/>
                <w:highlight w:val="none"/>
                <w:lang w:val="en-US" w:eastAsia="zh-CN" w:bidi="ar-SA"/>
              </w:rPr>
              <w:t>，保护目标分布图见图3-15</w:t>
            </w:r>
            <w:r>
              <w:rPr>
                <w:rFonts w:hint="default" w:ascii="Times New Roman" w:hAnsi="Times New Roman" w:eastAsia="宋体" w:cs="Times New Roman"/>
                <w:color w:val="auto"/>
                <w:kern w:val="0"/>
                <w:sz w:val="24"/>
                <w:szCs w:val="24"/>
                <w:highlight w:val="none"/>
                <w:lang w:val="en-US" w:eastAsia="zh-CN" w:bidi="ar-SA"/>
              </w:rPr>
              <w:t>。</w:t>
            </w:r>
          </w:p>
          <w:p w14:paraId="24C41302">
            <w:pPr>
              <w:keepNext w:val="0"/>
              <w:keepLines w:val="0"/>
              <w:pageBreakBefore w:val="0"/>
              <w:widowControl w:val="0"/>
              <w:tabs>
                <w:tab w:val="left" w:pos="8280"/>
              </w:tabs>
              <w:kinsoku/>
              <w:wordWrap/>
              <w:overflowPunct/>
              <w:topLinePunct w:val="0"/>
              <w:bidi w:val="0"/>
              <w:spacing w:line="240" w:lineRule="auto"/>
              <w:jc w:val="center"/>
              <w:textAlignment w:val="auto"/>
              <w:outlineLvl w:val="9"/>
              <w:rPr>
                <w:rFonts w:hint="default" w:ascii="Times New Roman" w:hAnsi="Times New Roman" w:eastAsia="黑体" w:cs="Times New Roman"/>
                <w:b w:val="0"/>
                <w:bCs w:val="0"/>
                <w:color w:val="auto"/>
                <w:sz w:val="24"/>
                <w:szCs w:val="24"/>
                <w:highlight w:val="none"/>
              </w:rPr>
            </w:pPr>
            <w:r>
              <w:rPr>
                <w:rFonts w:hint="default" w:ascii="Times New Roman" w:hAnsi="Times New Roman" w:eastAsia="黑体" w:cs="Times New Roman"/>
                <w:b w:val="0"/>
                <w:bCs w:val="0"/>
                <w:color w:val="auto"/>
                <w:sz w:val="24"/>
                <w:szCs w:val="24"/>
                <w:highlight w:val="none"/>
              </w:rPr>
              <w:t>表</w:t>
            </w:r>
            <w:r>
              <w:rPr>
                <w:rFonts w:hint="default" w:ascii="Times New Roman" w:hAnsi="Times New Roman" w:eastAsia="黑体" w:cs="Times New Roman"/>
                <w:b w:val="0"/>
                <w:bCs w:val="0"/>
                <w:color w:val="auto"/>
                <w:sz w:val="24"/>
                <w:szCs w:val="24"/>
                <w:highlight w:val="none"/>
                <w:lang w:val="en-US" w:eastAsia="zh-CN"/>
              </w:rPr>
              <w:t>3-6</w:t>
            </w:r>
            <w:r>
              <w:rPr>
                <w:rFonts w:hint="default" w:ascii="Times New Roman" w:hAnsi="Times New Roman" w:eastAsia="黑体" w:cs="Times New Roman"/>
                <w:b w:val="0"/>
                <w:bCs w:val="0"/>
                <w:color w:val="auto"/>
                <w:sz w:val="24"/>
                <w:szCs w:val="24"/>
                <w:highlight w:val="none"/>
              </w:rPr>
              <w:t xml:space="preserve">  本项目所在区域环境保护目标一览表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50"/>
              <w:gridCol w:w="1527"/>
              <w:gridCol w:w="1422"/>
              <w:gridCol w:w="884"/>
              <w:gridCol w:w="939"/>
              <w:gridCol w:w="714"/>
              <w:gridCol w:w="663"/>
              <w:gridCol w:w="795"/>
            </w:tblGrid>
            <w:tr w14:paraId="0F5C0F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76" w:type="dxa"/>
                  <w:gridSpan w:val="2"/>
                  <w:vMerge w:val="restart"/>
                  <w:tcBorders>
                    <w:tl2br w:val="nil"/>
                    <w:tr2bl w:val="nil"/>
                  </w:tcBorders>
                  <w:noWrap w:val="0"/>
                  <w:vAlign w:val="center"/>
                </w:tcPr>
                <w:p w14:paraId="5F55625D">
                  <w:pPr>
                    <w:adjustRightInd w:val="0"/>
                    <w:snapToGrid w:val="0"/>
                    <w:jc w:val="center"/>
                    <w:rPr>
                      <w:rFonts w:hint="default" w:ascii="Times New Roman" w:hAnsi="Times New Roman" w:eastAsia="宋体" w:cs="Times New Roman"/>
                      <w:b/>
                      <w:color w:val="auto"/>
                      <w:highlight w:val="none"/>
                      <w:lang w:eastAsia="zh-CN"/>
                    </w:rPr>
                  </w:pPr>
                  <w:r>
                    <w:rPr>
                      <w:rFonts w:hint="default" w:ascii="Times New Roman" w:hAnsi="Times New Roman" w:cs="Times New Roman"/>
                      <w:b/>
                      <w:color w:val="auto"/>
                      <w:highlight w:val="none"/>
                      <w:lang w:eastAsia="zh-CN"/>
                    </w:rPr>
                    <w:t>环境要素</w:t>
                  </w:r>
                </w:p>
              </w:tc>
              <w:tc>
                <w:tcPr>
                  <w:tcW w:w="2949" w:type="dxa"/>
                  <w:gridSpan w:val="2"/>
                  <w:tcBorders>
                    <w:tl2br w:val="nil"/>
                    <w:tr2bl w:val="nil"/>
                  </w:tcBorders>
                  <w:noWrap w:val="0"/>
                  <w:vAlign w:val="center"/>
                </w:tcPr>
                <w:p w14:paraId="054B10D3">
                  <w:pPr>
                    <w:adjustRightInd w:val="0"/>
                    <w:snapToGrid w:val="0"/>
                    <w:jc w:val="center"/>
                    <w:rPr>
                      <w:rFonts w:hint="default" w:ascii="Times New Roman" w:hAnsi="Times New Roman" w:cs="Times New Roman"/>
                      <w:b/>
                      <w:color w:val="auto"/>
                      <w:highlight w:val="none"/>
                      <w:lang w:eastAsia="zh-CN"/>
                    </w:rPr>
                  </w:pPr>
                  <w:r>
                    <w:rPr>
                      <w:rFonts w:hint="default" w:ascii="Times New Roman" w:hAnsi="Times New Roman" w:cs="Times New Roman"/>
                      <w:b/>
                      <w:color w:val="auto"/>
                      <w:highlight w:val="none"/>
                      <w:lang w:eastAsia="zh-CN"/>
                    </w:rPr>
                    <w:t>坐标</w:t>
                  </w:r>
                </w:p>
              </w:tc>
              <w:tc>
                <w:tcPr>
                  <w:tcW w:w="884" w:type="dxa"/>
                  <w:vMerge w:val="restart"/>
                  <w:tcBorders>
                    <w:tl2br w:val="nil"/>
                    <w:tr2bl w:val="nil"/>
                  </w:tcBorders>
                  <w:noWrap w:val="0"/>
                  <w:vAlign w:val="center"/>
                </w:tcPr>
                <w:p w14:paraId="2D91743D">
                  <w:pPr>
                    <w:adjustRightInd w:val="0"/>
                    <w:snapToGrid w:val="0"/>
                    <w:jc w:val="center"/>
                    <w:rPr>
                      <w:rFonts w:hint="default" w:ascii="Times New Roman" w:hAnsi="Times New Roman" w:eastAsia="宋体" w:cs="Times New Roman"/>
                      <w:b/>
                      <w:color w:val="auto"/>
                      <w:highlight w:val="none"/>
                      <w:lang w:eastAsia="zh-CN"/>
                    </w:rPr>
                  </w:pPr>
                  <w:r>
                    <w:rPr>
                      <w:rFonts w:hint="default" w:ascii="Times New Roman" w:hAnsi="Times New Roman" w:cs="Times New Roman"/>
                      <w:b/>
                      <w:color w:val="auto"/>
                      <w:highlight w:val="none"/>
                      <w:lang w:eastAsia="zh-CN"/>
                    </w:rPr>
                    <w:t>保护对象</w:t>
                  </w:r>
                </w:p>
              </w:tc>
              <w:tc>
                <w:tcPr>
                  <w:tcW w:w="939" w:type="dxa"/>
                  <w:vMerge w:val="restart"/>
                  <w:tcBorders>
                    <w:tl2br w:val="nil"/>
                    <w:tr2bl w:val="nil"/>
                  </w:tcBorders>
                  <w:noWrap w:val="0"/>
                  <w:vAlign w:val="center"/>
                </w:tcPr>
                <w:p w14:paraId="606A554F">
                  <w:pPr>
                    <w:adjustRightInd w:val="0"/>
                    <w:snapToGrid w:val="0"/>
                    <w:jc w:val="center"/>
                    <w:rPr>
                      <w:rFonts w:hint="default" w:ascii="Times New Roman" w:hAnsi="Times New Roman" w:eastAsia="宋体" w:cs="Times New Roman"/>
                      <w:b/>
                      <w:color w:val="auto"/>
                      <w:highlight w:val="none"/>
                      <w:lang w:eastAsia="zh-CN"/>
                    </w:rPr>
                  </w:pPr>
                  <w:r>
                    <w:rPr>
                      <w:rFonts w:hint="default" w:ascii="Times New Roman" w:hAnsi="Times New Roman" w:cs="Times New Roman"/>
                      <w:b/>
                      <w:color w:val="auto"/>
                      <w:highlight w:val="none"/>
                      <w:lang w:eastAsia="zh-CN"/>
                    </w:rPr>
                    <w:t>保护内容</w:t>
                  </w:r>
                </w:p>
              </w:tc>
              <w:tc>
                <w:tcPr>
                  <w:tcW w:w="714" w:type="dxa"/>
                  <w:vMerge w:val="restart"/>
                  <w:tcBorders>
                    <w:tl2br w:val="nil"/>
                    <w:tr2bl w:val="nil"/>
                  </w:tcBorders>
                  <w:noWrap w:val="0"/>
                  <w:vAlign w:val="center"/>
                </w:tcPr>
                <w:p w14:paraId="6FE954B0">
                  <w:pPr>
                    <w:adjustRightInd w:val="0"/>
                    <w:snapToGrid w:val="0"/>
                    <w:jc w:val="center"/>
                    <w:rPr>
                      <w:rFonts w:hint="default" w:ascii="Times New Roman" w:hAnsi="Times New Roman" w:eastAsia="宋体" w:cs="Times New Roman"/>
                      <w:b/>
                      <w:color w:val="auto"/>
                      <w:highlight w:val="none"/>
                      <w:lang w:eastAsia="zh-CN"/>
                    </w:rPr>
                  </w:pPr>
                  <w:r>
                    <w:rPr>
                      <w:rFonts w:hint="default" w:ascii="Times New Roman" w:hAnsi="Times New Roman" w:cs="Times New Roman"/>
                      <w:b/>
                      <w:color w:val="auto"/>
                      <w:highlight w:val="none"/>
                      <w:lang w:eastAsia="zh-CN"/>
                    </w:rPr>
                    <w:t>环境功能区</w:t>
                  </w:r>
                </w:p>
              </w:tc>
              <w:tc>
                <w:tcPr>
                  <w:tcW w:w="663" w:type="dxa"/>
                  <w:vMerge w:val="restart"/>
                  <w:tcBorders>
                    <w:tl2br w:val="nil"/>
                    <w:tr2bl w:val="nil"/>
                  </w:tcBorders>
                  <w:noWrap w:val="0"/>
                  <w:vAlign w:val="center"/>
                </w:tcPr>
                <w:p w14:paraId="648385B2">
                  <w:pPr>
                    <w:adjustRightInd w:val="0"/>
                    <w:snapToGrid w:val="0"/>
                    <w:jc w:val="center"/>
                    <w:rPr>
                      <w:rFonts w:hint="default" w:ascii="Times New Roman" w:hAnsi="Times New Roman" w:eastAsia="仿宋" w:cs="Times New Roman"/>
                      <w:b/>
                      <w:color w:val="auto"/>
                      <w:highlight w:val="none"/>
                      <w:lang w:eastAsia="zh-CN"/>
                    </w:rPr>
                  </w:pPr>
                  <w:r>
                    <w:rPr>
                      <w:rFonts w:hint="default" w:ascii="Times New Roman" w:hAnsi="Times New Roman" w:cs="Times New Roman"/>
                      <w:b/>
                      <w:color w:val="auto"/>
                      <w:szCs w:val="22"/>
                      <w:highlight w:val="none"/>
                      <w:lang w:eastAsia="zh-CN"/>
                    </w:rPr>
                    <w:t>相对项目方位</w:t>
                  </w:r>
                </w:p>
              </w:tc>
              <w:tc>
                <w:tcPr>
                  <w:tcW w:w="795" w:type="dxa"/>
                  <w:vMerge w:val="restart"/>
                  <w:tcBorders>
                    <w:tl2br w:val="nil"/>
                    <w:tr2bl w:val="nil"/>
                  </w:tcBorders>
                  <w:noWrap w:val="0"/>
                  <w:vAlign w:val="center"/>
                </w:tcPr>
                <w:p w14:paraId="4CB6C342">
                  <w:pPr>
                    <w:adjustRightInd w:val="0"/>
                    <w:snapToGrid w:val="0"/>
                    <w:jc w:val="center"/>
                    <w:rPr>
                      <w:rFonts w:hint="default" w:ascii="Times New Roman" w:hAnsi="Times New Roman" w:cs="Times New Roman"/>
                      <w:b/>
                      <w:color w:val="auto"/>
                      <w:szCs w:val="22"/>
                      <w:highlight w:val="none"/>
                      <w:lang w:eastAsia="zh-CN"/>
                    </w:rPr>
                  </w:pPr>
                  <w:r>
                    <w:rPr>
                      <w:rFonts w:hint="default" w:ascii="Times New Roman" w:hAnsi="Times New Roman" w:cs="Times New Roman"/>
                      <w:b/>
                      <w:color w:val="auto"/>
                      <w:szCs w:val="22"/>
                      <w:highlight w:val="none"/>
                      <w:lang w:eastAsia="zh-CN"/>
                    </w:rPr>
                    <w:t>相对项目距离</w:t>
                  </w:r>
                </w:p>
              </w:tc>
            </w:tr>
            <w:tr w14:paraId="6E6130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76" w:type="dxa"/>
                  <w:gridSpan w:val="2"/>
                  <w:vMerge w:val="continue"/>
                  <w:tcBorders>
                    <w:tl2br w:val="nil"/>
                    <w:tr2bl w:val="nil"/>
                  </w:tcBorders>
                  <w:noWrap w:val="0"/>
                  <w:vAlign w:val="center"/>
                </w:tcPr>
                <w:p w14:paraId="1C980ED5">
                  <w:pPr>
                    <w:snapToGrid w:val="0"/>
                    <w:jc w:val="center"/>
                    <w:rPr>
                      <w:rFonts w:hint="default" w:ascii="Times New Roman" w:hAnsi="Times New Roman" w:eastAsia="宋体" w:cs="Times New Roman"/>
                      <w:color w:val="auto"/>
                      <w:highlight w:val="none"/>
                      <w:lang w:eastAsia="zh-CN"/>
                    </w:rPr>
                  </w:pPr>
                </w:p>
              </w:tc>
              <w:tc>
                <w:tcPr>
                  <w:tcW w:w="1527" w:type="dxa"/>
                  <w:tcBorders>
                    <w:tl2br w:val="nil"/>
                    <w:tr2bl w:val="nil"/>
                  </w:tcBorders>
                  <w:noWrap w:val="0"/>
                  <w:vAlign w:val="center"/>
                </w:tcPr>
                <w:p w14:paraId="0E3FE881">
                  <w:pPr>
                    <w:jc w:val="center"/>
                    <w:rPr>
                      <w:rFonts w:hint="default" w:ascii="Times New Roman" w:hAnsi="Times New Roman" w:cs="Times New Roman"/>
                      <w:b/>
                      <w:bCs/>
                      <w:color w:val="auto"/>
                      <w:highlight w:val="none"/>
                      <w:lang w:val="en-US" w:eastAsia="zh-CN"/>
                    </w:rPr>
                  </w:pPr>
                  <w:r>
                    <w:rPr>
                      <w:rFonts w:hint="eastAsia" w:cs="Times New Roman"/>
                      <w:b/>
                      <w:bCs/>
                      <w:color w:val="auto"/>
                      <w:highlight w:val="none"/>
                      <w:lang w:val="en-US" w:eastAsia="zh-CN"/>
                    </w:rPr>
                    <w:t>E</w:t>
                  </w:r>
                </w:p>
              </w:tc>
              <w:tc>
                <w:tcPr>
                  <w:tcW w:w="1422" w:type="dxa"/>
                  <w:tcBorders>
                    <w:tl2br w:val="nil"/>
                    <w:tr2bl w:val="nil"/>
                  </w:tcBorders>
                  <w:noWrap w:val="0"/>
                  <w:vAlign w:val="center"/>
                </w:tcPr>
                <w:p w14:paraId="7781032F">
                  <w:pPr>
                    <w:jc w:val="center"/>
                    <w:rPr>
                      <w:rFonts w:hint="default" w:ascii="Times New Roman" w:hAnsi="Times New Roman" w:cs="Times New Roman"/>
                      <w:b/>
                      <w:bCs/>
                      <w:color w:val="auto"/>
                      <w:highlight w:val="none"/>
                      <w:lang w:val="en-US" w:eastAsia="zh-CN"/>
                    </w:rPr>
                  </w:pPr>
                  <w:r>
                    <w:rPr>
                      <w:rFonts w:hint="eastAsia" w:cs="Times New Roman"/>
                      <w:b/>
                      <w:bCs/>
                      <w:color w:val="auto"/>
                      <w:highlight w:val="none"/>
                      <w:lang w:val="en-US" w:eastAsia="zh-CN"/>
                    </w:rPr>
                    <w:t>N</w:t>
                  </w:r>
                </w:p>
              </w:tc>
              <w:tc>
                <w:tcPr>
                  <w:tcW w:w="884" w:type="dxa"/>
                  <w:vMerge w:val="continue"/>
                  <w:tcBorders>
                    <w:tl2br w:val="nil"/>
                    <w:tr2bl w:val="nil"/>
                  </w:tcBorders>
                  <w:noWrap w:val="0"/>
                  <w:vAlign w:val="center"/>
                </w:tcPr>
                <w:p w14:paraId="7E92BF1A">
                  <w:pPr>
                    <w:jc w:val="center"/>
                    <w:rPr>
                      <w:rFonts w:hint="default" w:ascii="Times New Roman" w:hAnsi="Times New Roman" w:cs="Times New Roman"/>
                      <w:color w:val="auto"/>
                      <w:highlight w:val="none"/>
                      <w:lang w:eastAsia="zh-CN"/>
                    </w:rPr>
                  </w:pPr>
                </w:p>
              </w:tc>
              <w:tc>
                <w:tcPr>
                  <w:tcW w:w="939" w:type="dxa"/>
                  <w:vMerge w:val="continue"/>
                  <w:tcBorders>
                    <w:tl2br w:val="nil"/>
                    <w:tr2bl w:val="nil"/>
                  </w:tcBorders>
                  <w:noWrap w:val="0"/>
                  <w:vAlign w:val="center"/>
                </w:tcPr>
                <w:p w14:paraId="3E1A875A">
                  <w:pPr>
                    <w:jc w:val="center"/>
                    <w:rPr>
                      <w:rFonts w:hint="default" w:ascii="Times New Roman" w:hAnsi="Times New Roman" w:cs="Times New Roman"/>
                      <w:color w:val="auto"/>
                      <w:highlight w:val="none"/>
                      <w:lang w:val="en-US" w:eastAsia="zh-CN"/>
                    </w:rPr>
                  </w:pPr>
                </w:p>
              </w:tc>
              <w:tc>
                <w:tcPr>
                  <w:tcW w:w="714" w:type="dxa"/>
                  <w:vMerge w:val="continue"/>
                  <w:tcBorders>
                    <w:tl2br w:val="nil"/>
                    <w:tr2bl w:val="nil"/>
                  </w:tcBorders>
                  <w:noWrap w:val="0"/>
                  <w:vAlign w:val="center"/>
                </w:tcPr>
                <w:p w14:paraId="7C53C030">
                  <w:pPr>
                    <w:jc w:val="center"/>
                    <w:rPr>
                      <w:rFonts w:hint="default" w:ascii="Times New Roman" w:hAnsi="Times New Roman" w:cs="Times New Roman"/>
                      <w:color w:val="auto"/>
                      <w:highlight w:val="none"/>
                      <w:lang w:val="en-US" w:eastAsia="zh-CN"/>
                    </w:rPr>
                  </w:pPr>
                </w:p>
              </w:tc>
              <w:tc>
                <w:tcPr>
                  <w:tcW w:w="663" w:type="dxa"/>
                  <w:vMerge w:val="continue"/>
                  <w:tcBorders>
                    <w:tl2br w:val="nil"/>
                    <w:tr2bl w:val="nil"/>
                  </w:tcBorders>
                  <w:noWrap w:val="0"/>
                  <w:vAlign w:val="center"/>
                </w:tcPr>
                <w:p w14:paraId="7C18FC15">
                  <w:pPr>
                    <w:snapToGrid w:val="0"/>
                    <w:jc w:val="center"/>
                    <w:rPr>
                      <w:rFonts w:hint="default" w:ascii="Times New Roman" w:hAnsi="Times New Roman" w:cs="Times New Roman"/>
                      <w:color w:val="auto"/>
                      <w:highlight w:val="none"/>
                      <w:lang w:val="en-US" w:eastAsia="zh-CN"/>
                    </w:rPr>
                  </w:pPr>
                </w:p>
              </w:tc>
              <w:tc>
                <w:tcPr>
                  <w:tcW w:w="795" w:type="dxa"/>
                  <w:vMerge w:val="continue"/>
                  <w:tcBorders>
                    <w:tl2br w:val="nil"/>
                    <w:tr2bl w:val="nil"/>
                  </w:tcBorders>
                  <w:noWrap w:val="0"/>
                  <w:vAlign w:val="center"/>
                </w:tcPr>
                <w:p w14:paraId="043EF1EA">
                  <w:pPr>
                    <w:snapToGrid w:val="0"/>
                    <w:jc w:val="center"/>
                    <w:rPr>
                      <w:rFonts w:hint="default" w:ascii="Times New Roman" w:hAnsi="Times New Roman" w:cs="Times New Roman"/>
                      <w:color w:val="auto"/>
                      <w:highlight w:val="none"/>
                      <w:lang w:val="en-US" w:eastAsia="zh-CN"/>
                    </w:rPr>
                  </w:pPr>
                </w:p>
              </w:tc>
            </w:tr>
            <w:tr w14:paraId="5BB863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426" w:type="dxa"/>
                  <w:vMerge w:val="restart"/>
                  <w:tcBorders>
                    <w:tl2br w:val="nil"/>
                    <w:tr2bl w:val="nil"/>
                  </w:tcBorders>
                  <w:noWrap w:val="0"/>
                  <w:vAlign w:val="center"/>
                </w:tcPr>
                <w:p w14:paraId="0E446444">
                  <w:pPr>
                    <w:snapToGrid w:val="0"/>
                    <w:jc w:val="center"/>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地表水</w:t>
                  </w:r>
                </w:p>
              </w:tc>
              <w:tc>
                <w:tcPr>
                  <w:tcW w:w="850" w:type="dxa"/>
                  <w:tcBorders>
                    <w:tl2br w:val="nil"/>
                    <w:tr2bl w:val="nil"/>
                  </w:tcBorders>
                  <w:noWrap w:val="0"/>
                  <w:vAlign w:val="center"/>
                </w:tcPr>
                <w:p w14:paraId="6DEB0D4B">
                  <w:pPr>
                    <w:snapToGrid w:val="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黄河</w:t>
                  </w:r>
                </w:p>
              </w:tc>
              <w:tc>
                <w:tcPr>
                  <w:tcW w:w="1527" w:type="dxa"/>
                  <w:tcBorders>
                    <w:tl2br w:val="nil"/>
                    <w:tr2bl w:val="nil"/>
                  </w:tcBorders>
                  <w:noWrap w:val="0"/>
                  <w:vAlign w:val="center"/>
                </w:tcPr>
                <w:p w14:paraId="7481CB90">
                  <w:pPr>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422" w:type="dxa"/>
                  <w:tcBorders>
                    <w:tl2br w:val="nil"/>
                    <w:tr2bl w:val="nil"/>
                  </w:tcBorders>
                  <w:noWrap w:val="0"/>
                  <w:vAlign w:val="center"/>
                </w:tcPr>
                <w:p w14:paraId="2A213990">
                  <w:pPr>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884" w:type="dxa"/>
                  <w:tcBorders>
                    <w:tl2br w:val="nil"/>
                    <w:tr2bl w:val="nil"/>
                  </w:tcBorders>
                  <w:noWrap w:val="0"/>
                  <w:vAlign w:val="center"/>
                </w:tcPr>
                <w:p w14:paraId="35968658">
                  <w:pPr>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地表水体</w:t>
                  </w:r>
                </w:p>
              </w:tc>
              <w:tc>
                <w:tcPr>
                  <w:tcW w:w="939" w:type="dxa"/>
                  <w:tcBorders>
                    <w:tl2br w:val="nil"/>
                    <w:tr2bl w:val="nil"/>
                  </w:tcBorders>
                  <w:noWrap w:val="0"/>
                  <w:vAlign w:val="center"/>
                </w:tcPr>
                <w:p w14:paraId="6574913B">
                  <w:pPr>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地表水</w:t>
                  </w:r>
                </w:p>
              </w:tc>
              <w:tc>
                <w:tcPr>
                  <w:tcW w:w="714" w:type="dxa"/>
                  <w:tcBorders>
                    <w:tl2br w:val="nil"/>
                    <w:tr2bl w:val="nil"/>
                  </w:tcBorders>
                  <w:noWrap w:val="0"/>
                  <w:vAlign w:val="center"/>
                </w:tcPr>
                <w:p w14:paraId="7E9D6F56">
                  <w:pPr>
                    <w:jc w:val="center"/>
                    <w:rPr>
                      <w:rFonts w:hint="default" w:ascii="Times New Roman" w:hAnsi="Times New Roman" w:cs="Times New Roman"/>
                      <w:color w:val="auto"/>
                      <w:highlight w:val="none"/>
                      <w:lang w:eastAsia="zh-CN"/>
                    </w:rPr>
                  </w:pPr>
                  <w:r>
                    <w:rPr>
                      <w:rFonts w:hint="default" w:ascii="Times New Roman" w:hAnsi="Times New Roman" w:eastAsia="微软雅黑" w:cs="Times New Roman"/>
                      <w:color w:val="auto"/>
                      <w:sz w:val="21"/>
                      <w:szCs w:val="21"/>
                      <w:highlight w:val="none"/>
                    </w:rPr>
                    <w:t>Ⅱ</w:t>
                  </w:r>
                  <w:r>
                    <w:rPr>
                      <w:rFonts w:hint="default" w:ascii="Times New Roman" w:hAnsi="Times New Roman" w:eastAsia="宋体" w:cs="Times New Roman"/>
                      <w:color w:val="auto"/>
                      <w:sz w:val="21"/>
                      <w:szCs w:val="21"/>
                      <w:highlight w:val="none"/>
                    </w:rPr>
                    <w:t>类</w:t>
                  </w:r>
                </w:p>
              </w:tc>
              <w:tc>
                <w:tcPr>
                  <w:tcW w:w="663" w:type="dxa"/>
                  <w:tcBorders>
                    <w:tl2br w:val="nil"/>
                    <w:tr2bl w:val="nil"/>
                  </w:tcBorders>
                  <w:noWrap w:val="0"/>
                  <w:vAlign w:val="center"/>
                </w:tcPr>
                <w:p w14:paraId="2BA4C162">
                  <w:pPr>
                    <w:snapToGrid w:val="0"/>
                    <w:jc w:val="center"/>
                    <w:rPr>
                      <w:rFonts w:hint="default" w:ascii="Times New Roman" w:hAnsi="Times New Roman" w:eastAsia="宋体" w:cs="Times New Roman"/>
                      <w:color w:val="auto"/>
                      <w:kern w:val="2"/>
                      <w:sz w:val="21"/>
                      <w:highlight w:val="none"/>
                      <w:lang w:val="en-US" w:eastAsia="zh-CN" w:bidi="ar-SA"/>
                    </w:rPr>
                  </w:pPr>
                  <w:r>
                    <w:rPr>
                      <w:rFonts w:hint="default" w:ascii="Times New Roman" w:hAnsi="Times New Roman" w:cs="Times New Roman"/>
                      <w:color w:val="auto"/>
                      <w:kern w:val="2"/>
                      <w:sz w:val="21"/>
                      <w:highlight w:val="none"/>
                      <w:lang w:val="en-US" w:eastAsia="zh-CN" w:bidi="ar-SA"/>
                    </w:rPr>
                    <w:t>WN</w:t>
                  </w:r>
                </w:p>
              </w:tc>
              <w:tc>
                <w:tcPr>
                  <w:tcW w:w="795" w:type="dxa"/>
                  <w:tcBorders>
                    <w:tl2br w:val="nil"/>
                    <w:tr2bl w:val="nil"/>
                  </w:tcBorders>
                  <w:noWrap w:val="0"/>
                  <w:vAlign w:val="center"/>
                </w:tcPr>
                <w:p w14:paraId="7FB016EE">
                  <w:pPr>
                    <w:snapToGrid w:val="0"/>
                    <w:jc w:val="center"/>
                    <w:rPr>
                      <w:rFonts w:hint="default" w:ascii="Times New Roman" w:hAnsi="Times New Roman" w:cs="Times New Roman"/>
                      <w:color w:val="auto"/>
                      <w:kern w:val="2"/>
                      <w:sz w:val="21"/>
                      <w:highlight w:val="none"/>
                      <w:lang w:val="en-US" w:eastAsia="zh-CN" w:bidi="ar-SA"/>
                    </w:rPr>
                  </w:pPr>
                  <w:r>
                    <w:rPr>
                      <w:rFonts w:hint="default" w:ascii="Times New Roman" w:hAnsi="Times New Roman" w:cs="Times New Roman"/>
                      <w:color w:val="auto"/>
                      <w:kern w:val="2"/>
                      <w:sz w:val="21"/>
                      <w:highlight w:val="none"/>
                      <w:lang w:val="en-US" w:eastAsia="zh-CN" w:bidi="ar-SA"/>
                    </w:rPr>
                    <w:t>24km</w:t>
                  </w:r>
                </w:p>
              </w:tc>
            </w:tr>
            <w:tr w14:paraId="65F7DD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426" w:type="dxa"/>
                  <w:vMerge w:val="continue"/>
                  <w:tcBorders>
                    <w:tl2br w:val="nil"/>
                    <w:tr2bl w:val="nil"/>
                  </w:tcBorders>
                  <w:noWrap w:val="0"/>
                  <w:vAlign w:val="center"/>
                </w:tcPr>
                <w:p w14:paraId="15A2FC6E">
                  <w:pPr>
                    <w:snapToGrid w:val="0"/>
                    <w:jc w:val="center"/>
                    <w:rPr>
                      <w:color w:val="auto"/>
                    </w:rPr>
                  </w:pPr>
                </w:p>
              </w:tc>
              <w:tc>
                <w:tcPr>
                  <w:tcW w:w="850" w:type="dxa"/>
                  <w:tcBorders>
                    <w:tl2br w:val="nil"/>
                    <w:tr2bl w:val="nil"/>
                  </w:tcBorders>
                  <w:noWrap w:val="0"/>
                  <w:vAlign w:val="center"/>
                </w:tcPr>
                <w:p w14:paraId="45788699">
                  <w:pPr>
                    <w:snapToGrid w:val="0"/>
                    <w:jc w:val="center"/>
                    <w:rPr>
                      <w:rFonts w:hint="eastAsia" w:eastAsia="宋体"/>
                      <w:color w:val="auto"/>
                      <w:lang w:val="en-US" w:eastAsia="zh-CN"/>
                    </w:rPr>
                  </w:pPr>
                  <w:r>
                    <w:rPr>
                      <w:rFonts w:hint="eastAsia"/>
                      <w:color w:val="auto"/>
                      <w:lang w:val="en-US" w:eastAsia="zh-CN"/>
                    </w:rPr>
                    <w:t>高崖沟</w:t>
                  </w:r>
                </w:p>
              </w:tc>
              <w:tc>
                <w:tcPr>
                  <w:tcW w:w="1527" w:type="dxa"/>
                  <w:tcBorders>
                    <w:tl2br w:val="nil"/>
                    <w:tr2bl w:val="nil"/>
                  </w:tcBorders>
                  <w:shd w:val="clear" w:color="auto" w:fill="auto"/>
                  <w:noWrap w:val="0"/>
                  <w:vAlign w:val="center"/>
                </w:tcPr>
                <w:p w14:paraId="53EC6049">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lang w:val="en-US" w:eastAsia="zh-CN"/>
                    </w:rPr>
                    <w:t>/</w:t>
                  </w:r>
                </w:p>
              </w:tc>
              <w:tc>
                <w:tcPr>
                  <w:tcW w:w="1422" w:type="dxa"/>
                  <w:tcBorders>
                    <w:tl2br w:val="nil"/>
                    <w:tr2bl w:val="nil"/>
                  </w:tcBorders>
                  <w:shd w:val="clear" w:color="auto" w:fill="auto"/>
                  <w:noWrap w:val="0"/>
                  <w:vAlign w:val="center"/>
                </w:tcPr>
                <w:p w14:paraId="21BC131F">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lang w:val="en-US" w:eastAsia="zh-CN"/>
                    </w:rPr>
                    <w:t>/</w:t>
                  </w:r>
                </w:p>
              </w:tc>
              <w:tc>
                <w:tcPr>
                  <w:tcW w:w="884" w:type="dxa"/>
                  <w:tcBorders>
                    <w:tl2br w:val="nil"/>
                    <w:tr2bl w:val="nil"/>
                  </w:tcBorders>
                  <w:noWrap w:val="0"/>
                  <w:vAlign w:val="center"/>
                </w:tcPr>
                <w:p w14:paraId="0D56EF52">
                  <w:pPr>
                    <w:snapToGrid w:val="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地表水体</w:t>
                  </w:r>
                </w:p>
              </w:tc>
              <w:tc>
                <w:tcPr>
                  <w:tcW w:w="939" w:type="dxa"/>
                  <w:tcBorders>
                    <w:tl2br w:val="nil"/>
                    <w:tr2bl w:val="nil"/>
                  </w:tcBorders>
                  <w:noWrap w:val="0"/>
                  <w:vAlign w:val="center"/>
                </w:tcPr>
                <w:p w14:paraId="48DB2022">
                  <w:pPr>
                    <w:snapToGrid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地表水</w:t>
                  </w:r>
                </w:p>
              </w:tc>
              <w:tc>
                <w:tcPr>
                  <w:tcW w:w="714" w:type="dxa"/>
                  <w:tcBorders>
                    <w:tl2br w:val="nil"/>
                    <w:tr2bl w:val="nil"/>
                  </w:tcBorders>
                  <w:noWrap w:val="0"/>
                  <w:vAlign w:val="center"/>
                </w:tcPr>
                <w:p w14:paraId="4E685477">
                  <w:pPr>
                    <w:snapToGrid w:val="0"/>
                    <w:jc w:val="center"/>
                    <w:rPr>
                      <w:rFonts w:hint="default" w:ascii="Times New Roman" w:hAnsi="Times New Roman" w:cs="Times New Roman"/>
                      <w:color w:val="auto"/>
                      <w:highlight w:val="none"/>
                      <w:lang w:val="en-US" w:eastAsia="zh-CN"/>
                    </w:rPr>
                  </w:pPr>
                  <w:r>
                    <w:rPr>
                      <w:rFonts w:hint="default" w:ascii="Times New Roman" w:hAnsi="Times New Roman" w:eastAsia="微软雅黑" w:cs="Times New Roman"/>
                      <w:color w:val="auto"/>
                      <w:sz w:val="21"/>
                      <w:szCs w:val="21"/>
                      <w:highlight w:val="none"/>
                    </w:rPr>
                    <w:fldChar w:fldCharType="begin"/>
                  </w:r>
                  <w:r>
                    <w:rPr>
                      <w:rFonts w:hint="default" w:ascii="Times New Roman" w:hAnsi="Times New Roman" w:eastAsia="微软雅黑" w:cs="Times New Roman"/>
                      <w:color w:val="auto"/>
                      <w:sz w:val="21"/>
                      <w:szCs w:val="21"/>
                      <w:highlight w:val="none"/>
                    </w:rPr>
                    <w:instrText xml:space="preserve"> = 4 \* ROMAN \* MERGEFORMAT </w:instrText>
                  </w:r>
                  <w:r>
                    <w:rPr>
                      <w:rFonts w:hint="default" w:ascii="Times New Roman" w:hAnsi="Times New Roman" w:eastAsia="微软雅黑" w:cs="Times New Roman"/>
                      <w:color w:val="auto"/>
                      <w:sz w:val="21"/>
                      <w:szCs w:val="21"/>
                      <w:highlight w:val="none"/>
                    </w:rPr>
                    <w:fldChar w:fldCharType="separate"/>
                  </w:r>
                  <w:r>
                    <w:rPr>
                      <w:rFonts w:hint="eastAsia" w:eastAsia="微软雅黑" w:cs="Times New Roman"/>
                      <w:color w:val="auto"/>
                      <w:sz w:val="21"/>
                      <w:szCs w:val="21"/>
                      <w:highlight w:val="none"/>
                      <w:lang w:eastAsia="zh-CN"/>
                    </w:rPr>
                    <w:t>Ⅳ</w:t>
                  </w:r>
                  <w:r>
                    <w:rPr>
                      <w:rFonts w:hint="default" w:ascii="Times New Roman" w:hAnsi="Times New Roman" w:eastAsia="微软雅黑"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rPr>
                    <w:t>类</w:t>
                  </w:r>
                </w:p>
              </w:tc>
              <w:tc>
                <w:tcPr>
                  <w:tcW w:w="663" w:type="dxa"/>
                  <w:tcBorders>
                    <w:tl2br w:val="nil"/>
                    <w:tr2bl w:val="nil"/>
                  </w:tcBorders>
                  <w:noWrap w:val="0"/>
                  <w:vAlign w:val="center"/>
                </w:tcPr>
                <w:p w14:paraId="77ADE6B7">
                  <w:pPr>
                    <w:snapToGrid w:val="0"/>
                    <w:jc w:val="center"/>
                    <w:rPr>
                      <w:rFonts w:hint="default" w:ascii="Times New Roman" w:hAnsi="Times New Roman" w:cs="Times New Roman"/>
                      <w:color w:val="auto"/>
                      <w:highlight w:val="none"/>
                      <w:lang w:val="en-US" w:eastAsia="zh-CN"/>
                    </w:rPr>
                  </w:pPr>
                  <w:r>
                    <w:rPr>
                      <w:rFonts w:hint="eastAsia" w:cs="Times New Roman"/>
                      <w:color w:val="auto"/>
                      <w:kern w:val="2"/>
                      <w:sz w:val="21"/>
                      <w:highlight w:val="none"/>
                      <w:lang w:val="en-US" w:eastAsia="zh-CN" w:bidi="ar-SA"/>
                    </w:rPr>
                    <w:t>/</w:t>
                  </w:r>
                </w:p>
              </w:tc>
              <w:tc>
                <w:tcPr>
                  <w:tcW w:w="795" w:type="dxa"/>
                  <w:tcBorders>
                    <w:tl2br w:val="nil"/>
                    <w:tr2bl w:val="nil"/>
                  </w:tcBorders>
                  <w:noWrap w:val="0"/>
                  <w:vAlign w:val="center"/>
                </w:tcPr>
                <w:p w14:paraId="6581FDB7">
                  <w:pPr>
                    <w:snapToGrid w:val="0"/>
                    <w:jc w:val="center"/>
                    <w:rPr>
                      <w:rFonts w:hint="default" w:ascii="Times New Roman" w:hAnsi="Times New Roman" w:cs="Times New Roman"/>
                      <w:color w:val="auto"/>
                      <w:highlight w:val="none"/>
                      <w:lang w:val="en-US" w:eastAsia="zh-CN"/>
                    </w:rPr>
                  </w:pPr>
                  <w:r>
                    <w:rPr>
                      <w:rFonts w:hint="eastAsia" w:cs="Times New Roman"/>
                      <w:color w:val="auto"/>
                      <w:kern w:val="2"/>
                      <w:sz w:val="21"/>
                      <w:highlight w:val="none"/>
                      <w:lang w:val="en-US" w:eastAsia="zh-CN" w:bidi="ar-SA"/>
                    </w:rPr>
                    <w:t>/</w:t>
                  </w:r>
                </w:p>
              </w:tc>
            </w:tr>
            <w:tr w14:paraId="162A40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76" w:type="dxa"/>
                  <w:gridSpan w:val="2"/>
                  <w:tcBorders>
                    <w:tl2br w:val="nil"/>
                    <w:tr2bl w:val="nil"/>
                  </w:tcBorders>
                  <w:noWrap w:val="0"/>
                  <w:vAlign w:val="center"/>
                </w:tcPr>
                <w:p w14:paraId="631EC1B7">
                  <w:pPr>
                    <w:snapToGrid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生态</w:t>
                  </w:r>
                </w:p>
              </w:tc>
              <w:tc>
                <w:tcPr>
                  <w:tcW w:w="1527" w:type="dxa"/>
                  <w:tcBorders>
                    <w:tl2br w:val="nil"/>
                    <w:tr2bl w:val="nil"/>
                  </w:tcBorders>
                  <w:noWrap w:val="0"/>
                  <w:vAlign w:val="center"/>
                </w:tcPr>
                <w:p w14:paraId="757FBFEF">
                  <w:pPr>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422" w:type="dxa"/>
                  <w:tcBorders>
                    <w:tl2br w:val="nil"/>
                    <w:tr2bl w:val="nil"/>
                  </w:tcBorders>
                  <w:noWrap w:val="0"/>
                  <w:vAlign w:val="center"/>
                </w:tcPr>
                <w:p w14:paraId="35519D1C">
                  <w:pPr>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884" w:type="dxa"/>
                  <w:tcBorders>
                    <w:tl2br w:val="nil"/>
                    <w:tr2bl w:val="nil"/>
                  </w:tcBorders>
                  <w:noWrap w:val="0"/>
                  <w:vAlign w:val="center"/>
                </w:tcPr>
                <w:p w14:paraId="2699B8F3">
                  <w:pPr>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生态环境</w:t>
                  </w:r>
                </w:p>
              </w:tc>
              <w:tc>
                <w:tcPr>
                  <w:tcW w:w="939" w:type="dxa"/>
                  <w:tcBorders>
                    <w:tl2br w:val="nil"/>
                    <w:tr2bl w:val="nil"/>
                  </w:tcBorders>
                  <w:noWrap w:val="0"/>
                  <w:vAlign w:val="center"/>
                </w:tcPr>
                <w:p w14:paraId="6DE33146">
                  <w:pPr>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植被、动物</w:t>
                  </w:r>
                </w:p>
              </w:tc>
              <w:tc>
                <w:tcPr>
                  <w:tcW w:w="714" w:type="dxa"/>
                  <w:tcBorders>
                    <w:tl2br w:val="nil"/>
                    <w:tr2bl w:val="nil"/>
                  </w:tcBorders>
                  <w:noWrap w:val="0"/>
                  <w:vAlign w:val="center"/>
                </w:tcPr>
                <w:p w14:paraId="513C417E">
                  <w:pPr>
                    <w:jc w:val="center"/>
                    <w:rPr>
                      <w:rFonts w:hint="default" w:ascii="Times New Roman" w:hAnsi="Times New Roman" w:eastAsia="微软雅黑" w:cs="Times New Roman"/>
                      <w:color w:val="auto"/>
                      <w:sz w:val="21"/>
                      <w:szCs w:val="21"/>
                      <w:highlight w:val="none"/>
                      <w:lang w:val="en-US" w:eastAsia="zh-CN"/>
                    </w:rPr>
                  </w:pPr>
                  <w:r>
                    <w:rPr>
                      <w:rFonts w:hint="default" w:ascii="Times New Roman" w:hAnsi="Times New Roman" w:eastAsia="微软雅黑" w:cs="Times New Roman"/>
                      <w:color w:val="auto"/>
                      <w:sz w:val="21"/>
                      <w:szCs w:val="21"/>
                      <w:highlight w:val="none"/>
                      <w:lang w:val="en-US" w:eastAsia="zh-CN"/>
                    </w:rPr>
                    <w:t>/</w:t>
                  </w:r>
                </w:p>
              </w:tc>
              <w:tc>
                <w:tcPr>
                  <w:tcW w:w="663" w:type="dxa"/>
                  <w:tcBorders>
                    <w:tl2br w:val="nil"/>
                    <w:tr2bl w:val="nil"/>
                  </w:tcBorders>
                  <w:noWrap w:val="0"/>
                  <w:vAlign w:val="center"/>
                </w:tcPr>
                <w:p w14:paraId="177530C4">
                  <w:pPr>
                    <w:snapToGrid w:val="0"/>
                    <w:jc w:val="center"/>
                    <w:rPr>
                      <w:rFonts w:hint="default" w:ascii="Times New Roman" w:hAnsi="Times New Roman" w:cs="Times New Roman"/>
                      <w:color w:val="auto"/>
                      <w:kern w:val="2"/>
                      <w:sz w:val="21"/>
                      <w:highlight w:val="none"/>
                      <w:lang w:val="en-US" w:eastAsia="zh-CN" w:bidi="ar-SA"/>
                    </w:rPr>
                  </w:pPr>
                  <w:r>
                    <w:rPr>
                      <w:rFonts w:hint="default" w:ascii="Times New Roman" w:hAnsi="Times New Roman" w:cs="Times New Roman"/>
                      <w:color w:val="auto"/>
                      <w:kern w:val="2"/>
                      <w:sz w:val="21"/>
                      <w:highlight w:val="none"/>
                      <w:lang w:val="en-US" w:eastAsia="zh-CN" w:bidi="ar-SA"/>
                    </w:rPr>
                    <w:t>/</w:t>
                  </w:r>
                </w:p>
              </w:tc>
              <w:tc>
                <w:tcPr>
                  <w:tcW w:w="795" w:type="dxa"/>
                  <w:tcBorders>
                    <w:tl2br w:val="nil"/>
                    <w:tr2bl w:val="nil"/>
                  </w:tcBorders>
                  <w:noWrap w:val="0"/>
                  <w:vAlign w:val="center"/>
                </w:tcPr>
                <w:p w14:paraId="42B391B8">
                  <w:pPr>
                    <w:snapToGrid w:val="0"/>
                    <w:jc w:val="center"/>
                    <w:rPr>
                      <w:rFonts w:hint="default" w:ascii="Times New Roman" w:hAnsi="Times New Roman" w:cs="Times New Roman"/>
                      <w:color w:val="auto"/>
                      <w:kern w:val="2"/>
                      <w:sz w:val="21"/>
                      <w:highlight w:val="none"/>
                      <w:lang w:val="en-US" w:eastAsia="zh-CN" w:bidi="ar-SA"/>
                    </w:rPr>
                  </w:pPr>
                  <w:r>
                    <w:rPr>
                      <w:rFonts w:hint="default" w:ascii="Times New Roman" w:hAnsi="Times New Roman" w:cs="Times New Roman"/>
                      <w:color w:val="auto"/>
                      <w:kern w:val="2"/>
                      <w:sz w:val="21"/>
                      <w:highlight w:val="none"/>
                      <w:lang w:val="en-US" w:eastAsia="zh-CN" w:bidi="ar-SA"/>
                    </w:rPr>
                    <w:t>/</w:t>
                  </w:r>
                </w:p>
              </w:tc>
            </w:tr>
            <w:tr w14:paraId="4B474E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426" w:type="dxa"/>
                  <w:vMerge w:val="restart"/>
                  <w:tcBorders>
                    <w:tl2br w:val="nil"/>
                    <w:tr2bl w:val="nil"/>
                  </w:tcBorders>
                  <w:noWrap w:val="0"/>
                  <w:vAlign w:val="center"/>
                </w:tcPr>
                <w:p w14:paraId="7F79B948">
                  <w:pPr>
                    <w:snapToGrid w:val="0"/>
                    <w:jc w:val="center"/>
                    <w:rPr>
                      <w:rFonts w:hint="default" w:cs="Times New Roman"/>
                      <w:color w:val="auto"/>
                      <w:highlight w:val="none"/>
                      <w:lang w:val="en-US" w:eastAsia="zh-CN"/>
                    </w:rPr>
                  </w:pPr>
                  <w:r>
                    <w:rPr>
                      <w:rFonts w:hint="default" w:cs="Times New Roman"/>
                      <w:color w:val="auto"/>
                      <w:highlight w:val="none"/>
                      <w:lang w:val="en-US" w:eastAsia="zh-CN"/>
                    </w:rPr>
                    <w:t>声环境</w:t>
                  </w:r>
                </w:p>
              </w:tc>
              <w:tc>
                <w:tcPr>
                  <w:tcW w:w="850" w:type="dxa"/>
                  <w:tcBorders>
                    <w:tl2br w:val="nil"/>
                    <w:tr2bl w:val="nil"/>
                  </w:tcBorders>
                  <w:shd w:val="clear" w:color="auto" w:fill="auto"/>
                  <w:noWrap w:val="0"/>
                  <w:vAlign w:val="center"/>
                </w:tcPr>
                <w:p w14:paraId="08E60F7A">
                  <w:pPr>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兴仁镇</w:t>
                  </w:r>
                </w:p>
              </w:tc>
              <w:tc>
                <w:tcPr>
                  <w:tcW w:w="1527" w:type="dxa"/>
                  <w:tcBorders>
                    <w:tl2br w:val="nil"/>
                    <w:tr2bl w:val="nil"/>
                  </w:tcBorders>
                  <w:shd w:val="clear" w:color="auto" w:fill="auto"/>
                  <w:noWrap w:val="0"/>
                  <w:vAlign w:val="center"/>
                </w:tcPr>
                <w:p w14:paraId="7397D572">
                  <w:pPr>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default" w:cs="Times New Roman"/>
                      <w:color w:val="auto"/>
                      <w:highlight w:val="none"/>
                      <w:lang w:val="en-US" w:eastAsia="zh-CN"/>
                    </w:rPr>
                    <w:t>105°15'42.813"</w:t>
                  </w:r>
                </w:p>
              </w:tc>
              <w:tc>
                <w:tcPr>
                  <w:tcW w:w="1422" w:type="dxa"/>
                  <w:tcBorders>
                    <w:tl2br w:val="nil"/>
                    <w:tr2bl w:val="nil"/>
                  </w:tcBorders>
                  <w:shd w:val="clear" w:color="auto" w:fill="auto"/>
                  <w:noWrap w:val="0"/>
                  <w:vAlign w:val="center"/>
                </w:tcPr>
                <w:p w14:paraId="10BEE8C3">
                  <w:pPr>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default" w:cs="Times New Roman"/>
                      <w:color w:val="auto"/>
                      <w:highlight w:val="none"/>
                      <w:lang w:val="en-US" w:eastAsia="zh-CN"/>
                    </w:rPr>
                    <w:t>36°56'09.942"</w:t>
                  </w:r>
                </w:p>
              </w:tc>
              <w:tc>
                <w:tcPr>
                  <w:tcW w:w="884" w:type="dxa"/>
                  <w:tcBorders>
                    <w:tl2br w:val="nil"/>
                    <w:tr2bl w:val="nil"/>
                  </w:tcBorders>
                  <w:shd w:val="clear" w:color="auto" w:fill="auto"/>
                  <w:noWrap w:val="0"/>
                  <w:vAlign w:val="center"/>
                </w:tcPr>
                <w:p w14:paraId="6CDA915D">
                  <w:pPr>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乡镇</w:t>
                  </w:r>
                </w:p>
              </w:tc>
              <w:tc>
                <w:tcPr>
                  <w:tcW w:w="939" w:type="dxa"/>
                  <w:tcBorders>
                    <w:tl2br w:val="nil"/>
                    <w:tr2bl w:val="nil"/>
                  </w:tcBorders>
                  <w:shd w:val="clear" w:color="auto" w:fill="auto"/>
                  <w:noWrap w:val="0"/>
                  <w:vAlign w:val="center"/>
                </w:tcPr>
                <w:p w14:paraId="06F29664">
                  <w:pPr>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居民</w:t>
                  </w:r>
                </w:p>
              </w:tc>
              <w:tc>
                <w:tcPr>
                  <w:tcW w:w="714" w:type="dxa"/>
                  <w:tcBorders>
                    <w:tl2br w:val="nil"/>
                    <w:tr2bl w:val="nil"/>
                  </w:tcBorders>
                  <w:shd w:val="clear" w:color="auto" w:fill="auto"/>
                  <w:noWrap w:val="0"/>
                  <w:vAlign w:val="center"/>
                </w:tcPr>
                <w:p w14:paraId="4DBEC830">
                  <w:pPr>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eastAsia="微软雅黑"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类</w:t>
                  </w:r>
                </w:p>
              </w:tc>
              <w:tc>
                <w:tcPr>
                  <w:tcW w:w="663" w:type="dxa"/>
                  <w:tcBorders>
                    <w:tl2br w:val="nil"/>
                    <w:tr2bl w:val="nil"/>
                  </w:tcBorders>
                  <w:shd w:val="clear" w:color="auto" w:fill="auto"/>
                  <w:noWrap w:val="0"/>
                  <w:vAlign w:val="center"/>
                </w:tcPr>
                <w:p w14:paraId="25A54787">
                  <w:pPr>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EN</w:t>
                  </w:r>
                </w:p>
              </w:tc>
              <w:tc>
                <w:tcPr>
                  <w:tcW w:w="795" w:type="dxa"/>
                  <w:tcBorders>
                    <w:tl2br w:val="nil"/>
                    <w:tr2bl w:val="nil"/>
                  </w:tcBorders>
                  <w:shd w:val="clear" w:color="auto" w:fill="auto"/>
                  <w:noWrap w:val="0"/>
                  <w:vAlign w:val="center"/>
                </w:tcPr>
                <w:p w14:paraId="59A53567">
                  <w:pPr>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39m</w:t>
                  </w:r>
                </w:p>
              </w:tc>
            </w:tr>
            <w:tr w14:paraId="061993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426" w:type="dxa"/>
                  <w:vMerge w:val="continue"/>
                  <w:tcBorders>
                    <w:tl2br w:val="nil"/>
                    <w:tr2bl w:val="nil"/>
                  </w:tcBorders>
                  <w:noWrap w:val="0"/>
                  <w:vAlign w:val="center"/>
                </w:tcPr>
                <w:p w14:paraId="2C32DF46">
                  <w:pPr>
                    <w:snapToGrid w:val="0"/>
                    <w:jc w:val="center"/>
                    <w:rPr>
                      <w:rFonts w:hint="default" w:cs="Times New Roman"/>
                      <w:color w:val="auto"/>
                      <w:highlight w:val="none"/>
                      <w:lang w:val="en-US" w:eastAsia="zh-CN"/>
                    </w:rPr>
                  </w:pPr>
                </w:p>
              </w:tc>
              <w:tc>
                <w:tcPr>
                  <w:tcW w:w="850" w:type="dxa"/>
                  <w:tcBorders>
                    <w:tl2br w:val="nil"/>
                    <w:tr2bl w:val="nil"/>
                  </w:tcBorders>
                  <w:shd w:val="clear" w:color="auto" w:fill="auto"/>
                  <w:noWrap w:val="0"/>
                  <w:vAlign w:val="center"/>
                </w:tcPr>
                <w:p w14:paraId="7A2314CE">
                  <w:pPr>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兴仁镇西里村</w:t>
                  </w:r>
                </w:p>
              </w:tc>
              <w:tc>
                <w:tcPr>
                  <w:tcW w:w="1527" w:type="dxa"/>
                  <w:tcBorders>
                    <w:tl2br w:val="nil"/>
                    <w:tr2bl w:val="nil"/>
                  </w:tcBorders>
                  <w:shd w:val="clear" w:color="auto" w:fill="auto"/>
                  <w:noWrap w:val="0"/>
                  <w:vAlign w:val="center"/>
                </w:tcPr>
                <w:p w14:paraId="49D456D0">
                  <w:pPr>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default" w:cs="Times New Roman"/>
                      <w:color w:val="auto"/>
                      <w:highlight w:val="none"/>
                      <w:lang w:val="en-US" w:eastAsia="zh-CN"/>
                    </w:rPr>
                    <w:t>105°15'08.588"</w:t>
                  </w:r>
                </w:p>
              </w:tc>
              <w:tc>
                <w:tcPr>
                  <w:tcW w:w="1422" w:type="dxa"/>
                  <w:tcBorders>
                    <w:tl2br w:val="nil"/>
                    <w:tr2bl w:val="nil"/>
                  </w:tcBorders>
                  <w:shd w:val="clear" w:color="auto" w:fill="auto"/>
                  <w:noWrap w:val="0"/>
                  <w:vAlign w:val="center"/>
                </w:tcPr>
                <w:p w14:paraId="26FCC421">
                  <w:pPr>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default" w:cs="Times New Roman"/>
                      <w:color w:val="auto"/>
                      <w:highlight w:val="none"/>
                      <w:lang w:val="en-US" w:eastAsia="zh-CN"/>
                    </w:rPr>
                    <w:t>36°54'34.906"</w:t>
                  </w:r>
                </w:p>
              </w:tc>
              <w:tc>
                <w:tcPr>
                  <w:tcW w:w="884" w:type="dxa"/>
                  <w:tcBorders>
                    <w:tl2br w:val="nil"/>
                    <w:tr2bl w:val="nil"/>
                  </w:tcBorders>
                  <w:shd w:val="clear" w:color="auto" w:fill="auto"/>
                  <w:noWrap w:val="0"/>
                  <w:vAlign w:val="center"/>
                </w:tcPr>
                <w:p w14:paraId="1B4665A4">
                  <w:pPr>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村庄</w:t>
                  </w:r>
                </w:p>
              </w:tc>
              <w:tc>
                <w:tcPr>
                  <w:tcW w:w="939" w:type="dxa"/>
                  <w:tcBorders>
                    <w:tl2br w:val="nil"/>
                    <w:tr2bl w:val="nil"/>
                  </w:tcBorders>
                  <w:shd w:val="clear" w:color="auto" w:fill="auto"/>
                  <w:noWrap w:val="0"/>
                  <w:vAlign w:val="center"/>
                </w:tcPr>
                <w:p w14:paraId="3D02237A">
                  <w:pPr>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居民</w:t>
                  </w:r>
                </w:p>
              </w:tc>
              <w:tc>
                <w:tcPr>
                  <w:tcW w:w="714" w:type="dxa"/>
                  <w:tcBorders>
                    <w:tl2br w:val="nil"/>
                    <w:tr2bl w:val="nil"/>
                  </w:tcBorders>
                  <w:shd w:val="clear" w:color="auto" w:fill="auto"/>
                  <w:noWrap w:val="0"/>
                  <w:vAlign w:val="center"/>
                </w:tcPr>
                <w:p w14:paraId="4922DBDC">
                  <w:pPr>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1类</w:t>
                  </w:r>
                </w:p>
              </w:tc>
              <w:tc>
                <w:tcPr>
                  <w:tcW w:w="663" w:type="dxa"/>
                  <w:tcBorders>
                    <w:tl2br w:val="nil"/>
                    <w:tr2bl w:val="nil"/>
                  </w:tcBorders>
                  <w:shd w:val="clear" w:color="auto" w:fill="auto"/>
                  <w:noWrap w:val="0"/>
                  <w:vAlign w:val="center"/>
                </w:tcPr>
                <w:p w14:paraId="071AFF47">
                  <w:pPr>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ES</w:t>
                  </w:r>
                </w:p>
              </w:tc>
              <w:tc>
                <w:tcPr>
                  <w:tcW w:w="795" w:type="dxa"/>
                  <w:tcBorders>
                    <w:tl2br w:val="nil"/>
                    <w:tr2bl w:val="nil"/>
                  </w:tcBorders>
                  <w:shd w:val="clear" w:color="auto" w:fill="auto"/>
                  <w:noWrap w:val="0"/>
                  <w:vAlign w:val="center"/>
                </w:tcPr>
                <w:p w14:paraId="1422122B">
                  <w:pPr>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85m</w:t>
                  </w:r>
                </w:p>
              </w:tc>
            </w:tr>
            <w:tr w14:paraId="561169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426" w:type="dxa"/>
                  <w:vMerge w:val="continue"/>
                  <w:tcBorders>
                    <w:tl2br w:val="nil"/>
                    <w:tr2bl w:val="nil"/>
                  </w:tcBorders>
                  <w:noWrap w:val="0"/>
                  <w:vAlign w:val="center"/>
                </w:tcPr>
                <w:p w14:paraId="3ABEF3FC">
                  <w:pPr>
                    <w:snapToGrid w:val="0"/>
                    <w:jc w:val="center"/>
                    <w:rPr>
                      <w:rFonts w:hint="default" w:cs="Times New Roman"/>
                      <w:color w:val="auto"/>
                      <w:highlight w:val="none"/>
                      <w:lang w:val="en-US" w:eastAsia="zh-CN"/>
                    </w:rPr>
                  </w:pPr>
                </w:p>
              </w:tc>
              <w:tc>
                <w:tcPr>
                  <w:tcW w:w="850" w:type="dxa"/>
                  <w:tcBorders>
                    <w:tl2br w:val="nil"/>
                    <w:tr2bl w:val="nil"/>
                  </w:tcBorders>
                  <w:shd w:val="clear" w:color="auto" w:fill="auto"/>
                  <w:noWrap w:val="0"/>
                  <w:vAlign w:val="center"/>
                </w:tcPr>
                <w:p w14:paraId="7BCD529F">
                  <w:pPr>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靖安乡陆合村</w:t>
                  </w:r>
                </w:p>
              </w:tc>
              <w:tc>
                <w:tcPr>
                  <w:tcW w:w="1527" w:type="dxa"/>
                  <w:tcBorders>
                    <w:tl2br w:val="nil"/>
                    <w:tr2bl w:val="nil"/>
                  </w:tcBorders>
                  <w:shd w:val="clear" w:color="auto" w:fill="auto"/>
                  <w:noWrap w:val="0"/>
                  <w:vAlign w:val="center"/>
                </w:tcPr>
                <w:p w14:paraId="7B728EB9">
                  <w:pPr>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default" w:cs="Times New Roman"/>
                      <w:color w:val="auto"/>
                      <w:highlight w:val="none"/>
                      <w:lang w:val="en-US" w:eastAsia="zh-CN"/>
                    </w:rPr>
                    <w:t>105°14'41.83</w:t>
                  </w:r>
                  <w:r>
                    <w:rPr>
                      <w:rFonts w:hint="eastAsia" w:cs="Times New Roman"/>
                      <w:color w:val="auto"/>
                      <w:highlight w:val="none"/>
                      <w:lang w:val="en-US" w:eastAsia="zh-CN"/>
                    </w:rPr>
                    <w:t>1</w:t>
                  </w:r>
                  <w:r>
                    <w:rPr>
                      <w:rFonts w:hint="default" w:cs="Times New Roman"/>
                      <w:color w:val="auto"/>
                      <w:highlight w:val="none"/>
                      <w:lang w:val="en-US" w:eastAsia="zh-CN"/>
                    </w:rPr>
                    <w:t>"</w:t>
                  </w:r>
                </w:p>
              </w:tc>
              <w:tc>
                <w:tcPr>
                  <w:tcW w:w="1422" w:type="dxa"/>
                  <w:tcBorders>
                    <w:tl2br w:val="nil"/>
                    <w:tr2bl w:val="nil"/>
                  </w:tcBorders>
                  <w:shd w:val="clear" w:color="auto" w:fill="auto"/>
                  <w:noWrap w:val="0"/>
                  <w:vAlign w:val="center"/>
                </w:tcPr>
                <w:p w14:paraId="61C39D53">
                  <w:pPr>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default" w:cs="Times New Roman"/>
                      <w:color w:val="auto"/>
                      <w:highlight w:val="none"/>
                      <w:lang w:val="en-US" w:eastAsia="zh-CN"/>
                    </w:rPr>
                    <w:t>36°53'32.83</w:t>
                  </w:r>
                  <w:r>
                    <w:rPr>
                      <w:rFonts w:hint="eastAsia" w:cs="Times New Roman"/>
                      <w:color w:val="auto"/>
                      <w:highlight w:val="none"/>
                      <w:lang w:val="en-US" w:eastAsia="zh-CN"/>
                    </w:rPr>
                    <w:t>2</w:t>
                  </w:r>
                  <w:r>
                    <w:rPr>
                      <w:rFonts w:hint="default" w:cs="Times New Roman"/>
                      <w:color w:val="auto"/>
                      <w:highlight w:val="none"/>
                      <w:lang w:val="en-US" w:eastAsia="zh-CN"/>
                    </w:rPr>
                    <w:t>"</w:t>
                  </w:r>
                </w:p>
              </w:tc>
              <w:tc>
                <w:tcPr>
                  <w:tcW w:w="884" w:type="dxa"/>
                  <w:tcBorders>
                    <w:tl2br w:val="nil"/>
                    <w:tr2bl w:val="nil"/>
                  </w:tcBorders>
                  <w:shd w:val="clear" w:color="auto" w:fill="auto"/>
                  <w:noWrap w:val="0"/>
                  <w:vAlign w:val="center"/>
                </w:tcPr>
                <w:p w14:paraId="067D25F4">
                  <w:pPr>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村庄</w:t>
                  </w:r>
                </w:p>
              </w:tc>
              <w:tc>
                <w:tcPr>
                  <w:tcW w:w="939" w:type="dxa"/>
                  <w:tcBorders>
                    <w:tl2br w:val="nil"/>
                    <w:tr2bl w:val="nil"/>
                  </w:tcBorders>
                  <w:shd w:val="clear" w:color="auto" w:fill="auto"/>
                  <w:noWrap w:val="0"/>
                  <w:vAlign w:val="center"/>
                </w:tcPr>
                <w:p w14:paraId="0C587D8D">
                  <w:pPr>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居民</w:t>
                  </w:r>
                </w:p>
              </w:tc>
              <w:tc>
                <w:tcPr>
                  <w:tcW w:w="714" w:type="dxa"/>
                  <w:tcBorders>
                    <w:tl2br w:val="nil"/>
                    <w:tr2bl w:val="nil"/>
                  </w:tcBorders>
                  <w:shd w:val="clear" w:color="auto" w:fill="auto"/>
                  <w:noWrap w:val="0"/>
                  <w:vAlign w:val="center"/>
                </w:tcPr>
                <w:p w14:paraId="717F49F3">
                  <w:pPr>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1类</w:t>
                  </w:r>
                </w:p>
              </w:tc>
              <w:tc>
                <w:tcPr>
                  <w:tcW w:w="663" w:type="dxa"/>
                  <w:tcBorders>
                    <w:tl2br w:val="nil"/>
                    <w:tr2bl w:val="nil"/>
                  </w:tcBorders>
                  <w:shd w:val="clear" w:color="auto" w:fill="auto"/>
                  <w:noWrap w:val="0"/>
                  <w:vAlign w:val="center"/>
                </w:tcPr>
                <w:p w14:paraId="03DA4BE0">
                  <w:pPr>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WS</w:t>
                  </w:r>
                </w:p>
              </w:tc>
              <w:tc>
                <w:tcPr>
                  <w:tcW w:w="795" w:type="dxa"/>
                  <w:tcBorders>
                    <w:tl2br w:val="nil"/>
                    <w:tr2bl w:val="nil"/>
                  </w:tcBorders>
                  <w:shd w:val="clear" w:color="auto" w:fill="auto"/>
                  <w:noWrap w:val="0"/>
                  <w:vAlign w:val="center"/>
                </w:tcPr>
                <w:p w14:paraId="7DCCC493">
                  <w:pPr>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59m</w:t>
                  </w:r>
                </w:p>
              </w:tc>
            </w:tr>
          </w:tbl>
          <w:p w14:paraId="6F4C5543">
            <w:pPr>
              <w:adjustRightInd w:val="0"/>
              <w:spacing w:line="360" w:lineRule="auto"/>
              <w:rPr>
                <w:rFonts w:hint="default" w:ascii="Times New Roman" w:hAnsi="Times New Roman" w:eastAsia="仿宋_GB2312" w:cs="Times New Roman"/>
                <w:color w:val="auto"/>
                <w:kern w:val="0"/>
                <w:sz w:val="24"/>
                <w:highlight w:val="none"/>
              </w:rPr>
            </w:pPr>
          </w:p>
        </w:tc>
      </w:tr>
      <w:tr w14:paraId="06BFFE45">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75" w:hRule="atLeast"/>
          <w:jc w:val="center"/>
        </w:trPr>
        <w:tc>
          <w:tcPr>
            <w:tcW w:w="556" w:type="dxa"/>
            <w:tcBorders>
              <w:tl2br w:val="nil"/>
              <w:tr2bl w:val="nil"/>
            </w:tcBorders>
            <w:tcMar>
              <w:left w:w="28" w:type="dxa"/>
              <w:right w:w="28" w:type="dxa"/>
            </w:tcMar>
            <w:vAlign w:val="center"/>
          </w:tcPr>
          <w:p w14:paraId="13D95354">
            <w:pPr>
              <w:adjustRightInd w:val="0"/>
              <w:snapToGrid w:val="0"/>
              <w:jc w:val="center"/>
              <w:rPr>
                <w:rFonts w:hint="default" w:ascii="Times New Roman" w:hAnsi="Times New Roman" w:cs="Times New Roman"/>
                <w:b/>
                <w:bCs/>
                <w:color w:val="auto"/>
                <w:kern w:val="0"/>
                <w:sz w:val="24"/>
                <w:highlight w:val="none"/>
                <w:lang w:eastAsia="zh-CN"/>
              </w:rPr>
            </w:pPr>
            <w:r>
              <w:rPr>
                <w:rFonts w:hint="default" w:ascii="Times New Roman" w:hAnsi="Times New Roman" w:cs="Times New Roman"/>
                <w:b/>
                <w:bCs/>
                <w:color w:val="auto"/>
                <w:kern w:val="0"/>
                <w:sz w:val="24"/>
                <w:highlight w:val="none"/>
                <w:lang w:eastAsia="zh-CN"/>
              </w:rPr>
              <w:t>评价</w:t>
            </w:r>
          </w:p>
          <w:p w14:paraId="4E98989C">
            <w:pPr>
              <w:adjustRightInd w:val="0"/>
              <w:snapToGrid w:val="0"/>
              <w:jc w:val="center"/>
              <w:rPr>
                <w:rFonts w:hint="default" w:ascii="Times New Roman" w:hAnsi="Times New Roman" w:eastAsia="仿宋_GB2312" w:cs="Times New Roman"/>
                <w:b/>
                <w:bCs/>
                <w:color w:val="auto"/>
                <w:kern w:val="0"/>
                <w:sz w:val="24"/>
                <w:highlight w:val="none"/>
                <w:lang w:eastAsia="zh-CN"/>
              </w:rPr>
            </w:pPr>
            <w:r>
              <w:rPr>
                <w:rFonts w:hint="default" w:ascii="Times New Roman" w:hAnsi="Times New Roman" w:cs="Times New Roman"/>
                <w:b/>
                <w:bCs/>
                <w:color w:val="auto"/>
                <w:kern w:val="0"/>
                <w:sz w:val="24"/>
                <w:highlight w:val="none"/>
                <w:lang w:eastAsia="zh-CN"/>
              </w:rPr>
              <w:t>标准</w:t>
            </w:r>
          </w:p>
        </w:tc>
        <w:tc>
          <w:tcPr>
            <w:tcW w:w="8434" w:type="dxa"/>
            <w:tcBorders>
              <w:tl2br w:val="nil"/>
              <w:tr2bl w:val="nil"/>
            </w:tcBorders>
          </w:tcPr>
          <w:p w14:paraId="5B45ADF4">
            <w:pPr>
              <w:adjustRightInd w:val="0"/>
              <w:spacing w:line="360" w:lineRule="auto"/>
              <w:ind w:firstLine="480" w:firstLineChars="200"/>
              <w:rPr>
                <w:rFonts w:hint="default" w:ascii="Times New Roman" w:hAnsi="Times New Roman" w:eastAsia="黑体" w:cs="Times New Roman"/>
                <w:b w:val="0"/>
                <w:bCs w:val="0"/>
                <w:color w:val="auto"/>
                <w:kern w:val="0"/>
                <w:sz w:val="24"/>
                <w:szCs w:val="24"/>
                <w:highlight w:val="none"/>
                <w:lang w:val="en-US" w:eastAsia="zh-CN" w:bidi="ar-SA"/>
              </w:rPr>
            </w:pPr>
            <w:r>
              <w:rPr>
                <w:rFonts w:hint="default" w:ascii="Times New Roman" w:hAnsi="Times New Roman" w:eastAsia="黑体" w:cs="Times New Roman"/>
                <w:b w:val="0"/>
                <w:bCs w:val="0"/>
                <w:color w:val="auto"/>
                <w:kern w:val="0"/>
                <w:sz w:val="24"/>
                <w:szCs w:val="24"/>
                <w:highlight w:val="none"/>
                <w:lang w:val="en-US" w:eastAsia="zh-CN" w:bidi="ar-SA"/>
              </w:rPr>
              <w:t>1、环境质量标准</w:t>
            </w:r>
          </w:p>
          <w:p w14:paraId="3AAC22E2">
            <w:pPr>
              <w:adjustRightInd w:val="0"/>
              <w:snapToGrid w:val="0"/>
              <w:spacing w:line="360" w:lineRule="auto"/>
              <w:ind w:firstLine="480" w:firstLineChars="200"/>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（1）</w:t>
            </w:r>
            <w:r>
              <w:rPr>
                <w:rFonts w:hint="default" w:ascii="Times New Roman" w:hAnsi="Times New Roman" w:cs="Times New Roman"/>
                <w:color w:val="auto"/>
                <w:kern w:val="0"/>
                <w:sz w:val="24"/>
                <w:szCs w:val="24"/>
                <w:highlight w:val="none"/>
                <w:lang w:val="en-US" w:eastAsia="zh-CN" w:bidi="ar-SA"/>
              </w:rPr>
              <w:t>大气环境质量标准</w:t>
            </w:r>
          </w:p>
          <w:p w14:paraId="79DB4B40">
            <w:pPr>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本项目所在区域</w:t>
            </w:r>
            <w:r>
              <w:rPr>
                <w:rFonts w:hint="default" w:ascii="Times New Roman" w:hAnsi="Times New Roman" w:eastAsia="宋体" w:cs="Times New Roman"/>
                <w:color w:val="auto"/>
                <w:kern w:val="0"/>
                <w:sz w:val="24"/>
                <w:szCs w:val="24"/>
                <w:highlight w:val="none"/>
                <w:lang w:val="en-US" w:eastAsia="zh-CN" w:bidi="ar-SA"/>
              </w:rPr>
              <w:t>环境空气质量执行《环境空气质量标准》（GB3095-</w:t>
            </w:r>
            <w:r>
              <w:rPr>
                <w:rFonts w:hint="default" w:ascii="Times New Roman" w:hAnsi="Times New Roman" w:cs="Times New Roman"/>
                <w:color w:val="auto"/>
                <w:kern w:val="0"/>
                <w:sz w:val="24"/>
                <w:szCs w:val="24"/>
                <w:highlight w:val="none"/>
                <w:lang w:val="en-US" w:eastAsia="zh-CN" w:bidi="ar-SA"/>
              </w:rPr>
              <w:t>2026</w:t>
            </w:r>
            <w:r>
              <w:rPr>
                <w:rFonts w:hint="default" w:ascii="Times New Roman" w:hAnsi="Times New Roman" w:eastAsia="宋体" w:cs="Times New Roman"/>
                <w:color w:val="auto"/>
                <w:kern w:val="0"/>
                <w:sz w:val="24"/>
                <w:szCs w:val="24"/>
                <w:highlight w:val="none"/>
                <w:lang w:val="en-US" w:eastAsia="zh-CN" w:bidi="ar-SA"/>
              </w:rPr>
              <w:t>）中</w:t>
            </w:r>
            <w:r>
              <w:rPr>
                <w:rFonts w:hint="default" w:ascii="Times New Roman" w:hAnsi="Times New Roman" w:cs="Times New Roman"/>
                <w:color w:val="auto"/>
                <w:kern w:val="0"/>
                <w:sz w:val="24"/>
                <w:szCs w:val="24"/>
                <w:highlight w:val="none"/>
                <w:lang w:val="en-US" w:eastAsia="zh-CN" w:bidi="ar-SA"/>
              </w:rPr>
              <w:t>过渡段</w:t>
            </w:r>
            <w:r>
              <w:rPr>
                <w:rFonts w:hint="default" w:ascii="Times New Roman" w:hAnsi="Times New Roman" w:eastAsia="宋体" w:cs="Times New Roman"/>
                <w:color w:val="auto"/>
                <w:kern w:val="0"/>
                <w:sz w:val="24"/>
                <w:szCs w:val="24"/>
                <w:highlight w:val="none"/>
                <w:lang w:val="en-US" w:eastAsia="zh-CN" w:bidi="ar-SA"/>
              </w:rPr>
              <w:t>二级标准；</w:t>
            </w:r>
          </w:p>
          <w:p w14:paraId="3098846A">
            <w:pPr>
              <w:pStyle w:val="8"/>
              <w:adjustRightInd w:val="0"/>
              <w:snapToGrid w:val="0"/>
              <w:jc w:val="center"/>
              <w:rPr>
                <w:rFonts w:hint="default" w:ascii="Times New Roman" w:hAnsi="Times New Roman" w:eastAsia="黑体" w:cs="Times New Roman"/>
                <w:color w:val="auto"/>
                <w:kern w:val="0"/>
                <w:sz w:val="24"/>
                <w:szCs w:val="24"/>
                <w:highlight w:val="none"/>
                <w:lang w:val="en-US" w:eastAsia="zh-CN" w:bidi="ar-SA"/>
              </w:rPr>
            </w:pPr>
            <w:r>
              <w:rPr>
                <w:rFonts w:hint="default" w:ascii="Times New Roman" w:hAnsi="Times New Roman" w:eastAsia="黑体" w:cs="Times New Roman"/>
                <w:color w:val="auto"/>
                <w:kern w:val="0"/>
                <w:sz w:val="24"/>
                <w:szCs w:val="24"/>
                <w:highlight w:val="none"/>
                <w:lang w:val="en-US" w:eastAsia="zh-CN" w:bidi="ar-SA"/>
              </w:rPr>
              <w:t>表3-7  《环境空气质量标准》中过渡段二级标准</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1375"/>
              <w:gridCol w:w="1961"/>
              <w:gridCol w:w="2409"/>
              <w:gridCol w:w="1695"/>
            </w:tblGrid>
            <w:tr w14:paraId="681580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0" w:type="dxa"/>
                  <w:tcBorders>
                    <w:tl2br w:val="nil"/>
                    <w:tr2bl w:val="nil"/>
                  </w:tcBorders>
                  <w:noWrap w:val="0"/>
                  <w:vAlign w:val="center"/>
                </w:tcPr>
                <w:p w14:paraId="7C617A57">
                  <w:pPr>
                    <w:topLinePunct/>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序号</w:t>
                  </w:r>
                </w:p>
              </w:tc>
              <w:tc>
                <w:tcPr>
                  <w:tcW w:w="1375" w:type="dxa"/>
                  <w:tcBorders>
                    <w:tl2br w:val="nil"/>
                    <w:tr2bl w:val="nil"/>
                  </w:tcBorders>
                  <w:noWrap w:val="0"/>
                  <w:vAlign w:val="center"/>
                </w:tcPr>
                <w:p w14:paraId="1A7384EA">
                  <w:pPr>
                    <w:topLinePunct/>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污染物名称</w:t>
                  </w:r>
                </w:p>
              </w:tc>
              <w:tc>
                <w:tcPr>
                  <w:tcW w:w="1961" w:type="dxa"/>
                  <w:tcBorders>
                    <w:tl2br w:val="nil"/>
                    <w:tr2bl w:val="nil"/>
                  </w:tcBorders>
                  <w:noWrap w:val="0"/>
                  <w:vAlign w:val="center"/>
                </w:tcPr>
                <w:p w14:paraId="7C6F5820">
                  <w:pPr>
                    <w:topLinePunct/>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小时平均（μg/</w:t>
                  </w:r>
                  <w:r>
                    <w:rPr>
                      <w:rFonts w:hint="default" w:ascii="Times New Roman" w:hAnsi="Times New Roman" w:cs="Times New Roman"/>
                      <w:b/>
                      <w:bCs/>
                      <w:color w:val="auto"/>
                      <w:szCs w:val="21"/>
                      <w:highlight w:val="none"/>
                      <w:lang w:eastAsia="zh-CN"/>
                    </w:rPr>
                    <w:t>m³</w:t>
                  </w:r>
                  <w:r>
                    <w:rPr>
                      <w:rFonts w:hint="default" w:ascii="Times New Roman" w:hAnsi="Times New Roman" w:cs="Times New Roman"/>
                      <w:b/>
                      <w:bCs/>
                      <w:color w:val="auto"/>
                      <w:szCs w:val="21"/>
                      <w:highlight w:val="none"/>
                    </w:rPr>
                    <w:t>）</w:t>
                  </w:r>
                </w:p>
              </w:tc>
              <w:tc>
                <w:tcPr>
                  <w:tcW w:w="2408" w:type="dxa"/>
                  <w:tcBorders>
                    <w:tl2br w:val="nil"/>
                    <w:tr2bl w:val="nil"/>
                  </w:tcBorders>
                  <w:noWrap w:val="0"/>
                  <w:vAlign w:val="center"/>
                </w:tcPr>
                <w:p w14:paraId="70FFEDDA">
                  <w:pPr>
                    <w:topLinePunct/>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24小时平均（μg/</w:t>
                  </w:r>
                  <w:r>
                    <w:rPr>
                      <w:rFonts w:hint="default" w:ascii="Times New Roman" w:hAnsi="Times New Roman" w:cs="Times New Roman"/>
                      <w:b/>
                      <w:bCs/>
                      <w:color w:val="auto"/>
                      <w:szCs w:val="21"/>
                      <w:highlight w:val="none"/>
                      <w:lang w:eastAsia="zh-CN"/>
                    </w:rPr>
                    <w:t>m³</w:t>
                  </w:r>
                  <w:r>
                    <w:rPr>
                      <w:rFonts w:hint="default" w:ascii="Times New Roman" w:hAnsi="Times New Roman" w:cs="Times New Roman"/>
                      <w:b/>
                      <w:bCs/>
                      <w:color w:val="auto"/>
                      <w:szCs w:val="21"/>
                      <w:highlight w:val="none"/>
                    </w:rPr>
                    <w:t>）</w:t>
                  </w:r>
                </w:p>
              </w:tc>
              <w:tc>
                <w:tcPr>
                  <w:tcW w:w="1694" w:type="dxa"/>
                  <w:tcBorders>
                    <w:tl2br w:val="nil"/>
                    <w:tr2bl w:val="nil"/>
                  </w:tcBorders>
                  <w:noWrap w:val="0"/>
                  <w:vAlign w:val="center"/>
                </w:tcPr>
                <w:p w14:paraId="66F11193">
                  <w:pPr>
                    <w:topLinePunct/>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年均值（μg/</w:t>
                  </w:r>
                  <w:r>
                    <w:rPr>
                      <w:rFonts w:hint="default" w:ascii="Times New Roman" w:hAnsi="Times New Roman" w:cs="Times New Roman"/>
                      <w:b/>
                      <w:bCs/>
                      <w:color w:val="auto"/>
                      <w:szCs w:val="21"/>
                      <w:highlight w:val="none"/>
                      <w:lang w:eastAsia="zh-CN"/>
                    </w:rPr>
                    <w:t>m³</w:t>
                  </w:r>
                  <w:r>
                    <w:rPr>
                      <w:rFonts w:hint="default" w:ascii="Times New Roman" w:hAnsi="Times New Roman" w:cs="Times New Roman"/>
                      <w:b/>
                      <w:bCs/>
                      <w:color w:val="auto"/>
                      <w:szCs w:val="21"/>
                      <w:highlight w:val="none"/>
                    </w:rPr>
                    <w:t>）</w:t>
                  </w:r>
                </w:p>
              </w:tc>
            </w:tr>
            <w:tr w14:paraId="43FC0B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0" w:type="dxa"/>
                  <w:tcBorders>
                    <w:tl2br w:val="nil"/>
                    <w:tr2bl w:val="nil"/>
                  </w:tcBorders>
                  <w:noWrap w:val="0"/>
                  <w:vAlign w:val="center"/>
                </w:tcPr>
                <w:p w14:paraId="48E80633">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375" w:type="dxa"/>
                  <w:tcBorders>
                    <w:tl2br w:val="nil"/>
                    <w:tr2bl w:val="nil"/>
                  </w:tcBorders>
                  <w:noWrap w:val="0"/>
                  <w:vAlign w:val="center"/>
                </w:tcPr>
                <w:p w14:paraId="471D76C9">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PM</w:t>
                  </w:r>
                  <w:r>
                    <w:rPr>
                      <w:rFonts w:hint="default" w:ascii="Times New Roman" w:hAnsi="Times New Roman" w:cs="Times New Roman"/>
                      <w:color w:val="auto"/>
                      <w:szCs w:val="21"/>
                      <w:highlight w:val="none"/>
                      <w:vertAlign w:val="subscript"/>
                    </w:rPr>
                    <w:t>10</w:t>
                  </w:r>
                </w:p>
              </w:tc>
              <w:tc>
                <w:tcPr>
                  <w:tcW w:w="1961" w:type="dxa"/>
                  <w:tcBorders>
                    <w:tl2br w:val="nil"/>
                    <w:tr2bl w:val="nil"/>
                  </w:tcBorders>
                  <w:noWrap w:val="0"/>
                  <w:vAlign w:val="center"/>
                </w:tcPr>
                <w:p w14:paraId="2D70A2D6">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2408" w:type="dxa"/>
                  <w:tcBorders>
                    <w:tl2br w:val="nil"/>
                    <w:tr2bl w:val="nil"/>
                  </w:tcBorders>
                  <w:noWrap w:val="0"/>
                  <w:vAlign w:val="center"/>
                </w:tcPr>
                <w:p w14:paraId="3A0ACE23">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r>
                    <w:rPr>
                      <w:rFonts w:hint="default"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0</w:t>
                  </w:r>
                </w:p>
              </w:tc>
              <w:tc>
                <w:tcPr>
                  <w:tcW w:w="1694" w:type="dxa"/>
                  <w:tcBorders>
                    <w:tl2br w:val="nil"/>
                    <w:tr2bl w:val="nil"/>
                  </w:tcBorders>
                  <w:noWrap w:val="0"/>
                  <w:vAlign w:val="center"/>
                </w:tcPr>
                <w:p w14:paraId="641293FE">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6</w:t>
                  </w:r>
                  <w:r>
                    <w:rPr>
                      <w:rFonts w:hint="default" w:ascii="Times New Roman" w:hAnsi="Times New Roman" w:cs="Times New Roman"/>
                      <w:color w:val="auto"/>
                      <w:szCs w:val="21"/>
                      <w:highlight w:val="none"/>
                    </w:rPr>
                    <w:t>0</w:t>
                  </w:r>
                </w:p>
              </w:tc>
            </w:tr>
            <w:tr w14:paraId="286533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0" w:type="dxa"/>
                  <w:tcBorders>
                    <w:tl2br w:val="nil"/>
                    <w:tr2bl w:val="nil"/>
                  </w:tcBorders>
                  <w:noWrap w:val="0"/>
                  <w:vAlign w:val="center"/>
                </w:tcPr>
                <w:p w14:paraId="359D970F">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tc>
              <w:tc>
                <w:tcPr>
                  <w:tcW w:w="1375" w:type="dxa"/>
                  <w:tcBorders>
                    <w:tl2br w:val="nil"/>
                    <w:tr2bl w:val="nil"/>
                  </w:tcBorders>
                  <w:noWrap w:val="0"/>
                  <w:vAlign w:val="center"/>
                </w:tcPr>
                <w:p w14:paraId="52F0E19B">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SO</w:t>
                  </w:r>
                  <w:r>
                    <w:rPr>
                      <w:rFonts w:hint="default" w:ascii="Times New Roman" w:hAnsi="Times New Roman" w:cs="Times New Roman"/>
                      <w:color w:val="auto"/>
                      <w:szCs w:val="21"/>
                      <w:highlight w:val="none"/>
                      <w:vertAlign w:val="subscript"/>
                    </w:rPr>
                    <w:t>2</w:t>
                  </w:r>
                </w:p>
              </w:tc>
              <w:tc>
                <w:tcPr>
                  <w:tcW w:w="1961" w:type="dxa"/>
                  <w:tcBorders>
                    <w:tl2br w:val="nil"/>
                    <w:tr2bl w:val="nil"/>
                  </w:tcBorders>
                  <w:noWrap w:val="0"/>
                  <w:vAlign w:val="center"/>
                </w:tcPr>
                <w:p w14:paraId="046D1E11">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500</w:t>
                  </w:r>
                </w:p>
              </w:tc>
              <w:tc>
                <w:tcPr>
                  <w:tcW w:w="2408" w:type="dxa"/>
                  <w:tcBorders>
                    <w:tl2br w:val="nil"/>
                    <w:tr2bl w:val="nil"/>
                  </w:tcBorders>
                  <w:noWrap w:val="0"/>
                  <w:vAlign w:val="center"/>
                </w:tcPr>
                <w:p w14:paraId="07DD5C2D">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150</w:t>
                  </w:r>
                </w:p>
              </w:tc>
              <w:tc>
                <w:tcPr>
                  <w:tcW w:w="1694" w:type="dxa"/>
                  <w:tcBorders>
                    <w:tl2br w:val="nil"/>
                    <w:tr2bl w:val="nil"/>
                  </w:tcBorders>
                  <w:noWrap w:val="0"/>
                  <w:vAlign w:val="center"/>
                </w:tcPr>
                <w:p w14:paraId="146F6DE2">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w:t>
                  </w:r>
                </w:p>
              </w:tc>
            </w:tr>
            <w:tr w14:paraId="21FB21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0" w:type="dxa"/>
                  <w:tcBorders>
                    <w:tl2br w:val="nil"/>
                    <w:tr2bl w:val="nil"/>
                  </w:tcBorders>
                  <w:noWrap w:val="0"/>
                  <w:vAlign w:val="center"/>
                </w:tcPr>
                <w:p w14:paraId="76F19291">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p>
              </w:tc>
              <w:tc>
                <w:tcPr>
                  <w:tcW w:w="1375" w:type="dxa"/>
                  <w:tcBorders>
                    <w:tl2br w:val="nil"/>
                    <w:tr2bl w:val="nil"/>
                  </w:tcBorders>
                  <w:noWrap w:val="0"/>
                  <w:vAlign w:val="center"/>
                </w:tcPr>
                <w:p w14:paraId="3F655372">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NO</w:t>
                  </w:r>
                  <w:r>
                    <w:rPr>
                      <w:rFonts w:hint="default" w:ascii="Times New Roman" w:hAnsi="Times New Roman" w:cs="Times New Roman"/>
                      <w:color w:val="auto"/>
                      <w:szCs w:val="21"/>
                      <w:highlight w:val="none"/>
                      <w:vertAlign w:val="subscript"/>
                    </w:rPr>
                    <w:t>2</w:t>
                  </w:r>
                </w:p>
              </w:tc>
              <w:tc>
                <w:tcPr>
                  <w:tcW w:w="1961" w:type="dxa"/>
                  <w:tcBorders>
                    <w:tl2br w:val="nil"/>
                    <w:tr2bl w:val="nil"/>
                  </w:tcBorders>
                  <w:noWrap w:val="0"/>
                  <w:vAlign w:val="center"/>
                </w:tcPr>
                <w:p w14:paraId="0DAC74A4">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200</w:t>
                  </w:r>
                </w:p>
              </w:tc>
              <w:tc>
                <w:tcPr>
                  <w:tcW w:w="2408" w:type="dxa"/>
                  <w:tcBorders>
                    <w:tl2br w:val="nil"/>
                    <w:tr2bl w:val="nil"/>
                  </w:tcBorders>
                  <w:noWrap w:val="0"/>
                  <w:vAlign w:val="center"/>
                </w:tcPr>
                <w:p w14:paraId="6757FBFA">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80</w:t>
                  </w:r>
                </w:p>
              </w:tc>
              <w:tc>
                <w:tcPr>
                  <w:tcW w:w="1694" w:type="dxa"/>
                  <w:tcBorders>
                    <w:tl2br w:val="nil"/>
                    <w:tr2bl w:val="nil"/>
                  </w:tcBorders>
                  <w:noWrap w:val="0"/>
                  <w:vAlign w:val="center"/>
                </w:tcPr>
                <w:p w14:paraId="693A2A55">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w:t>
                  </w:r>
                </w:p>
              </w:tc>
            </w:tr>
            <w:tr w14:paraId="2F3D5F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0" w:type="dxa"/>
                  <w:tcBorders>
                    <w:tl2br w:val="nil"/>
                    <w:tr2bl w:val="nil"/>
                  </w:tcBorders>
                  <w:noWrap w:val="0"/>
                  <w:vAlign w:val="center"/>
                </w:tcPr>
                <w:p w14:paraId="3E2E21E6">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w:t>
                  </w:r>
                </w:p>
              </w:tc>
              <w:tc>
                <w:tcPr>
                  <w:tcW w:w="1375" w:type="dxa"/>
                  <w:tcBorders>
                    <w:tl2br w:val="nil"/>
                    <w:tr2bl w:val="nil"/>
                  </w:tcBorders>
                  <w:noWrap w:val="0"/>
                  <w:vAlign w:val="center"/>
                </w:tcPr>
                <w:p w14:paraId="2CC9617E">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eastAsia="宋体" w:cs="Times New Roman"/>
                      <w:color w:val="auto"/>
                      <w:sz w:val="21"/>
                      <w:szCs w:val="21"/>
                      <w:highlight w:val="none"/>
                      <w:lang w:val="en-US" w:eastAsia="zh-CN"/>
                    </w:rPr>
                    <w:t>P</w:t>
                  </w:r>
                  <w:r>
                    <w:rPr>
                      <w:rFonts w:hint="eastAsia" w:cs="Times New Roman"/>
                      <w:color w:val="auto"/>
                      <w:sz w:val="21"/>
                      <w:szCs w:val="21"/>
                      <w:highlight w:val="none"/>
                      <w:lang w:val="en-US" w:eastAsia="zh-CN"/>
                    </w:rPr>
                    <w:t>M</w:t>
                  </w:r>
                  <w:r>
                    <w:rPr>
                      <w:rFonts w:hint="eastAsia" w:cs="Times New Roman"/>
                      <w:color w:val="auto"/>
                      <w:sz w:val="21"/>
                      <w:szCs w:val="21"/>
                      <w:highlight w:val="none"/>
                      <w:vertAlign w:val="subscript"/>
                      <w:lang w:val="en-US" w:eastAsia="zh-CN"/>
                    </w:rPr>
                    <w:t>2</w:t>
                  </w:r>
                  <w:r>
                    <w:rPr>
                      <w:rFonts w:hint="default" w:ascii="Times New Roman" w:hAnsi="Times New Roman" w:cs="Times New Roman"/>
                      <w:color w:val="auto"/>
                      <w:sz w:val="21"/>
                      <w:szCs w:val="21"/>
                      <w:highlight w:val="none"/>
                      <w:vertAlign w:val="subscript"/>
                      <w:lang w:val="en-US" w:eastAsia="zh-CN"/>
                    </w:rPr>
                    <w:t>.</w:t>
                  </w:r>
                  <w:r>
                    <w:rPr>
                      <w:rFonts w:hint="default" w:ascii="Times New Roman" w:hAnsi="Times New Roman" w:eastAsia="宋体" w:cs="Times New Roman"/>
                      <w:color w:val="auto"/>
                      <w:sz w:val="21"/>
                      <w:szCs w:val="21"/>
                      <w:highlight w:val="none"/>
                      <w:vertAlign w:val="subscript"/>
                      <w:lang w:val="en-US" w:eastAsia="zh-CN"/>
                    </w:rPr>
                    <w:t>5</w:t>
                  </w:r>
                </w:p>
              </w:tc>
              <w:tc>
                <w:tcPr>
                  <w:tcW w:w="1961" w:type="dxa"/>
                  <w:tcBorders>
                    <w:tl2br w:val="nil"/>
                    <w:tr2bl w:val="nil"/>
                  </w:tcBorders>
                  <w:noWrap w:val="0"/>
                  <w:vAlign w:val="center"/>
                </w:tcPr>
                <w:p w14:paraId="1F39C4B9">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2408" w:type="dxa"/>
                  <w:tcBorders>
                    <w:tl2br w:val="nil"/>
                    <w:tr2bl w:val="nil"/>
                  </w:tcBorders>
                  <w:noWrap w:val="0"/>
                  <w:vAlign w:val="center"/>
                </w:tcPr>
                <w:p w14:paraId="6728F333">
                  <w:pPr>
                    <w:topLinePunct/>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60</w:t>
                  </w:r>
                </w:p>
              </w:tc>
              <w:tc>
                <w:tcPr>
                  <w:tcW w:w="1694" w:type="dxa"/>
                  <w:tcBorders>
                    <w:tl2br w:val="nil"/>
                    <w:tr2bl w:val="nil"/>
                  </w:tcBorders>
                  <w:noWrap w:val="0"/>
                  <w:vAlign w:val="center"/>
                </w:tcPr>
                <w:p w14:paraId="3F78C8FC">
                  <w:pPr>
                    <w:topLinePunct/>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3</w:t>
                  </w:r>
                  <w:r>
                    <w:rPr>
                      <w:rFonts w:hint="default" w:ascii="Times New Roman" w:hAnsi="Times New Roman" w:cs="Times New Roman"/>
                      <w:color w:val="auto"/>
                      <w:szCs w:val="21"/>
                      <w:highlight w:val="none"/>
                      <w:lang w:val="en-US" w:eastAsia="zh-CN"/>
                    </w:rPr>
                    <w:t>0</w:t>
                  </w:r>
                </w:p>
              </w:tc>
            </w:tr>
            <w:tr w14:paraId="7394DF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0" w:type="dxa"/>
                  <w:tcBorders>
                    <w:tl2br w:val="nil"/>
                    <w:tr2bl w:val="nil"/>
                  </w:tcBorders>
                  <w:noWrap w:val="0"/>
                  <w:vAlign w:val="center"/>
                </w:tcPr>
                <w:p w14:paraId="05396C93">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w:t>
                  </w:r>
                </w:p>
              </w:tc>
              <w:tc>
                <w:tcPr>
                  <w:tcW w:w="1375" w:type="dxa"/>
                  <w:tcBorders>
                    <w:tl2br w:val="nil"/>
                    <w:tr2bl w:val="nil"/>
                  </w:tcBorders>
                  <w:noWrap w:val="0"/>
                  <w:vAlign w:val="center"/>
                </w:tcPr>
                <w:p w14:paraId="3F2DA12C">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CO</w:t>
                  </w:r>
                </w:p>
              </w:tc>
              <w:tc>
                <w:tcPr>
                  <w:tcW w:w="1961" w:type="dxa"/>
                  <w:tcBorders>
                    <w:tl2br w:val="nil"/>
                    <w:tr2bl w:val="nil"/>
                  </w:tcBorders>
                  <w:noWrap w:val="0"/>
                  <w:vAlign w:val="center"/>
                </w:tcPr>
                <w:p w14:paraId="78F5CA22">
                  <w:pPr>
                    <w:topLinePunct/>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10mg/</w:t>
                  </w:r>
                  <w:r>
                    <w:rPr>
                      <w:rFonts w:hint="default" w:ascii="Times New Roman" w:hAnsi="Times New Roman" w:cs="Times New Roman"/>
                      <w:color w:val="auto"/>
                      <w:szCs w:val="21"/>
                      <w:highlight w:val="none"/>
                      <w:lang w:eastAsia="zh-CN"/>
                    </w:rPr>
                    <w:t>m³</w:t>
                  </w:r>
                </w:p>
              </w:tc>
              <w:tc>
                <w:tcPr>
                  <w:tcW w:w="2408" w:type="dxa"/>
                  <w:tcBorders>
                    <w:tl2br w:val="nil"/>
                    <w:tr2bl w:val="nil"/>
                  </w:tcBorders>
                  <w:noWrap w:val="0"/>
                  <w:vAlign w:val="center"/>
                </w:tcPr>
                <w:p w14:paraId="4CAEE22A">
                  <w:pPr>
                    <w:topLinePunct/>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4mg/</w:t>
                  </w:r>
                  <w:r>
                    <w:rPr>
                      <w:rFonts w:hint="default" w:ascii="Times New Roman" w:hAnsi="Times New Roman" w:cs="Times New Roman"/>
                      <w:color w:val="auto"/>
                      <w:szCs w:val="21"/>
                      <w:highlight w:val="none"/>
                      <w:lang w:eastAsia="zh-CN"/>
                    </w:rPr>
                    <w:t>m³</w:t>
                  </w:r>
                </w:p>
              </w:tc>
              <w:tc>
                <w:tcPr>
                  <w:tcW w:w="1694" w:type="dxa"/>
                  <w:tcBorders>
                    <w:tl2br w:val="nil"/>
                    <w:tr2bl w:val="nil"/>
                  </w:tcBorders>
                  <w:noWrap w:val="0"/>
                  <w:vAlign w:val="center"/>
                </w:tcPr>
                <w:p w14:paraId="3CA969FE">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2A7CD3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0" w:type="dxa"/>
                  <w:tcBorders>
                    <w:tl2br w:val="nil"/>
                    <w:tr2bl w:val="nil"/>
                  </w:tcBorders>
                  <w:noWrap w:val="0"/>
                  <w:vAlign w:val="center"/>
                </w:tcPr>
                <w:p w14:paraId="619F24E7">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w:t>
                  </w:r>
                </w:p>
              </w:tc>
              <w:tc>
                <w:tcPr>
                  <w:tcW w:w="1375" w:type="dxa"/>
                  <w:tcBorders>
                    <w:tl2br w:val="nil"/>
                    <w:tr2bl w:val="nil"/>
                  </w:tcBorders>
                  <w:noWrap w:val="0"/>
                  <w:vAlign w:val="center"/>
                </w:tcPr>
                <w:p w14:paraId="534B5301">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O</w:t>
                  </w:r>
                  <w:r>
                    <w:rPr>
                      <w:rFonts w:hint="default" w:ascii="Times New Roman" w:hAnsi="Times New Roman" w:cs="Times New Roman"/>
                      <w:color w:val="auto"/>
                      <w:szCs w:val="21"/>
                      <w:highlight w:val="none"/>
                      <w:vertAlign w:val="subscript"/>
                    </w:rPr>
                    <w:t>3</w:t>
                  </w:r>
                </w:p>
              </w:tc>
              <w:tc>
                <w:tcPr>
                  <w:tcW w:w="1961" w:type="dxa"/>
                  <w:tcBorders>
                    <w:tl2br w:val="nil"/>
                    <w:tr2bl w:val="nil"/>
                  </w:tcBorders>
                  <w:noWrap w:val="0"/>
                  <w:vAlign w:val="center"/>
                </w:tcPr>
                <w:p w14:paraId="3D12E4EF">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200</w:t>
                  </w:r>
                </w:p>
              </w:tc>
              <w:tc>
                <w:tcPr>
                  <w:tcW w:w="2408" w:type="dxa"/>
                  <w:tcBorders>
                    <w:tl2br w:val="nil"/>
                    <w:tr2bl w:val="nil"/>
                  </w:tcBorders>
                  <w:noWrap w:val="0"/>
                  <w:vAlign w:val="center"/>
                </w:tcPr>
                <w:p w14:paraId="5E39AD52">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160（日最大8小时平均）</w:t>
                  </w:r>
                </w:p>
              </w:tc>
              <w:tc>
                <w:tcPr>
                  <w:tcW w:w="1694" w:type="dxa"/>
                  <w:tcBorders>
                    <w:tl2br w:val="nil"/>
                    <w:tr2bl w:val="nil"/>
                  </w:tcBorders>
                  <w:noWrap w:val="0"/>
                  <w:vAlign w:val="center"/>
                </w:tcPr>
                <w:p w14:paraId="6678B525">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bl>
          <w:p w14:paraId="72B57D92">
            <w:pPr>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（2）</w:t>
            </w:r>
            <w:r>
              <w:rPr>
                <w:rFonts w:hint="eastAsia" w:cs="Times New Roman"/>
                <w:color w:val="auto"/>
                <w:kern w:val="0"/>
                <w:sz w:val="24"/>
                <w:szCs w:val="24"/>
                <w:highlight w:val="none"/>
                <w:lang w:val="en-US" w:eastAsia="zh-CN" w:bidi="ar-SA"/>
              </w:rPr>
              <w:t>地表水</w:t>
            </w:r>
            <w:r>
              <w:rPr>
                <w:rFonts w:hint="default" w:ascii="Times New Roman" w:hAnsi="Times New Roman" w:eastAsia="宋体" w:cs="Times New Roman"/>
                <w:color w:val="auto"/>
                <w:kern w:val="0"/>
                <w:sz w:val="24"/>
                <w:szCs w:val="24"/>
                <w:highlight w:val="none"/>
                <w:lang w:val="en-US" w:eastAsia="zh-CN" w:bidi="ar-SA"/>
              </w:rPr>
              <w:t>环境质量标准</w:t>
            </w:r>
          </w:p>
          <w:p w14:paraId="6FBC629C">
            <w:pPr>
              <w:numPr>
                <w:ilvl w:val="0"/>
                <w:numId w:val="0"/>
              </w:num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项目所在区域地表水中黄河执行《地表水环境质量标准》（GB3838-2002）Ⅱ类标准，</w:t>
            </w:r>
            <w:r>
              <w:rPr>
                <w:rFonts w:hint="eastAsia" w:ascii="Times New Roman" w:hAnsi="Times New Roman" w:eastAsia="宋体" w:cs="Times New Roman"/>
                <w:color w:val="auto"/>
                <w:kern w:val="0"/>
                <w:sz w:val="24"/>
                <w:szCs w:val="24"/>
                <w:highlight w:val="none"/>
                <w:lang w:val="en-US" w:eastAsia="zh-CN" w:bidi="ar-SA"/>
              </w:rPr>
              <w:t>高崖沟执行</w:t>
            </w:r>
            <w:r>
              <w:rPr>
                <w:rFonts w:hint="default" w:ascii="Times New Roman" w:hAnsi="Times New Roman" w:eastAsia="宋体" w:cs="Times New Roman"/>
                <w:color w:val="auto"/>
                <w:kern w:val="0"/>
                <w:sz w:val="24"/>
                <w:szCs w:val="24"/>
                <w:highlight w:val="none"/>
                <w:lang w:val="en-US" w:eastAsia="zh-CN" w:bidi="ar-SA"/>
              </w:rPr>
              <w:t>《地表水环境质量标准》（GB3838-2002）类标准</w:t>
            </w:r>
            <w:r>
              <w:rPr>
                <w:rFonts w:hint="eastAsia" w:ascii="Times New Roman" w:hAnsi="Times New Roman" w:eastAsia="宋体"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具体标准值见表3-8。</w:t>
            </w:r>
          </w:p>
          <w:p w14:paraId="14CC5916">
            <w:pPr>
              <w:pStyle w:val="8"/>
              <w:adjustRightInd w:val="0"/>
              <w:snapToGrid w:val="0"/>
              <w:jc w:val="center"/>
              <w:rPr>
                <w:rFonts w:hint="default" w:ascii="Times New Roman" w:hAnsi="Times New Roman" w:eastAsia="黑体" w:cs="Times New Roman"/>
                <w:color w:val="auto"/>
                <w:kern w:val="0"/>
                <w:sz w:val="24"/>
                <w:szCs w:val="24"/>
                <w:highlight w:val="none"/>
                <w:lang w:val="en-US" w:eastAsia="zh-CN" w:bidi="ar-SA"/>
              </w:rPr>
            </w:pPr>
            <w:bookmarkStart w:id="3" w:name="_Ref29135205"/>
            <w:r>
              <w:rPr>
                <w:rFonts w:hint="eastAsia" w:ascii="Times New Roman" w:hAnsi="Times New Roman" w:eastAsia="黑体" w:cs="Times New Roman"/>
                <w:color w:val="auto"/>
                <w:kern w:val="0"/>
                <w:sz w:val="24"/>
                <w:szCs w:val="24"/>
                <w:highlight w:val="none"/>
                <w:lang w:val="en-US" w:eastAsia="zh-CN" w:bidi="ar-SA"/>
              </w:rPr>
              <w:t>表</w:t>
            </w:r>
            <w:bookmarkEnd w:id="3"/>
            <w:r>
              <w:rPr>
                <w:rFonts w:hint="eastAsia" w:ascii="Times New Roman" w:hAnsi="Times New Roman" w:eastAsia="黑体" w:cs="Times New Roman"/>
                <w:color w:val="auto"/>
                <w:kern w:val="0"/>
                <w:sz w:val="24"/>
                <w:szCs w:val="24"/>
                <w:highlight w:val="none"/>
                <w:lang w:val="en-US" w:eastAsia="zh-CN" w:bidi="ar-SA"/>
              </w:rPr>
              <w:t>3-8  地表水环境质量标准一览表  单位：</w:t>
            </w:r>
            <w:r>
              <w:rPr>
                <w:rFonts w:hint="default" w:ascii="Times New Roman" w:hAnsi="Times New Roman" w:eastAsia="黑体" w:cs="Times New Roman"/>
                <w:color w:val="auto"/>
                <w:kern w:val="0"/>
                <w:sz w:val="24"/>
                <w:szCs w:val="24"/>
                <w:highlight w:val="none"/>
                <w:lang w:val="en-US" w:eastAsia="zh-CN" w:bidi="ar-SA"/>
              </w:rPr>
              <w:t>mg/L（除</w:t>
            </w:r>
            <w:r>
              <w:rPr>
                <w:rFonts w:hint="eastAsia" w:ascii="Times New Roman" w:hAnsi="Times New Roman" w:eastAsia="黑体" w:cs="Times New Roman"/>
                <w:color w:val="auto"/>
                <w:kern w:val="0"/>
                <w:sz w:val="24"/>
                <w:szCs w:val="24"/>
                <w:highlight w:val="none"/>
                <w:lang w:val="en-US" w:eastAsia="zh-CN" w:bidi="ar-SA"/>
              </w:rPr>
              <w:t>pH外</w:t>
            </w:r>
            <w:r>
              <w:rPr>
                <w:rFonts w:hint="default" w:ascii="Times New Roman" w:hAnsi="Times New Roman" w:eastAsia="黑体" w:cs="Times New Roman"/>
                <w:color w:val="auto"/>
                <w:kern w:val="0"/>
                <w:sz w:val="24"/>
                <w:szCs w:val="24"/>
                <w:highlight w:val="none"/>
                <w:lang w:val="en-US" w:eastAsia="zh-CN" w:bidi="ar-SA"/>
              </w:rPr>
              <w:t>）</w:t>
            </w:r>
          </w:p>
          <w:tbl>
            <w:tblPr>
              <w:tblStyle w:val="26"/>
              <w:tblW w:w="818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66"/>
              <w:gridCol w:w="2820"/>
              <w:gridCol w:w="2503"/>
            </w:tblGrid>
            <w:tr w14:paraId="58436C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66" w:type="dxa"/>
                  <w:tcBorders>
                    <w:tl2br w:val="nil"/>
                    <w:tr2bl w:val="nil"/>
                  </w:tcBorders>
                  <w:noWrap w:val="0"/>
                  <w:vAlign w:val="center"/>
                </w:tcPr>
                <w:p w14:paraId="7054175F">
                  <w:pPr>
                    <w:keepNext w:val="0"/>
                    <w:keepLines w:val="0"/>
                    <w:pageBreakBefore w:val="0"/>
                    <w:widowControl w:val="0"/>
                    <w:kinsoku/>
                    <w:wordWrap/>
                    <w:overflowPunct/>
                    <w:topLinePunct/>
                    <w:autoSpaceDE/>
                    <w:autoSpaceDN/>
                    <w:bidi w:val="0"/>
                    <w:adjustRightInd w:val="0"/>
                    <w:snapToGrid w:val="0"/>
                    <w:jc w:val="center"/>
                    <w:textAlignment w:val="auto"/>
                    <w:rPr>
                      <w:rFonts w:hint="eastAsia"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项目</w:t>
                  </w:r>
                </w:p>
              </w:tc>
              <w:tc>
                <w:tcPr>
                  <w:tcW w:w="2820" w:type="dxa"/>
                  <w:tcBorders>
                    <w:tl2br w:val="nil"/>
                    <w:tr2bl w:val="nil"/>
                  </w:tcBorders>
                  <w:noWrap w:val="0"/>
                  <w:vAlign w:val="center"/>
                </w:tcPr>
                <w:p w14:paraId="5D48BBF0">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SA"/>
                    </w:rPr>
                    <w:t>Ⅱ</w:t>
                  </w:r>
                  <w:r>
                    <w:rPr>
                      <w:rFonts w:hint="eastAsia" w:ascii="Times New Roman" w:hAnsi="Times New Roman" w:eastAsia="宋体" w:cs="Times New Roman"/>
                      <w:b/>
                      <w:bCs/>
                      <w:color w:val="auto"/>
                      <w:sz w:val="21"/>
                      <w:szCs w:val="21"/>
                      <w:highlight w:val="none"/>
                      <w:lang w:val="en-US" w:eastAsia="zh-CN"/>
                    </w:rPr>
                    <w:t>标准值</w:t>
                  </w:r>
                </w:p>
              </w:tc>
              <w:tc>
                <w:tcPr>
                  <w:tcW w:w="2503" w:type="dxa"/>
                  <w:tcBorders>
                    <w:tl2br w:val="nil"/>
                    <w:tr2bl w:val="nil"/>
                  </w:tcBorders>
                  <w:noWrap w:val="0"/>
                  <w:vAlign w:val="center"/>
                </w:tcPr>
                <w:p w14:paraId="0422EFBF">
                  <w:pPr>
                    <w:keepNext w:val="0"/>
                    <w:keepLines w:val="0"/>
                    <w:pageBreakBefore w:val="0"/>
                    <w:widowControl w:val="0"/>
                    <w:kinsoku/>
                    <w:wordWrap/>
                    <w:overflowPunct/>
                    <w:topLinePunct/>
                    <w:autoSpaceDE/>
                    <w:autoSpaceDN/>
                    <w:bidi w:val="0"/>
                    <w:adjustRightInd w:val="0"/>
                    <w:snapToGrid w:val="0"/>
                    <w:jc w:val="center"/>
                    <w:textAlignment w:val="auto"/>
                    <w:rPr>
                      <w:rFonts w:hint="eastAsia"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SA"/>
                    </w:rPr>
                    <w:fldChar w:fldCharType="begin"/>
                  </w:r>
                  <w:r>
                    <w:rPr>
                      <w:rFonts w:hint="default" w:ascii="Times New Roman" w:hAnsi="Times New Roman" w:eastAsia="宋体" w:cs="Times New Roman"/>
                      <w:color w:val="auto"/>
                      <w:kern w:val="0"/>
                      <w:sz w:val="21"/>
                      <w:szCs w:val="21"/>
                      <w:highlight w:val="none"/>
                      <w:lang w:val="en-US" w:eastAsia="zh-CN" w:bidi="ar-SA"/>
                    </w:rPr>
                    <w:instrText xml:space="preserve"> = 4 \* ROMAN \* MERGEFORMAT </w:instrText>
                  </w:r>
                  <w:r>
                    <w:rPr>
                      <w:rFonts w:hint="default" w:ascii="Times New Roman" w:hAnsi="Times New Roman" w:eastAsia="宋体" w:cs="Times New Roman"/>
                      <w:color w:val="auto"/>
                      <w:kern w:val="0"/>
                      <w:sz w:val="21"/>
                      <w:szCs w:val="21"/>
                      <w:highlight w:val="none"/>
                      <w:lang w:val="en-US" w:eastAsia="zh-CN" w:bidi="ar-SA"/>
                    </w:rPr>
                    <w:fldChar w:fldCharType="separate"/>
                  </w:r>
                  <w:r>
                    <w:rPr>
                      <w:rFonts w:hint="eastAsia" w:cs="Times New Roman"/>
                      <w:color w:val="auto"/>
                      <w:kern w:val="0"/>
                      <w:sz w:val="21"/>
                      <w:szCs w:val="21"/>
                      <w:highlight w:val="none"/>
                      <w:lang w:val="en-US" w:eastAsia="zh-CN" w:bidi="ar-SA"/>
                    </w:rPr>
                    <w:t>Ⅳ</w:t>
                  </w:r>
                  <w:r>
                    <w:rPr>
                      <w:rFonts w:hint="default" w:ascii="Times New Roman" w:hAnsi="Times New Roman" w:eastAsia="宋体" w:cs="Times New Roman"/>
                      <w:color w:val="auto"/>
                      <w:kern w:val="0"/>
                      <w:sz w:val="21"/>
                      <w:szCs w:val="21"/>
                      <w:highlight w:val="none"/>
                      <w:lang w:val="en-US" w:eastAsia="zh-CN" w:bidi="ar-SA"/>
                    </w:rPr>
                    <w:fldChar w:fldCharType="end"/>
                  </w:r>
                  <w:r>
                    <w:rPr>
                      <w:rFonts w:hint="eastAsia" w:ascii="Times New Roman" w:hAnsi="Times New Roman" w:eastAsia="宋体" w:cs="Times New Roman"/>
                      <w:b/>
                      <w:bCs/>
                      <w:color w:val="auto"/>
                      <w:sz w:val="21"/>
                      <w:szCs w:val="21"/>
                      <w:highlight w:val="none"/>
                      <w:lang w:val="en-US" w:eastAsia="zh-CN"/>
                    </w:rPr>
                    <w:t>标准值</w:t>
                  </w:r>
                </w:p>
              </w:tc>
            </w:tr>
            <w:tr w14:paraId="2A5A56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66" w:type="dxa"/>
                  <w:tcBorders>
                    <w:tl2br w:val="nil"/>
                    <w:tr2bl w:val="nil"/>
                  </w:tcBorders>
                  <w:noWrap w:val="0"/>
                  <w:vAlign w:val="center"/>
                </w:tcPr>
                <w:p w14:paraId="18047BB7">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pH值</w:t>
                  </w:r>
                  <w:r>
                    <w:rPr>
                      <w:rFonts w:hint="eastAsia" w:ascii="Times New Roman" w:hAnsi="Times New Roman" w:eastAsia="宋体" w:cs="Times New Roman"/>
                      <w:color w:val="auto"/>
                      <w:szCs w:val="21"/>
                      <w:highlight w:val="none"/>
                    </w:rPr>
                    <w:t>（无量纲）</w:t>
                  </w:r>
                </w:p>
              </w:tc>
              <w:tc>
                <w:tcPr>
                  <w:tcW w:w="2820" w:type="dxa"/>
                  <w:tcBorders>
                    <w:tl2br w:val="nil"/>
                    <w:tr2bl w:val="nil"/>
                  </w:tcBorders>
                  <w:noWrap w:val="0"/>
                  <w:vAlign w:val="center"/>
                </w:tcPr>
                <w:p w14:paraId="3D7F0C76">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6</w:t>
                  </w:r>
                  <w:r>
                    <w:rPr>
                      <w:rFonts w:hint="eastAsia"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rPr>
                    <w:t>9</w:t>
                  </w:r>
                </w:p>
              </w:tc>
              <w:tc>
                <w:tcPr>
                  <w:tcW w:w="2503" w:type="dxa"/>
                  <w:tcBorders>
                    <w:tl2br w:val="nil"/>
                    <w:tr2bl w:val="nil"/>
                  </w:tcBorders>
                  <w:shd w:val="clear" w:color="auto" w:fill="auto"/>
                  <w:noWrap w:val="0"/>
                  <w:vAlign w:val="center"/>
                </w:tcPr>
                <w:p w14:paraId="35FFE38D">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6</w:t>
                  </w:r>
                  <w:r>
                    <w:rPr>
                      <w:rFonts w:hint="eastAsia"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rPr>
                    <w:t>9</w:t>
                  </w:r>
                </w:p>
              </w:tc>
            </w:tr>
            <w:tr w14:paraId="406AF0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66" w:type="dxa"/>
                  <w:tcBorders>
                    <w:tl2br w:val="nil"/>
                    <w:tr2bl w:val="nil"/>
                  </w:tcBorders>
                  <w:noWrap w:val="0"/>
                  <w:vAlign w:val="center"/>
                </w:tcPr>
                <w:p w14:paraId="4363DDB5">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溶解氧</w:t>
                  </w:r>
                </w:p>
              </w:tc>
              <w:tc>
                <w:tcPr>
                  <w:tcW w:w="2820" w:type="dxa"/>
                  <w:tcBorders>
                    <w:tl2br w:val="nil"/>
                    <w:tr2bl w:val="nil"/>
                  </w:tcBorders>
                  <w:noWrap w:val="0"/>
                  <w:vAlign w:val="center"/>
                </w:tcPr>
                <w:p w14:paraId="626F0179">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≥6</w:t>
                  </w:r>
                </w:p>
              </w:tc>
              <w:tc>
                <w:tcPr>
                  <w:tcW w:w="2503" w:type="dxa"/>
                  <w:tcBorders>
                    <w:tl2br w:val="nil"/>
                    <w:tr2bl w:val="nil"/>
                  </w:tcBorders>
                  <w:shd w:val="clear" w:color="auto" w:fill="auto"/>
                  <w:noWrap w:val="0"/>
                  <w:vAlign w:val="center"/>
                </w:tcPr>
                <w:p w14:paraId="129AE83A">
                  <w:pPr>
                    <w:keepNext w:val="0"/>
                    <w:keepLines w:val="0"/>
                    <w:pageBreakBefore w:val="0"/>
                    <w:widowControl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3</w:t>
                  </w:r>
                </w:p>
              </w:tc>
            </w:tr>
            <w:tr w14:paraId="2F1B96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66" w:type="dxa"/>
                  <w:tcBorders>
                    <w:tl2br w:val="nil"/>
                    <w:tr2bl w:val="nil"/>
                  </w:tcBorders>
                  <w:noWrap w:val="0"/>
                  <w:vAlign w:val="center"/>
                </w:tcPr>
                <w:p w14:paraId="4803AEAC">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高锰酸盐指数</w:t>
                  </w:r>
                </w:p>
              </w:tc>
              <w:tc>
                <w:tcPr>
                  <w:tcW w:w="2820" w:type="dxa"/>
                  <w:tcBorders>
                    <w:tl2br w:val="nil"/>
                    <w:tr2bl w:val="nil"/>
                  </w:tcBorders>
                  <w:noWrap w:val="0"/>
                  <w:vAlign w:val="center"/>
                </w:tcPr>
                <w:p w14:paraId="0C660700">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≤4</w:t>
                  </w:r>
                </w:p>
              </w:tc>
              <w:tc>
                <w:tcPr>
                  <w:tcW w:w="2503" w:type="dxa"/>
                  <w:tcBorders>
                    <w:tl2br w:val="nil"/>
                    <w:tr2bl w:val="nil"/>
                  </w:tcBorders>
                  <w:shd w:val="clear" w:color="auto" w:fill="auto"/>
                  <w:noWrap w:val="0"/>
                  <w:vAlign w:val="center"/>
                </w:tcPr>
                <w:p w14:paraId="57973255">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10</w:t>
                  </w:r>
                </w:p>
              </w:tc>
            </w:tr>
            <w:tr w14:paraId="014CBE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66" w:type="dxa"/>
                  <w:tcBorders>
                    <w:tl2br w:val="nil"/>
                    <w:tr2bl w:val="nil"/>
                  </w:tcBorders>
                  <w:noWrap w:val="0"/>
                  <w:vAlign w:val="center"/>
                </w:tcPr>
                <w:p w14:paraId="4E779F58">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COD</w:t>
                  </w:r>
                </w:p>
              </w:tc>
              <w:tc>
                <w:tcPr>
                  <w:tcW w:w="2820" w:type="dxa"/>
                  <w:tcBorders>
                    <w:tl2br w:val="nil"/>
                    <w:tr2bl w:val="nil"/>
                  </w:tcBorders>
                  <w:noWrap w:val="0"/>
                  <w:vAlign w:val="center"/>
                </w:tcPr>
                <w:p w14:paraId="25AD9A95">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≤15</w:t>
                  </w:r>
                </w:p>
              </w:tc>
              <w:tc>
                <w:tcPr>
                  <w:tcW w:w="2503" w:type="dxa"/>
                  <w:tcBorders>
                    <w:tl2br w:val="nil"/>
                    <w:tr2bl w:val="nil"/>
                  </w:tcBorders>
                  <w:shd w:val="clear" w:color="auto" w:fill="auto"/>
                  <w:noWrap w:val="0"/>
                  <w:vAlign w:val="center"/>
                </w:tcPr>
                <w:p w14:paraId="61F766C4">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30</w:t>
                  </w:r>
                </w:p>
              </w:tc>
            </w:tr>
            <w:tr w14:paraId="1C1A1C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66" w:type="dxa"/>
                  <w:tcBorders>
                    <w:tl2br w:val="nil"/>
                    <w:tr2bl w:val="nil"/>
                  </w:tcBorders>
                  <w:noWrap w:val="0"/>
                  <w:vAlign w:val="center"/>
                </w:tcPr>
                <w:p w14:paraId="14F51E29">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BOD</w:t>
                  </w:r>
                  <w:r>
                    <w:rPr>
                      <w:rFonts w:hint="eastAsia" w:ascii="Times New Roman" w:hAnsi="Times New Roman" w:eastAsia="宋体" w:cs="Times New Roman"/>
                      <w:color w:val="auto"/>
                      <w:szCs w:val="21"/>
                      <w:highlight w:val="none"/>
                      <w:vertAlign w:val="subscript"/>
                    </w:rPr>
                    <w:t>5</w:t>
                  </w:r>
                </w:p>
              </w:tc>
              <w:tc>
                <w:tcPr>
                  <w:tcW w:w="2820" w:type="dxa"/>
                  <w:tcBorders>
                    <w:tl2br w:val="nil"/>
                    <w:tr2bl w:val="nil"/>
                  </w:tcBorders>
                  <w:noWrap w:val="0"/>
                  <w:vAlign w:val="center"/>
                </w:tcPr>
                <w:p w14:paraId="610AA5AC">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≤3</w:t>
                  </w:r>
                </w:p>
              </w:tc>
              <w:tc>
                <w:tcPr>
                  <w:tcW w:w="2503" w:type="dxa"/>
                  <w:tcBorders>
                    <w:tl2br w:val="nil"/>
                    <w:tr2bl w:val="nil"/>
                  </w:tcBorders>
                  <w:shd w:val="clear" w:color="auto" w:fill="auto"/>
                  <w:noWrap w:val="0"/>
                  <w:vAlign w:val="center"/>
                </w:tcPr>
                <w:p w14:paraId="449AFA69">
                  <w:pPr>
                    <w:keepNext w:val="0"/>
                    <w:keepLines w:val="0"/>
                    <w:pageBreakBefore w:val="0"/>
                    <w:widowControl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6</w:t>
                  </w:r>
                </w:p>
              </w:tc>
            </w:tr>
            <w:tr w14:paraId="3DA0F3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66" w:type="dxa"/>
                  <w:tcBorders>
                    <w:tl2br w:val="nil"/>
                    <w:tr2bl w:val="nil"/>
                  </w:tcBorders>
                  <w:noWrap w:val="0"/>
                  <w:vAlign w:val="center"/>
                </w:tcPr>
                <w:p w14:paraId="3A2D970C">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NH</w:t>
                  </w:r>
                  <w:r>
                    <w:rPr>
                      <w:rFonts w:hint="eastAsia" w:ascii="Times New Roman" w:hAnsi="Times New Roman" w:eastAsia="宋体" w:cs="Times New Roman"/>
                      <w:color w:val="auto"/>
                      <w:szCs w:val="21"/>
                      <w:highlight w:val="none"/>
                      <w:vertAlign w:val="subscript"/>
                    </w:rPr>
                    <w:t>3</w:t>
                  </w:r>
                  <w:r>
                    <w:rPr>
                      <w:rFonts w:hint="eastAsia" w:ascii="Times New Roman" w:hAnsi="Times New Roman" w:eastAsia="宋体" w:cs="Times New Roman"/>
                      <w:color w:val="auto"/>
                      <w:szCs w:val="21"/>
                      <w:highlight w:val="none"/>
                    </w:rPr>
                    <w:t>-N</w:t>
                  </w:r>
                </w:p>
              </w:tc>
              <w:tc>
                <w:tcPr>
                  <w:tcW w:w="2820" w:type="dxa"/>
                  <w:tcBorders>
                    <w:tl2br w:val="nil"/>
                    <w:tr2bl w:val="nil"/>
                  </w:tcBorders>
                  <w:noWrap w:val="0"/>
                  <w:vAlign w:val="center"/>
                </w:tcPr>
                <w:p w14:paraId="58E88942">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≤0.5</w:t>
                  </w:r>
                </w:p>
              </w:tc>
              <w:tc>
                <w:tcPr>
                  <w:tcW w:w="2503" w:type="dxa"/>
                  <w:tcBorders>
                    <w:tl2br w:val="nil"/>
                    <w:tr2bl w:val="nil"/>
                  </w:tcBorders>
                  <w:shd w:val="clear" w:color="auto" w:fill="auto"/>
                  <w:noWrap w:val="0"/>
                  <w:vAlign w:val="center"/>
                </w:tcPr>
                <w:p w14:paraId="62DB1762">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1.5</w:t>
                  </w:r>
                </w:p>
              </w:tc>
            </w:tr>
            <w:tr w14:paraId="06B45A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66" w:type="dxa"/>
                  <w:tcBorders>
                    <w:tl2br w:val="nil"/>
                    <w:tr2bl w:val="nil"/>
                  </w:tcBorders>
                  <w:noWrap w:val="0"/>
                  <w:vAlign w:val="center"/>
                </w:tcPr>
                <w:p w14:paraId="695F3AD8">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总磷</w:t>
                  </w:r>
                </w:p>
              </w:tc>
              <w:tc>
                <w:tcPr>
                  <w:tcW w:w="2820" w:type="dxa"/>
                  <w:tcBorders>
                    <w:tl2br w:val="nil"/>
                    <w:tr2bl w:val="nil"/>
                  </w:tcBorders>
                  <w:noWrap w:val="0"/>
                  <w:vAlign w:val="center"/>
                </w:tcPr>
                <w:p w14:paraId="52E10488">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≤0.1</w:t>
                  </w:r>
                </w:p>
              </w:tc>
              <w:tc>
                <w:tcPr>
                  <w:tcW w:w="2503" w:type="dxa"/>
                  <w:tcBorders>
                    <w:tl2br w:val="nil"/>
                    <w:tr2bl w:val="nil"/>
                  </w:tcBorders>
                  <w:shd w:val="clear" w:color="auto" w:fill="auto"/>
                  <w:noWrap w:val="0"/>
                  <w:vAlign w:val="center"/>
                </w:tcPr>
                <w:p w14:paraId="635FB2E8">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0.3</w:t>
                  </w:r>
                </w:p>
              </w:tc>
            </w:tr>
            <w:tr w14:paraId="393878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66" w:type="dxa"/>
                  <w:tcBorders>
                    <w:tl2br w:val="nil"/>
                    <w:tr2bl w:val="nil"/>
                  </w:tcBorders>
                  <w:noWrap w:val="0"/>
                  <w:vAlign w:val="center"/>
                </w:tcPr>
                <w:p w14:paraId="7A04DC6A">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总氮</w:t>
                  </w:r>
                </w:p>
              </w:tc>
              <w:tc>
                <w:tcPr>
                  <w:tcW w:w="2820" w:type="dxa"/>
                  <w:tcBorders>
                    <w:tl2br w:val="nil"/>
                    <w:tr2bl w:val="nil"/>
                  </w:tcBorders>
                  <w:noWrap w:val="0"/>
                  <w:vAlign w:val="center"/>
                </w:tcPr>
                <w:p w14:paraId="0535910D">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≤0.5</w:t>
                  </w:r>
                </w:p>
              </w:tc>
              <w:tc>
                <w:tcPr>
                  <w:tcW w:w="2503" w:type="dxa"/>
                  <w:tcBorders>
                    <w:tl2br w:val="nil"/>
                    <w:tr2bl w:val="nil"/>
                  </w:tcBorders>
                  <w:shd w:val="clear" w:color="auto" w:fill="auto"/>
                  <w:noWrap w:val="0"/>
                  <w:vAlign w:val="center"/>
                </w:tcPr>
                <w:p w14:paraId="1B8900CD">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1.5</w:t>
                  </w:r>
                </w:p>
              </w:tc>
            </w:tr>
            <w:tr w14:paraId="0589DB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66" w:type="dxa"/>
                  <w:tcBorders>
                    <w:tl2br w:val="nil"/>
                    <w:tr2bl w:val="nil"/>
                  </w:tcBorders>
                  <w:noWrap w:val="0"/>
                  <w:vAlign w:val="center"/>
                </w:tcPr>
                <w:p w14:paraId="17295B98">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铜</w:t>
                  </w:r>
                </w:p>
              </w:tc>
              <w:tc>
                <w:tcPr>
                  <w:tcW w:w="2820" w:type="dxa"/>
                  <w:tcBorders>
                    <w:tl2br w:val="nil"/>
                    <w:tr2bl w:val="nil"/>
                  </w:tcBorders>
                  <w:noWrap w:val="0"/>
                  <w:vAlign w:val="center"/>
                </w:tcPr>
                <w:p w14:paraId="7D7FE4EE">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≤1.0</w:t>
                  </w:r>
                </w:p>
              </w:tc>
              <w:tc>
                <w:tcPr>
                  <w:tcW w:w="2503" w:type="dxa"/>
                  <w:tcBorders>
                    <w:tl2br w:val="nil"/>
                    <w:tr2bl w:val="nil"/>
                  </w:tcBorders>
                  <w:shd w:val="clear" w:color="auto" w:fill="auto"/>
                  <w:noWrap w:val="0"/>
                  <w:vAlign w:val="center"/>
                </w:tcPr>
                <w:p w14:paraId="1D77B0DB">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1.0</w:t>
                  </w:r>
                </w:p>
              </w:tc>
            </w:tr>
            <w:tr w14:paraId="3E88A2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66" w:type="dxa"/>
                  <w:tcBorders>
                    <w:tl2br w:val="nil"/>
                    <w:tr2bl w:val="nil"/>
                  </w:tcBorders>
                  <w:noWrap w:val="0"/>
                  <w:vAlign w:val="center"/>
                </w:tcPr>
                <w:p w14:paraId="691626C9">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锌</w:t>
                  </w:r>
                </w:p>
              </w:tc>
              <w:tc>
                <w:tcPr>
                  <w:tcW w:w="2820" w:type="dxa"/>
                  <w:tcBorders>
                    <w:tl2br w:val="nil"/>
                    <w:tr2bl w:val="nil"/>
                  </w:tcBorders>
                  <w:noWrap w:val="0"/>
                  <w:vAlign w:val="center"/>
                </w:tcPr>
                <w:p w14:paraId="54195D17">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≤1.0</w:t>
                  </w:r>
                </w:p>
              </w:tc>
              <w:tc>
                <w:tcPr>
                  <w:tcW w:w="2503" w:type="dxa"/>
                  <w:tcBorders>
                    <w:tl2br w:val="nil"/>
                    <w:tr2bl w:val="nil"/>
                  </w:tcBorders>
                  <w:shd w:val="clear" w:color="auto" w:fill="auto"/>
                  <w:noWrap w:val="0"/>
                  <w:vAlign w:val="center"/>
                </w:tcPr>
                <w:p w14:paraId="398C8E76">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2.0</w:t>
                  </w:r>
                </w:p>
              </w:tc>
            </w:tr>
            <w:tr w14:paraId="6EA44A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66" w:type="dxa"/>
                  <w:tcBorders>
                    <w:tl2br w:val="nil"/>
                    <w:tr2bl w:val="nil"/>
                  </w:tcBorders>
                  <w:noWrap w:val="0"/>
                  <w:vAlign w:val="center"/>
                </w:tcPr>
                <w:p w14:paraId="0F78E4BF">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氟化物</w:t>
                  </w:r>
                </w:p>
              </w:tc>
              <w:tc>
                <w:tcPr>
                  <w:tcW w:w="2820" w:type="dxa"/>
                  <w:tcBorders>
                    <w:tl2br w:val="nil"/>
                    <w:tr2bl w:val="nil"/>
                  </w:tcBorders>
                  <w:noWrap w:val="0"/>
                  <w:vAlign w:val="center"/>
                </w:tcPr>
                <w:p w14:paraId="613D5800">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≤1.0</w:t>
                  </w:r>
                </w:p>
              </w:tc>
              <w:tc>
                <w:tcPr>
                  <w:tcW w:w="2503" w:type="dxa"/>
                  <w:tcBorders>
                    <w:tl2br w:val="nil"/>
                    <w:tr2bl w:val="nil"/>
                  </w:tcBorders>
                  <w:shd w:val="clear" w:color="auto" w:fill="auto"/>
                  <w:noWrap w:val="0"/>
                  <w:vAlign w:val="center"/>
                </w:tcPr>
                <w:p w14:paraId="3B29D2C8">
                  <w:pPr>
                    <w:keepNext w:val="0"/>
                    <w:keepLines w:val="0"/>
                    <w:pageBreakBefore w:val="0"/>
                    <w:widowControl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rPr>
                    <w:t>≤1.</w:t>
                  </w:r>
                  <w:r>
                    <w:rPr>
                      <w:rFonts w:hint="eastAsia" w:ascii="Times New Roman" w:hAnsi="Times New Roman" w:eastAsia="宋体" w:cs="Times New Roman"/>
                      <w:color w:val="auto"/>
                      <w:szCs w:val="21"/>
                      <w:highlight w:val="none"/>
                      <w:lang w:val="en-US" w:eastAsia="zh-CN"/>
                    </w:rPr>
                    <w:t>5</w:t>
                  </w:r>
                </w:p>
              </w:tc>
            </w:tr>
            <w:tr w14:paraId="14BDAA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66" w:type="dxa"/>
                  <w:tcBorders>
                    <w:tl2br w:val="nil"/>
                    <w:tr2bl w:val="nil"/>
                  </w:tcBorders>
                  <w:noWrap w:val="0"/>
                  <w:vAlign w:val="center"/>
                </w:tcPr>
                <w:p w14:paraId="2BCAA7CD">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硒</w:t>
                  </w:r>
                </w:p>
              </w:tc>
              <w:tc>
                <w:tcPr>
                  <w:tcW w:w="2820" w:type="dxa"/>
                  <w:tcBorders>
                    <w:tl2br w:val="nil"/>
                    <w:tr2bl w:val="nil"/>
                  </w:tcBorders>
                  <w:noWrap w:val="0"/>
                  <w:vAlign w:val="center"/>
                </w:tcPr>
                <w:p w14:paraId="66D6F941">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≤0.01</w:t>
                  </w:r>
                </w:p>
              </w:tc>
              <w:tc>
                <w:tcPr>
                  <w:tcW w:w="2503" w:type="dxa"/>
                  <w:tcBorders>
                    <w:tl2br w:val="nil"/>
                    <w:tr2bl w:val="nil"/>
                  </w:tcBorders>
                  <w:shd w:val="clear" w:color="auto" w:fill="auto"/>
                  <w:noWrap w:val="0"/>
                  <w:vAlign w:val="center"/>
                </w:tcPr>
                <w:p w14:paraId="2CEB0DD6">
                  <w:pPr>
                    <w:keepNext w:val="0"/>
                    <w:keepLines w:val="0"/>
                    <w:pageBreakBefore w:val="0"/>
                    <w:widowControl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rPr>
                    <w:t>≤0.0</w:t>
                  </w:r>
                  <w:r>
                    <w:rPr>
                      <w:rFonts w:hint="eastAsia" w:ascii="Times New Roman" w:hAnsi="Times New Roman" w:eastAsia="宋体" w:cs="Times New Roman"/>
                      <w:color w:val="auto"/>
                      <w:szCs w:val="21"/>
                      <w:highlight w:val="none"/>
                      <w:lang w:val="en-US" w:eastAsia="zh-CN"/>
                    </w:rPr>
                    <w:t>2</w:t>
                  </w:r>
                </w:p>
              </w:tc>
            </w:tr>
            <w:tr w14:paraId="1FF3BB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66" w:type="dxa"/>
                  <w:tcBorders>
                    <w:tl2br w:val="nil"/>
                    <w:tr2bl w:val="nil"/>
                  </w:tcBorders>
                  <w:noWrap w:val="0"/>
                  <w:vAlign w:val="center"/>
                </w:tcPr>
                <w:p w14:paraId="0765C794">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砷</w:t>
                  </w:r>
                </w:p>
              </w:tc>
              <w:tc>
                <w:tcPr>
                  <w:tcW w:w="2820" w:type="dxa"/>
                  <w:tcBorders>
                    <w:tl2br w:val="nil"/>
                    <w:tr2bl w:val="nil"/>
                  </w:tcBorders>
                  <w:noWrap w:val="0"/>
                  <w:vAlign w:val="center"/>
                </w:tcPr>
                <w:p w14:paraId="3ECF61A4">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≤0.05</w:t>
                  </w:r>
                </w:p>
              </w:tc>
              <w:tc>
                <w:tcPr>
                  <w:tcW w:w="2503" w:type="dxa"/>
                  <w:tcBorders>
                    <w:tl2br w:val="nil"/>
                    <w:tr2bl w:val="nil"/>
                  </w:tcBorders>
                  <w:shd w:val="clear" w:color="auto" w:fill="auto"/>
                  <w:noWrap w:val="0"/>
                  <w:vAlign w:val="center"/>
                </w:tcPr>
                <w:p w14:paraId="4F690609">
                  <w:pPr>
                    <w:keepNext w:val="0"/>
                    <w:keepLines w:val="0"/>
                    <w:pageBreakBefore w:val="0"/>
                    <w:widowControl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rPr>
                    <w:t>≤0.</w:t>
                  </w:r>
                  <w:r>
                    <w:rPr>
                      <w:rFonts w:hint="eastAsia" w:ascii="Times New Roman" w:hAnsi="Times New Roman" w:eastAsia="宋体" w:cs="Times New Roman"/>
                      <w:color w:val="auto"/>
                      <w:szCs w:val="21"/>
                      <w:highlight w:val="none"/>
                      <w:lang w:val="en-US" w:eastAsia="zh-CN"/>
                    </w:rPr>
                    <w:t>1</w:t>
                  </w:r>
                </w:p>
              </w:tc>
            </w:tr>
            <w:tr w14:paraId="357EF7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66" w:type="dxa"/>
                  <w:tcBorders>
                    <w:tl2br w:val="nil"/>
                    <w:tr2bl w:val="nil"/>
                  </w:tcBorders>
                  <w:noWrap w:val="0"/>
                  <w:vAlign w:val="center"/>
                </w:tcPr>
                <w:p w14:paraId="25D82AF9">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汞</w:t>
                  </w:r>
                </w:p>
              </w:tc>
              <w:tc>
                <w:tcPr>
                  <w:tcW w:w="2820" w:type="dxa"/>
                  <w:tcBorders>
                    <w:tl2br w:val="nil"/>
                    <w:tr2bl w:val="nil"/>
                  </w:tcBorders>
                  <w:noWrap w:val="0"/>
                  <w:vAlign w:val="center"/>
                </w:tcPr>
                <w:p w14:paraId="42FEB188">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≤0.00005</w:t>
                  </w:r>
                </w:p>
              </w:tc>
              <w:tc>
                <w:tcPr>
                  <w:tcW w:w="2503" w:type="dxa"/>
                  <w:tcBorders>
                    <w:tl2br w:val="nil"/>
                    <w:tr2bl w:val="nil"/>
                  </w:tcBorders>
                  <w:shd w:val="clear" w:color="auto" w:fill="auto"/>
                  <w:noWrap w:val="0"/>
                  <w:vAlign w:val="center"/>
                </w:tcPr>
                <w:p w14:paraId="4BC90932">
                  <w:pPr>
                    <w:keepNext w:val="0"/>
                    <w:keepLines w:val="0"/>
                    <w:pageBreakBefore w:val="0"/>
                    <w:widowControl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rPr>
                    <w:t>≤0.00</w:t>
                  </w:r>
                  <w:r>
                    <w:rPr>
                      <w:rFonts w:hint="eastAsia" w:ascii="Times New Roman" w:hAnsi="Times New Roman" w:eastAsia="宋体" w:cs="Times New Roman"/>
                      <w:color w:val="auto"/>
                      <w:szCs w:val="21"/>
                      <w:highlight w:val="none"/>
                      <w:lang w:val="en-US" w:eastAsia="zh-CN"/>
                    </w:rPr>
                    <w:t>1</w:t>
                  </w:r>
                </w:p>
              </w:tc>
            </w:tr>
            <w:tr w14:paraId="14D4BF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66" w:type="dxa"/>
                  <w:tcBorders>
                    <w:tl2br w:val="nil"/>
                    <w:tr2bl w:val="nil"/>
                  </w:tcBorders>
                  <w:noWrap w:val="0"/>
                  <w:vAlign w:val="center"/>
                </w:tcPr>
                <w:p w14:paraId="30612152">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镉</w:t>
                  </w:r>
                </w:p>
              </w:tc>
              <w:tc>
                <w:tcPr>
                  <w:tcW w:w="2820" w:type="dxa"/>
                  <w:tcBorders>
                    <w:tl2br w:val="nil"/>
                    <w:tr2bl w:val="nil"/>
                  </w:tcBorders>
                  <w:noWrap w:val="0"/>
                  <w:vAlign w:val="center"/>
                </w:tcPr>
                <w:p w14:paraId="7A6E47C5">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≤0.005</w:t>
                  </w:r>
                </w:p>
              </w:tc>
              <w:tc>
                <w:tcPr>
                  <w:tcW w:w="2503" w:type="dxa"/>
                  <w:tcBorders>
                    <w:tl2br w:val="nil"/>
                    <w:tr2bl w:val="nil"/>
                  </w:tcBorders>
                  <w:shd w:val="clear" w:color="auto" w:fill="auto"/>
                  <w:noWrap w:val="0"/>
                  <w:vAlign w:val="center"/>
                </w:tcPr>
                <w:p w14:paraId="692535D9">
                  <w:pPr>
                    <w:keepNext w:val="0"/>
                    <w:keepLines w:val="0"/>
                    <w:pageBreakBefore w:val="0"/>
                    <w:widowControl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rPr>
                    <w:t>≤0.005</w:t>
                  </w:r>
                </w:p>
              </w:tc>
            </w:tr>
            <w:tr w14:paraId="612286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66" w:type="dxa"/>
                  <w:tcBorders>
                    <w:tl2br w:val="nil"/>
                    <w:tr2bl w:val="nil"/>
                  </w:tcBorders>
                  <w:noWrap w:val="0"/>
                  <w:vAlign w:val="center"/>
                </w:tcPr>
                <w:p w14:paraId="4AB99B15">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铬（六价）</w:t>
                  </w:r>
                </w:p>
              </w:tc>
              <w:tc>
                <w:tcPr>
                  <w:tcW w:w="2820" w:type="dxa"/>
                  <w:tcBorders>
                    <w:tl2br w:val="nil"/>
                    <w:tr2bl w:val="nil"/>
                  </w:tcBorders>
                  <w:noWrap w:val="0"/>
                  <w:vAlign w:val="center"/>
                </w:tcPr>
                <w:p w14:paraId="66027022">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≤0.05</w:t>
                  </w:r>
                </w:p>
              </w:tc>
              <w:tc>
                <w:tcPr>
                  <w:tcW w:w="2503" w:type="dxa"/>
                  <w:tcBorders>
                    <w:tl2br w:val="nil"/>
                    <w:tr2bl w:val="nil"/>
                  </w:tcBorders>
                  <w:shd w:val="clear" w:color="auto" w:fill="auto"/>
                  <w:noWrap w:val="0"/>
                  <w:vAlign w:val="center"/>
                </w:tcPr>
                <w:p w14:paraId="4EFB5FF1">
                  <w:pPr>
                    <w:keepNext w:val="0"/>
                    <w:keepLines w:val="0"/>
                    <w:pageBreakBefore w:val="0"/>
                    <w:widowControl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rPr>
                    <w:t>≤0.05</w:t>
                  </w:r>
                </w:p>
              </w:tc>
            </w:tr>
            <w:tr w14:paraId="03A2D4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66" w:type="dxa"/>
                  <w:tcBorders>
                    <w:tl2br w:val="nil"/>
                    <w:tr2bl w:val="nil"/>
                  </w:tcBorders>
                  <w:noWrap w:val="0"/>
                  <w:vAlign w:val="center"/>
                </w:tcPr>
                <w:p w14:paraId="598A47E7">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铅</w:t>
                  </w:r>
                </w:p>
              </w:tc>
              <w:tc>
                <w:tcPr>
                  <w:tcW w:w="2820" w:type="dxa"/>
                  <w:tcBorders>
                    <w:tl2br w:val="nil"/>
                    <w:tr2bl w:val="nil"/>
                  </w:tcBorders>
                  <w:noWrap w:val="0"/>
                  <w:vAlign w:val="center"/>
                </w:tcPr>
                <w:p w14:paraId="294BCCA1">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≤0.01</w:t>
                  </w:r>
                </w:p>
              </w:tc>
              <w:tc>
                <w:tcPr>
                  <w:tcW w:w="2503" w:type="dxa"/>
                  <w:tcBorders>
                    <w:tl2br w:val="nil"/>
                    <w:tr2bl w:val="nil"/>
                  </w:tcBorders>
                  <w:shd w:val="clear" w:color="auto" w:fill="auto"/>
                  <w:noWrap w:val="0"/>
                  <w:vAlign w:val="center"/>
                </w:tcPr>
                <w:p w14:paraId="3DA70DF5">
                  <w:pPr>
                    <w:keepNext w:val="0"/>
                    <w:keepLines w:val="0"/>
                    <w:pageBreakBefore w:val="0"/>
                    <w:widowControl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rPr>
                    <w:t>≤0.0</w:t>
                  </w:r>
                  <w:r>
                    <w:rPr>
                      <w:rFonts w:hint="eastAsia" w:ascii="Times New Roman" w:hAnsi="Times New Roman" w:eastAsia="宋体" w:cs="Times New Roman"/>
                      <w:color w:val="auto"/>
                      <w:szCs w:val="21"/>
                      <w:highlight w:val="none"/>
                      <w:lang w:val="en-US" w:eastAsia="zh-CN"/>
                    </w:rPr>
                    <w:t>5</w:t>
                  </w:r>
                </w:p>
              </w:tc>
            </w:tr>
            <w:tr w14:paraId="1CC0A7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66" w:type="dxa"/>
                  <w:tcBorders>
                    <w:tl2br w:val="nil"/>
                    <w:tr2bl w:val="nil"/>
                  </w:tcBorders>
                  <w:noWrap w:val="0"/>
                  <w:vAlign w:val="center"/>
                </w:tcPr>
                <w:p w14:paraId="5020FC5E">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氰化物</w:t>
                  </w:r>
                </w:p>
              </w:tc>
              <w:tc>
                <w:tcPr>
                  <w:tcW w:w="2820" w:type="dxa"/>
                  <w:tcBorders>
                    <w:tl2br w:val="nil"/>
                    <w:tr2bl w:val="nil"/>
                  </w:tcBorders>
                  <w:noWrap w:val="0"/>
                  <w:vAlign w:val="center"/>
                </w:tcPr>
                <w:p w14:paraId="2D87AE53">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≤0.05</w:t>
                  </w:r>
                </w:p>
              </w:tc>
              <w:tc>
                <w:tcPr>
                  <w:tcW w:w="2503" w:type="dxa"/>
                  <w:tcBorders>
                    <w:tl2br w:val="nil"/>
                    <w:tr2bl w:val="nil"/>
                  </w:tcBorders>
                  <w:shd w:val="clear" w:color="auto" w:fill="auto"/>
                  <w:noWrap w:val="0"/>
                  <w:vAlign w:val="center"/>
                </w:tcPr>
                <w:p w14:paraId="0594AF13">
                  <w:pPr>
                    <w:keepNext w:val="0"/>
                    <w:keepLines w:val="0"/>
                    <w:pageBreakBefore w:val="0"/>
                    <w:widowControl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rPr>
                    <w:t>≤0.</w:t>
                  </w:r>
                  <w:r>
                    <w:rPr>
                      <w:rFonts w:hint="eastAsia" w:ascii="Times New Roman" w:hAnsi="Times New Roman" w:eastAsia="宋体" w:cs="Times New Roman"/>
                      <w:color w:val="auto"/>
                      <w:szCs w:val="21"/>
                      <w:highlight w:val="none"/>
                      <w:lang w:val="en-US" w:eastAsia="zh-CN"/>
                    </w:rPr>
                    <w:t>2</w:t>
                  </w:r>
                </w:p>
              </w:tc>
            </w:tr>
            <w:tr w14:paraId="0CF91F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66" w:type="dxa"/>
                  <w:tcBorders>
                    <w:tl2br w:val="nil"/>
                    <w:tr2bl w:val="nil"/>
                  </w:tcBorders>
                  <w:noWrap w:val="0"/>
                  <w:vAlign w:val="center"/>
                </w:tcPr>
                <w:p w14:paraId="442307C1">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挥发酚</w:t>
                  </w:r>
                </w:p>
              </w:tc>
              <w:tc>
                <w:tcPr>
                  <w:tcW w:w="2820" w:type="dxa"/>
                  <w:tcBorders>
                    <w:tl2br w:val="nil"/>
                    <w:tr2bl w:val="nil"/>
                  </w:tcBorders>
                  <w:noWrap w:val="0"/>
                  <w:vAlign w:val="center"/>
                </w:tcPr>
                <w:p w14:paraId="03235CDC">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≤0.002</w:t>
                  </w:r>
                </w:p>
              </w:tc>
              <w:tc>
                <w:tcPr>
                  <w:tcW w:w="2503" w:type="dxa"/>
                  <w:tcBorders>
                    <w:tl2br w:val="nil"/>
                    <w:tr2bl w:val="nil"/>
                  </w:tcBorders>
                  <w:shd w:val="clear" w:color="auto" w:fill="auto"/>
                  <w:noWrap w:val="0"/>
                  <w:vAlign w:val="center"/>
                </w:tcPr>
                <w:p w14:paraId="287CEFDA">
                  <w:pPr>
                    <w:keepNext w:val="0"/>
                    <w:keepLines w:val="0"/>
                    <w:pageBreakBefore w:val="0"/>
                    <w:widowControl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rPr>
                    <w:t>≤0.0</w:t>
                  </w:r>
                  <w:r>
                    <w:rPr>
                      <w:rFonts w:hint="eastAsia" w:ascii="Times New Roman" w:hAnsi="Times New Roman" w:eastAsia="宋体" w:cs="Times New Roman"/>
                      <w:color w:val="auto"/>
                      <w:szCs w:val="21"/>
                      <w:highlight w:val="none"/>
                      <w:lang w:val="en-US" w:eastAsia="zh-CN"/>
                    </w:rPr>
                    <w:t>1</w:t>
                  </w:r>
                </w:p>
              </w:tc>
            </w:tr>
            <w:tr w14:paraId="192BC8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66" w:type="dxa"/>
                  <w:tcBorders>
                    <w:tl2br w:val="nil"/>
                    <w:tr2bl w:val="nil"/>
                  </w:tcBorders>
                  <w:noWrap w:val="0"/>
                  <w:vAlign w:val="center"/>
                </w:tcPr>
                <w:p w14:paraId="3FFBA693">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石油类</w:t>
                  </w:r>
                </w:p>
              </w:tc>
              <w:tc>
                <w:tcPr>
                  <w:tcW w:w="2820" w:type="dxa"/>
                  <w:tcBorders>
                    <w:tl2br w:val="nil"/>
                    <w:tr2bl w:val="nil"/>
                  </w:tcBorders>
                  <w:noWrap w:val="0"/>
                  <w:vAlign w:val="center"/>
                </w:tcPr>
                <w:p w14:paraId="7A31B879">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≤0.05</w:t>
                  </w:r>
                </w:p>
              </w:tc>
              <w:tc>
                <w:tcPr>
                  <w:tcW w:w="2503" w:type="dxa"/>
                  <w:tcBorders>
                    <w:tl2br w:val="nil"/>
                    <w:tr2bl w:val="nil"/>
                  </w:tcBorders>
                  <w:shd w:val="clear" w:color="auto" w:fill="auto"/>
                  <w:noWrap w:val="0"/>
                  <w:vAlign w:val="center"/>
                </w:tcPr>
                <w:p w14:paraId="24A317BE">
                  <w:pPr>
                    <w:keepNext w:val="0"/>
                    <w:keepLines w:val="0"/>
                    <w:pageBreakBefore w:val="0"/>
                    <w:widowControl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rPr>
                    <w:t>≤0.</w:t>
                  </w:r>
                  <w:r>
                    <w:rPr>
                      <w:rFonts w:hint="eastAsia" w:ascii="Times New Roman" w:hAnsi="Times New Roman" w:eastAsia="宋体" w:cs="Times New Roman"/>
                      <w:color w:val="auto"/>
                      <w:szCs w:val="21"/>
                      <w:highlight w:val="none"/>
                      <w:lang w:val="en-US" w:eastAsia="zh-CN"/>
                    </w:rPr>
                    <w:t>5</w:t>
                  </w:r>
                </w:p>
              </w:tc>
            </w:tr>
            <w:tr w14:paraId="1F03B6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66" w:type="dxa"/>
                  <w:tcBorders>
                    <w:tl2br w:val="nil"/>
                    <w:tr2bl w:val="nil"/>
                  </w:tcBorders>
                  <w:noWrap w:val="0"/>
                  <w:vAlign w:val="center"/>
                </w:tcPr>
                <w:p w14:paraId="06418887">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阴离子表面活性剂</w:t>
                  </w:r>
                </w:p>
              </w:tc>
              <w:tc>
                <w:tcPr>
                  <w:tcW w:w="2820" w:type="dxa"/>
                  <w:tcBorders>
                    <w:tl2br w:val="nil"/>
                    <w:tr2bl w:val="nil"/>
                  </w:tcBorders>
                  <w:noWrap w:val="0"/>
                  <w:vAlign w:val="center"/>
                </w:tcPr>
                <w:p w14:paraId="2D8D08F4">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≤0.2</w:t>
                  </w:r>
                </w:p>
              </w:tc>
              <w:tc>
                <w:tcPr>
                  <w:tcW w:w="2503" w:type="dxa"/>
                  <w:tcBorders>
                    <w:tl2br w:val="nil"/>
                    <w:tr2bl w:val="nil"/>
                  </w:tcBorders>
                  <w:shd w:val="clear" w:color="auto" w:fill="auto"/>
                  <w:noWrap w:val="0"/>
                  <w:vAlign w:val="center"/>
                </w:tcPr>
                <w:p w14:paraId="6B0FFCC6">
                  <w:pPr>
                    <w:keepNext w:val="0"/>
                    <w:keepLines w:val="0"/>
                    <w:pageBreakBefore w:val="0"/>
                    <w:widowControl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rPr>
                    <w:t>≤0.</w:t>
                  </w:r>
                  <w:r>
                    <w:rPr>
                      <w:rFonts w:hint="eastAsia" w:ascii="Times New Roman" w:hAnsi="Times New Roman" w:eastAsia="宋体" w:cs="Times New Roman"/>
                      <w:color w:val="auto"/>
                      <w:szCs w:val="21"/>
                      <w:highlight w:val="none"/>
                      <w:lang w:val="en-US" w:eastAsia="zh-CN"/>
                    </w:rPr>
                    <w:t>3</w:t>
                  </w:r>
                </w:p>
              </w:tc>
            </w:tr>
            <w:tr w14:paraId="63D5F8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66" w:type="dxa"/>
                  <w:tcBorders>
                    <w:tl2br w:val="nil"/>
                    <w:tr2bl w:val="nil"/>
                  </w:tcBorders>
                  <w:noWrap w:val="0"/>
                  <w:vAlign w:val="center"/>
                </w:tcPr>
                <w:p w14:paraId="3A394078">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硫化物</w:t>
                  </w:r>
                </w:p>
              </w:tc>
              <w:tc>
                <w:tcPr>
                  <w:tcW w:w="2820" w:type="dxa"/>
                  <w:tcBorders>
                    <w:tl2br w:val="nil"/>
                    <w:tr2bl w:val="nil"/>
                  </w:tcBorders>
                  <w:noWrap w:val="0"/>
                  <w:vAlign w:val="center"/>
                </w:tcPr>
                <w:p w14:paraId="3F5F7E8F">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≤0.1</w:t>
                  </w:r>
                </w:p>
              </w:tc>
              <w:tc>
                <w:tcPr>
                  <w:tcW w:w="2503" w:type="dxa"/>
                  <w:tcBorders>
                    <w:tl2br w:val="nil"/>
                    <w:tr2bl w:val="nil"/>
                  </w:tcBorders>
                  <w:shd w:val="clear" w:color="auto" w:fill="auto"/>
                  <w:noWrap w:val="0"/>
                  <w:vAlign w:val="center"/>
                </w:tcPr>
                <w:p w14:paraId="2912248A">
                  <w:pPr>
                    <w:keepNext w:val="0"/>
                    <w:keepLines w:val="0"/>
                    <w:pageBreakBefore w:val="0"/>
                    <w:widowControl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rPr>
                    <w:t>≤0.</w:t>
                  </w:r>
                  <w:r>
                    <w:rPr>
                      <w:rFonts w:hint="eastAsia" w:ascii="Times New Roman" w:hAnsi="Times New Roman" w:eastAsia="宋体" w:cs="Times New Roman"/>
                      <w:color w:val="auto"/>
                      <w:szCs w:val="21"/>
                      <w:highlight w:val="none"/>
                      <w:lang w:val="en-US" w:eastAsia="zh-CN"/>
                    </w:rPr>
                    <w:t>5</w:t>
                  </w:r>
                </w:p>
              </w:tc>
            </w:tr>
            <w:tr w14:paraId="7B5649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66" w:type="dxa"/>
                  <w:tcBorders>
                    <w:tl2br w:val="nil"/>
                    <w:tr2bl w:val="nil"/>
                  </w:tcBorders>
                  <w:noWrap w:val="0"/>
                  <w:vAlign w:val="center"/>
                </w:tcPr>
                <w:p w14:paraId="672E6619">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粪大肠菌群</w:t>
                  </w:r>
                </w:p>
              </w:tc>
              <w:tc>
                <w:tcPr>
                  <w:tcW w:w="2820" w:type="dxa"/>
                  <w:tcBorders>
                    <w:tl2br w:val="nil"/>
                    <w:tr2bl w:val="nil"/>
                  </w:tcBorders>
                  <w:noWrap w:val="0"/>
                  <w:vAlign w:val="center"/>
                </w:tcPr>
                <w:p w14:paraId="309FBA5D">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≤2000个/L</w:t>
                  </w:r>
                </w:p>
              </w:tc>
              <w:tc>
                <w:tcPr>
                  <w:tcW w:w="2503" w:type="dxa"/>
                  <w:tcBorders>
                    <w:tl2br w:val="nil"/>
                    <w:tr2bl w:val="nil"/>
                  </w:tcBorders>
                  <w:shd w:val="clear" w:color="auto" w:fill="auto"/>
                  <w:noWrap w:val="0"/>
                  <w:vAlign w:val="center"/>
                </w:tcPr>
                <w:p w14:paraId="40E0DB2E">
                  <w:pPr>
                    <w:keepNext w:val="0"/>
                    <w:keepLines w:val="0"/>
                    <w:pageBreakBefore w:val="0"/>
                    <w:widowControl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rPr>
                    <w:t>≤200</w:t>
                  </w:r>
                  <w:r>
                    <w:rPr>
                      <w:rFonts w:hint="eastAsia" w:ascii="Times New Roman" w:hAnsi="Times New Roman" w:eastAsia="宋体" w:cs="Times New Roman"/>
                      <w:color w:val="auto"/>
                      <w:szCs w:val="21"/>
                      <w:highlight w:val="none"/>
                      <w:lang w:val="en-US" w:eastAsia="zh-CN"/>
                    </w:rPr>
                    <w:t>0</w:t>
                  </w:r>
                  <w:r>
                    <w:rPr>
                      <w:rFonts w:hint="eastAsia" w:ascii="Times New Roman" w:hAnsi="Times New Roman" w:eastAsia="宋体" w:cs="Times New Roman"/>
                      <w:color w:val="auto"/>
                      <w:szCs w:val="21"/>
                      <w:highlight w:val="none"/>
                    </w:rPr>
                    <w:t>0个/L</w:t>
                  </w:r>
                </w:p>
              </w:tc>
            </w:tr>
          </w:tbl>
          <w:p w14:paraId="3F6C2E6D">
            <w:pPr>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w:t>
            </w:r>
            <w:r>
              <w:rPr>
                <w:rFonts w:hint="eastAsia" w:cs="Times New Roman"/>
                <w:color w:val="auto"/>
                <w:kern w:val="0"/>
                <w:sz w:val="24"/>
                <w:szCs w:val="24"/>
                <w:highlight w:val="none"/>
                <w:lang w:val="en-US" w:eastAsia="zh-CN" w:bidi="ar-SA"/>
              </w:rPr>
              <w:t>3</w:t>
            </w:r>
            <w:r>
              <w:rPr>
                <w:rFonts w:hint="eastAsia" w:ascii="Times New Roman" w:hAnsi="Times New Roman" w:eastAsia="宋体"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声环境质量标准</w:t>
            </w:r>
          </w:p>
          <w:p w14:paraId="3641D24B">
            <w:pPr>
              <w:numPr>
                <w:ilvl w:val="0"/>
                <w:numId w:val="0"/>
              </w:num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本项目声环境</w:t>
            </w:r>
            <w:r>
              <w:rPr>
                <w:rFonts w:hint="eastAsia" w:cs="Times New Roman"/>
                <w:color w:val="auto"/>
                <w:kern w:val="0"/>
                <w:sz w:val="24"/>
                <w:szCs w:val="24"/>
                <w:highlight w:val="none"/>
                <w:lang w:val="en-US" w:eastAsia="zh-CN" w:bidi="ar-SA"/>
              </w:rPr>
              <w:t>敏感</w:t>
            </w:r>
            <w:r>
              <w:rPr>
                <w:rFonts w:hint="eastAsia" w:ascii="Times New Roman" w:hAnsi="Times New Roman" w:eastAsia="宋体" w:cs="Times New Roman"/>
                <w:color w:val="auto"/>
                <w:kern w:val="0"/>
                <w:sz w:val="24"/>
                <w:szCs w:val="24"/>
                <w:highlight w:val="none"/>
                <w:lang w:val="en-US" w:eastAsia="zh-CN" w:bidi="ar-SA"/>
              </w:rPr>
              <w:t>目标兴仁镇西里村及靖安乡陆合村</w:t>
            </w:r>
            <w:r>
              <w:rPr>
                <w:rFonts w:hint="default" w:ascii="Times New Roman" w:hAnsi="Times New Roman" w:eastAsia="宋体" w:cs="Times New Roman"/>
                <w:color w:val="auto"/>
                <w:kern w:val="0"/>
                <w:sz w:val="24"/>
                <w:szCs w:val="24"/>
                <w:highlight w:val="none"/>
                <w:lang w:val="en-US" w:eastAsia="zh-CN" w:bidi="ar-SA"/>
              </w:rPr>
              <w:t>执行《声环境质量标准》（GB3096-2008）中的1类</w:t>
            </w:r>
            <w:r>
              <w:rPr>
                <w:rFonts w:hint="eastAsia" w:ascii="Times New Roman" w:hAnsi="Times New Roman" w:eastAsia="宋体" w:cs="Times New Roman"/>
                <w:color w:val="auto"/>
                <w:kern w:val="0"/>
                <w:sz w:val="24"/>
                <w:szCs w:val="24"/>
                <w:highlight w:val="none"/>
                <w:lang w:val="en-US" w:eastAsia="zh-CN" w:bidi="ar-SA"/>
              </w:rPr>
              <w:t>；兴仁镇执行</w:t>
            </w:r>
            <w:r>
              <w:rPr>
                <w:rFonts w:hint="default" w:ascii="Times New Roman" w:hAnsi="Times New Roman" w:eastAsia="宋体" w:cs="Times New Roman"/>
                <w:color w:val="auto"/>
                <w:kern w:val="0"/>
                <w:sz w:val="24"/>
                <w:szCs w:val="24"/>
                <w:highlight w:val="none"/>
                <w:lang w:val="en-US" w:eastAsia="zh-CN" w:bidi="ar-SA"/>
              </w:rPr>
              <w:t>《声环境质量标准》（GB3096-2008）中的</w:t>
            </w:r>
            <w:r>
              <w:rPr>
                <w:rFonts w:hint="eastAsia" w:cs="Times New Roman"/>
                <w:color w:val="auto"/>
                <w:kern w:val="0"/>
                <w:sz w:val="24"/>
                <w:szCs w:val="24"/>
                <w:highlight w:val="none"/>
                <w:lang w:val="en-US" w:eastAsia="zh-CN" w:bidi="ar-SA"/>
              </w:rPr>
              <w:t>2类</w:t>
            </w:r>
            <w:r>
              <w:rPr>
                <w:rFonts w:hint="default" w:ascii="Times New Roman" w:hAnsi="Times New Roman" w:eastAsia="宋体" w:cs="Times New Roman"/>
                <w:color w:val="auto"/>
                <w:kern w:val="0"/>
                <w:sz w:val="24"/>
                <w:szCs w:val="24"/>
                <w:highlight w:val="none"/>
                <w:lang w:val="en-US" w:eastAsia="zh-CN" w:bidi="ar-SA"/>
              </w:rPr>
              <w:t>标准，具体见下表。</w:t>
            </w:r>
          </w:p>
          <w:p w14:paraId="1B323982">
            <w:pPr>
              <w:pStyle w:val="8"/>
              <w:adjustRightInd w:val="0"/>
              <w:snapToGrid w:val="0"/>
              <w:jc w:val="center"/>
              <w:rPr>
                <w:rFonts w:hint="default" w:ascii="Times New Roman" w:hAnsi="Times New Roman" w:eastAsia="黑体" w:cs="Times New Roman"/>
                <w:color w:val="auto"/>
                <w:kern w:val="0"/>
                <w:sz w:val="24"/>
                <w:szCs w:val="24"/>
                <w:highlight w:val="none"/>
                <w:lang w:val="en-US" w:eastAsia="zh-CN" w:bidi="ar-SA"/>
              </w:rPr>
            </w:pPr>
            <w:r>
              <w:rPr>
                <w:rFonts w:hint="default" w:ascii="Times New Roman" w:hAnsi="Times New Roman" w:eastAsia="黑体" w:cs="Times New Roman"/>
                <w:color w:val="auto"/>
                <w:kern w:val="0"/>
                <w:sz w:val="24"/>
                <w:szCs w:val="24"/>
                <w:highlight w:val="none"/>
                <w:lang w:val="en-US" w:eastAsia="zh-CN" w:bidi="ar-SA"/>
              </w:rPr>
              <w:t>表3-</w:t>
            </w:r>
            <w:r>
              <w:rPr>
                <w:rFonts w:hint="eastAsia" w:ascii="Times New Roman" w:hAnsi="Times New Roman" w:eastAsia="黑体" w:cs="Times New Roman"/>
                <w:color w:val="auto"/>
                <w:kern w:val="0"/>
                <w:sz w:val="24"/>
                <w:szCs w:val="24"/>
                <w:highlight w:val="none"/>
                <w:lang w:val="en-US" w:eastAsia="zh-CN" w:bidi="ar-SA"/>
              </w:rPr>
              <w:t>9</w:t>
            </w:r>
            <w:r>
              <w:rPr>
                <w:rFonts w:hint="default" w:ascii="Times New Roman" w:hAnsi="Times New Roman" w:eastAsia="黑体" w:cs="Times New Roman"/>
                <w:color w:val="auto"/>
                <w:kern w:val="0"/>
                <w:sz w:val="24"/>
                <w:szCs w:val="24"/>
                <w:highlight w:val="none"/>
                <w:lang w:val="en-US" w:eastAsia="zh-CN" w:bidi="ar-SA"/>
              </w:rPr>
              <w:t xml:space="preserve">  《声环境质量标准》（GB3096-2008）1类标准</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3343"/>
              <w:gridCol w:w="1831"/>
              <w:gridCol w:w="1529"/>
              <w:gridCol w:w="1514"/>
            </w:tblGrid>
            <w:tr w14:paraId="26EE4F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034" w:type="pct"/>
                  <w:tcBorders>
                    <w:tl2br w:val="nil"/>
                    <w:tr2bl w:val="nil"/>
                  </w:tcBorders>
                  <w:noWrap w:val="0"/>
                  <w:vAlign w:val="center"/>
                </w:tcPr>
                <w:p w14:paraId="0AE3D258">
                  <w:pPr>
                    <w:adjustRightInd w:val="0"/>
                    <w:snapToGrid w:val="0"/>
                    <w:jc w:val="center"/>
                    <w:rPr>
                      <w:rFonts w:hint="eastAsia" w:ascii="Times New Roman" w:hAnsi="Times New Roman" w:cs="Times New Roman"/>
                      <w:b/>
                      <w:bCs w:val="0"/>
                      <w:color w:val="auto"/>
                      <w:szCs w:val="21"/>
                      <w:highlight w:val="none"/>
                      <w:lang w:val="en-US" w:eastAsia="zh-CN"/>
                    </w:rPr>
                  </w:pPr>
                  <w:r>
                    <w:rPr>
                      <w:rFonts w:hint="eastAsia" w:ascii="Times New Roman" w:hAnsi="Times New Roman" w:cs="Times New Roman"/>
                      <w:b/>
                      <w:bCs w:val="0"/>
                      <w:color w:val="auto"/>
                      <w:szCs w:val="21"/>
                      <w:highlight w:val="none"/>
                      <w:lang w:val="en-US" w:eastAsia="zh-CN"/>
                    </w:rPr>
                    <w:t>敏感目标</w:t>
                  </w:r>
                </w:p>
              </w:tc>
              <w:tc>
                <w:tcPr>
                  <w:tcW w:w="1114" w:type="pct"/>
                  <w:tcBorders>
                    <w:tl2br w:val="nil"/>
                    <w:tr2bl w:val="nil"/>
                  </w:tcBorders>
                  <w:noWrap w:val="0"/>
                  <w:vAlign w:val="center"/>
                </w:tcPr>
                <w:p w14:paraId="398206BE">
                  <w:pPr>
                    <w:adjustRightInd w:val="0"/>
                    <w:snapToGrid w:val="0"/>
                    <w:jc w:val="center"/>
                    <w:rPr>
                      <w:rFonts w:hint="default" w:ascii="Times New Roman" w:hAnsi="Times New Roman" w:cs="Times New Roman"/>
                      <w:b/>
                      <w:bCs w:val="0"/>
                      <w:color w:val="auto"/>
                      <w:szCs w:val="21"/>
                      <w:highlight w:val="none"/>
                    </w:rPr>
                  </w:pPr>
                  <w:r>
                    <w:rPr>
                      <w:rFonts w:hint="default" w:ascii="Times New Roman" w:hAnsi="Times New Roman" w:cs="Times New Roman"/>
                      <w:b/>
                      <w:bCs w:val="0"/>
                      <w:color w:val="auto"/>
                      <w:szCs w:val="21"/>
                      <w:highlight w:val="none"/>
                    </w:rPr>
                    <w:t>类别</w:t>
                  </w:r>
                </w:p>
              </w:tc>
              <w:tc>
                <w:tcPr>
                  <w:tcW w:w="930" w:type="pct"/>
                  <w:tcBorders>
                    <w:tl2br w:val="nil"/>
                    <w:tr2bl w:val="nil"/>
                  </w:tcBorders>
                  <w:noWrap w:val="0"/>
                  <w:vAlign w:val="center"/>
                </w:tcPr>
                <w:p w14:paraId="7D560524">
                  <w:pPr>
                    <w:adjustRightInd w:val="0"/>
                    <w:snapToGrid w:val="0"/>
                    <w:jc w:val="center"/>
                    <w:rPr>
                      <w:rFonts w:hint="default" w:ascii="Times New Roman" w:hAnsi="Times New Roman" w:cs="Times New Roman"/>
                      <w:b/>
                      <w:bCs w:val="0"/>
                      <w:color w:val="auto"/>
                      <w:szCs w:val="21"/>
                      <w:highlight w:val="none"/>
                    </w:rPr>
                  </w:pPr>
                  <w:r>
                    <w:rPr>
                      <w:rFonts w:hint="default" w:ascii="Times New Roman" w:hAnsi="Times New Roman" w:cs="Times New Roman"/>
                      <w:b/>
                      <w:bCs w:val="0"/>
                      <w:color w:val="auto"/>
                      <w:szCs w:val="21"/>
                      <w:highlight w:val="none"/>
                    </w:rPr>
                    <w:t>昼间</w:t>
                  </w:r>
                </w:p>
              </w:tc>
              <w:tc>
                <w:tcPr>
                  <w:tcW w:w="921" w:type="pct"/>
                  <w:tcBorders>
                    <w:tl2br w:val="nil"/>
                    <w:tr2bl w:val="nil"/>
                  </w:tcBorders>
                  <w:noWrap w:val="0"/>
                  <w:vAlign w:val="center"/>
                </w:tcPr>
                <w:p w14:paraId="5C873738">
                  <w:pPr>
                    <w:adjustRightInd w:val="0"/>
                    <w:snapToGrid w:val="0"/>
                    <w:jc w:val="center"/>
                    <w:rPr>
                      <w:rFonts w:hint="default" w:ascii="Times New Roman" w:hAnsi="Times New Roman" w:cs="Times New Roman"/>
                      <w:b/>
                      <w:bCs w:val="0"/>
                      <w:color w:val="auto"/>
                      <w:szCs w:val="21"/>
                      <w:highlight w:val="none"/>
                    </w:rPr>
                  </w:pPr>
                  <w:r>
                    <w:rPr>
                      <w:rFonts w:hint="default" w:ascii="Times New Roman" w:hAnsi="Times New Roman" w:cs="Times New Roman"/>
                      <w:b/>
                      <w:bCs w:val="0"/>
                      <w:color w:val="auto"/>
                      <w:szCs w:val="21"/>
                      <w:highlight w:val="none"/>
                    </w:rPr>
                    <w:t>夜间</w:t>
                  </w:r>
                </w:p>
              </w:tc>
            </w:tr>
            <w:tr w14:paraId="0288F2A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034" w:type="pct"/>
                  <w:tcBorders>
                    <w:tl2br w:val="nil"/>
                    <w:tr2bl w:val="nil"/>
                  </w:tcBorders>
                  <w:noWrap w:val="0"/>
                  <w:vAlign w:val="center"/>
                </w:tcPr>
                <w:p w14:paraId="5AF52700">
                  <w:pPr>
                    <w:adjustRightInd w:val="0"/>
                    <w:snapToGrid w:val="0"/>
                    <w:jc w:val="center"/>
                    <w:rPr>
                      <w:rFonts w:hint="default" w:ascii="Times New Roman" w:hAnsi="Times New Roman" w:cs="Times New Roman"/>
                      <w:bCs/>
                      <w:color w:val="auto"/>
                      <w:szCs w:val="21"/>
                      <w:highlight w:val="none"/>
                      <w:lang w:val="en-US" w:eastAsia="zh-CN"/>
                    </w:rPr>
                  </w:pPr>
                  <w:r>
                    <w:rPr>
                      <w:rFonts w:hint="eastAsia" w:ascii="Times New Roman" w:hAnsi="Times New Roman" w:cs="Times New Roman"/>
                      <w:bCs/>
                      <w:color w:val="auto"/>
                      <w:szCs w:val="21"/>
                      <w:highlight w:val="none"/>
                      <w:lang w:val="en-US" w:eastAsia="zh-CN"/>
                    </w:rPr>
                    <w:t>兴仁镇西里村及靖安乡陆合村</w:t>
                  </w:r>
                </w:p>
              </w:tc>
              <w:tc>
                <w:tcPr>
                  <w:tcW w:w="1114" w:type="pct"/>
                  <w:tcBorders>
                    <w:tl2br w:val="nil"/>
                    <w:tr2bl w:val="nil"/>
                  </w:tcBorders>
                  <w:noWrap w:val="0"/>
                  <w:vAlign w:val="center"/>
                </w:tcPr>
                <w:p w14:paraId="1C116D55">
                  <w:pPr>
                    <w:adjustRightInd w:val="0"/>
                    <w:snapToGrid w:val="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1</w:t>
                  </w:r>
                </w:p>
              </w:tc>
              <w:tc>
                <w:tcPr>
                  <w:tcW w:w="930" w:type="pct"/>
                  <w:tcBorders>
                    <w:tl2br w:val="nil"/>
                    <w:tr2bl w:val="nil"/>
                  </w:tcBorders>
                  <w:noWrap w:val="0"/>
                  <w:vAlign w:val="center"/>
                </w:tcPr>
                <w:p w14:paraId="316D4701">
                  <w:pPr>
                    <w:adjustRightInd w:val="0"/>
                    <w:snapToGrid w:val="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55</w:t>
                  </w:r>
                </w:p>
              </w:tc>
              <w:tc>
                <w:tcPr>
                  <w:tcW w:w="921" w:type="pct"/>
                  <w:tcBorders>
                    <w:tl2br w:val="nil"/>
                    <w:tr2bl w:val="nil"/>
                  </w:tcBorders>
                  <w:noWrap w:val="0"/>
                  <w:vAlign w:val="center"/>
                </w:tcPr>
                <w:p w14:paraId="1BD18DEA">
                  <w:pPr>
                    <w:adjustRightInd w:val="0"/>
                    <w:snapToGrid w:val="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45</w:t>
                  </w:r>
                </w:p>
              </w:tc>
            </w:tr>
            <w:tr w14:paraId="6BF0317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034" w:type="pct"/>
                  <w:tcBorders>
                    <w:tl2br w:val="nil"/>
                    <w:tr2bl w:val="nil"/>
                  </w:tcBorders>
                  <w:noWrap w:val="0"/>
                  <w:vAlign w:val="center"/>
                </w:tcPr>
                <w:p w14:paraId="6BB46752">
                  <w:pPr>
                    <w:adjustRightInd w:val="0"/>
                    <w:snapToGrid w:val="0"/>
                    <w:jc w:val="center"/>
                    <w:rPr>
                      <w:rFonts w:hint="default" w:ascii="Times New Roman" w:hAnsi="Times New Roman" w:cs="Times New Roman"/>
                      <w:bCs/>
                      <w:color w:val="auto"/>
                      <w:szCs w:val="21"/>
                      <w:highlight w:val="none"/>
                      <w:lang w:val="en-US" w:eastAsia="zh-CN"/>
                    </w:rPr>
                  </w:pPr>
                  <w:r>
                    <w:rPr>
                      <w:rFonts w:hint="eastAsia" w:ascii="Times New Roman" w:hAnsi="Times New Roman" w:cs="Times New Roman"/>
                      <w:bCs/>
                      <w:color w:val="auto"/>
                      <w:szCs w:val="21"/>
                      <w:highlight w:val="none"/>
                      <w:lang w:val="en-US" w:eastAsia="zh-CN"/>
                    </w:rPr>
                    <w:t>兴仁镇</w:t>
                  </w:r>
                </w:p>
              </w:tc>
              <w:tc>
                <w:tcPr>
                  <w:tcW w:w="1114" w:type="pct"/>
                  <w:tcBorders>
                    <w:tl2br w:val="nil"/>
                    <w:tr2bl w:val="nil"/>
                  </w:tcBorders>
                  <w:noWrap w:val="0"/>
                  <w:vAlign w:val="center"/>
                </w:tcPr>
                <w:p w14:paraId="0215E886">
                  <w:pPr>
                    <w:adjustRightInd w:val="0"/>
                    <w:snapToGrid w:val="0"/>
                    <w:jc w:val="center"/>
                    <w:rPr>
                      <w:rFonts w:hint="default" w:ascii="Times New Roman" w:hAnsi="Times New Roman" w:cs="Times New Roman"/>
                      <w:bCs/>
                      <w:color w:val="auto"/>
                      <w:szCs w:val="21"/>
                      <w:highlight w:val="none"/>
                      <w:lang w:val="en-US" w:eastAsia="zh-CN"/>
                    </w:rPr>
                  </w:pPr>
                  <w:r>
                    <w:rPr>
                      <w:rFonts w:hint="eastAsia" w:cs="Times New Roman"/>
                      <w:bCs/>
                      <w:color w:val="auto"/>
                      <w:szCs w:val="21"/>
                      <w:highlight w:val="none"/>
                      <w:lang w:val="en-US" w:eastAsia="zh-CN"/>
                    </w:rPr>
                    <w:t>2</w:t>
                  </w:r>
                </w:p>
              </w:tc>
              <w:tc>
                <w:tcPr>
                  <w:tcW w:w="930" w:type="pct"/>
                  <w:tcBorders>
                    <w:tl2br w:val="nil"/>
                    <w:tr2bl w:val="nil"/>
                  </w:tcBorders>
                  <w:noWrap w:val="0"/>
                  <w:vAlign w:val="center"/>
                </w:tcPr>
                <w:p w14:paraId="00FF19FD">
                  <w:pPr>
                    <w:adjustRightInd w:val="0"/>
                    <w:snapToGrid w:val="0"/>
                    <w:jc w:val="center"/>
                    <w:rPr>
                      <w:rFonts w:hint="default" w:ascii="Times New Roman" w:hAnsi="Times New Roman" w:cs="Times New Roman"/>
                      <w:bCs/>
                      <w:color w:val="auto"/>
                      <w:szCs w:val="21"/>
                      <w:highlight w:val="none"/>
                      <w:lang w:val="en-US" w:eastAsia="zh-CN"/>
                    </w:rPr>
                  </w:pPr>
                  <w:r>
                    <w:rPr>
                      <w:rFonts w:hint="eastAsia" w:cs="Times New Roman"/>
                      <w:bCs/>
                      <w:color w:val="auto"/>
                      <w:szCs w:val="21"/>
                      <w:highlight w:val="none"/>
                      <w:lang w:val="en-US" w:eastAsia="zh-CN"/>
                    </w:rPr>
                    <w:t>60</w:t>
                  </w:r>
                </w:p>
              </w:tc>
              <w:tc>
                <w:tcPr>
                  <w:tcW w:w="921" w:type="pct"/>
                  <w:tcBorders>
                    <w:tl2br w:val="nil"/>
                    <w:tr2bl w:val="nil"/>
                  </w:tcBorders>
                  <w:noWrap w:val="0"/>
                  <w:vAlign w:val="center"/>
                </w:tcPr>
                <w:p w14:paraId="2FADD0F0">
                  <w:pPr>
                    <w:adjustRightInd w:val="0"/>
                    <w:snapToGrid w:val="0"/>
                    <w:jc w:val="center"/>
                    <w:rPr>
                      <w:rFonts w:hint="default" w:ascii="Times New Roman" w:hAnsi="Times New Roman" w:cs="Times New Roman"/>
                      <w:bCs/>
                      <w:color w:val="auto"/>
                      <w:szCs w:val="21"/>
                      <w:highlight w:val="none"/>
                      <w:lang w:val="en-US" w:eastAsia="zh-CN"/>
                    </w:rPr>
                  </w:pPr>
                  <w:r>
                    <w:rPr>
                      <w:rFonts w:hint="eastAsia" w:cs="Times New Roman"/>
                      <w:bCs/>
                      <w:color w:val="auto"/>
                      <w:szCs w:val="21"/>
                      <w:highlight w:val="none"/>
                      <w:lang w:val="en-US" w:eastAsia="zh-CN"/>
                    </w:rPr>
                    <w:t>50</w:t>
                  </w:r>
                </w:p>
              </w:tc>
            </w:tr>
          </w:tbl>
          <w:p w14:paraId="4FFD76CE">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w:t>
            </w:r>
            <w:r>
              <w:rPr>
                <w:rFonts w:hint="eastAsia" w:cs="Times New Roman"/>
                <w:color w:val="auto"/>
                <w:kern w:val="0"/>
                <w:sz w:val="24"/>
                <w:szCs w:val="24"/>
                <w:highlight w:val="none"/>
                <w:lang w:val="en-US" w:eastAsia="zh-CN" w:bidi="ar-SA"/>
              </w:rPr>
              <w:t>4</w:t>
            </w:r>
            <w:r>
              <w:rPr>
                <w:rFonts w:hint="default" w:ascii="Times New Roman" w:hAnsi="Times New Roman" w:eastAsia="宋体" w:cs="Times New Roman"/>
                <w:color w:val="auto"/>
                <w:kern w:val="0"/>
                <w:sz w:val="24"/>
                <w:szCs w:val="24"/>
                <w:highlight w:val="none"/>
                <w:lang w:val="en-US" w:eastAsia="zh-CN" w:bidi="ar-SA"/>
              </w:rPr>
              <w:t>）</w:t>
            </w:r>
            <w:r>
              <w:rPr>
                <w:rFonts w:hint="default" w:ascii="Times New Roman" w:hAnsi="Times New Roman" w:cs="Times New Roman"/>
                <w:color w:val="auto"/>
                <w:kern w:val="0"/>
                <w:sz w:val="24"/>
                <w:szCs w:val="24"/>
                <w:highlight w:val="none"/>
                <w:lang w:val="en-US" w:eastAsia="zh-CN" w:bidi="ar-SA"/>
              </w:rPr>
              <w:t>土壤环境质量标准</w:t>
            </w:r>
          </w:p>
          <w:p w14:paraId="1D218614">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项目沟道底泥应满足</w:t>
            </w:r>
            <w:r>
              <w:rPr>
                <w:rFonts w:hint="eastAsia" w:cs="Times New Roman"/>
                <w:color w:val="auto"/>
                <w:kern w:val="0"/>
                <w:sz w:val="24"/>
                <w:szCs w:val="24"/>
                <w:highlight w:val="none"/>
                <w:lang w:val="en-US" w:eastAsia="zh-CN" w:bidi="ar-SA"/>
              </w:rPr>
              <w:t>《土壤环境质量 农用地土壤污染风险管控标准（试行）》</w:t>
            </w:r>
            <w:r>
              <w:rPr>
                <w:rFonts w:hint="default" w:ascii="Times New Roman" w:hAnsi="Times New Roman" w:eastAsia="宋体" w:cs="Times New Roman"/>
                <w:color w:val="auto"/>
                <w:kern w:val="0"/>
                <w:sz w:val="24"/>
                <w:szCs w:val="24"/>
                <w:highlight w:val="none"/>
                <w:lang w:val="en-US" w:eastAsia="zh-CN" w:bidi="ar-SA"/>
              </w:rPr>
              <w:t>（GB15618-2018）中筛选值及管制值要求。</w:t>
            </w:r>
          </w:p>
          <w:p w14:paraId="1EABE240">
            <w:pPr>
              <w:pStyle w:val="15"/>
              <w:numPr>
                <w:ilvl w:val="0"/>
                <w:numId w:val="0"/>
              </w:numPr>
              <w:jc w:val="center"/>
              <w:rPr>
                <w:rFonts w:hint="default" w:ascii="Times New Roman" w:hAnsi="Times New Roman" w:eastAsia="黑体" w:cs="Times New Roman"/>
                <w:color w:val="auto"/>
                <w:kern w:val="0"/>
                <w:sz w:val="24"/>
                <w:szCs w:val="24"/>
                <w:highlight w:val="none"/>
                <w:lang w:val="en-US" w:eastAsia="zh-CN" w:bidi="ar-SA"/>
              </w:rPr>
            </w:pPr>
            <w:r>
              <w:rPr>
                <w:rFonts w:hint="default" w:ascii="Times New Roman" w:hAnsi="Times New Roman" w:eastAsia="黑体" w:cs="Times New Roman"/>
                <w:color w:val="auto"/>
                <w:kern w:val="0"/>
                <w:sz w:val="24"/>
                <w:szCs w:val="24"/>
                <w:highlight w:val="none"/>
                <w:lang w:val="en-US" w:eastAsia="zh-CN" w:bidi="ar-SA"/>
              </w:rPr>
              <w:t>表3-</w:t>
            </w:r>
            <w:r>
              <w:rPr>
                <w:rFonts w:hint="eastAsia" w:eastAsia="黑体" w:cs="Times New Roman"/>
                <w:color w:val="auto"/>
                <w:kern w:val="0"/>
                <w:sz w:val="24"/>
                <w:szCs w:val="24"/>
                <w:highlight w:val="none"/>
                <w:lang w:val="en-US" w:eastAsia="zh-CN" w:bidi="ar-SA"/>
              </w:rPr>
              <w:t>10</w:t>
            </w:r>
            <w:r>
              <w:rPr>
                <w:rFonts w:hint="default" w:ascii="Times New Roman" w:hAnsi="Times New Roman" w:eastAsia="黑体" w:cs="Times New Roman"/>
                <w:color w:val="auto"/>
                <w:kern w:val="0"/>
                <w:sz w:val="24"/>
                <w:szCs w:val="24"/>
                <w:highlight w:val="none"/>
                <w:lang w:val="en-US" w:eastAsia="zh-CN" w:bidi="ar-SA"/>
              </w:rPr>
              <w:t xml:space="preserve">  农用地土壤污染风险筛选值（基本项目）  单位：mg/kg</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6"/>
              <w:gridCol w:w="1381"/>
              <w:gridCol w:w="1631"/>
              <w:gridCol w:w="1476"/>
              <w:gridCol w:w="1445"/>
              <w:gridCol w:w="1461"/>
            </w:tblGrid>
            <w:tr w14:paraId="18F81A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7" w:type="dxa"/>
                  <w:vMerge w:val="restart"/>
                  <w:tcBorders>
                    <w:tl2br w:val="nil"/>
                    <w:tr2bl w:val="nil"/>
                  </w:tcBorders>
                  <w:noWrap w:val="0"/>
                  <w:vAlign w:val="center"/>
                </w:tcPr>
                <w:p w14:paraId="0CA39ACC">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序号</w:t>
                  </w:r>
                </w:p>
              </w:tc>
              <w:tc>
                <w:tcPr>
                  <w:tcW w:w="1333" w:type="dxa"/>
                  <w:vMerge w:val="restart"/>
                  <w:tcBorders>
                    <w:tl2br w:val="nil"/>
                    <w:tr2bl w:val="nil"/>
                  </w:tcBorders>
                  <w:noWrap w:val="0"/>
                  <w:vAlign w:val="center"/>
                </w:tcPr>
                <w:p w14:paraId="4AC3F799">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污染物项目</w:t>
                  </w:r>
                </w:p>
              </w:tc>
              <w:tc>
                <w:tcPr>
                  <w:tcW w:w="5804" w:type="dxa"/>
                  <w:gridSpan w:val="4"/>
                  <w:tcBorders>
                    <w:tl2br w:val="nil"/>
                    <w:tr2bl w:val="nil"/>
                  </w:tcBorders>
                  <w:noWrap w:val="0"/>
                  <w:vAlign w:val="center"/>
                </w:tcPr>
                <w:p w14:paraId="14B2D119">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风险筛选值</w:t>
                  </w:r>
                </w:p>
              </w:tc>
            </w:tr>
            <w:tr w14:paraId="672E0C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7" w:type="dxa"/>
                  <w:vMerge w:val="continue"/>
                  <w:tcBorders>
                    <w:tl2br w:val="nil"/>
                    <w:tr2bl w:val="nil"/>
                  </w:tcBorders>
                  <w:noWrap w:val="0"/>
                  <w:vAlign w:val="center"/>
                </w:tcPr>
                <w:p w14:paraId="41AD1659">
                  <w:pPr>
                    <w:adjustRightInd w:val="0"/>
                    <w:snapToGrid w:val="0"/>
                    <w:jc w:val="center"/>
                    <w:rPr>
                      <w:rFonts w:hint="default" w:ascii="Times New Roman" w:hAnsi="Times New Roman" w:cs="Times New Roman"/>
                      <w:b/>
                      <w:bCs/>
                      <w:color w:val="auto"/>
                      <w:szCs w:val="21"/>
                      <w:highlight w:val="none"/>
                    </w:rPr>
                  </w:pPr>
                </w:p>
              </w:tc>
              <w:tc>
                <w:tcPr>
                  <w:tcW w:w="1333" w:type="dxa"/>
                  <w:vMerge w:val="continue"/>
                  <w:tcBorders>
                    <w:tl2br w:val="nil"/>
                    <w:tr2bl w:val="nil"/>
                  </w:tcBorders>
                  <w:noWrap w:val="0"/>
                  <w:vAlign w:val="center"/>
                </w:tcPr>
                <w:p w14:paraId="0434A6B3">
                  <w:pPr>
                    <w:adjustRightInd w:val="0"/>
                    <w:snapToGrid w:val="0"/>
                    <w:jc w:val="center"/>
                    <w:rPr>
                      <w:rFonts w:hint="default" w:ascii="Times New Roman" w:hAnsi="Times New Roman" w:cs="Times New Roman"/>
                      <w:b/>
                      <w:bCs/>
                      <w:color w:val="auto"/>
                      <w:szCs w:val="21"/>
                      <w:highlight w:val="none"/>
                    </w:rPr>
                  </w:pPr>
                </w:p>
              </w:tc>
              <w:tc>
                <w:tcPr>
                  <w:tcW w:w="1574" w:type="dxa"/>
                  <w:tcBorders>
                    <w:tl2br w:val="nil"/>
                    <w:tr2bl w:val="nil"/>
                  </w:tcBorders>
                  <w:noWrap w:val="0"/>
                  <w:vAlign w:val="center"/>
                </w:tcPr>
                <w:p w14:paraId="575A4142">
                  <w:pPr>
                    <w:adjustRightInd w:val="0"/>
                    <w:snapToGrid w:val="0"/>
                    <w:jc w:val="center"/>
                    <w:rPr>
                      <w:rFonts w:hint="default" w:ascii="Times New Roman" w:hAnsi="Times New Roman" w:cs="Times New Roman"/>
                      <w:b/>
                      <w:bCs/>
                      <w:color w:val="auto"/>
                      <w:spacing w:val="-17"/>
                      <w:szCs w:val="21"/>
                      <w:highlight w:val="none"/>
                    </w:rPr>
                  </w:pPr>
                  <w:r>
                    <w:rPr>
                      <w:rFonts w:hint="default" w:ascii="Times New Roman" w:hAnsi="Times New Roman" w:cs="Times New Roman"/>
                      <w:b/>
                      <w:bCs/>
                      <w:color w:val="auto"/>
                      <w:spacing w:val="-17"/>
                      <w:szCs w:val="21"/>
                      <w:highlight w:val="none"/>
                    </w:rPr>
                    <w:t>pH≤5.5</w:t>
                  </w:r>
                </w:p>
              </w:tc>
              <w:tc>
                <w:tcPr>
                  <w:tcW w:w="1425" w:type="dxa"/>
                  <w:tcBorders>
                    <w:tl2br w:val="nil"/>
                    <w:tr2bl w:val="nil"/>
                  </w:tcBorders>
                  <w:noWrap w:val="0"/>
                  <w:vAlign w:val="center"/>
                </w:tcPr>
                <w:p w14:paraId="296887B1">
                  <w:pPr>
                    <w:adjustRightInd w:val="0"/>
                    <w:snapToGrid w:val="0"/>
                    <w:jc w:val="center"/>
                    <w:rPr>
                      <w:rFonts w:hint="default" w:ascii="Times New Roman" w:hAnsi="Times New Roman" w:cs="Times New Roman"/>
                      <w:b/>
                      <w:bCs/>
                      <w:color w:val="auto"/>
                      <w:spacing w:val="-17"/>
                      <w:szCs w:val="21"/>
                      <w:highlight w:val="none"/>
                    </w:rPr>
                  </w:pPr>
                  <w:r>
                    <w:rPr>
                      <w:rFonts w:hint="default" w:ascii="Times New Roman" w:hAnsi="Times New Roman" w:cs="Times New Roman"/>
                      <w:b/>
                      <w:bCs/>
                      <w:color w:val="auto"/>
                      <w:spacing w:val="-17"/>
                      <w:szCs w:val="21"/>
                      <w:highlight w:val="none"/>
                    </w:rPr>
                    <w:t>5.5＜pH≤6.5</w:t>
                  </w:r>
                </w:p>
              </w:tc>
              <w:tc>
                <w:tcPr>
                  <w:tcW w:w="1395" w:type="dxa"/>
                  <w:tcBorders>
                    <w:tl2br w:val="nil"/>
                    <w:tr2bl w:val="nil"/>
                  </w:tcBorders>
                  <w:noWrap w:val="0"/>
                  <w:vAlign w:val="center"/>
                </w:tcPr>
                <w:p w14:paraId="5AC68D47">
                  <w:pPr>
                    <w:adjustRightInd w:val="0"/>
                    <w:snapToGrid w:val="0"/>
                    <w:jc w:val="center"/>
                    <w:rPr>
                      <w:rFonts w:hint="default" w:ascii="Times New Roman" w:hAnsi="Times New Roman" w:cs="Times New Roman"/>
                      <w:b/>
                      <w:bCs/>
                      <w:color w:val="auto"/>
                      <w:spacing w:val="-17"/>
                      <w:szCs w:val="21"/>
                      <w:highlight w:val="none"/>
                    </w:rPr>
                  </w:pPr>
                  <w:r>
                    <w:rPr>
                      <w:rFonts w:hint="default" w:ascii="Times New Roman" w:hAnsi="Times New Roman" w:cs="Times New Roman"/>
                      <w:b/>
                      <w:bCs/>
                      <w:color w:val="auto"/>
                      <w:spacing w:val="-17"/>
                      <w:szCs w:val="21"/>
                      <w:highlight w:val="none"/>
                    </w:rPr>
                    <w:t>6.5＜pH≤7.5</w:t>
                  </w:r>
                </w:p>
              </w:tc>
              <w:tc>
                <w:tcPr>
                  <w:tcW w:w="1410" w:type="dxa"/>
                  <w:tcBorders>
                    <w:tl2br w:val="nil"/>
                    <w:tr2bl w:val="nil"/>
                  </w:tcBorders>
                  <w:noWrap w:val="0"/>
                  <w:vAlign w:val="center"/>
                </w:tcPr>
                <w:p w14:paraId="1F5A0FB2">
                  <w:pPr>
                    <w:adjustRightInd w:val="0"/>
                    <w:snapToGrid w:val="0"/>
                    <w:jc w:val="center"/>
                    <w:rPr>
                      <w:rFonts w:hint="default" w:ascii="Times New Roman" w:hAnsi="Times New Roman" w:cs="Times New Roman"/>
                      <w:b/>
                      <w:bCs/>
                      <w:color w:val="auto"/>
                      <w:spacing w:val="-17"/>
                      <w:szCs w:val="21"/>
                      <w:highlight w:val="none"/>
                    </w:rPr>
                  </w:pPr>
                  <w:r>
                    <w:rPr>
                      <w:rFonts w:hint="default" w:ascii="Times New Roman" w:hAnsi="Times New Roman" w:cs="Times New Roman"/>
                      <w:b/>
                      <w:bCs/>
                      <w:color w:val="auto"/>
                      <w:spacing w:val="-17"/>
                      <w:szCs w:val="21"/>
                      <w:highlight w:val="none"/>
                    </w:rPr>
                    <w:t>pH＞7.5</w:t>
                  </w:r>
                </w:p>
              </w:tc>
            </w:tr>
            <w:tr w14:paraId="7AA393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7" w:type="dxa"/>
                  <w:tcBorders>
                    <w:tl2br w:val="nil"/>
                    <w:tr2bl w:val="nil"/>
                  </w:tcBorders>
                  <w:noWrap w:val="0"/>
                  <w:vAlign w:val="center"/>
                </w:tcPr>
                <w:p w14:paraId="796D1977">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1</w:t>
                  </w:r>
                </w:p>
              </w:tc>
              <w:tc>
                <w:tcPr>
                  <w:tcW w:w="1333" w:type="dxa"/>
                  <w:tcBorders>
                    <w:tl2br w:val="nil"/>
                    <w:tr2bl w:val="nil"/>
                  </w:tcBorders>
                  <w:noWrap w:val="0"/>
                  <w:vAlign w:val="center"/>
                </w:tcPr>
                <w:p w14:paraId="0CAF9391">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Cs/>
                      <w:color w:val="auto"/>
                      <w:szCs w:val="21"/>
                      <w:highlight w:val="none"/>
                    </w:rPr>
                    <w:t>镉</w:t>
                  </w:r>
                </w:p>
              </w:tc>
              <w:tc>
                <w:tcPr>
                  <w:tcW w:w="1574" w:type="dxa"/>
                  <w:tcBorders>
                    <w:tl2br w:val="nil"/>
                    <w:tr2bl w:val="nil"/>
                  </w:tcBorders>
                  <w:noWrap w:val="0"/>
                  <w:vAlign w:val="center"/>
                </w:tcPr>
                <w:p w14:paraId="0CECBCF1">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0.3</w:t>
                  </w:r>
                </w:p>
              </w:tc>
              <w:tc>
                <w:tcPr>
                  <w:tcW w:w="1425" w:type="dxa"/>
                  <w:tcBorders>
                    <w:tl2br w:val="nil"/>
                    <w:tr2bl w:val="nil"/>
                  </w:tcBorders>
                  <w:noWrap w:val="0"/>
                  <w:vAlign w:val="center"/>
                </w:tcPr>
                <w:p w14:paraId="7283973E">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0.3</w:t>
                  </w:r>
                </w:p>
              </w:tc>
              <w:tc>
                <w:tcPr>
                  <w:tcW w:w="1395" w:type="dxa"/>
                  <w:tcBorders>
                    <w:tl2br w:val="nil"/>
                    <w:tr2bl w:val="nil"/>
                  </w:tcBorders>
                  <w:noWrap w:val="0"/>
                  <w:vAlign w:val="center"/>
                </w:tcPr>
                <w:p w14:paraId="3D622E64">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0.3</w:t>
                  </w:r>
                </w:p>
              </w:tc>
              <w:tc>
                <w:tcPr>
                  <w:tcW w:w="1410" w:type="dxa"/>
                  <w:tcBorders>
                    <w:tl2br w:val="nil"/>
                    <w:tr2bl w:val="nil"/>
                  </w:tcBorders>
                  <w:noWrap w:val="0"/>
                  <w:vAlign w:val="center"/>
                </w:tcPr>
                <w:p w14:paraId="63286853">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0.6</w:t>
                  </w:r>
                </w:p>
              </w:tc>
            </w:tr>
            <w:tr w14:paraId="01E9CC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7" w:type="dxa"/>
                  <w:tcBorders>
                    <w:tl2br w:val="nil"/>
                    <w:tr2bl w:val="nil"/>
                  </w:tcBorders>
                  <w:noWrap w:val="0"/>
                  <w:vAlign w:val="center"/>
                </w:tcPr>
                <w:p w14:paraId="138AFCBA">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2</w:t>
                  </w:r>
                </w:p>
              </w:tc>
              <w:tc>
                <w:tcPr>
                  <w:tcW w:w="1333" w:type="dxa"/>
                  <w:tcBorders>
                    <w:tl2br w:val="nil"/>
                    <w:tr2bl w:val="nil"/>
                  </w:tcBorders>
                  <w:noWrap w:val="0"/>
                  <w:vAlign w:val="center"/>
                </w:tcPr>
                <w:p w14:paraId="1F8E524E">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Cs/>
                      <w:color w:val="auto"/>
                      <w:szCs w:val="21"/>
                      <w:highlight w:val="none"/>
                    </w:rPr>
                    <w:t>汞</w:t>
                  </w:r>
                </w:p>
              </w:tc>
              <w:tc>
                <w:tcPr>
                  <w:tcW w:w="1574" w:type="dxa"/>
                  <w:tcBorders>
                    <w:tl2br w:val="nil"/>
                    <w:tr2bl w:val="nil"/>
                  </w:tcBorders>
                  <w:noWrap w:val="0"/>
                  <w:vAlign w:val="center"/>
                </w:tcPr>
                <w:p w14:paraId="7B762046">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1.3</w:t>
                  </w:r>
                </w:p>
              </w:tc>
              <w:tc>
                <w:tcPr>
                  <w:tcW w:w="1425" w:type="dxa"/>
                  <w:tcBorders>
                    <w:tl2br w:val="nil"/>
                    <w:tr2bl w:val="nil"/>
                  </w:tcBorders>
                  <w:noWrap w:val="0"/>
                  <w:vAlign w:val="center"/>
                </w:tcPr>
                <w:p w14:paraId="79991A33">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1.8</w:t>
                  </w:r>
                </w:p>
              </w:tc>
              <w:tc>
                <w:tcPr>
                  <w:tcW w:w="1395" w:type="dxa"/>
                  <w:tcBorders>
                    <w:tl2br w:val="nil"/>
                    <w:tr2bl w:val="nil"/>
                  </w:tcBorders>
                  <w:noWrap w:val="0"/>
                  <w:vAlign w:val="center"/>
                </w:tcPr>
                <w:p w14:paraId="72E2AD1F">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2.4</w:t>
                  </w:r>
                </w:p>
              </w:tc>
              <w:tc>
                <w:tcPr>
                  <w:tcW w:w="1410" w:type="dxa"/>
                  <w:tcBorders>
                    <w:tl2br w:val="nil"/>
                    <w:tr2bl w:val="nil"/>
                  </w:tcBorders>
                  <w:noWrap w:val="0"/>
                  <w:vAlign w:val="center"/>
                </w:tcPr>
                <w:p w14:paraId="7D72339D">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3.4</w:t>
                  </w:r>
                </w:p>
              </w:tc>
            </w:tr>
            <w:tr w14:paraId="2A4143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7" w:type="dxa"/>
                  <w:tcBorders>
                    <w:tl2br w:val="nil"/>
                    <w:tr2bl w:val="nil"/>
                  </w:tcBorders>
                  <w:noWrap w:val="0"/>
                  <w:vAlign w:val="center"/>
                </w:tcPr>
                <w:p w14:paraId="4C45FCC2">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3</w:t>
                  </w:r>
                </w:p>
              </w:tc>
              <w:tc>
                <w:tcPr>
                  <w:tcW w:w="1333" w:type="dxa"/>
                  <w:tcBorders>
                    <w:tl2br w:val="nil"/>
                    <w:tr2bl w:val="nil"/>
                  </w:tcBorders>
                  <w:noWrap w:val="0"/>
                  <w:vAlign w:val="center"/>
                </w:tcPr>
                <w:p w14:paraId="49DD58A6">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Cs/>
                      <w:color w:val="auto"/>
                      <w:szCs w:val="21"/>
                      <w:highlight w:val="none"/>
                    </w:rPr>
                    <w:t>砷</w:t>
                  </w:r>
                </w:p>
              </w:tc>
              <w:tc>
                <w:tcPr>
                  <w:tcW w:w="1574" w:type="dxa"/>
                  <w:tcBorders>
                    <w:tl2br w:val="nil"/>
                    <w:tr2bl w:val="nil"/>
                  </w:tcBorders>
                  <w:noWrap w:val="0"/>
                  <w:vAlign w:val="center"/>
                </w:tcPr>
                <w:p w14:paraId="6442268C">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40</w:t>
                  </w:r>
                </w:p>
              </w:tc>
              <w:tc>
                <w:tcPr>
                  <w:tcW w:w="1425" w:type="dxa"/>
                  <w:tcBorders>
                    <w:tl2br w:val="nil"/>
                    <w:tr2bl w:val="nil"/>
                  </w:tcBorders>
                  <w:noWrap w:val="0"/>
                  <w:vAlign w:val="center"/>
                </w:tcPr>
                <w:p w14:paraId="6BCF8BC6">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40</w:t>
                  </w:r>
                </w:p>
              </w:tc>
              <w:tc>
                <w:tcPr>
                  <w:tcW w:w="1395" w:type="dxa"/>
                  <w:tcBorders>
                    <w:tl2br w:val="nil"/>
                    <w:tr2bl w:val="nil"/>
                  </w:tcBorders>
                  <w:noWrap w:val="0"/>
                  <w:vAlign w:val="center"/>
                </w:tcPr>
                <w:p w14:paraId="45DA1780">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30</w:t>
                  </w:r>
                </w:p>
              </w:tc>
              <w:tc>
                <w:tcPr>
                  <w:tcW w:w="1410" w:type="dxa"/>
                  <w:tcBorders>
                    <w:tl2br w:val="nil"/>
                    <w:tr2bl w:val="nil"/>
                  </w:tcBorders>
                  <w:noWrap w:val="0"/>
                  <w:vAlign w:val="center"/>
                </w:tcPr>
                <w:p w14:paraId="2BC68214">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25</w:t>
                  </w:r>
                </w:p>
              </w:tc>
            </w:tr>
            <w:tr w14:paraId="56B0AD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7" w:type="dxa"/>
                  <w:tcBorders>
                    <w:tl2br w:val="nil"/>
                    <w:tr2bl w:val="nil"/>
                  </w:tcBorders>
                  <w:noWrap w:val="0"/>
                  <w:vAlign w:val="center"/>
                </w:tcPr>
                <w:p w14:paraId="2BAEAAE4">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4</w:t>
                  </w:r>
                </w:p>
              </w:tc>
              <w:tc>
                <w:tcPr>
                  <w:tcW w:w="1333" w:type="dxa"/>
                  <w:tcBorders>
                    <w:tl2br w:val="nil"/>
                    <w:tr2bl w:val="nil"/>
                  </w:tcBorders>
                  <w:noWrap w:val="0"/>
                  <w:vAlign w:val="center"/>
                </w:tcPr>
                <w:p w14:paraId="63CE2D02">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Cs/>
                      <w:color w:val="auto"/>
                      <w:szCs w:val="21"/>
                      <w:highlight w:val="none"/>
                    </w:rPr>
                    <w:t>铅</w:t>
                  </w:r>
                </w:p>
              </w:tc>
              <w:tc>
                <w:tcPr>
                  <w:tcW w:w="1574" w:type="dxa"/>
                  <w:tcBorders>
                    <w:tl2br w:val="nil"/>
                    <w:tr2bl w:val="nil"/>
                  </w:tcBorders>
                  <w:noWrap w:val="0"/>
                  <w:vAlign w:val="center"/>
                </w:tcPr>
                <w:p w14:paraId="7FCD3A2B">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70</w:t>
                  </w:r>
                </w:p>
              </w:tc>
              <w:tc>
                <w:tcPr>
                  <w:tcW w:w="1425" w:type="dxa"/>
                  <w:tcBorders>
                    <w:tl2br w:val="nil"/>
                    <w:tr2bl w:val="nil"/>
                  </w:tcBorders>
                  <w:noWrap w:val="0"/>
                  <w:vAlign w:val="center"/>
                </w:tcPr>
                <w:p w14:paraId="435BDD33">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90</w:t>
                  </w:r>
                </w:p>
              </w:tc>
              <w:tc>
                <w:tcPr>
                  <w:tcW w:w="1395" w:type="dxa"/>
                  <w:tcBorders>
                    <w:tl2br w:val="nil"/>
                    <w:tr2bl w:val="nil"/>
                  </w:tcBorders>
                  <w:noWrap w:val="0"/>
                  <w:vAlign w:val="center"/>
                </w:tcPr>
                <w:p w14:paraId="72361FF9">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120</w:t>
                  </w:r>
                </w:p>
              </w:tc>
              <w:tc>
                <w:tcPr>
                  <w:tcW w:w="1410" w:type="dxa"/>
                  <w:tcBorders>
                    <w:tl2br w:val="nil"/>
                    <w:tr2bl w:val="nil"/>
                  </w:tcBorders>
                  <w:noWrap w:val="0"/>
                  <w:vAlign w:val="center"/>
                </w:tcPr>
                <w:p w14:paraId="022F9A40">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170</w:t>
                  </w:r>
                </w:p>
              </w:tc>
            </w:tr>
            <w:tr w14:paraId="33B9C8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7" w:type="dxa"/>
                  <w:tcBorders>
                    <w:tl2br w:val="nil"/>
                    <w:tr2bl w:val="nil"/>
                  </w:tcBorders>
                  <w:noWrap w:val="0"/>
                  <w:vAlign w:val="center"/>
                </w:tcPr>
                <w:p w14:paraId="60BF92D7">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5</w:t>
                  </w:r>
                </w:p>
              </w:tc>
              <w:tc>
                <w:tcPr>
                  <w:tcW w:w="1333" w:type="dxa"/>
                  <w:tcBorders>
                    <w:tl2br w:val="nil"/>
                    <w:tr2bl w:val="nil"/>
                  </w:tcBorders>
                  <w:noWrap w:val="0"/>
                  <w:vAlign w:val="center"/>
                </w:tcPr>
                <w:p w14:paraId="3774B077">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Cs/>
                      <w:color w:val="auto"/>
                      <w:szCs w:val="21"/>
                      <w:highlight w:val="none"/>
                    </w:rPr>
                    <w:t>铬</w:t>
                  </w:r>
                </w:p>
              </w:tc>
              <w:tc>
                <w:tcPr>
                  <w:tcW w:w="1574" w:type="dxa"/>
                  <w:tcBorders>
                    <w:tl2br w:val="nil"/>
                    <w:tr2bl w:val="nil"/>
                  </w:tcBorders>
                  <w:noWrap w:val="0"/>
                  <w:vAlign w:val="center"/>
                </w:tcPr>
                <w:p w14:paraId="3183CEC3">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150</w:t>
                  </w:r>
                </w:p>
              </w:tc>
              <w:tc>
                <w:tcPr>
                  <w:tcW w:w="1425" w:type="dxa"/>
                  <w:tcBorders>
                    <w:tl2br w:val="nil"/>
                    <w:tr2bl w:val="nil"/>
                  </w:tcBorders>
                  <w:noWrap w:val="0"/>
                  <w:vAlign w:val="center"/>
                </w:tcPr>
                <w:p w14:paraId="0166852C">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150</w:t>
                  </w:r>
                </w:p>
              </w:tc>
              <w:tc>
                <w:tcPr>
                  <w:tcW w:w="1395" w:type="dxa"/>
                  <w:tcBorders>
                    <w:tl2br w:val="nil"/>
                    <w:tr2bl w:val="nil"/>
                  </w:tcBorders>
                  <w:noWrap w:val="0"/>
                  <w:vAlign w:val="center"/>
                </w:tcPr>
                <w:p w14:paraId="00AD925A">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200</w:t>
                  </w:r>
                </w:p>
              </w:tc>
              <w:tc>
                <w:tcPr>
                  <w:tcW w:w="1410" w:type="dxa"/>
                  <w:tcBorders>
                    <w:tl2br w:val="nil"/>
                    <w:tr2bl w:val="nil"/>
                  </w:tcBorders>
                  <w:noWrap w:val="0"/>
                  <w:vAlign w:val="center"/>
                </w:tcPr>
                <w:p w14:paraId="133AB796">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250</w:t>
                  </w:r>
                </w:p>
              </w:tc>
            </w:tr>
            <w:tr w14:paraId="7E5940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7" w:type="dxa"/>
                  <w:tcBorders>
                    <w:tl2br w:val="nil"/>
                    <w:tr2bl w:val="nil"/>
                  </w:tcBorders>
                  <w:noWrap w:val="0"/>
                  <w:vAlign w:val="center"/>
                </w:tcPr>
                <w:p w14:paraId="1908605A">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6</w:t>
                  </w:r>
                </w:p>
              </w:tc>
              <w:tc>
                <w:tcPr>
                  <w:tcW w:w="1333" w:type="dxa"/>
                  <w:tcBorders>
                    <w:tl2br w:val="nil"/>
                    <w:tr2bl w:val="nil"/>
                  </w:tcBorders>
                  <w:noWrap w:val="0"/>
                  <w:vAlign w:val="center"/>
                </w:tcPr>
                <w:p w14:paraId="74F6EAFC">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铜</w:t>
                  </w:r>
                </w:p>
              </w:tc>
              <w:tc>
                <w:tcPr>
                  <w:tcW w:w="1574" w:type="dxa"/>
                  <w:tcBorders>
                    <w:tl2br w:val="nil"/>
                    <w:tr2bl w:val="nil"/>
                  </w:tcBorders>
                  <w:noWrap w:val="0"/>
                  <w:vAlign w:val="center"/>
                </w:tcPr>
                <w:p w14:paraId="465E1712">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50</w:t>
                  </w:r>
                </w:p>
              </w:tc>
              <w:tc>
                <w:tcPr>
                  <w:tcW w:w="1425" w:type="dxa"/>
                  <w:tcBorders>
                    <w:tl2br w:val="nil"/>
                    <w:tr2bl w:val="nil"/>
                  </w:tcBorders>
                  <w:noWrap w:val="0"/>
                  <w:vAlign w:val="center"/>
                </w:tcPr>
                <w:p w14:paraId="6AD1AF62">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50</w:t>
                  </w:r>
                </w:p>
              </w:tc>
              <w:tc>
                <w:tcPr>
                  <w:tcW w:w="1395" w:type="dxa"/>
                  <w:tcBorders>
                    <w:tl2br w:val="nil"/>
                    <w:tr2bl w:val="nil"/>
                  </w:tcBorders>
                  <w:noWrap w:val="0"/>
                  <w:vAlign w:val="center"/>
                </w:tcPr>
                <w:p w14:paraId="57837F43">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100</w:t>
                  </w:r>
                </w:p>
              </w:tc>
              <w:tc>
                <w:tcPr>
                  <w:tcW w:w="1410" w:type="dxa"/>
                  <w:tcBorders>
                    <w:tl2br w:val="nil"/>
                    <w:tr2bl w:val="nil"/>
                  </w:tcBorders>
                  <w:noWrap w:val="0"/>
                  <w:vAlign w:val="center"/>
                </w:tcPr>
                <w:p w14:paraId="780D594A">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100</w:t>
                  </w:r>
                </w:p>
              </w:tc>
            </w:tr>
            <w:tr w14:paraId="61F116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7" w:type="dxa"/>
                  <w:tcBorders>
                    <w:tl2br w:val="nil"/>
                    <w:tr2bl w:val="nil"/>
                  </w:tcBorders>
                  <w:noWrap w:val="0"/>
                  <w:vAlign w:val="center"/>
                </w:tcPr>
                <w:p w14:paraId="4E0CE0EB">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7</w:t>
                  </w:r>
                </w:p>
              </w:tc>
              <w:tc>
                <w:tcPr>
                  <w:tcW w:w="1333" w:type="dxa"/>
                  <w:tcBorders>
                    <w:tl2br w:val="nil"/>
                    <w:tr2bl w:val="nil"/>
                  </w:tcBorders>
                  <w:noWrap w:val="0"/>
                  <w:vAlign w:val="center"/>
                </w:tcPr>
                <w:p w14:paraId="6E114EC7">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镍</w:t>
                  </w:r>
                </w:p>
              </w:tc>
              <w:tc>
                <w:tcPr>
                  <w:tcW w:w="1574" w:type="dxa"/>
                  <w:tcBorders>
                    <w:tl2br w:val="nil"/>
                    <w:tr2bl w:val="nil"/>
                  </w:tcBorders>
                  <w:noWrap w:val="0"/>
                  <w:vAlign w:val="center"/>
                </w:tcPr>
                <w:p w14:paraId="2499D8B2">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60</w:t>
                  </w:r>
                </w:p>
              </w:tc>
              <w:tc>
                <w:tcPr>
                  <w:tcW w:w="1425" w:type="dxa"/>
                  <w:tcBorders>
                    <w:tl2br w:val="nil"/>
                    <w:tr2bl w:val="nil"/>
                  </w:tcBorders>
                  <w:noWrap w:val="0"/>
                  <w:vAlign w:val="center"/>
                </w:tcPr>
                <w:p w14:paraId="19D0D9AC">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70</w:t>
                  </w:r>
                </w:p>
              </w:tc>
              <w:tc>
                <w:tcPr>
                  <w:tcW w:w="1395" w:type="dxa"/>
                  <w:tcBorders>
                    <w:tl2br w:val="nil"/>
                    <w:tr2bl w:val="nil"/>
                  </w:tcBorders>
                  <w:noWrap w:val="0"/>
                  <w:vAlign w:val="center"/>
                </w:tcPr>
                <w:p w14:paraId="14549DF3">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100</w:t>
                  </w:r>
                </w:p>
              </w:tc>
              <w:tc>
                <w:tcPr>
                  <w:tcW w:w="1410" w:type="dxa"/>
                  <w:tcBorders>
                    <w:tl2br w:val="nil"/>
                    <w:tr2bl w:val="nil"/>
                  </w:tcBorders>
                  <w:noWrap w:val="0"/>
                  <w:vAlign w:val="center"/>
                </w:tcPr>
                <w:p w14:paraId="442441A0">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190</w:t>
                  </w:r>
                </w:p>
              </w:tc>
            </w:tr>
            <w:tr w14:paraId="705455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7" w:type="dxa"/>
                  <w:tcBorders>
                    <w:tl2br w:val="nil"/>
                    <w:tr2bl w:val="nil"/>
                  </w:tcBorders>
                  <w:noWrap w:val="0"/>
                  <w:vAlign w:val="center"/>
                </w:tcPr>
                <w:p w14:paraId="1AF1B435">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8</w:t>
                  </w:r>
                </w:p>
              </w:tc>
              <w:tc>
                <w:tcPr>
                  <w:tcW w:w="1333" w:type="dxa"/>
                  <w:tcBorders>
                    <w:tl2br w:val="nil"/>
                    <w:tr2bl w:val="nil"/>
                  </w:tcBorders>
                  <w:noWrap w:val="0"/>
                  <w:vAlign w:val="center"/>
                </w:tcPr>
                <w:p w14:paraId="0197AE80">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锌</w:t>
                  </w:r>
                </w:p>
              </w:tc>
              <w:tc>
                <w:tcPr>
                  <w:tcW w:w="1574" w:type="dxa"/>
                  <w:tcBorders>
                    <w:tl2br w:val="nil"/>
                    <w:tr2bl w:val="nil"/>
                  </w:tcBorders>
                  <w:noWrap w:val="0"/>
                  <w:vAlign w:val="center"/>
                </w:tcPr>
                <w:p w14:paraId="72723156">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200</w:t>
                  </w:r>
                </w:p>
              </w:tc>
              <w:tc>
                <w:tcPr>
                  <w:tcW w:w="1425" w:type="dxa"/>
                  <w:tcBorders>
                    <w:tl2br w:val="nil"/>
                    <w:tr2bl w:val="nil"/>
                  </w:tcBorders>
                  <w:noWrap w:val="0"/>
                  <w:vAlign w:val="center"/>
                </w:tcPr>
                <w:p w14:paraId="74A5DD23">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200</w:t>
                  </w:r>
                </w:p>
              </w:tc>
              <w:tc>
                <w:tcPr>
                  <w:tcW w:w="1395" w:type="dxa"/>
                  <w:tcBorders>
                    <w:tl2br w:val="nil"/>
                    <w:tr2bl w:val="nil"/>
                  </w:tcBorders>
                  <w:noWrap w:val="0"/>
                  <w:vAlign w:val="center"/>
                </w:tcPr>
                <w:p w14:paraId="095671E9">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250</w:t>
                  </w:r>
                </w:p>
              </w:tc>
              <w:tc>
                <w:tcPr>
                  <w:tcW w:w="1410" w:type="dxa"/>
                  <w:tcBorders>
                    <w:tl2br w:val="nil"/>
                    <w:tr2bl w:val="nil"/>
                  </w:tcBorders>
                  <w:noWrap w:val="0"/>
                  <w:vAlign w:val="center"/>
                </w:tcPr>
                <w:p w14:paraId="3AF77A2D">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300</w:t>
                  </w:r>
                </w:p>
              </w:tc>
            </w:tr>
          </w:tbl>
          <w:p w14:paraId="3924B432">
            <w:pPr>
              <w:adjustRightInd w:val="0"/>
              <w:spacing w:line="360" w:lineRule="auto"/>
              <w:ind w:firstLine="480" w:firstLineChars="200"/>
              <w:rPr>
                <w:rFonts w:hint="default" w:ascii="Times New Roman" w:hAnsi="Times New Roman" w:eastAsia="黑体" w:cs="Times New Roman"/>
                <w:b w:val="0"/>
                <w:bCs w:val="0"/>
                <w:color w:val="auto"/>
                <w:kern w:val="0"/>
                <w:sz w:val="24"/>
                <w:szCs w:val="24"/>
                <w:highlight w:val="none"/>
                <w:lang w:val="en-US" w:eastAsia="zh-CN" w:bidi="ar-SA"/>
              </w:rPr>
            </w:pPr>
            <w:r>
              <w:rPr>
                <w:rFonts w:hint="default" w:ascii="Times New Roman" w:hAnsi="Times New Roman" w:eastAsia="黑体" w:cs="Times New Roman"/>
                <w:b w:val="0"/>
                <w:bCs w:val="0"/>
                <w:color w:val="auto"/>
                <w:kern w:val="0"/>
                <w:sz w:val="24"/>
                <w:szCs w:val="24"/>
                <w:highlight w:val="none"/>
                <w:lang w:val="en-US" w:eastAsia="zh-CN" w:bidi="ar-SA"/>
              </w:rPr>
              <w:t>2、污染物排放标准</w:t>
            </w:r>
          </w:p>
          <w:p w14:paraId="4AC5C3AC">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（1）</w:t>
            </w:r>
            <w:r>
              <w:rPr>
                <w:rFonts w:hint="default" w:ascii="Times New Roman" w:hAnsi="Times New Roman" w:cs="Times New Roman"/>
                <w:color w:val="auto"/>
                <w:kern w:val="0"/>
                <w:sz w:val="24"/>
                <w:szCs w:val="24"/>
                <w:highlight w:val="none"/>
                <w:lang w:val="en-US" w:eastAsia="zh-CN" w:bidi="ar-SA"/>
              </w:rPr>
              <w:t>废气</w:t>
            </w:r>
          </w:p>
          <w:p w14:paraId="65821002">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本项目施工期产生废气执行《大气污染物综合排放标准》（GB16297-1996）无组织排放标准；</w:t>
            </w:r>
          </w:p>
          <w:p w14:paraId="3F2567F6">
            <w:pPr>
              <w:adjustRightInd w:val="0"/>
              <w:jc w:val="center"/>
              <w:rPr>
                <w:rFonts w:hint="default" w:ascii="Times New Roman" w:hAnsi="Times New Roman" w:eastAsia="仿宋_GB2312" w:cs="Times New Roman"/>
                <w:color w:val="auto"/>
                <w:kern w:val="0"/>
                <w:sz w:val="24"/>
                <w:highlight w:val="none"/>
              </w:rPr>
            </w:pPr>
            <w:r>
              <w:rPr>
                <w:rFonts w:hint="default" w:ascii="Times New Roman" w:hAnsi="Times New Roman" w:eastAsia="黑体" w:cs="Times New Roman"/>
                <w:color w:val="auto"/>
                <w:kern w:val="0"/>
                <w:sz w:val="24"/>
                <w:highlight w:val="none"/>
              </w:rPr>
              <w:t>表</w:t>
            </w:r>
            <w:r>
              <w:rPr>
                <w:rFonts w:hint="default" w:ascii="Times New Roman" w:hAnsi="Times New Roman" w:eastAsia="黑体" w:cs="Times New Roman"/>
                <w:color w:val="auto"/>
                <w:kern w:val="0"/>
                <w:sz w:val="24"/>
                <w:highlight w:val="none"/>
                <w:lang w:val="en-US" w:eastAsia="zh-CN"/>
              </w:rPr>
              <w:t>3-1</w:t>
            </w:r>
            <w:r>
              <w:rPr>
                <w:rFonts w:hint="eastAsia" w:eastAsia="黑体" w:cs="Times New Roman"/>
                <w:color w:val="auto"/>
                <w:kern w:val="0"/>
                <w:sz w:val="24"/>
                <w:highlight w:val="none"/>
                <w:lang w:val="en-US" w:eastAsia="zh-CN"/>
              </w:rPr>
              <w:t>1</w:t>
            </w:r>
            <w:r>
              <w:rPr>
                <w:rFonts w:hint="default" w:ascii="Times New Roman" w:hAnsi="Times New Roman" w:eastAsia="黑体" w:cs="Times New Roman"/>
                <w:color w:val="auto"/>
                <w:kern w:val="0"/>
                <w:sz w:val="24"/>
                <w:highlight w:val="none"/>
              </w:rPr>
              <w:t xml:space="preserve">  本项目施工期废气排放标准</w:t>
            </w:r>
          </w:p>
          <w:tbl>
            <w:tblPr>
              <w:tblStyle w:val="26"/>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3386"/>
              <w:gridCol w:w="2"/>
              <w:gridCol w:w="3389"/>
            </w:tblGrid>
            <w:tr w14:paraId="331126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41" w:type="dxa"/>
                  <w:tcBorders>
                    <w:tl2br w:val="nil"/>
                    <w:tr2bl w:val="nil"/>
                  </w:tcBorders>
                  <w:noWrap w:val="0"/>
                  <w:vAlign w:val="center"/>
                </w:tcPr>
                <w:p w14:paraId="61349B47">
                  <w:pPr>
                    <w:snapToGrid w:val="0"/>
                    <w:spacing w:after="0"/>
                    <w:jc w:val="center"/>
                    <w:rPr>
                      <w:rFonts w:hint="default" w:ascii="Times New Roman" w:hAnsi="Times New Roman" w:cs="Times New Roman"/>
                      <w:b/>
                      <w:bCs/>
                      <w:color w:val="auto"/>
                      <w:spacing w:val="2"/>
                      <w:highlight w:val="none"/>
                    </w:rPr>
                  </w:pPr>
                  <w:r>
                    <w:rPr>
                      <w:rFonts w:hint="default" w:ascii="Times New Roman" w:hAnsi="Times New Roman" w:cs="Times New Roman"/>
                      <w:b/>
                      <w:bCs/>
                      <w:color w:val="auto"/>
                      <w:highlight w:val="none"/>
                    </w:rPr>
                    <w:t>污染物</w:t>
                  </w:r>
                </w:p>
              </w:tc>
              <w:tc>
                <w:tcPr>
                  <w:tcW w:w="3388" w:type="dxa"/>
                  <w:gridSpan w:val="2"/>
                  <w:tcBorders>
                    <w:tl2br w:val="nil"/>
                    <w:tr2bl w:val="nil"/>
                  </w:tcBorders>
                  <w:noWrap w:val="0"/>
                  <w:vAlign w:val="center"/>
                </w:tcPr>
                <w:p w14:paraId="43D4B19D">
                  <w:pPr>
                    <w:snapToGrid w:val="0"/>
                    <w:spacing w:after="0"/>
                    <w:jc w:val="center"/>
                    <w:rPr>
                      <w:rFonts w:hint="default" w:ascii="Times New Roman" w:hAnsi="Times New Roman" w:cs="Times New Roman"/>
                      <w:b/>
                      <w:bCs/>
                      <w:color w:val="auto"/>
                      <w:spacing w:val="2"/>
                      <w:highlight w:val="none"/>
                    </w:rPr>
                  </w:pPr>
                  <w:r>
                    <w:rPr>
                      <w:rFonts w:hint="default" w:ascii="Times New Roman" w:hAnsi="Times New Roman" w:cs="Times New Roman"/>
                      <w:b/>
                      <w:bCs/>
                      <w:color w:val="auto"/>
                      <w:highlight w:val="none"/>
                    </w:rPr>
                    <w:t>监测点</w:t>
                  </w:r>
                </w:p>
              </w:tc>
              <w:tc>
                <w:tcPr>
                  <w:tcW w:w="3388" w:type="dxa"/>
                  <w:tcBorders>
                    <w:tl2br w:val="nil"/>
                    <w:tr2bl w:val="nil"/>
                  </w:tcBorders>
                  <w:noWrap w:val="0"/>
                  <w:vAlign w:val="center"/>
                </w:tcPr>
                <w:p w14:paraId="561A80E2">
                  <w:pPr>
                    <w:snapToGrid w:val="0"/>
                    <w:spacing w:after="0"/>
                    <w:jc w:val="center"/>
                    <w:rPr>
                      <w:rFonts w:hint="default" w:ascii="Times New Roman" w:hAnsi="Times New Roman" w:cs="Times New Roman"/>
                      <w:b/>
                      <w:bCs/>
                      <w:color w:val="auto"/>
                      <w:spacing w:val="2"/>
                      <w:highlight w:val="none"/>
                    </w:rPr>
                  </w:pPr>
                  <w:r>
                    <w:rPr>
                      <w:rFonts w:hint="default" w:ascii="Times New Roman" w:hAnsi="Times New Roman" w:cs="Times New Roman"/>
                      <w:b/>
                      <w:bCs/>
                      <w:color w:val="auto"/>
                      <w:highlight w:val="none"/>
                    </w:rPr>
                    <w:t>浓度</w:t>
                  </w:r>
                </w:p>
              </w:tc>
            </w:tr>
            <w:tr w14:paraId="1497FD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441" w:type="dxa"/>
                  <w:tcBorders>
                    <w:tl2br w:val="nil"/>
                    <w:tr2bl w:val="nil"/>
                  </w:tcBorders>
                  <w:noWrap w:val="0"/>
                  <w:vAlign w:val="center"/>
                </w:tcPr>
                <w:p w14:paraId="2EF5E22D">
                  <w:pPr>
                    <w:snapToGrid w:val="0"/>
                    <w:spacing w:after="0"/>
                    <w:jc w:val="center"/>
                    <w:rPr>
                      <w:rFonts w:hint="default" w:ascii="Times New Roman" w:hAnsi="Times New Roman" w:cs="Times New Roman"/>
                      <w:color w:val="auto"/>
                      <w:spacing w:val="2"/>
                      <w:highlight w:val="none"/>
                    </w:rPr>
                  </w:pPr>
                  <w:r>
                    <w:rPr>
                      <w:rFonts w:hint="default" w:ascii="Times New Roman" w:hAnsi="Times New Roman" w:cs="Times New Roman"/>
                      <w:color w:val="auto"/>
                      <w:spacing w:val="2"/>
                      <w:highlight w:val="none"/>
                    </w:rPr>
                    <w:t>颗粒物</w:t>
                  </w:r>
                </w:p>
              </w:tc>
              <w:tc>
                <w:tcPr>
                  <w:tcW w:w="3386" w:type="dxa"/>
                  <w:tcBorders>
                    <w:tl2br w:val="nil"/>
                    <w:tr2bl w:val="nil"/>
                  </w:tcBorders>
                  <w:noWrap w:val="0"/>
                  <w:vAlign w:val="center"/>
                </w:tcPr>
                <w:p w14:paraId="741E85C8">
                  <w:pPr>
                    <w:spacing w:after="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周界外浓度最高点</w:t>
                  </w:r>
                </w:p>
              </w:tc>
              <w:tc>
                <w:tcPr>
                  <w:tcW w:w="3390" w:type="dxa"/>
                  <w:gridSpan w:val="2"/>
                  <w:tcBorders>
                    <w:tl2br w:val="nil"/>
                    <w:tr2bl w:val="nil"/>
                  </w:tcBorders>
                  <w:noWrap w:val="0"/>
                  <w:vAlign w:val="center"/>
                </w:tcPr>
                <w:p w14:paraId="6093A121">
                  <w:pPr>
                    <w:spacing w:after="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1.0mg/m³</w:t>
                  </w:r>
                </w:p>
              </w:tc>
            </w:tr>
          </w:tbl>
          <w:p w14:paraId="705AF7A5">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w:t>
            </w:r>
            <w:r>
              <w:rPr>
                <w:rFonts w:hint="default" w:ascii="Times New Roman" w:hAnsi="Times New Roman" w:cs="Times New Roman"/>
                <w:color w:val="auto"/>
                <w:kern w:val="0"/>
                <w:sz w:val="24"/>
                <w:szCs w:val="24"/>
                <w:highlight w:val="none"/>
                <w:lang w:val="en-US" w:eastAsia="zh-CN" w:bidi="ar-SA"/>
              </w:rPr>
              <w:t>2</w:t>
            </w:r>
            <w:r>
              <w:rPr>
                <w:rFonts w:hint="default" w:ascii="Times New Roman" w:hAnsi="Times New Roman" w:eastAsia="宋体" w:cs="Times New Roman"/>
                <w:color w:val="auto"/>
                <w:kern w:val="0"/>
                <w:sz w:val="24"/>
                <w:szCs w:val="24"/>
                <w:highlight w:val="none"/>
                <w:lang w:val="en-US" w:eastAsia="zh-CN" w:bidi="ar-SA"/>
              </w:rPr>
              <w:t>）</w:t>
            </w:r>
            <w:r>
              <w:rPr>
                <w:rFonts w:hint="default" w:ascii="Times New Roman" w:hAnsi="Times New Roman" w:cs="Times New Roman"/>
                <w:color w:val="auto"/>
                <w:kern w:val="0"/>
                <w:sz w:val="24"/>
                <w:szCs w:val="24"/>
                <w:highlight w:val="none"/>
                <w:lang w:val="en-US" w:eastAsia="zh-CN" w:bidi="ar-SA"/>
              </w:rPr>
              <w:t>噪声</w:t>
            </w:r>
          </w:p>
          <w:p w14:paraId="02C00B49">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本项目施工期噪声执行</w:t>
            </w:r>
            <w:r>
              <w:rPr>
                <w:rFonts w:hint="default" w:ascii="Times New Roman" w:hAnsi="Times New Roman" w:eastAsia="宋体" w:cs="Times New Roman"/>
                <w:color w:val="auto"/>
                <w:kern w:val="2"/>
                <w:sz w:val="24"/>
                <w:szCs w:val="24"/>
                <w:highlight w:val="none"/>
                <w:lang w:val="en-US" w:eastAsia="zh-CN" w:bidi="ar-SA"/>
              </w:rPr>
              <w:t>《建筑施工噪声排放标准》（GB12523-20</w:t>
            </w:r>
            <w:r>
              <w:rPr>
                <w:rFonts w:hint="default" w:ascii="Times New Roman" w:hAnsi="Times New Roman" w:cs="Times New Roman"/>
                <w:color w:val="auto"/>
                <w:kern w:val="2"/>
                <w:sz w:val="24"/>
                <w:szCs w:val="24"/>
                <w:highlight w:val="none"/>
                <w:lang w:val="en-US" w:eastAsia="zh-CN" w:bidi="ar-SA"/>
              </w:rPr>
              <w:t>25</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w:t>
            </w:r>
          </w:p>
          <w:p w14:paraId="08EB5776">
            <w:pPr>
              <w:adjustRightInd w:val="0"/>
              <w:jc w:val="center"/>
              <w:rPr>
                <w:rFonts w:hint="default" w:ascii="Times New Roman" w:hAnsi="Times New Roman" w:eastAsia="黑体" w:cs="Times New Roman"/>
                <w:color w:val="auto"/>
                <w:kern w:val="0"/>
                <w:sz w:val="24"/>
                <w:highlight w:val="none"/>
              </w:rPr>
            </w:pPr>
            <w:r>
              <w:rPr>
                <w:rFonts w:hint="default" w:ascii="Times New Roman" w:hAnsi="Times New Roman" w:eastAsia="黑体" w:cs="Times New Roman"/>
                <w:color w:val="auto"/>
                <w:kern w:val="0"/>
                <w:sz w:val="24"/>
                <w:highlight w:val="none"/>
              </w:rPr>
              <w:t>表</w:t>
            </w:r>
            <w:r>
              <w:rPr>
                <w:rFonts w:hint="default" w:ascii="Times New Roman" w:hAnsi="Times New Roman" w:eastAsia="黑体" w:cs="Times New Roman"/>
                <w:color w:val="auto"/>
                <w:kern w:val="0"/>
                <w:sz w:val="24"/>
                <w:highlight w:val="none"/>
                <w:lang w:val="en-US" w:eastAsia="zh-CN"/>
              </w:rPr>
              <w:t>3-1</w:t>
            </w:r>
            <w:r>
              <w:rPr>
                <w:rFonts w:hint="eastAsia" w:eastAsia="黑体" w:cs="Times New Roman"/>
                <w:color w:val="auto"/>
                <w:kern w:val="0"/>
                <w:sz w:val="24"/>
                <w:highlight w:val="none"/>
                <w:lang w:val="en-US" w:eastAsia="zh-CN"/>
              </w:rPr>
              <w:t>2</w:t>
            </w:r>
            <w:r>
              <w:rPr>
                <w:rFonts w:hint="default" w:ascii="Times New Roman" w:hAnsi="Times New Roman" w:eastAsia="黑体" w:cs="Times New Roman"/>
                <w:color w:val="auto"/>
                <w:kern w:val="0"/>
                <w:sz w:val="24"/>
                <w:highlight w:val="none"/>
              </w:rPr>
              <w:t xml:space="preserve">  本项目施工期噪声排放标准</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3985"/>
              <w:gridCol w:w="4235"/>
            </w:tblGrid>
            <w:tr w14:paraId="7C6368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837" w:type="dxa"/>
                  <w:tcBorders>
                    <w:tl2br w:val="nil"/>
                    <w:tr2bl w:val="nil"/>
                  </w:tcBorders>
                  <w:vAlign w:val="center"/>
                </w:tcPr>
                <w:p w14:paraId="3F5D590E">
                  <w:pPr>
                    <w:adjustRightInd w:val="0"/>
                    <w:snapToGrid w:val="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昼间/dB(A)</w:t>
                  </w:r>
                </w:p>
              </w:tc>
              <w:tc>
                <w:tcPr>
                  <w:tcW w:w="4078" w:type="dxa"/>
                  <w:tcBorders>
                    <w:tl2br w:val="nil"/>
                    <w:tr2bl w:val="nil"/>
                  </w:tcBorders>
                  <w:vAlign w:val="center"/>
                </w:tcPr>
                <w:p w14:paraId="32C03938">
                  <w:pPr>
                    <w:adjustRightInd w:val="0"/>
                    <w:snapToGrid w:val="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夜间/dB(A)</w:t>
                  </w:r>
                </w:p>
              </w:tc>
            </w:tr>
            <w:tr w14:paraId="486547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837" w:type="dxa"/>
                  <w:tcBorders>
                    <w:tl2br w:val="nil"/>
                    <w:tr2bl w:val="nil"/>
                  </w:tcBorders>
                  <w:vAlign w:val="center"/>
                </w:tcPr>
                <w:p w14:paraId="1BCD9951">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w:t>
                  </w:r>
                </w:p>
              </w:tc>
              <w:tc>
                <w:tcPr>
                  <w:tcW w:w="4078" w:type="dxa"/>
                  <w:tcBorders>
                    <w:tl2br w:val="nil"/>
                    <w:tr2bl w:val="nil"/>
                  </w:tcBorders>
                  <w:vAlign w:val="center"/>
                </w:tcPr>
                <w:p w14:paraId="5C881A5D">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55</w:t>
                  </w:r>
                </w:p>
              </w:tc>
            </w:tr>
          </w:tbl>
          <w:p w14:paraId="3DC9459C">
            <w:pPr>
              <w:numPr>
                <w:ilvl w:val="0"/>
                <w:numId w:val="3"/>
              </w:numPr>
              <w:adjustRightInd w:val="0"/>
              <w:spacing w:line="360" w:lineRule="auto"/>
              <w:ind w:left="0" w:leftChars="0" w:firstLine="480" w:firstLineChars="200"/>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固体废物</w:t>
            </w:r>
          </w:p>
          <w:p w14:paraId="4F9DD96F">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80" w:firstLineChars="200"/>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SA"/>
              </w:rPr>
              <w:t>施工期建筑垃圾、生活垃圾贮存清运过程应满足《中华人民共和国固体废物污染环境防治法》（2020年修订）中相关的环境保护要求。</w:t>
            </w:r>
          </w:p>
        </w:tc>
      </w:tr>
      <w:tr w14:paraId="0CB7D916">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0" w:hRule="atLeast"/>
          <w:jc w:val="center"/>
        </w:trPr>
        <w:tc>
          <w:tcPr>
            <w:tcW w:w="556" w:type="dxa"/>
            <w:tcBorders>
              <w:tl2br w:val="nil"/>
              <w:tr2bl w:val="nil"/>
            </w:tcBorders>
            <w:vAlign w:val="center"/>
          </w:tcPr>
          <w:p w14:paraId="13EC2B6F">
            <w:pPr>
              <w:adjustRightInd w:val="0"/>
              <w:snapToGrid w:val="0"/>
              <w:jc w:val="center"/>
              <w:rPr>
                <w:rFonts w:hint="default" w:ascii="Times New Roman" w:hAnsi="Times New Roman" w:eastAsia="仿宋_GB2312" w:cs="Times New Roman"/>
                <w:color w:val="auto"/>
                <w:kern w:val="0"/>
                <w:sz w:val="24"/>
                <w:highlight w:val="none"/>
                <w:lang w:eastAsia="zh-CN"/>
              </w:rPr>
            </w:pPr>
            <w:r>
              <w:rPr>
                <w:rFonts w:hint="default" w:ascii="Times New Roman" w:hAnsi="Times New Roman" w:cs="Times New Roman"/>
                <w:b/>
                <w:bCs/>
                <w:color w:val="auto"/>
                <w:kern w:val="0"/>
                <w:sz w:val="24"/>
                <w:highlight w:val="none"/>
                <w:lang w:eastAsia="zh-CN"/>
              </w:rPr>
              <w:t>其他</w:t>
            </w:r>
          </w:p>
        </w:tc>
        <w:tc>
          <w:tcPr>
            <w:tcW w:w="8434" w:type="dxa"/>
            <w:tcBorders>
              <w:tl2br w:val="nil"/>
              <w:tr2bl w:val="nil"/>
            </w:tcBorders>
            <w:vAlign w:val="center"/>
          </w:tcPr>
          <w:p w14:paraId="3C4E2248">
            <w:pPr>
              <w:adjustRightInd w:val="0"/>
              <w:snapToGrid w:val="0"/>
              <w:spacing w:before="120" w:beforeLines="50" w:line="360" w:lineRule="auto"/>
              <w:jc w:val="center"/>
              <w:rPr>
                <w:rFonts w:hint="default" w:ascii="Times New Roman" w:hAnsi="Times New Roman" w:eastAsia="仿宋_GB2312" w:cs="Times New Roman"/>
                <w:color w:val="auto"/>
                <w:kern w:val="0"/>
                <w:sz w:val="24"/>
                <w:highlight w:val="none"/>
                <w:lang w:eastAsia="zh-CN"/>
              </w:rPr>
            </w:pPr>
            <w:r>
              <w:rPr>
                <w:rFonts w:hint="default" w:ascii="Times New Roman" w:hAnsi="Times New Roman" w:eastAsia="宋体" w:cs="Times New Roman"/>
                <w:bCs/>
                <w:color w:val="auto"/>
                <w:spacing w:val="-10"/>
                <w:sz w:val="24"/>
                <w:highlight w:val="none"/>
                <w:lang w:val="en-US" w:eastAsia="zh-CN"/>
              </w:rPr>
              <w:t>无</w:t>
            </w:r>
          </w:p>
        </w:tc>
      </w:tr>
    </w:tbl>
    <w:p w14:paraId="248E5ACF">
      <w:pPr>
        <w:pStyle w:val="22"/>
        <w:keepNext w:val="0"/>
        <w:keepLines w:val="0"/>
        <w:pageBreakBefore w:val="0"/>
        <w:widowControl/>
        <w:kinsoku/>
        <w:wordWrap/>
        <w:overflowPunct/>
        <w:topLinePunct w:val="0"/>
        <w:autoSpaceDE/>
        <w:autoSpaceDN/>
        <w:bidi w:val="0"/>
        <w:adjustRightInd/>
        <w:snapToGrid w:val="0"/>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highlight w:val="none"/>
          <w:lang w:eastAsia="zh-CN"/>
        </w:rPr>
      </w:pPr>
      <w:r>
        <w:rPr>
          <w:rFonts w:hint="default" w:ascii="Times New Roman" w:hAnsi="Times New Roman" w:eastAsia="黑体" w:cs="Times New Roman"/>
          <w:snapToGrid w:val="0"/>
          <w:color w:val="auto"/>
          <w:sz w:val="36"/>
          <w:szCs w:val="36"/>
          <w:highlight w:val="none"/>
        </w:rPr>
        <w:br w:type="page"/>
      </w:r>
      <w:r>
        <w:rPr>
          <w:rFonts w:hint="default" w:ascii="Times New Roman" w:hAnsi="Times New Roman" w:eastAsia="黑体" w:cs="Times New Roman"/>
          <w:snapToGrid w:val="0"/>
          <w:color w:val="auto"/>
          <w:sz w:val="30"/>
          <w:szCs w:val="30"/>
          <w:highlight w:val="none"/>
        </w:rPr>
        <w:t>四、</w:t>
      </w:r>
      <w:r>
        <w:rPr>
          <w:rFonts w:hint="default" w:ascii="Times New Roman" w:hAnsi="Times New Roman" w:eastAsia="黑体" w:cs="Times New Roman"/>
          <w:snapToGrid w:val="0"/>
          <w:color w:val="auto"/>
          <w:sz w:val="30"/>
          <w:szCs w:val="30"/>
          <w:highlight w:val="none"/>
          <w:lang w:eastAsia="zh-CN"/>
        </w:rPr>
        <w:t>生态环境影响分析</w:t>
      </w: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344"/>
        <w:gridCol w:w="8564"/>
      </w:tblGrid>
      <w:tr w14:paraId="146D2B02">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0" w:hRule="atLeast"/>
          <w:jc w:val="center"/>
        </w:trPr>
        <w:tc>
          <w:tcPr>
            <w:tcW w:w="344" w:type="dxa"/>
            <w:tcBorders>
              <w:tl2br w:val="nil"/>
              <w:tr2bl w:val="nil"/>
            </w:tcBorders>
            <w:tcMar>
              <w:left w:w="28" w:type="dxa"/>
              <w:right w:w="28" w:type="dxa"/>
            </w:tcMar>
            <w:vAlign w:val="center"/>
          </w:tcPr>
          <w:p w14:paraId="220E7510">
            <w:pPr>
              <w:pStyle w:val="22"/>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r>
              <w:rPr>
                <w:rFonts w:hint="default" w:ascii="Times New Roman" w:hAnsi="Times New Roman" w:cs="Times New Roman"/>
                <w:b/>
                <w:bCs/>
                <w:color w:val="auto"/>
                <w:kern w:val="2"/>
                <w:szCs w:val="24"/>
                <w:highlight w:val="none"/>
                <w:lang w:eastAsia="zh-CN"/>
              </w:rPr>
              <w:t>施工期</w:t>
            </w:r>
            <w:r>
              <w:rPr>
                <w:rFonts w:hint="default" w:ascii="Times New Roman" w:hAnsi="Times New Roman" w:eastAsia="宋体" w:cs="Times New Roman"/>
                <w:b/>
                <w:bCs/>
                <w:color w:val="auto"/>
                <w:kern w:val="2"/>
                <w:szCs w:val="24"/>
                <w:highlight w:val="none"/>
                <w:lang w:eastAsia="zh-CN"/>
              </w:rPr>
              <w:t>生态环境影响分析</w:t>
            </w:r>
          </w:p>
        </w:tc>
        <w:tc>
          <w:tcPr>
            <w:tcW w:w="8564" w:type="dxa"/>
            <w:tcBorders>
              <w:tl2br w:val="nil"/>
              <w:tr2bl w:val="nil"/>
            </w:tcBorders>
            <w:vAlign w:val="center"/>
          </w:tcPr>
          <w:p w14:paraId="0C20DE8C">
            <w:pPr>
              <w:adjustRightInd w:val="0"/>
              <w:spacing w:line="360" w:lineRule="auto"/>
              <w:ind w:firstLine="480" w:firstLineChars="200"/>
              <w:rPr>
                <w:rFonts w:hint="default" w:ascii="Times New Roman" w:hAnsi="Times New Roman" w:eastAsia="黑体" w:cs="Times New Roman"/>
                <w:b w:val="0"/>
                <w:bCs w:val="0"/>
                <w:color w:val="auto"/>
                <w:kern w:val="0"/>
                <w:sz w:val="24"/>
                <w:szCs w:val="24"/>
                <w:highlight w:val="none"/>
                <w:lang w:val="en-US" w:eastAsia="zh-CN" w:bidi="ar-SA"/>
              </w:rPr>
            </w:pPr>
            <w:r>
              <w:rPr>
                <w:rFonts w:hint="default" w:ascii="Times New Roman" w:hAnsi="Times New Roman" w:eastAsia="黑体" w:cs="Times New Roman"/>
                <w:b w:val="0"/>
                <w:bCs w:val="0"/>
                <w:color w:val="auto"/>
                <w:kern w:val="0"/>
                <w:sz w:val="24"/>
                <w:szCs w:val="24"/>
                <w:highlight w:val="none"/>
                <w:lang w:val="en-US" w:eastAsia="zh-CN" w:bidi="ar-SA"/>
              </w:rPr>
              <w:t>1、生态环境影响分析</w:t>
            </w:r>
          </w:p>
          <w:p w14:paraId="256B5744">
            <w:pPr>
              <w:adjustRightInd w:val="0"/>
              <w:spacing w:line="360" w:lineRule="auto"/>
              <w:ind w:firstLine="480" w:firstLineChars="200"/>
              <w:rPr>
                <w:rFonts w:hint="default" w:ascii="Times New Roman" w:hAnsi="Times New Roman" w:eastAsia="黑体" w:cs="Times New Roman"/>
                <w:b w:val="0"/>
                <w:bCs w:val="0"/>
                <w:color w:val="auto"/>
                <w:kern w:val="0"/>
                <w:sz w:val="24"/>
                <w:szCs w:val="24"/>
                <w:highlight w:val="none"/>
                <w:lang w:val="en-US" w:eastAsia="zh-CN" w:bidi="ar-SA"/>
              </w:rPr>
            </w:pPr>
            <w:r>
              <w:rPr>
                <w:rFonts w:hint="eastAsia" w:eastAsia="黑体" w:cs="Times New Roman"/>
                <w:b w:val="0"/>
                <w:bCs w:val="0"/>
                <w:color w:val="auto"/>
                <w:kern w:val="0"/>
                <w:sz w:val="24"/>
                <w:szCs w:val="24"/>
                <w:highlight w:val="none"/>
                <w:lang w:val="en-US" w:eastAsia="zh-CN" w:bidi="ar-SA"/>
              </w:rPr>
              <w:t>1.1</w:t>
            </w:r>
            <w:r>
              <w:rPr>
                <w:rFonts w:hint="default" w:ascii="Times New Roman" w:hAnsi="Times New Roman" w:eastAsia="黑体" w:cs="Times New Roman"/>
                <w:b w:val="0"/>
                <w:bCs w:val="0"/>
                <w:color w:val="auto"/>
                <w:kern w:val="0"/>
                <w:sz w:val="24"/>
                <w:szCs w:val="24"/>
                <w:highlight w:val="none"/>
                <w:lang w:val="en-US" w:eastAsia="zh-CN" w:bidi="ar-SA"/>
              </w:rPr>
              <w:t>土地利用的影响分析</w:t>
            </w:r>
          </w:p>
          <w:p w14:paraId="42A0CEB3">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本项目在原沟道范围内建设，</w:t>
            </w:r>
            <w:r>
              <w:rPr>
                <w:rFonts w:hint="eastAsia" w:cs="Times New Roman"/>
                <w:color w:val="auto"/>
                <w:kern w:val="0"/>
                <w:sz w:val="24"/>
                <w:szCs w:val="24"/>
                <w:highlight w:val="none"/>
                <w:lang w:val="en-US" w:eastAsia="zh-CN" w:bidi="ar-SA"/>
              </w:rPr>
              <w:t>施工区严格控制在原有沟道范围内，</w:t>
            </w:r>
            <w:r>
              <w:rPr>
                <w:rFonts w:hint="default" w:ascii="Times New Roman" w:hAnsi="Times New Roman" w:eastAsia="宋体" w:cs="Times New Roman"/>
                <w:color w:val="auto"/>
                <w:kern w:val="0"/>
                <w:sz w:val="24"/>
                <w:szCs w:val="24"/>
                <w:highlight w:val="none"/>
                <w:lang w:val="en-US" w:eastAsia="zh-CN" w:bidi="ar-SA"/>
              </w:rPr>
              <w:t>无新增永久占地</w:t>
            </w:r>
            <w:r>
              <w:rPr>
                <w:rFonts w:hint="eastAsia" w:cs="Times New Roman"/>
                <w:color w:val="auto"/>
                <w:kern w:val="0"/>
                <w:sz w:val="24"/>
                <w:szCs w:val="24"/>
                <w:highlight w:val="none"/>
                <w:vertAlign w:val="baseline"/>
                <w:lang w:val="en-US" w:eastAsia="zh-CN" w:bidi="ar-SA"/>
              </w:rPr>
              <w:t>；由于项目沟道清淤及岸坡砌护分段实施，因此结合工程分段情况，在全程设置6处临时施工营地，总</w:t>
            </w:r>
            <w:r>
              <w:rPr>
                <w:rFonts w:hint="default" w:ascii="Times New Roman" w:hAnsi="Times New Roman" w:cs="Times New Roman"/>
                <w:color w:val="auto"/>
                <w:kern w:val="0"/>
                <w:sz w:val="24"/>
                <w:szCs w:val="24"/>
                <w:highlight w:val="none"/>
                <w:vertAlign w:val="baseline"/>
                <w:lang w:val="en-US" w:eastAsia="zh-CN" w:bidi="ar-SA"/>
              </w:rPr>
              <w:t>占地面积22800m²，占地类型</w:t>
            </w:r>
            <w:r>
              <w:rPr>
                <w:rFonts w:hint="eastAsia" w:cs="Times New Roman"/>
                <w:color w:val="auto"/>
                <w:kern w:val="0"/>
                <w:sz w:val="24"/>
                <w:szCs w:val="24"/>
                <w:highlight w:val="none"/>
                <w:vertAlign w:val="baseline"/>
                <w:lang w:val="en-US" w:eastAsia="zh-CN" w:bidi="ar-SA"/>
              </w:rPr>
              <w:t>主要包括草地及荒地</w:t>
            </w:r>
            <w:r>
              <w:rPr>
                <w:rFonts w:hint="default" w:ascii="Times New Roman" w:hAnsi="Times New Roman" w:cs="Times New Roman"/>
                <w:color w:val="auto"/>
                <w:kern w:val="0"/>
                <w:sz w:val="24"/>
                <w:szCs w:val="24"/>
                <w:highlight w:val="none"/>
                <w:vertAlign w:val="baseline"/>
                <w:lang w:val="en-US" w:eastAsia="zh-CN" w:bidi="ar-SA"/>
              </w:rPr>
              <w:t>。</w:t>
            </w:r>
            <w:r>
              <w:rPr>
                <w:rFonts w:hint="default" w:ascii="Times New Roman" w:hAnsi="Times New Roman" w:cs="Times New Roman"/>
                <w:color w:val="auto"/>
                <w:kern w:val="0"/>
                <w:sz w:val="24"/>
                <w:szCs w:val="24"/>
                <w:highlight w:val="none"/>
                <w:lang w:val="en-US" w:eastAsia="zh-CN" w:bidi="ar-SA"/>
              </w:rPr>
              <w:t>项目结束后对临时施工</w:t>
            </w:r>
            <w:r>
              <w:rPr>
                <w:rFonts w:hint="eastAsia" w:cs="Times New Roman"/>
                <w:color w:val="auto"/>
                <w:kern w:val="0"/>
                <w:sz w:val="24"/>
                <w:szCs w:val="24"/>
                <w:highlight w:val="none"/>
                <w:lang w:val="en-US" w:eastAsia="zh-CN" w:bidi="ar-SA"/>
              </w:rPr>
              <w:t>营地占地</w:t>
            </w:r>
            <w:r>
              <w:rPr>
                <w:rFonts w:hint="default" w:ascii="Times New Roman" w:hAnsi="Times New Roman" w:cs="Times New Roman"/>
                <w:color w:val="auto"/>
                <w:kern w:val="0"/>
                <w:sz w:val="24"/>
                <w:szCs w:val="24"/>
                <w:highlight w:val="none"/>
                <w:lang w:val="en-US" w:eastAsia="zh-CN" w:bidi="ar-SA"/>
              </w:rPr>
              <w:t>进行生态恢复，恢复原有</w:t>
            </w:r>
            <w:r>
              <w:rPr>
                <w:rFonts w:hint="eastAsia" w:cs="Times New Roman"/>
                <w:color w:val="auto"/>
                <w:kern w:val="0"/>
                <w:sz w:val="24"/>
                <w:szCs w:val="24"/>
                <w:highlight w:val="none"/>
                <w:lang w:val="en-US" w:eastAsia="zh-CN" w:bidi="ar-SA"/>
              </w:rPr>
              <w:t>土地类型及使用功能</w:t>
            </w:r>
            <w:r>
              <w:rPr>
                <w:rFonts w:hint="default" w:ascii="Times New Roman" w:hAnsi="Times New Roman" w:cs="Times New Roman"/>
                <w:color w:val="auto"/>
                <w:kern w:val="0"/>
                <w:sz w:val="24"/>
                <w:szCs w:val="24"/>
                <w:highlight w:val="none"/>
                <w:lang w:val="en-US" w:eastAsia="zh-CN" w:bidi="ar-SA"/>
              </w:rPr>
              <w:t>。</w:t>
            </w:r>
          </w:p>
          <w:p w14:paraId="1BAE1442">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因此本项目对土地利用的影响较小</w:t>
            </w:r>
            <w:r>
              <w:rPr>
                <w:rFonts w:hint="default" w:ascii="Times New Roman" w:hAnsi="Times New Roman" w:eastAsia="宋体" w:cs="Times New Roman"/>
                <w:color w:val="auto"/>
                <w:kern w:val="0"/>
                <w:sz w:val="24"/>
                <w:szCs w:val="24"/>
                <w:highlight w:val="none"/>
                <w:lang w:val="en-US" w:eastAsia="zh-CN" w:bidi="ar-SA"/>
              </w:rPr>
              <w:t>。</w:t>
            </w:r>
          </w:p>
          <w:p w14:paraId="26700BEE">
            <w:pPr>
              <w:adjustRightInd w:val="0"/>
              <w:spacing w:line="360" w:lineRule="auto"/>
              <w:ind w:firstLine="480" w:firstLineChars="200"/>
              <w:rPr>
                <w:rFonts w:hint="default" w:ascii="Times New Roman" w:hAnsi="Times New Roman" w:eastAsia="黑体" w:cs="Times New Roman"/>
                <w:b w:val="0"/>
                <w:bCs w:val="0"/>
                <w:color w:val="auto"/>
                <w:kern w:val="0"/>
                <w:sz w:val="24"/>
                <w:szCs w:val="24"/>
                <w:highlight w:val="none"/>
                <w:lang w:val="en-US" w:eastAsia="zh-CN" w:bidi="ar-SA"/>
              </w:rPr>
            </w:pPr>
            <w:bookmarkStart w:id="4" w:name="_Toc15991"/>
            <w:bookmarkStart w:id="5" w:name="_Toc15363633"/>
            <w:r>
              <w:rPr>
                <w:rFonts w:hint="eastAsia" w:eastAsia="黑体" w:cs="Times New Roman"/>
                <w:b w:val="0"/>
                <w:bCs w:val="0"/>
                <w:color w:val="auto"/>
                <w:kern w:val="0"/>
                <w:sz w:val="24"/>
                <w:szCs w:val="24"/>
                <w:highlight w:val="none"/>
                <w:lang w:val="en-US" w:eastAsia="zh-CN" w:bidi="ar-SA"/>
              </w:rPr>
              <w:t>1.2</w:t>
            </w:r>
            <w:r>
              <w:rPr>
                <w:rFonts w:hint="default" w:ascii="Times New Roman" w:hAnsi="Times New Roman" w:eastAsia="黑体" w:cs="Times New Roman"/>
                <w:b w:val="0"/>
                <w:bCs w:val="0"/>
                <w:color w:val="auto"/>
                <w:kern w:val="0"/>
                <w:sz w:val="24"/>
                <w:szCs w:val="24"/>
                <w:highlight w:val="none"/>
                <w:lang w:val="en-US" w:eastAsia="zh-CN" w:bidi="ar-SA"/>
              </w:rPr>
              <w:t>对植被的影响</w:t>
            </w:r>
            <w:bookmarkEnd w:id="4"/>
            <w:r>
              <w:rPr>
                <w:rFonts w:hint="default" w:ascii="Times New Roman" w:hAnsi="Times New Roman" w:eastAsia="黑体" w:cs="Times New Roman"/>
                <w:b w:val="0"/>
                <w:bCs w:val="0"/>
                <w:color w:val="auto"/>
                <w:kern w:val="0"/>
                <w:sz w:val="24"/>
                <w:szCs w:val="24"/>
                <w:highlight w:val="none"/>
                <w:lang w:val="en-US" w:eastAsia="zh-CN" w:bidi="ar-SA"/>
              </w:rPr>
              <w:t>分析</w:t>
            </w:r>
          </w:p>
          <w:bookmarkEnd w:id="5"/>
          <w:p w14:paraId="7D975DFF">
            <w:pPr>
              <w:adjustRightInd w:val="0"/>
              <w:spacing w:line="360" w:lineRule="auto"/>
              <w:ind w:firstLine="482" w:firstLineChars="200"/>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eastAsia="zh-CN"/>
              </w:rPr>
              <w:t>（</w:t>
            </w:r>
            <w:r>
              <w:rPr>
                <w:rFonts w:hint="eastAsia" w:cs="Times New Roman"/>
                <w:b/>
                <w:bCs/>
                <w:color w:val="auto"/>
                <w:sz w:val="24"/>
                <w:szCs w:val="24"/>
                <w:highlight w:val="none"/>
                <w:lang w:val="en-US" w:eastAsia="zh-CN"/>
              </w:rPr>
              <w:t>1</w:t>
            </w:r>
            <w:r>
              <w:rPr>
                <w:rFonts w:hint="eastAsia" w:cs="Times New Roman"/>
                <w:b/>
                <w:bCs/>
                <w:color w:val="auto"/>
                <w:sz w:val="24"/>
                <w:szCs w:val="24"/>
                <w:highlight w:val="none"/>
                <w:lang w:eastAsia="zh-CN"/>
              </w:rPr>
              <w:t>）</w:t>
            </w:r>
            <w:r>
              <w:rPr>
                <w:rFonts w:hint="eastAsia" w:cs="Times New Roman"/>
                <w:b/>
                <w:bCs/>
                <w:color w:val="auto"/>
                <w:sz w:val="24"/>
                <w:szCs w:val="24"/>
                <w:highlight w:val="none"/>
                <w:lang w:val="en-US" w:eastAsia="zh-CN"/>
              </w:rPr>
              <w:t>对陆生植被的影响分析</w:t>
            </w:r>
          </w:p>
          <w:p w14:paraId="4D4BFBBB">
            <w:pPr>
              <w:adjustRightInd w:val="0"/>
              <w:spacing w:line="360" w:lineRule="auto"/>
              <w:ind w:firstLine="480" w:firstLineChars="200"/>
              <w:rPr>
                <w:rFonts w:hint="eastAsia"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结合工程特点分析，工程对</w:t>
            </w:r>
            <w:r>
              <w:rPr>
                <w:rFonts w:hint="eastAsia" w:cs="Times New Roman"/>
                <w:color w:val="auto"/>
                <w:sz w:val="24"/>
                <w:szCs w:val="24"/>
                <w:highlight w:val="none"/>
                <w:lang w:val="en-US" w:eastAsia="zh-CN"/>
              </w:rPr>
              <w:t>陆生</w:t>
            </w:r>
            <w:r>
              <w:rPr>
                <w:rFonts w:hint="default" w:ascii="Times New Roman" w:hAnsi="Times New Roman" w:eastAsia="宋体" w:cs="Times New Roman"/>
                <w:color w:val="auto"/>
                <w:sz w:val="24"/>
                <w:szCs w:val="24"/>
                <w:highlight w:val="none"/>
              </w:rPr>
              <w:t>植被的影响主要来源于</w:t>
            </w:r>
            <w:r>
              <w:rPr>
                <w:rFonts w:hint="eastAsia" w:cs="Times New Roman"/>
                <w:color w:val="auto"/>
                <w:sz w:val="24"/>
                <w:szCs w:val="24"/>
                <w:highlight w:val="none"/>
                <w:lang w:val="en-US" w:eastAsia="zh-CN"/>
              </w:rPr>
              <w:t>岸坡砌护、巡护道路建设工程施工以及</w:t>
            </w:r>
            <w:r>
              <w:rPr>
                <w:rFonts w:hint="default" w:ascii="Times New Roman" w:hAnsi="Times New Roman" w:eastAsia="宋体" w:cs="Times New Roman"/>
                <w:color w:val="auto"/>
                <w:sz w:val="24"/>
                <w:szCs w:val="24"/>
                <w:highlight w:val="none"/>
                <w:lang w:val="en-US" w:eastAsia="zh-CN"/>
              </w:rPr>
              <w:t>临时施工营地占地</w:t>
            </w:r>
            <w:r>
              <w:rPr>
                <w:rFonts w:hint="eastAsia" w:cs="Times New Roman"/>
                <w:color w:val="auto"/>
                <w:sz w:val="24"/>
                <w:szCs w:val="24"/>
                <w:highlight w:val="none"/>
                <w:lang w:val="en-US" w:eastAsia="zh-CN"/>
              </w:rPr>
              <w:t>等环节</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具体影响如下：</w:t>
            </w:r>
          </w:p>
          <w:p w14:paraId="06E93F0D">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eastAsia" w:cs="Times New Roman"/>
                <w:color w:val="auto"/>
                <w:sz w:val="24"/>
                <w:szCs w:val="24"/>
                <w:highlight w:val="none"/>
                <w:lang w:val="en-US" w:eastAsia="zh-CN"/>
              </w:rPr>
              <w:t>①</w:t>
            </w:r>
            <w:r>
              <w:rPr>
                <w:rFonts w:hint="eastAsia" w:cs="Times New Roman"/>
                <w:color w:val="auto"/>
                <w:kern w:val="0"/>
                <w:sz w:val="24"/>
                <w:szCs w:val="24"/>
                <w:highlight w:val="none"/>
                <w:lang w:val="en-US" w:eastAsia="zh-CN" w:bidi="ar-SA"/>
              </w:rPr>
              <w:t>边坡砌护对植被的影响</w:t>
            </w:r>
            <w:r>
              <w:rPr>
                <w:rFonts w:hint="eastAsia" w:cs="Times New Roman"/>
                <w:color w:val="auto"/>
                <w:sz w:val="24"/>
                <w:szCs w:val="24"/>
                <w:highlight w:val="none"/>
                <w:lang w:val="en-US" w:eastAsia="zh-CN"/>
              </w:rPr>
              <w:t>主要表现为边坡砌护工程实施过程中，现状沟道内边坡上生长的植被会随着边坡修整被清除，对沟道边坡的植被造成不可逆的影响，根据现状调查，项目所在区域陆生植被主要为当地常见植被，</w:t>
            </w:r>
            <w:r>
              <w:rPr>
                <w:rFonts w:hint="default" w:ascii="Times New Roman" w:hAnsi="Times New Roman" w:eastAsia="宋体" w:cs="Times New Roman"/>
                <w:color w:val="auto"/>
                <w:kern w:val="0"/>
                <w:sz w:val="24"/>
                <w:szCs w:val="24"/>
                <w:highlight w:val="none"/>
                <w:lang w:val="en-US" w:eastAsia="zh-CN" w:bidi="ar-SA"/>
              </w:rPr>
              <w:t>以茭蒿为主，伴生其他旱生草本植物，如</w:t>
            </w:r>
            <w:r>
              <w:rPr>
                <w:rFonts w:hint="default" w:ascii="Times New Roman" w:hAnsi="Times New Roman" w:cs="Times New Roman"/>
                <w:color w:val="auto"/>
                <w:kern w:val="0"/>
                <w:sz w:val="24"/>
                <w:szCs w:val="24"/>
                <w:highlight w:val="none"/>
                <w:lang w:val="en-US" w:eastAsia="zh-CN" w:bidi="ar-SA"/>
              </w:rPr>
              <w:t>冰草</w:t>
            </w:r>
            <w:r>
              <w:rPr>
                <w:rFonts w:hint="default" w:ascii="Times New Roman" w:hAnsi="Times New Roman" w:eastAsia="宋体" w:cs="Times New Roman"/>
                <w:color w:val="auto"/>
                <w:kern w:val="0"/>
                <w:sz w:val="24"/>
                <w:szCs w:val="24"/>
                <w:highlight w:val="none"/>
                <w:lang w:val="en-US" w:eastAsia="zh-CN" w:bidi="ar-SA"/>
              </w:rPr>
              <w:t>、冷蒿等</w:t>
            </w:r>
            <w:r>
              <w:rPr>
                <w:rFonts w:hint="eastAsia"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无国家和宁夏回族自治区保护的珍稀濒危植物物种、古树名木、特有植物和独特的资源植物</w:t>
            </w:r>
            <w:r>
              <w:rPr>
                <w:rFonts w:hint="eastAsia" w:cs="Times New Roman"/>
                <w:color w:val="auto"/>
                <w:kern w:val="0"/>
                <w:sz w:val="24"/>
                <w:szCs w:val="24"/>
                <w:highlight w:val="none"/>
                <w:lang w:val="en-US" w:eastAsia="zh-CN" w:bidi="ar-SA"/>
              </w:rPr>
              <w:t>。</w:t>
            </w:r>
            <w:r>
              <w:rPr>
                <w:rFonts w:hint="eastAsia" w:cs="Times New Roman"/>
                <w:color w:val="auto"/>
                <w:sz w:val="24"/>
                <w:szCs w:val="24"/>
                <w:highlight w:val="none"/>
                <w:lang w:val="en-US" w:eastAsia="zh-CN"/>
              </w:rPr>
              <w:t>根据目前已治理沟道经验可知，后续随着采取撒播种草措施后，植被能得到恢复，因此对高崖沟整体植被影响较小。</w:t>
            </w:r>
          </w:p>
          <w:p w14:paraId="19D83B0B">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eastAsia" w:cs="Times New Roman"/>
                <w:color w:val="auto"/>
                <w:kern w:val="0"/>
                <w:sz w:val="24"/>
                <w:szCs w:val="24"/>
                <w:highlight w:val="none"/>
                <w:lang w:val="en-US" w:eastAsia="zh-CN" w:bidi="ar-SA"/>
              </w:rPr>
              <w:t>②巡护道路施工对植被的影响</w:t>
            </w:r>
            <w:r>
              <w:rPr>
                <w:rFonts w:hint="eastAsia" w:cs="Times New Roman"/>
                <w:color w:val="auto"/>
                <w:sz w:val="24"/>
                <w:szCs w:val="24"/>
                <w:highlight w:val="none"/>
                <w:lang w:val="en-US" w:eastAsia="zh-CN"/>
              </w:rPr>
              <w:t>主要表现为道路清基过程中，现有植被会被清除，对沟道边坡的植被造成不可逆的影响，根据现状调查，项目所在区域陆生植被主要为当地常见植被，</w:t>
            </w:r>
            <w:r>
              <w:rPr>
                <w:rFonts w:hint="default" w:ascii="Times New Roman" w:hAnsi="Times New Roman" w:eastAsia="宋体" w:cs="Times New Roman"/>
                <w:color w:val="auto"/>
                <w:kern w:val="0"/>
                <w:sz w:val="24"/>
                <w:szCs w:val="24"/>
                <w:highlight w:val="none"/>
                <w:lang w:val="en-US" w:eastAsia="zh-CN" w:bidi="ar-SA"/>
              </w:rPr>
              <w:t>以茭蒿为主，伴生其他旱生草本植物，如</w:t>
            </w:r>
            <w:r>
              <w:rPr>
                <w:rFonts w:hint="default" w:ascii="Times New Roman" w:hAnsi="Times New Roman" w:cs="Times New Roman"/>
                <w:color w:val="auto"/>
                <w:kern w:val="0"/>
                <w:sz w:val="24"/>
                <w:szCs w:val="24"/>
                <w:highlight w:val="none"/>
                <w:lang w:val="en-US" w:eastAsia="zh-CN" w:bidi="ar-SA"/>
              </w:rPr>
              <w:t>冰草</w:t>
            </w:r>
            <w:r>
              <w:rPr>
                <w:rFonts w:hint="default" w:ascii="Times New Roman" w:hAnsi="Times New Roman" w:eastAsia="宋体" w:cs="Times New Roman"/>
                <w:color w:val="auto"/>
                <w:kern w:val="0"/>
                <w:sz w:val="24"/>
                <w:szCs w:val="24"/>
                <w:highlight w:val="none"/>
                <w:lang w:val="en-US" w:eastAsia="zh-CN" w:bidi="ar-SA"/>
              </w:rPr>
              <w:t>、冷蒿等</w:t>
            </w:r>
            <w:r>
              <w:rPr>
                <w:rFonts w:hint="eastAsia"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无国家和宁夏回族自治区保护的珍稀濒危植物物种、古树名木、特有植物和独特的资源植物</w:t>
            </w:r>
            <w:r>
              <w:rPr>
                <w:rFonts w:hint="eastAsia" w:cs="Times New Roman"/>
                <w:color w:val="auto"/>
                <w:kern w:val="0"/>
                <w:sz w:val="24"/>
                <w:szCs w:val="24"/>
                <w:highlight w:val="none"/>
                <w:lang w:val="en-US" w:eastAsia="zh-CN" w:bidi="ar-SA"/>
              </w:rPr>
              <w:t>。</w:t>
            </w:r>
            <w:r>
              <w:rPr>
                <w:rFonts w:hint="eastAsia" w:cs="Times New Roman"/>
                <w:color w:val="auto"/>
                <w:sz w:val="24"/>
                <w:szCs w:val="24"/>
                <w:highlight w:val="none"/>
                <w:lang w:val="en-US" w:eastAsia="zh-CN"/>
              </w:rPr>
              <w:t>根据目前已治理沟道经验可知，后续随着采取撒播种草措施后，植被能得到恢复，因此对周边植被影响较小。</w:t>
            </w:r>
          </w:p>
          <w:p w14:paraId="793E8C5B">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eastAsia" w:cs="Times New Roman"/>
                <w:color w:val="auto"/>
                <w:kern w:val="0"/>
                <w:sz w:val="24"/>
                <w:szCs w:val="24"/>
                <w:highlight w:val="none"/>
                <w:lang w:val="en-US" w:eastAsia="zh-CN" w:bidi="ar-SA"/>
              </w:rPr>
              <w:t>③临时工程对植被的影响</w:t>
            </w:r>
            <w:r>
              <w:rPr>
                <w:rFonts w:hint="eastAsia" w:cs="Times New Roman"/>
                <w:color w:val="auto"/>
                <w:sz w:val="24"/>
                <w:szCs w:val="24"/>
                <w:highlight w:val="none"/>
                <w:lang w:val="en-US" w:eastAsia="zh-CN"/>
              </w:rPr>
              <w:t>主要表现为临时施工营地会占用部分草地及荒地，施工区会对现状植被造成破坏，要求施工结束后进行撒播种草生态恢复，随着采取撒播种草措施后，植被能得到恢复，因此对高崖沟整体植被影响较小。</w:t>
            </w:r>
          </w:p>
          <w:p w14:paraId="03805CA6">
            <w:pPr>
              <w:adjustRightInd w:val="0"/>
              <w:spacing w:line="360" w:lineRule="auto"/>
              <w:ind w:firstLine="482" w:firstLineChars="200"/>
              <w:rPr>
                <w:rFonts w:hint="default" w:ascii="Times New Roman" w:hAnsi="Times New Roman" w:eastAsia="宋体" w:cs="Times New Roman"/>
                <w:b/>
                <w:bCs/>
                <w:color w:val="auto"/>
                <w:sz w:val="24"/>
                <w:szCs w:val="24"/>
                <w:highlight w:val="none"/>
                <w:lang w:val="en-US" w:eastAsia="zh-CN"/>
              </w:rPr>
            </w:pPr>
            <w:bookmarkStart w:id="6" w:name="_Toc13377_WPSOffice_Level1"/>
            <w:bookmarkStart w:id="7" w:name="_Toc15363634"/>
            <w:bookmarkStart w:id="8" w:name="_Toc18993"/>
            <w:r>
              <w:rPr>
                <w:rFonts w:hint="eastAsia" w:cs="Times New Roman"/>
                <w:b/>
                <w:bCs/>
                <w:color w:val="auto"/>
                <w:sz w:val="24"/>
                <w:szCs w:val="24"/>
                <w:highlight w:val="none"/>
                <w:lang w:eastAsia="zh-CN"/>
              </w:rPr>
              <w:t>（</w:t>
            </w:r>
            <w:r>
              <w:rPr>
                <w:rFonts w:hint="eastAsia" w:cs="Times New Roman"/>
                <w:b/>
                <w:bCs/>
                <w:color w:val="auto"/>
                <w:sz w:val="24"/>
                <w:szCs w:val="24"/>
                <w:highlight w:val="none"/>
                <w:lang w:val="en-US" w:eastAsia="zh-CN"/>
              </w:rPr>
              <w:t>2</w:t>
            </w:r>
            <w:r>
              <w:rPr>
                <w:rFonts w:hint="eastAsia" w:cs="Times New Roman"/>
                <w:b/>
                <w:bCs/>
                <w:color w:val="auto"/>
                <w:sz w:val="24"/>
                <w:szCs w:val="24"/>
                <w:highlight w:val="none"/>
                <w:lang w:eastAsia="zh-CN"/>
              </w:rPr>
              <w:t>）</w:t>
            </w:r>
            <w:r>
              <w:rPr>
                <w:rFonts w:hint="eastAsia" w:cs="Times New Roman"/>
                <w:b/>
                <w:bCs/>
                <w:color w:val="auto"/>
                <w:sz w:val="24"/>
                <w:szCs w:val="24"/>
                <w:highlight w:val="none"/>
                <w:lang w:val="en-US" w:eastAsia="zh-CN"/>
              </w:rPr>
              <w:t>对水生植被的影响分析</w:t>
            </w:r>
          </w:p>
          <w:p w14:paraId="3C0B091F">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sz w:val="24"/>
                <w:szCs w:val="24"/>
                <w:highlight w:val="none"/>
              </w:rPr>
              <w:t>结合工程特点分析，工程对</w:t>
            </w:r>
            <w:r>
              <w:rPr>
                <w:rFonts w:hint="eastAsia" w:cs="Times New Roman"/>
                <w:color w:val="auto"/>
                <w:sz w:val="24"/>
                <w:szCs w:val="24"/>
                <w:highlight w:val="none"/>
                <w:lang w:val="en-US" w:eastAsia="zh-CN"/>
              </w:rPr>
              <w:t>水生</w:t>
            </w:r>
            <w:r>
              <w:rPr>
                <w:rFonts w:hint="default" w:ascii="Times New Roman" w:hAnsi="Times New Roman" w:eastAsia="宋体" w:cs="Times New Roman"/>
                <w:color w:val="auto"/>
                <w:sz w:val="24"/>
                <w:szCs w:val="24"/>
                <w:highlight w:val="none"/>
              </w:rPr>
              <w:t>植被的影响主要来源于</w:t>
            </w:r>
            <w:r>
              <w:rPr>
                <w:rFonts w:hint="eastAsia" w:cs="Times New Roman"/>
                <w:color w:val="auto"/>
                <w:sz w:val="24"/>
                <w:szCs w:val="24"/>
                <w:highlight w:val="none"/>
                <w:lang w:val="en-US" w:eastAsia="zh-CN"/>
              </w:rPr>
              <w:t>沟道清淤环节</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沟道清淤对植物的影响主要表现为清淤过程中，现状沟道内生长在淤积底泥上的植被会随着淤泥一并被挖出，对沟道内的植被造成不可逆的影响，根据现状调查，项目所在区域陆生植被主要为当地常见植被，</w:t>
            </w:r>
            <w:r>
              <w:rPr>
                <w:rFonts w:hint="eastAsia" w:cs="Times New Roman"/>
                <w:color w:val="auto"/>
                <w:kern w:val="0"/>
                <w:sz w:val="24"/>
                <w:szCs w:val="24"/>
                <w:highlight w:val="none"/>
                <w:lang w:val="en-US" w:eastAsia="zh-CN" w:bidi="ar-SA"/>
              </w:rPr>
              <w:t>以芦苇、香蒲为主，伴生金鱼藻、黑藻等其他藻类植被，</w:t>
            </w:r>
            <w:r>
              <w:rPr>
                <w:rFonts w:hint="default" w:ascii="Times New Roman" w:hAnsi="Times New Roman" w:eastAsia="宋体" w:cs="Times New Roman"/>
                <w:color w:val="auto"/>
                <w:kern w:val="0"/>
                <w:sz w:val="24"/>
                <w:szCs w:val="24"/>
                <w:highlight w:val="none"/>
                <w:lang w:val="en-US" w:eastAsia="zh-CN" w:bidi="ar-SA"/>
              </w:rPr>
              <w:t>无国家和宁夏回族自治区保护的珍稀濒危植物物种、特有植物和独特的资源植物</w:t>
            </w:r>
            <w:r>
              <w:rPr>
                <w:rFonts w:hint="eastAsia" w:cs="Times New Roman"/>
                <w:color w:val="auto"/>
                <w:kern w:val="0"/>
                <w:sz w:val="24"/>
                <w:szCs w:val="24"/>
                <w:highlight w:val="none"/>
                <w:lang w:val="en-US" w:eastAsia="zh-CN" w:bidi="ar-SA"/>
              </w:rPr>
              <w:t>。</w:t>
            </w:r>
            <w:r>
              <w:rPr>
                <w:rFonts w:hint="eastAsia" w:cs="Times New Roman"/>
                <w:color w:val="auto"/>
                <w:sz w:val="24"/>
                <w:szCs w:val="24"/>
                <w:highlight w:val="none"/>
                <w:lang w:val="en-US" w:eastAsia="zh-CN"/>
              </w:rPr>
              <w:t>根据目前已治理沟道经验可知，后续随着施工结束，沟道植被能自然得到恢复，且本项目清淤段长度相对于高崖沟整体长度而言占比较小，因此对高崖沟整体植被影响较小。</w:t>
            </w:r>
          </w:p>
          <w:p w14:paraId="39A13897">
            <w:pPr>
              <w:adjustRightInd w:val="0"/>
              <w:spacing w:line="360" w:lineRule="auto"/>
              <w:ind w:firstLine="480" w:firstLineChars="200"/>
              <w:rPr>
                <w:rFonts w:hint="default" w:ascii="Times New Roman" w:hAnsi="Times New Roman" w:eastAsia="黑体" w:cs="Times New Roman"/>
                <w:b w:val="0"/>
                <w:bCs w:val="0"/>
                <w:color w:val="auto"/>
                <w:kern w:val="0"/>
                <w:sz w:val="24"/>
                <w:szCs w:val="24"/>
                <w:highlight w:val="none"/>
                <w:lang w:val="en-US" w:eastAsia="zh-CN" w:bidi="ar-SA"/>
              </w:rPr>
            </w:pPr>
            <w:r>
              <w:rPr>
                <w:rFonts w:hint="eastAsia" w:eastAsia="黑体" w:cs="Times New Roman"/>
                <w:b w:val="0"/>
                <w:bCs w:val="0"/>
                <w:color w:val="auto"/>
                <w:kern w:val="0"/>
                <w:sz w:val="24"/>
                <w:szCs w:val="24"/>
                <w:highlight w:val="none"/>
                <w:lang w:val="en-US" w:eastAsia="zh-CN" w:bidi="ar-SA"/>
              </w:rPr>
              <w:t>1.3</w:t>
            </w:r>
            <w:r>
              <w:rPr>
                <w:rFonts w:hint="default" w:ascii="Times New Roman" w:hAnsi="Times New Roman" w:eastAsia="黑体" w:cs="Times New Roman"/>
                <w:b w:val="0"/>
                <w:bCs w:val="0"/>
                <w:color w:val="auto"/>
                <w:kern w:val="0"/>
                <w:sz w:val="24"/>
                <w:szCs w:val="24"/>
                <w:highlight w:val="none"/>
                <w:lang w:val="en-US" w:eastAsia="zh-CN" w:bidi="ar-SA"/>
              </w:rPr>
              <w:t>对动物的影响分析</w:t>
            </w:r>
          </w:p>
          <w:bookmarkEnd w:id="6"/>
          <w:bookmarkEnd w:id="7"/>
          <w:bookmarkEnd w:id="8"/>
          <w:p w14:paraId="305BBCA7">
            <w:pPr>
              <w:adjustRightInd w:val="0"/>
              <w:spacing w:line="360" w:lineRule="auto"/>
              <w:ind w:firstLine="482" w:firstLineChars="200"/>
              <w:rPr>
                <w:rFonts w:hint="default" w:ascii="Times New Roman" w:hAnsi="Times New Roman" w:eastAsia="宋体" w:cs="Times New Roman"/>
                <w:b/>
                <w:bCs/>
                <w:color w:val="auto"/>
                <w:kern w:val="0"/>
                <w:sz w:val="24"/>
                <w:szCs w:val="24"/>
                <w:highlight w:val="none"/>
                <w:lang w:val="en-US" w:eastAsia="zh-CN" w:bidi="ar-SA"/>
              </w:rPr>
            </w:pPr>
            <w:bookmarkStart w:id="9" w:name="_Toc405288419"/>
            <w:r>
              <w:rPr>
                <w:rFonts w:hint="eastAsia" w:cs="Times New Roman"/>
                <w:b/>
                <w:bCs/>
                <w:color w:val="auto"/>
                <w:kern w:val="0"/>
                <w:sz w:val="24"/>
                <w:szCs w:val="24"/>
                <w:highlight w:val="none"/>
                <w:lang w:val="en-US" w:eastAsia="zh-CN" w:bidi="ar-SA"/>
              </w:rPr>
              <w:t>（1）对陆生动物的影响分析</w:t>
            </w:r>
          </w:p>
          <w:p w14:paraId="4DD42B23">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本项目区</w:t>
            </w:r>
            <w:r>
              <w:rPr>
                <w:rFonts w:hint="eastAsia" w:cs="Times New Roman"/>
                <w:color w:val="auto"/>
                <w:kern w:val="0"/>
                <w:sz w:val="24"/>
                <w:szCs w:val="24"/>
                <w:highlight w:val="none"/>
                <w:lang w:val="en-US" w:eastAsia="zh-CN" w:bidi="ar-SA"/>
              </w:rPr>
              <w:t>陆生</w:t>
            </w:r>
            <w:r>
              <w:rPr>
                <w:rFonts w:hint="default" w:ascii="Times New Roman" w:hAnsi="Times New Roman" w:eastAsia="宋体" w:cs="Times New Roman"/>
                <w:color w:val="auto"/>
                <w:kern w:val="0"/>
                <w:sz w:val="24"/>
                <w:szCs w:val="24"/>
                <w:highlight w:val="none"/>
                <w:lang w:val="en-US" w:eastAsia="zh-CN" w:bidi="ar-SA"/>
              </w:rPr>
              <w:t>动物种类及数量较少。施工期建设以及施工人员的活动和机械噪声等将会对施工区及周围一定范围内野生动物的活动产生一定影响，但这种影响只是引起野生动物暂时的、局部的迁移，待项目结束生态修复完成后，对区域的扰动结束后，这种影响亦将消失。</w:t>
            </w:r>
          </w:p>
          <w:p w14:paraId="075244EF">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由于施工时间短、施工点分散、施工人员较少等原因，项目施工对动物的影响范围小，影响时间短，同时由于动物栖息环境和活动区域范围较大，食性广泛，且有一定迁移能力，因此本工程施工建设过程虽对动物生命活动产生了一定程度的不利影响，但不会改变其种群结构，其种群数量也不会因本工程建设而受到大的影响。主要在施工过程中加强管理，杜绝人为捕猎行为，施工不会对野生动物造成明显的影响。</w:t>
            </w:r>
          </w:p>
          <w:bookmarkEnd w:id="9"/>
          <w:p w14:paraId="22BA906C">
            <w:pPr>
              <w:adjustRightInd w:val="0"/>
              <w:spacing w:line="360" w:lineRule="auto"/>
              <w:ind w:firstLine="482" w:firstLineChars="200"/>
              <w:rPr>
                <w:rFonts w:hint="default" w:ascii="Times New Roman" w:hAnsi="Times New Roman" w:eastAsia="宋体" w:cs="Times New Roman"/>
                <w:b/>
                <w:bCs/>
                <w:color w:val="auto"/>
                <w:kern w:val="0"/>
                <w:sz w:val="24"/>
                <w:szCs w:val="24"/>
                <w:highlight w:val="none"/>
                <w:lang w:val="en-US" w:eastAsia="zh-CN" w:bidi="ar-SA"/>
              </w:rPr>
            </w:pPr>
            <w:r>
              <w:rPr>
                <w:rFonts w:hint="eastAsia" w:cs="Times New Roman"/>
                <w:b/>
                <w:bCs/>
                <w:color w:val="auto"/>
                <w:kern w:val="0"/>
                <w:sz w:val="24"/>
                <w:szCs w:val="24"/>
                <w:highlight w:val="none"/>
                <w:lang w:val="en-US" w:eastAsia="zh-CN" w:bidi="ar-SA"/>
              </w:rPr>
              <w:t>（2）对水生动物的影响分析</w:t>
            </w:r>
          </w:p>
          <w:p w14:paraId="27DE48D3">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根据现场踏勘调查，本项目</w:t>
            </w:r>
            <w:r>
              <w:rPr>
                <w:rFonts w:hint="eastAsia" w:cs="Times New Roman"/>
                <w:color w:val="auto"/>
                <w:kern w:val="0"/>
                <w:sz w:val="24"/>
                <w:szCs w:val="24"/>
                <w:highlight w:val="none"/>
                <w:lang w:val="en-US" w:eastAsia="zh-CN" w:bidi="ar-SA"/>
              </w:rPr>
              <w:t>所在高崖沟为季节性泄洪沟，因此无固定水生生物，仅在丰水期存在部分浮游生物及青蛙、蛤蟆等两栖动物</w:t>
            </w:r>
            <w:r>
              <w:rPr>
                <w:rFonts w:hint="default" w:ascii="Times New Roman" w:hAnsi="Times New Roman" w:eastAsia="宋体" w:cs="Times New Roman"/>
                <w:color w:val="auto"/>
                <w:kern w:val="0"/>
                <w:sz w:val="24"/>
                <w:szCs w:val="24"/>
                <w:highlight w:val="none"/>
                <w:lang w:val="en-US" w:eastAsia="zh-CN" w:bidi="ar-SA"/>
              </w:rPr>
              <w:t>。</w:t>
            </w:r>
            <w:r>
              <w:rPr>
                <w:rFonts w:hint="eastAsia" w:cs="Times New Roman"/>
                <w:color w:val="auto"/>
                <w:kern w:val="0"/>
                <w:sz w:val="24"/>
                <w:szCs w:val="24"/>
                <w:highlight w:val="none"/>
                <w:lang w:val="en-US" w:eastAsia="zh-CN" w:bidi="ar-SA"/>
              </w:rPr>
              <w:t>项目沟道清淤选择在枯水期施工，因此施工期间基本不会对水生动物造成影响，随着项目施工结束，高崖沟水生生态环境逐步恢复，水生动物的栖息环境将得到恢复</w:t>
            </w:r>
            <w:r>
              <w:rPr>
                <w:rFonts w:hint="default" w:ascii="Times New Roman" w:hAnsi="Times New Roman" w:eastAsia="宋体" w:cs="Times New Roman"/>
                <w:color w:val="auto"/>
                <w:kern w:val="0"/>
                <w:sz w:val="24"/>
                <w:szCs w:val="24"/>
                <w:highlight w:val="none"/>
                <w:lang w:val="en-US" w:eastAsia="zh-CN" w:bidi="ar-SA"/>
              </w:rPr>
              <w:t>。</w:t>
            </w:r>
          </w:p>
          <w:p w14:paraId="41AD9FD6">
            <w:pPr>
              <w:adjustRightInd w:val="0"/>
              <w:spacing w:line="360" w:lineRule="auto"/>
              <w:ind w:firstLine="480" w:firstLineChars="200"/>
              <w:rPr>
                <w:rFonts w:hint="default" w:ascii="Times New Roman" w:hAnsi="Times New Roman" w:eastAsia="黑体" w:cs="Times New Roman"/>
                <w:b w:val="0"/>
                <w:bCs w:val="0"/>
                <w:color w:val="auto"/>
                <w:kern w:val="0"/>
                <w:sz w:val="24"/>
                <w:szCs w:val="24"/>
                <w:highlight w:val="none"/>
                <w:lang w:val="en-US" w:eastAsia="zh-CN" w:bidi="ar-SA"/>
              </w:rPr>
            </w:pPr>
            <w:r>
              <w:rPr>
                <w:rFonts w:hint="eastAsia" w:eastAsia="黑体" w:cs="Times New Roman"/>
                <w:b w:val="0"/>
                <w:bCs w:val="0"/>
                <w:color w:val="auto"/>
                <w:kern w:val="0"/>
                <w:sz w:val="24"/>
                <w:szCs w:val="24"/>
                <w:highlight w:val="none"/>
                <w:lang w:val="en-US" w:eastAsia="zh-CN" w:bidi="ar-SA"/>
              </w:rPr>
              <w:t>1.4</w:t>
            </w:r>
            <w:r>
              <w:rPr>
                <w:rFonts w:hint="default" w:ascii="Times New Roman" w:hAnsi="Times New Roman" w:eastAsia="黑体" w:cs="Times New Roman"/>
                <w:b w:val="0"/>
                <w:bCs w:val="0"/>
                <w:color w:val="auto"/>
                <w:kern w:val="0"/>
                <w:sz w:val="24"/>
                <w:szCs w:val="24"/>
                <w:highlight w:val="none"/>
                <w:lang w:val="en-US" w:eastAsia="zh-CN" w:bidi="ar-SA"/>
              </w:rPr>
              <w:t>土壤侵蚀影响分析</w:t>
            </w:r>
          </w:p>
          <w:p w14:paraId="5558A3F1">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土壤是由矿物质和有机质混合组成的，是生物圈的重要组成部分，也是各种动植物和微生物生存的基质，对生物的生产有直接影响。</w:t>
            </w:r>
            <w:r>
              <w:rPr>
                <w:rFonts w:hint="eastAsia" w:cs="Times New Roman"/>
                <w:color w:val="auto"/>
                <w:kern w:val="0"/>
                <w:sz w:val="24"/>
                <w:szCs w:val="24"/>
                <w:highlight w:val="none"/>
                <w:lang w:val="en-US" w:eastAsia="zh-CN" w:bidi="ar-SA"/>
              </w:rPr>
              <w:t>沟道清淤、岸坡砌护及道路修建</w:t>
            </w:r>
            <w:r>
              <w:rPr>
                <w:rFonts w:hint="default" w:ascii="Times New Roman" w:hAnsi="Times New Roman" w:eastAsia="宋体" w:cs="Times New Roman"/>
                <w:color w:val="auto"/>
                <w:kern w:val="0"/>
                <w:sz w:val="24"/>
                <w:szCs w:val="24"/>
                <w:highlight w:val="none"/>
                <w:lang w:val="en-US" w:eastAsia="zh-CN" w:bidi="ar-SA"/>
              </w:rPr>
              <w:t>对周围的生态环境影响</w:t>
            </w:r>
            <w:r>
              <w:rPr>
                <w:rFonts w:hint="eastAsia" w:cs="Times New Roman"/>
                <w:color w:val="auto"/>
                <w:kern w:val="0"/>
                <w:sz w:val="24"/>
                <w:szCs w:val="24"/>
                <w:highlight w:val="none"/>
                <w:lang w:val="en-US" w:eastAsia="zh-CN" w:bidi="ar-SA"/>
              </w:rPr>
              <w:t>有限</w:t>
            </w:r>
            <w:r>
              <w:rPr>
                <w:rFonts w:hint="default" w:ascii="Times New Roman" w:hAnsi="Times New Roman" w:eastAsia="宋体" w:cs="Times New Roman"/>
                <w:color w:val="auto"/>
                <w:kern w:val="0"/>
                <w:sz w:val="24"/>
                <w:szCs w:val="24"/>
                <w:highlight w:val="none"/>
                <w:lang w:val="en-US" w:eastAsia="zh-CN" w:bidi="ar-SA"/>
              </w:rPr>
              <w:t>，对土壤的破坏</w:t>
            </w:r>
            <w:r>
              <w:rPr>
                <w:rFonts w:hint="eastAsia" w:cs="Times New Roman"/>
                <w:color w:val="auto"/>
                <w:kern w:val="0"/>
                <w:sz w:val="24"/>
                <w:szCs w:val="24"/>
                <w:highlight w:val="none"/>
                <w:lang w:val="en-US" w:eastAsia="zh-CN" w:bidi="ar-SA"/>
              </w:rPr>
              <w:t>是暂时性的、局部的</w:t>
            </w:r>
            <w:r>
              <w:rPr>
                <w:rFonts w:hint="default" w:ascii="Times New Roman" w:hAnsi="Times New Roman" w:eastAsia="宋体" w:cs="Times New Roman"/>
                <w:color w:val="auto"/>
                <w:kern w:val="0"/>
                <w:sz w:val="24"/>
                <w:szCs w:val="24"/>
                <w:highlight w:val="none"/>
                <w:lang w:val="en-US" w:eastAsia="zh-CN" w:bidi="ar-SA"/>
              </w:rPr>
              <w:t>，</w:t>
            </w:r>
            <w:r>
              <w:rPr>
                <w:rFonts w:hint="eastAsia" w:cs="Times New Roman"/>
                <w:color w:val="auto"/>
                <w:kern w:val="0"/>
                <w:sz w:val="24"/>
                <w:szCs w:val="24"/>
                <w:highlight w:val="none"/>
                <w:lang w:val="en-US" w:eastAsia="zh-CN" w:bidi="ar-SA"/>
              </w:rPr>
              <w:t>且项目实施后，可有效减少区域</w:t>
            </w:r>
            <w:r>
              <w:rPr>
                <w:rFonts w:hint="default" w:ascii="Times New Roman" w:hAnsi="Times New Roman" w:eastAsia="宋体" w:cs="Times New Roman"/>
                <w:color w:val="auto"/>
                <w:kern w:val="0"/>
                <w:sz w:val="24"/>
                <w:szCs w:val="24"/>
                <w:highlight w:val="none"/>
                <w:lang w:val="en-US" w:eastAsia="zh-CN" w:bidi="ar-SA"/>
              </w:rPr>
              <w:t>土壤的侵蚀，</w:t>
            </w:r>
            <w:r>
              <w:rPr>
                <w:rFonts w:hint="eastAsia" w:cs="Times New Roman"/>
                <w:color w:val="auto"/>
                <w:kern w:val="0"/>
                <w:sz w:val="24"/>
                <w:szCs w:val="24"/>
                <w:highlight w:val="none"/>
                <w:lang w:val="en-US" w:eastAsia="zh-CN" w:bidi="ar-SA"/>
              </w:rPr>
              <w:t>对</w:t>
            </w:r>
            <w:r>
              <w:rPr>
                <w:rFonts w:hint="default" w:ascii="Times New Roman" w:hAnsi="Times New Roman" w:eastAsia="宋体" w:cs="Times New Roman"/>
                <w:color w:val="auto"/>
                <w:kern w:val="0"/>
                <w:sz w:val="24"/>
                <w:szCs w:val="24"/>
                <w:highlight w:val="none"/>
                <w:lang w:val="en-US" w:eastAsia="zh-CN" w:bidi="ar-SA"/>
              </w:rPr>
              <w:t>整个生态环境</w:t>
            </w:r>
            <w:r>
              <w:rPr>
                <w:rFonts w:hint="eastAsia" w:cs="Times New Roman"/>
                <w:color w:val="auto"/>
                <w:kern w:val="0"/>
                <w:sz w:val="24"/>
                <w:szCs w:val="24"/>
                <w:highlight w:val="none"/>
                <w:lang w:val="en-US" w:eastAsia="zh-CN" w:bidi="ar-SA"/>
              </w:rPr>
              <w:t>的影响是正向的</w:t>
            </w:r>
            <w:r>
              <w:rPr>
                <w:rFonts w:hint="default" w:ascii="Times New Roman" w:hAnsi="Times New Roman" w:eastAsia="宋体" w:cs="Times New Roman"/>
                <w:color w:val="auto"/>
                <w:kern w:val="0"/>
                <w:sz w:val="24"/>
                <w:szCs w:val="24"/>
                <w:highlight w:val="none"/>
                <w:lang w:val="en-US" w:eastAsia="zh-CN" w:bidi="ar-SA"/>
              </w:rPr>
              <w:t>。</w:t>
            </w:r>
          </w:p>
          <w:p w14:paraId="72CB8E13">
            <w:pPr>
              <w:adjustRightInd w:val="0"/>
              <w:spacing w:line="360" w:lineRule="auto"/>
              <w:ind w:firstLine="480" w:firstLineChars="200"/>
              <w:rPr>
                <w:rFonts w:hint="default" w:ascii="Times New Roman" w:hAnsi="Times New Roman" w:eastAsia="黑体" w:cs="Times New Roman"/>
                <w:b w:val="0"/>
                <w:bCs w:val="0"/>
                <w:color w:val="auto"/>
                <w:kern w:val="0"/>
                <w:sz w:val="24"/>
                <w:szCs w:val="24"/>
                <w:highlight w:val="none"/>
                <w:lang w:val="en-US" w:eastAsia="zh-CN" w:bidi="ar-SA"/>
              </w:rPr>
            </w:pPr>
            <w:r>
              <w:rPr>
                <w:rFonts w:hint="eastAsia" w:eastAsia="黑体" w:cs="Times New Roman"/>
                <w:b w:val="0"/>
                <w:bCs w:val="0"/>
                <w:color w:val="auto"/>
                <w:kern w:val="0"/>
                <w:sz w:val="24"/>
                <w:szCs w:val="24"/>
                <w:highlight w:val="none"/>
                <w:lang w:val="en-US" w:eastAsia="zh-CN" w:bidi="ar-SA"/>
              </w:rPr>
              <w:t>1.5</w:t>
            </w:r>
            <w:r>
              <w:rPr>
                <w:rFonts w:hint="default" w:ascii="Times New Roman" w:hAnsi="Times New Roman" w:eastAsia="黑体" w:cs="Times New Roman"/>
                <w:b w:val="0"/>
                <w:bCs w:val="0"/>
                <w:color w:val="auto"/>
                <w:kern w:val="0"/>
                <w:sz w:val="24"/>
                <w:szCs w:val="24"/>
                <w:highlight w:val="none"/>
                <w:lang w:val="en-US" w:eastAsia="zh-CN" w:bidi="ar-SA"/>
              </w:rPr>
              <w:t>土壤侵蚀影响分析</w:t>
            </w:r>
          </w:p>
          <w:p w14:paraId="6FEABFAB">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土壤是由矿物质和有机质混合组成的，是生物圈的重要组成部分，也是各种动植物和微生物生存的基质，对生物的生产有直接影响。</w:t>
            </w:r>
            <w:r>
              <w:rPr>
                <w:rFonts w:hint="eastAsia" w:cs="Times New Roman"/>
                <w:color w:val="auto"/>
                <w:kern w:val="0"/>
                <w:sz w:val="24"/>
                <w:szCs w:val="24"/>
                <w:highlight w:val="none"/>
                <w:lang w:val="en-US" w:eastAsia="zh-CN" w:bidi="ar-SA"/>
              </w:rPr>
              <w:t>沟道清淤、岸坡砌护及道路修建</w:t>
            </w:r>
            <w:r>
              <w:rPr>
                <w:rFonts w:hint="default" w:ascii="Times New Roman" w:hAnsi="Times New Roman" w:eastAsia="宋体" w:cs="Times New Roman"/>
                <w:color w:val="auto"/>
                <w:kern w:val="0"/>
                <w:sz w:val="24"/>
                <w:szCs w:val="24"/>
                <w:highlight w:val="none"/>
                <w:lang w:val="en-US" w:eastAsia="zh-CN" w:bidi="ar-SA"/>
              </w:rPr>
              <w:t>对周围的生态环境影响</w:t>
            </w:r>
            <w:r>
              <w:rPr>
                <w:rFonts w:hint="eastAsia" w:cs="Times New Roman"/>
                <w:color w:val="auto"/>
                <w:kern w:val="0"/>
                <w:sz w:val="24"/>
                <w:szCs w:val="24"/>
                <w:highlight w:val="none"/>
                <w:lang w:val="en-US" w:eastAsia="zh-CN" w:bidi="ar-SA"/>
              </w:rPr>
              <w:t>有限</w:t>
            </w:r>
            <w:r>
              <w:rPr>
                <w:rFonts w:hint="default" w:ascii="Times New Roman" w:hAnsi="Times New Roman" w:eastAsia="宋体" w:cs="Times New Roman"/>
                <w:color w:val="auto"/>
                <w:kern w:val="0"/>
                <w:sz w:val="24"/>
                <w:szCs w:val="24"/>
                <w:highlight w:val="none"/>
                <w:lang w:val="en-US" w:eastAsia="zh-CN" w:bidi="ar-SA"/>
              </w:rPr>
              <w:t>，对土壤的破坏</w:t>
            </w:r>
            <w:r>
              <w:rPr>
                <w:rFonts w:hint="eastAsia" w:cs="Times New Roman"/>
                <w:color w:val="auto"/>
                <w:kern w:val="0"/>
                <w:sz w:val="24"/>
                <w:szCs w:val="24"/>
                <w:highlight w:val="none"/>
                <w:lang w:val="en-US" w:eastAsia="zh-CN" w:bidi="ar-SA"/>
              </w:rPr>
              <w:t>是暂时性的、局部的</w:t>
            </w:r>
            <w:r>
              <w:rPr>
                <w:rFonts w:hint="default" w:ascii="Times New Roman" w:hAnsi="Times New Roman" w:eastAsia="宋体" w:cs="Times New Roman"/>
                <w:color w:val="auto"/>
                <w:kern w:val="0"/>
                <w:sz w:val="24"/>
                <w:szCs w:val="24"/>
                <w:highlight w:val="none"/>
                <w:lang w:val="en-US" w:eastAsia="zh-CN" w:bidi="ar-SA"/>
              </w:rPr>
              <w:t>，</w:t>
            </w:r>
            <w:r>
              <w:rPr>
                <w:rFonts w:hint="eastAsia" w:cs="Times New Roman"/>
                <w:color w:val="auto"/>
                <w:kern w:val="0"/>
                <w:sz w:val="24"/>
                <w:szCs w:val="24"/>
                <w:highlight w:val="none"/>
                <w:lang w:val="en-US" w:eastAsia="zh-CN" w:bidi="ar-SA"/>
              </w:rPr>
              <w:t>且项目实施后，可有效减少区域</w:t>
            </w:r>
            <w:r>
              <w:rPr>
                <w:rFonts w:hint="default" w:ascii="Times New Roman" w:hAnsi="Times New Roman" w:eastAsia="宋体" w:cs="Times New Roman"/>
                <w:color w:val="auto"/>
                <w:kern w:val="0"/>
                <w:sz w:val="24"/>
                <w:szCs w:val="24"/>
                <w:highlight w:val="none"/>
                <w:lang w:val="en-US" w:eastAsia="zh-CN" w:bidi="ar-SA"/>
              </w:rPr>
              <w:t>土壤的侵蚀，</w:t>
            </w:r>
            <w:r>
              <w:rPr>
                <w:rFonts w:hint="eastAsia" w:cs="Times New Roman"/>
                <w:color w:val="auto"/>
                <w:kern w:val="0"/>
                <w:sz w:val="24"/>
                <w:szCs w:val="24"/>
                <w:highlight w:val="none"/>
                <w:lang w:val="en-US" w:eastAsia="zh-CN" w:bidi="ar-SA"/>
              </w:rPr>
              <w:t>对</w:t>
            </w:r>
            <w:r>
              <w:rPr>
                <w:rFonts w:hint="default" w:ascii="Times New Roman" w:hAnsi="Times New Roman" w:eastAsia="宋体" w:cs="Times New Roman"/>
                <w:color w:val="auto"/>
                <w:kern w:val="0"/>
                <w:sz w:val="24"/>
                <w:szCs w:val="24"/>
                <w:highlight w:val="none"/>
                <w:lang w:val="en-US" w:eastAsia="zh-CN" w:bidi="ar-SA"/>
              </w:rPr>
              <w:t>整个生态环境</w:t>
            </w:r>
            <w:r>
              <w:rPr>
                <w:rFonts w:hint="eastAsia" w:cs="Times New Roman"/>
                <w:color w:val="auto"/>
                <w:kern w:val="0"/>
                <w:sz w:val="24"/>
                <w:szCs w:val="24"/>
                <w:highlight w:val="none"/>
                <w:lang w:val="en-US" w:eastAsia="zh-CN" w:bidi="ar-SA"/>
              </w:rPr>
              <w:t>的影响是正向的</w:t>
            </w:r>
            <w:r>
              <w:rPr>
                <w:rFonts w:hint="default" w:ascii="Times New Roman" w:hAnsi="Times New Roman" w:eastAsia="宋体" w:cs="Times New Roman"/>
                <w:color w:val="auto"/>
                <w:kern w:val="0"/>
                <w:sz w:val="24"/>
                <w:szCs w:val="24"/>
                <w:highlight w:val="none"/>
                <w:lang w:val="en-US" w:eastAsia="zh-CN" w:bidi="ar-SA"/>
              </w:rPr>
              <w:t>。</w:t>
            </w:r>
          </w:p>
          <w:p w14:paraId="1E8A4DBA">
            <w:pPr>
              <w:adjustRightInd w:val="0"/>
              <w:spacing w:line="360" w:lineRule="auto"/>
              <w:ind w:firstLine="480" w:firstLineChars="200"/>
              <w:rPr>
                <w:rFonts w:hint="default" w:ascii="Times New Roman" w:hAnsi="Times New Roman" w:eastAsia="黑体" w:cs="Times New Roman"/>
                <w:b w:val="0"/>
                <w:bCs w:val="0"/>
                <w:color w:val="auto"/>
                <w:kern w:val="0"/>
                <w:sz w:val="24"/>
                <w:szCs w:val="24"/>
                <w:highlight w:val="none"/>
                <w:lang w:val="en-US" w:eastAsia="zh-CN" w:bidi="ar-SA"/>
              </w:rPr>
            </w:pPr>
            <w:r>
              <w:rPr>
                <w:rFonts w:hint="eastAsia" w:eastAsia="黑体" w:cs="Times New Roman"/>
                <w:b w:val="0"/>
                <w:bCs w:val="0"/>
                <w:color w:val="auto"/>
                <w:kern w:val="0"/>
                <w:sz w:val="24"/>
                <w:szCs w:val="24"/>
                <w:highlight w:val="none"/>
                <w:lang w:val="en-US" w:eastAsia="zh-CN" w:bidi="ar-SA"/>
              </w:rPr>
              <w:t>1.6底泥清淤扰动污染影响</w:t>
            </w:r>
            <w:r>
              <w:rPr>
                <w:rFonts w:hint="default" w:ascii="Times New Roman" w:hAnsi="Times New Roman" w:eastAsia="黑体" w:cs="Times New Roman"/>
                <w:b w:val="0"/>
                <w:bCs w:val="0"/>
                <w:color w:val="auto"/>
                <w:kern w:val="0"/>
                <w:sz w:val="24"/>
                <w:szCs w:val="24"/>
                <w:highlight w:val="none"/>
                <w:lang w:val="en-US" w:eastAsia="zh-CN" w:bidi="ar-SA"/>
              </w:rPr>
              <w:t>分析</w:t>
            </w:r>
          </w:p>
          <w:p w14:paraId="3E7121A0">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本次对</w:t>
            </w:r>
            <w:r>
              <w:rPr>
                <w:rFonts w:hint="default" w:ascii="Times New Roman" w:hAnsi="Times New Roman" w:cs="Times New Roman"/>
                <w:color w:val="auto"/>
                <w:kern w:val="0"/>
                <w:sz w:val="24"/>
                <w:szCs w:val="24"/>
                <w:highlight w:val="none"/>
                <w:lang w:val="en-US" w:eastAsia="zh-CN" w:bidi="ar-SA"/>
              </w:rPr>
              <w:t>高崖沟兴仁至香山段部分</w:t>
            </w:r>
            <w:r>
              <w:rPr>
                <w:rFonts w:hint="default" w:ascii="Times New Roman" w:hAnsi="Times New Roman" w:eastAsia="宋体" w:cs="Times New Roman"/>
                <w:color w:val="auto"/>
                <w:kern w:val="0"/>
                <w:sz w:val="24"/>
                <w:szCs w:val="24"/>
                <w:highlight w:val="none"/>
                <w:lang w:val="en-US" w:eastAsia="zh-CN" w:bidi="ar-SA"/>
              </w:rPr>
              <w:t>现有沟道进行底泥清除，清理长度</w:t>
            </w:r>
            <w:r>
              <w:rPr>
                <w:rFonts w:hint="default" w:ascii="Times New Roman" w:hAnsi="Times New Roman" w:cs="Times New Roman"/>
                <w:color w:val="auto"/>
                <w:kern w:val="0"/>
                <w:sz w:val="24"/>
                <w:szCs w:val="24"/>
                <w:highlight w:val="none"/>
                <w:lang w:val="en-US" w:eastAsia="zh-CN" w:bidi="ar-SA"/>
              </w:rPr>
              <w:t>6</w:t>
            </w:r>
            <w:r>
              <w:rPr>
                <w:rFonts w:hint="default" w:ascii="Times New Roman" w:hAnsi="Times New Roman" w:eastAsia="宋体" w:cs="Times New Roman"/>
                <w:color w:val="auto"/>
                <w:kern w:val="0"/>
                <w:sz w:val="24"/>
                <w:szCs w:val="24"/>
                <w:highlight w:val="none"/>
                <w:lang w:val="en-US" w:eastAsia="zh-CN" w:bidi="ar-SA"/>
              </w:rPr>
              <w:t>km，平均清淤深度约为</w:t>
            </w:r>
            <w:r>
              <w:rPr>
                <w:rFonts w:hint="default" w:ascii="Times New Roman" w:hAnsi="Times New Roman" w:cs="Times New Roman"/>
                <w:color w:val="auto"/>
                <w:kern w:val="0"/>
                <w:sz w:val="24"/>
                <w:szCs w:val="24"/>
                <w:highlight w:val="none"/>
                <w:lang w:val="en-US" w:eastAsia="zh-CN" w:bidi="ar-SA"/>
              </w:rPr>
              <w:t>1</w:t>
            </w:r>
            <w:r>
              <w:rPr>
                <w:rFonts w:hint="default" w:ascii="Times New Roman" w:hAnsi="Times New Roman" w:eastAsia="宋体" w:cs="Times New Roman"/>
                <w:color w:val="auto"/>
                <w:kern w:val="0"/>
                <w:sz w:val="24"/>
                <w:szCs w:val="24"/>
                <w:highlight w:val="none"/>
                <w:lang w:val="en-US" w:eastAsia="zh-CN" w:bidi="ar-SA"/>
              </w:rPr>
              <w:t>m，清除底泥</w:t>
            </w:r>
            <w:r>
              <w:rPr>
                <w:rFonts w:hint="default" w:ascii="Times New Roman" w:hAnsi="Times New Roman" w:cs="Times New Roman"/>
                <w:color w:val="auto"/>
                <w:kern w:val="0"/>
                <w:sz w:val="24"/>
                <w:szCs w:val="24"/>
                <w:highlight w:val="none"/>
                <w:lang w:val="en-US" w:eastAsia="zh-CN" w:bidi="ar-SA"/>
              </w:rPr>
              <w:t>6</w:t>
            </w:r>
            <w:r>
              <w:rPr>
                <w:rFonts w:hint="default" w:ascii="Times New Roman" w:hAnsi="Times New Roman" w:eastAsia="宋体" w:cs="Times New Roman"/>
                <w:color w:val="auto"/>
                <w:kern w:val="0"/>
                <w:sz w:val="24"/>
                <w:szCs w:val="24"/>
                <w:highlight w:val="none"/>
                <w:lang w:val="en-US" w:eastAsia="zh-CN" w:bidi="ar-SA"/>
              </w:rPr>
              <w:t>万</w:t>
            </w:r>
            <w:r>
              <w:rPr>
                <w:rFonts w:hint="default" w:ascii="Times New Roman" w:hAnsi="Times New Roman" w:cs="Times New Roman"/>
                <w:color w:val="auto"/>
                <w:kern w:val="0"/>
                <w:sz w:val="24"/>
                <w:szCs w:val="24"/>
                <w:highlight w:val="none"/>
                <w:lang w:val="en-US" w:eastAsia="zh-CN" w:bidi="ar-SA"/>
              </w:rPr>
              <w:t>m³</w:t>
            </w:r>
            <w:r>
              <w:rPr>
                <w:rFonts w:hint="default" w:ascii="Times New Roman" w:hAnsi="Times New Roman" w:eastAsia="宋体" w:cs="Times New Roman"/>
                <w:color w:val="auto"/>
                <w:kern w:val="0"/>
                <w:sz w:val="24"/>
                <w:szCs w:val="24"/>
                <w:highlight w:val="none"/>
                <w:lang w:val="en-US" w:eastAsia="zh-CN" w:bidi="ar-SA"/>
              </w:rPr>
              <w:t>。</w:t>
            </w:r>
            <w:r>
              <w:rPr>
                <w:rFonts w:hint="eastAsia" w:cs="Times New Roman"/>
                <w:color w:val="auto"/>
                <w:kern w:val="0"/>
                <w:sz w:val="24"/>
                <w:szCs w:val="24"/>
                <w:highlight w:val="none"/>
                <w:lang w:val="en-US" w:eastAsia="zh-CN" w:bidi="ar-SA"/>
              </w:rPr>
              <w:t>高崖沟为季节性泄洪沟道，枯水期处于污水状态，本次工程设计清淤工程在枯水期开展</w:t>
            </w:r>
            <w:r>
              <w:rPr>
                <w:rFonts w:hint="default" w:ascii="Times New Roman" w:hAnsi="Times New Roman" w:eastAsia="宋体" w:cs="Times New Roman"/>
                <w:color w:val="auto"/>
                <w:kern w:val="0"/>
                <w:sz w:val="24"/>
                <w:szCs w:val="24"/>
                <w:highlight w:val="none"/>
                <w:lang w:val="en-US" w:eastAsia="zh-CN" w:bidi="ar-SA"/>
              </w:rPr>
              <w:t>，采用排干清淤的方式，</w:t>
            </w:r>
            <w:r>
              <w:rPr>
                <w:rFonts w:hint="eastAsia" w:cs="Times New Roman"/>
                <w:color w:val="auto"/>
                <w:kern w:val="0"/>
                <w:sz w:val="24"/>
                <w:szCs w:val="24"/>
                <w:highlight w:val="none"/>
                <w:lang w:val="en-US" w:eastAsia="zh-CN" w:bidi="ar-SA"/>
              </w:rPr>
              <w:t>清淤过程会</w:t>
            </w:r>
            <w:r>
              <w:rPr>
                <w:rFonts w:hint="default" w:ascii="Times New Roman" w:hAnsi="Times New Roman" w:eastAsia="宋体" w:cs="Times New Roman"/>
                <w:color w:val="auto"/>
                <w:kern w:val="0"/>
                <w:sz w:val="24"/>
                <w:szCs w:val="24"/>
                <w:highlight w:val="none"/>
                <w:lang w:val="en-US" w:eastAsia="zh-CN" w:bidi="ar-SA"/>
              </w:rPr>
              <w:t>导致</w:t>
            </w:r>
            <w:r>
              <w:rPr>
                <w:rFonts w:hint="eastAsia" w:cs="Times New Roman"/>
                <w:color w:val="auto"/>
                <w:kern w:val="0"/>
                <w:sz w:val="24"/>
                <w:szCs w:val="24"/>
                <w:highlight w:val="none"/>
                <w:lang w:val="en-US" w:eastAsia="zh-CN" w:bidi="ar-SA"/>
              </w:rPr>
              <w:t>现状沟道内芦苇、香蒲等植被一并清出</w:t>
            </w:r>
            <w:r>
              <w:rPr>
                <w:rFonts w:hint="default" w:ascii="Times New Roman" w:hAnsi="Times New Roman" w:eastAsia="宋体" w:cs="Times New Roman"/>
                <w:color w:val="auto"/>
                <w:kern w:val="0"/>
                <w:sz w:val="24"/>
                <w:szCs w:val="24"/>
                <w:highlight w:val="none"/>
                <w:lang w:val="en-US" w:eastAsia="zh-CN" w:bidi="ar-SA"/>
              </w:rPr>
              <w:t>。干清淤施工后，清淤区域原</w:t>
            </w:r>
            <w:r>
              <w:rPr>
                <w:rFonts w:hint="eastAsia" w:cs="Times New Roman"/>
                <w:color w:val="auto"/>
                <w:kern w:val="0"/>
                <w:sz w:val="24"/>
                <w:szCs w:val="24"/>
                <w:highlight w:val="none"/>
                <w:lang w:val="en-US" w:eastAsia="zh-CN" w:bidi="ar-SA"/>
              </w:rPr>
              <w:t>沟底</w:t>
            </w:r>
            <w:r>
              <w:rPr>
                <w:rFonts w:hint="default" w:ascii="Times New Roman" w:hAnsi="Times New Roman" w:eastAsia="宋体" w:cs="Times New Roman"/>
                <w:color w:val="auto"/>
                <w:kern w:val="0"/>
                <w:sz w:val="24"/>
                <w:szCs w:val="24"/>
                <w:highlight w:val="none"/>
                <w:lang w:val="en-US" w:eastAsia="zh-CN" w:bidi="ar-SA"/>
              </w:rPr>
              <w:t>底质将全部被新基质代替，导致</w:t>
            </w:r>
            <w:r>
              <w:rPr>
                <w:rFonts w:hint="eastAsia" w:cs="Times New Roman"/>
                <w:color w:val="auto"/>
                <w:kern w:val="0"/>
                <w:sz w:val="24"/>
                <w:szCs w:val="24"/>
                <w:highlight w:val="none"/>
                <w:lang w:val="en-US" w:eastAsia="zh-CN" w:bidi="ar-SA"/>
              </w:rPr>
              <w:t>芦苇、香蒲等植被</w:t>
            </w:r>
            <w:r>
              <w:rPr>
                <w:rFonts w:hint="default" w:ascii="Times New Roman" w:hAnsi="Times New Roman" w:eastAsia="宋体" w:cs="Times New Roman"/>
                <w:color w:val="auto"/>
                <w:kern w:val="0"/>
                <w:sz w:val="24"/>
                <w:szCs w:val="24"/>
                <w:highlight w:val="none"/>
                <w:lang w:val="en-US" w:eastAsia="zh-CN" w:bidi="ar-SA"/>
              </w:rPr>
              <w:t>生物量减少。随着施工期结束，</w:t>
            </w:r>
            <w:r>
              <w:rPr>
                <w:rFonts w:hint="eastAsia" w:cs="Times New Roman"/>
                <w:color w:val="auto"/>
                <w:kern w:val="0"/>
                <w:sz w:val="24"/>
                <w:szCs w:val="24"/>
                <w:highlight w:val="none"/>
                <w:lang w:val="en-US" w:eastAsia="zh-CN" w:bidi="ar-SA"/>
              </w:rPr>
              <w:t>高崖沟水生生态环境将</w:t>
            </w:r>
            <w:r>
              <w:rPr>
                <w:rFonts w:hint="default" w:ascii="Times New Roman" w:hAnsi="Times New Roman" w:eastAsia="宋体" w:cs="Times New Roman"/>
                <w:color w:val="auto"/>
                <w:kern w:val="0"/>
                <w:sz w:val="24"/>
                <w:szCs w:val="24"/>
                <w:highlight w:val="none"/>
                <w:lang w:val="en-US" w:eastAsia="zh-CN" w:bidi="ar-SA"/>
              </w:rPr>
              <w:t>逐渐恢复。底泥清除后，沟道水质可在一定程度上有所提升。</w:t>
            </w:r>
            <w:r>
              <w:rPr>
                <w:rFonts w:hint="eastAsia" w:cs="Times New Roman"/>
                <w:color w:val="auto"/>
                <w:kern w:val="0"/>
                <w:sz w:val="24"/>
                <w:szCs w:val="24"/>
                <w:highlight w:val="none"/>
                <w:lang w:val="en-US" w:eastAsia="zh-CN" w:bidi="ar-SA"/>
              </w:rPr>
              <w:t>同时对高崖沟行洪安全有极大的正向作用。</w:t>
            </w:r>
          </w:p>
          <w:p w14:paraId="5D1BA2A9">
            <w:pPr>
              <w:adjustRightInd w:val="0"/>
              <w:spacing w:line="360" w:lineRule="auto"/>
              <w:ind w:firstLine="480" w:firstLineChars="200"/>
              <w:rPr>
                <w:rFonts w:hint="default" w:ascii="Times New Roman" w:hAnsi="Times New Roman" w:eastAsia="黑体" w:cs="Times New Roman"/>
                <w:b w:val="0"/>
                <w:bCs w:val="0"/>
                <w:color w:val="auto"/>
                <w:kern w:val="0"/>
                <w:sz w:val="24"/>
                <w:szCs w:val="24"/>
                <w:highlight w:val="none"/>
                <w:lang w:val="en-US" w:eastAsia="zh-CN" w:bidi="ar-SA"/>
              </w:rPr>
            </w:pPr>
            <w:r>
              <w:rPr>
                <w:rFonts w:hint="eastAsia" w:eastAsia="黑体" w:cs="Times New Roman"/>
                <w:b w:val="0"/>
                <w:bCs w:val="0"/>
                <w:color w:val="auto"/>
                <w:kern w:val="0"/>
                <w:sz w:val="24"/>
                <w:szCs w:val="24"/>
                <w:highlight w:val="none"/>
                <w:lang w:val="en-US" w:eastAsia="zh-CN" w:bidi="ar-SA"/>
              </w:rPr>
              <w:t>1.7对高崖沟</w:t>
            </w:r>
            <w:r>
              <w:rPr>
                <w:rFonts w:hint="default" w:ascii="Times New Roman" w:hAnsi="Times New Roman" w:eastAsia="黑体" w:cs="Times New Roman"/>
                <w:b w:val="0"/>
                <w:bCs w:val="0"/>
                <w:color w:val="auto"/>
                <w:kern w:val="0"/>
                <w:sz w:val="24"/>
                <w:szCs w:val="24"/>
                <w:highlight w:val="none"/>
                <w:lang w:val="en-US" w:eastAsia="zh-CN" w:bidi="ar-SA"/>
              </w:rPr>
              <w:t>影响分析</w:t>
            </w:r>
          </w:p>
          <w:p w14:paraId="3CE434D3">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本项目为沟道水环境治理项目，本工程不占用自然保护区和生态保护红线范围。本项目</w:t>
            </w:r>
            <w:r>
              <w:rPr>
                <w:rFonts w:hint="eastAsia" w:cs="Times New Roman"/>
                <w:color w:val="auto"/>
                <w:kern w:val="0"/>
                <w:sz w:val="24"/>
                <w:szCs w:val="24"/>
                <w:highlight w:val="none"/>
                <w:lang w:val="en-US" w:eastAsia="zh-CN" w:bidi="ar-SA"/>
              </w:rPr>
              <w:t>不</w:t>
            </w:r>
            <w:r>
              <w:rPr>
                <w:rFonts w:hint="default" w:ascii="Times New Roman" w:hAnsi="Times New Roman" w:eastAsia="宋体" w:cs="Times New Roman"/>
                <w:color w:val="auto"/>
                <w:kern w:val="0"/>
                <w:sz w:val="24"/>
                <w:szCs w:val="24"/>
                <w:highlight w:val="none"/>
                <w:lang w:val="en-US" w:eastAsia="zh-CN" w:bidi="ar-SA"/>
              </w:rPr>
              <w:t>设置</w:t>
            </w:r>
            <w:r>
              <w:rPr>
                <w:rFonts w:hint="eastAsia" w:cs="Times New Roman"/>
                <w:color w:val="auto"/>
                <w:kern w:val="0"/>
                <w:sz w:val="24"/>
                <w:szCs w:val="24"/>
                <w:highlight w:val="none"/>
                <w:lang w:val="en-US" w:eastAsia="zh-CN" w:bidi="ar-SA"/>
              </w:rPr>
              <w:t>弃土场及取土场，在</w:t>
            </w:r>
            <w:r>
              <w:rPr>
                <w:rFonts w:hint="default" w:ascii="Times New Roman" w:hAnsi="Times New Roman" w:eastAsia="宋体" w:cs="Times New Roman"/>
                <w:color w:val="auto"/>
                <w:kern w:val="0"/>
                <w:sz w:val="24"/>
                <w:szCs w:val="24"/>
                <w:highlight w:val="none"/>
                <w:lang w:val="en-US" w:eastAsia="zh-CN" w:bidi="ar-SA"/>
              </w:rPr>
              <w:t>沟道</w:t>
            </w:r>
            <w:r>
              <w:rPr>
                <w:rFonts w:hint="eastAsia" w:cs="Times New Roman"/>
                <w:color w:val="auto"/>
                <w:kern w:val="0"/>
                <w:sz w:val="24"/>
                <w:szCs w:val="24"/>
                <w:highlight w:val="none"/>
                <w:lang w:val="en-US" w:eastAsia="zh-CN" w:bidi="ar-SA"/>
              </w:rPr>
              <w:t>沿线一侧设置6</w:t>
            </w:r>
            <w:r>
              <w:rPr>
                <w:rFonts w:hint="default" w:ascii="Times New Roman" w:hAnsi="Times New Roman" w:eastAsia="宋体" w:cs="Times New Roman"/>
                <w:color w:val="auto"/>
                <w:kern w:val="0"/>
                <w:sz w:val="24"/>
                <w:szCs w:val="24"/>
                <w:highlight w:val="none"/>
                <w:lang w:val="en-US" w:eastAsia="zh-CN" w:bidi="ar-SA"/>
              </w:rPr>
              <w:t>处施工营地。施工期</w:t>
            </w:r>
            <w:r>
              <w:rPr>
                <w:rFonts w:hint="eastAsia" w:cs="Times New Roman"/>
                <w:color w:val="auto"/>
                <w:kern w:val="0"/>
                <w:sz w:val="24"/>
                <w:szCs w:val="24"/>
                <w:highlight w:val="none"/>
                <w:lang w:val="en-US" w:eastAsia="zh-CN" w:bidi="ar-SA"/>
              </w:rPr>
              <w:t>土方的开挖、岸坡的砌护修正等施工活动均会对高崖沟现状沟道生态环境造成一定的损害</w:t>
            </w:r>
            <w:r>
              <w:rPr>
                <w:rFonts w:hint="default" w:ascii="Times New Roman" w:hAnsi="Times New Roman" w:eastAsia="宋体" w:cs="Times New Roman"/>
                <w:color w:val="auto"/>
                <w:kern w:val="0"/>
                <w:sz w:val="24"/>
                <w:szCs w:val="24"/>
                <w:highlight w:val="none"/>
                <w:lang w:val="en-US" w:eastAsia="zh-CN" w:bidi="ar-SA"/>
              </w:rPr>
              <w:t>。但这些影响都是短期的且是可逆转的，随着施工期的结束，影响范围的生态环境将随之恢复。</w:t>
            </w:r>
            <w:r>
              <w:rPr>
                <w:rFonts w:hint="eastAsia" w:cs="Times New Roman"/>
                <w:color w:val="auto"/>
                <w:kern w:val="0"/>
                <w:sz w:val="24"/>
                <w:szCs w:val="24"/>
                <w:highlight w:val="none"/>
                <w:lang w:val="en-US" w:eastAsia="zh-CN" w:bidi="ar-SA"/>
              </w:rPr>
              <w:t>同时项目实施后，高崖沟现状岸坡不稳、淤泥严重及行洪不畅的问题将得到改善，因此长远来看，本项目对高崖沟的影响是正向的。</w:t>
            </w:r>
          </w:p>
          <w:p w14:paraId="1D97D2E3">
            <w:pPr>
              <w:adjustRightInd w:val="0"/>
              <w:spacing w:line="360" w:lineRule="auto"/>
              <w:ind w:firstLine="480" w:firstLineChars="200"/>
              <w:rPr>
                <w:rFonts w:hint="default" w:ascii="Times New Roman" w:hAnsi="Times New Roman" w:eastAsia="黑体" w:cs="Times New Roman"/>
                <w:b w:val="0"/>
                <w:bCs w:val="0"/>
                <w:color w:val="auto"/>
                <w:kern w:val="0"/>
                <w:sz w:val="24"/>
                <w:szCs w:val="24"/>
                <w:highlight w:val="none"/>
                <w:lang w:val="en-US" w:eastAsia="zh-CN" w:bidi="ar-SA"/>
              </w:rPr>
            </w:pPr>
            <w:r>
              <w:rPr>
                <w:rFonts w:hint="default" w:ascii="Times New Roman" w:hAnsi="Times New Roman" w:eastAsia="黑体" w:cs="Times New Roman"/>
                <w:b w:val="0"/>
                <w:bCs w:val="0"/>
                <w:color w:val="auto"/>
                <w:kern w:val="0"/>
                <w:sz w:val="24"/>
                <w:szCs w:val="24"/>
                <w:highlight w:val="none"/>
                <w:lang w:val="en-US" w:eastAsia="zh-CN" w:bidi="ar-SA"/>
              </w:rPr>
              <w:t>2、大气环境影响分析</w:t>
            </w:r>
          </w:p>
          <w:p w14:paraId="21FE058B">
            <w:pPr>
              <w:adjustRightInd w:val="0"/>
              <w:spacing w:line="360" w:lineRule="auto"/>
              <w:ind w:firstLine="480" w:firstLineChars="200"/>
              <w:rPr>
                <w:rFonts w:hint="default" w:ascii="Times New Roman" w:hAnsi="Times New Roman" w:eastAsia="黑体" w:cs="Times New Roman"/>
                <w:b w:val="0"/>
                <w:bCs w:val="0"/>
                <w:color w:val="auto"/>
                <w:kern w:val="0"/>
                <w:sz w:val="24"/>
                <w:szCs w:val="24"/>
                <w:highlight w:val="none"/>
                <w:lang w:val="en-US" w:eastAsia="zh-CN" w:bidi="ar-SA"/>
              </w:rPr>
            </w:pPr>
            <w:r>
              <w:rPr>
                <w:rFonts w:hint="eastAsia" w:eastAsia="黑体" w:cs="Times New Roman"/>
                <w:b w:val="0"/>
                <w:bCs w:val="0"/>
                <w:color w:val="auto"/>
                <w:kern w:val="0"/>
                <w:sz w:val="24"/>
                <w:szCs w:val="24"/>
                <w:highlight w:val="none"/>
                <w:lang w:val="en-US" w:eastAsia="zh-CN" w:bidi="ar-SA"/>
              </w:rPr>
              <w:t>2.1</w:t>
            </w:r>
            <w:r>
              <w:rPr>
                <w:rFonts w:hint="default" w:ascii="Times New Roman" w:hAnsi="Times New Roman" w:eastAsia="黑体" w:cs="Times New Roman"/>
                <w:b w:val="0"/>
                <w:bCs w:val="0"/>
                <w:color w:val="auto"/>
                <w:kern w:val="0"/>
                <w:sz w:val="24"/>
                <w:szCs w:val="24"/>
                <w:highlight w:val="none"/>
                <w:lang w:val="en-US" w:eastAsia="zh-CN" w:bidi="ar-SA"/>
              </w:rPr>
              <w:t>施工扬尘</w:t>
            </w:r>
          </w:p>
          <w:p w14:paraId="45A13892">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施工期环境空气污染主要是施工扬尘。施工扬尘主要来自土方挖掘、粉状物料的堆放、运输、装卸和使用、施工现场内车辆行驶扬尘等。由于扬尘源多且分散，属于无组织排放。同时，受施工方式、设备、气候等因素制约，产生的随机性和波动性较大。</w:t>
            </w:r>
          </w:p>
          <w:p w14:paraId="7FE83C3D">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由于各施工点的施工量小，使得施工扬尘呈现时间短、扬尘量及扬尘范围小的特点，并且能够很快恢复。只要在施工过程中贯彻文明施工的原则，施工扬尘对周围环境的影响较小。</w:t>
            </w:r>
          </w:p>
          <w:p w14:paraId="779B39D9">
            <w:pPr>
              <w:adjustRightInd w:val="0"/>
              <w:spacing w:line="360" w:lineRule="auto"/>
              <w:ind w:firstLine="480" w:firstLineChars="200"/>
              <w:rPr>
                <w:rFonts w:hint="default" w:ascii="Times New Roman" w:hAnsi="Times New Roman" w:eastAsia="黑体" w:cs="Times New Roman"/>
                <w:b w:val="0"/>
                <w:bCs w:val="0"/>
                <w:color w:val="auto"/>
                <w:kern w:val="0"/>
                <w:sz w:val="24"/>
                <w:szCs w:val="24"/>
                <w:highlight w:val="none"/>
                <w:lang w:val="en-US" w:eastAsia="zh-CN" w:bidi="ar-SA"/>
              </w:rPr>
            </w:pPr>
            <w:r>
              <w:rPr>
                <w:rFonts w:hint="eastAsia" w:eastAsia="黑体" w:cs="Times New Roman"/>
                <w:b w:val="0"/>
                <w:bCs w:val="0"/>
                <w:color w:val="auto"/>
                <w:kern w:val="0"/>
                <w:sz w:val="24"/>
                <w:szCs w:val="24"/>
                <w:highlight w:val="none"/>
                <w:lang w:val="en-US" w:eastAsia="zh-CN" w:bidi="ar-SA"/>
              </w:rPr>
              <w:t>2.2</w:t>
            </w:r>
            <w:r>
              <w:rPr>
                <w:rFonts w:hint="default" w:ascii="Times New Roman" w:hAnsi="Times New Roman" w:eastAsia="黑体" w:cs="Times New Roman"/>
                <w:b w:val="0"/>
                <w:bCs w:val="0"/>
                <w:color w:val="auto"/>
                <w:kern w:val="0"/>
                <w:sz w:val="24"/>
                <w:szCs w:val="24"/>
                <w:highlight w:val="none"/>
                <w:lang w:val="en-US" w:eastAsia="zh-CN" w:bidi="ar-SA"/>
              </w:rPr>
              <w:t>原料装卸、运输及堆存扬尘</w:t>
            </w:r>
          </w:p>
          <w:p w14:paraId="55AB595D">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土方及原材料装卸过程会产生一定的起尘颗粒，土方运输过程中如不采取遮盖措施，也产生起尘颗粒，会对周边产生一定的扬尘污染。</w:t>
            </w:r>
          </w:p>
          <w:p w14:paraId="7F81C881">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项目</w:t>
            </w:r>
            <w:r>
              <w:rPr>
                <w:rFonts w:hint="eastAsia" w:cs="Times New Roman"/>
                <w:color w:val="auto"/>
                <w:kern w:val="0"/>
                <w:sz w:val="24"/>
                <w:szCs w:val="24"/>
                <w:highlight w:val="none"/>
                <w:lang w:val="en-US" w:eastAsia="zh-CN" w:bidi="ar-SA"/>
              </w:rPr>
              <w:t>沟道清淤的淤泥</w:t>
            </w:r>
            <w:r>
              <w:rPr>
                <w:rFonts w:hint="default" w:ascii="Times New Roman" w:hAnsi="Times New Roman" w:eastAsia="宋体" w:cs="Times New Roman"/>
                <w:color w:val="auto"/>
                <w:kern w:val="0"/>
                <w:sz w:val="24"/>
                <w:szCs w:val="24"/>
                <w:highlight w:val="none"/>
                <w:lang w:val="en-US" w:eastAsia="zh-CN" w:bidi="ar-SA"/>
              </w:rPr>
              <w:t>因含水率低，其表层</w:t>
            </w:r>
            <w:r>
              <w:rPr>
                <w:rFonts w:hint="default" w:ascii="Times New Roman" w:hAnsi="Times New Roman" w:cs="Times New Roman"/>
                <w:color w:val="auto"/>
                <w:kern w:val="0"/>
                <w:sz w:val="24"/>
                <w:szCs w:val="24"/>
                <w:highlight w:val="none"/>
                <w:lang w:val="en-US" w:eastAsia="zh-CN" w:bidi="ar-SA"/>
              </w:rPr>
              <w:t>含有</w:t>
            </w:r>
            <w:r>
              <w:rPr>
                <w:rFonts w:hint="default" w:ascii="Times New Roman" w:hAnsi="Times New Roman" w:eastAsia="宋体" w:cs="Times New Roman"/>
                <w:color w:val="auto"/>
                <w:kern w:val="0"/>
                <w:sz w:val="24"/>
                <w:szCs w:val="24"/>
                <w:highlight w:val="none"/>
                <w:lang w:val="en-US" w:eastAsia="zh-CN" w:bidi="ar-SA"/>
              </w:rPr>
              <w:t>大量的易起尘颗粒物，在干燥及起风的情况</w:t>
            </w:r>
            <w:r>
              <w:rPr>
                <w:rFonts w:hint="default" w:ascii="Times New Roman" w:hAnsi="Times New Roman" w:cs="Times New Roman"/>
                <w:color w:val="auto"/>
                <w:kern w:val="0"/>
                <w:sz w:val="24"/>
                <w:szCs w:val="24"/>
                <w:highlight w:val="none"/>
                <w:lang w:val="en-US" w:eastAsia="zh-CN" w:bidi="ar-SA"/>
              </w:rPr>
              <w:t>下</w:t>
            </w:r>
            <w:r>
              <w:rPr>
                <w:rFonts w:hint="default" w:ascii="Times New Roman" w:hAnsi="Times New Roman" w:eastAsia="宋体" w:cs="Times New Roman"/>
                <w:color w:val="auto"/>
                <w:kern w:val="0"/>
                <w:sz w:val="24"/>
                <w:szCs w:val="24"/>
                <w:highlight w:val="none"/>
                <w:lang w:val="en-US" w:eastAsia="zh-CN" w:bidi="ar-SA"/>
              </w:rPr>
              <w:t>，易在堆放点也会对周边产生一定的扬尘污染。</w:t>
            </w:r>
          </w:p>
          <w:p w14:paraId="2E72D8E9">
            <w:pPr>
              <w:adjustRightInd w:val="0"/>
              <w:spacing w:line="360" w:lineRule="auto"/>
              <w:ind w:firstLine="480" w:firstLineChars="200"/>
              <w:rPr>
                <w:rFonts w:hint="default" w:ascii="Times New Roman" w:hAnsi="Times New Roman" w:eastAsia="黑体" w:cs="Times New Roman"/>
                <w:b w:val="0"/>
                <w:bCs w:val="0"/>
                <w:color w:val="auto"/>
                <w:kern w:val="0"/>
                <w:sz w:val="24"/>
                <w:szCs w:val="24"/>
                <w:highlight w:val="none"/>
                <w:lang w:val="en-US" w:eastAsia="zh-CN" w:bidi="ar-SA"/>
              </w:rPr>
            </w:pPr>
            <w:r>
              <w:rPr>
                <w:rFonts w:hint="eastAsia" w:eastAsia="黑体" w:cs="Times New Roman"/>
                <w:b w:val="0"/>
                <w:bCs w:val="0"/>
                <w:color w:val="auto"/>
                <w:kern w:val="0"/>
                <w:sz w:val="24"/>
                <w:szCs w:val="24"/>
                <w:highlight w:val="none"/>
                <w:lang w:val="en-US" w:eastAsia="zh-CN" w:bidi="ar-SA"/>
              </w:rPr>
              <w:t>2.3</w:t>
            </w:r>
            <w:r>
              <w:rPr>
                <w:rFonts w:hint="default" w:ascii="Times New Roman" w:hAnsi="Times New Roman" w:eastAsia="黑体" w:cs="Times New Roman"/>
                <w:b w:val="0"/>
                <w:bCs w:val="0"/>
                <w:color w:val="auto"/>
                <w:kern w:val="0"/>
                <w:sz w:val="24"/>
                <w:szCs w:val="24"/>
                <w:highlight w:val="none"/>
                <w:lang w:val="en-US" w:eastAsia="zh-CN" w:bidi="ar-SA"/>
              </w:rPr>
              <w:t>施工机械和车辆尾气</w:t>
            </w:r>
          </w:p>
          <w:p w14:paraId="28BCC2A6">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本项目施工过程用到的施工机械主要包括挖掘机、装载机、运输车等，会产生一定量废气，包括CO、NOx、SO</w:t>
            </w:r>
            <w:r>
              <w:rPr>
                <w:rFonts w:hint="default" w:ascii="Times New Roman" w:hAnsi="Times New Roman" w:eastAsia="宋体" w:cs="Times New Roman"/>
                <w:color w:val="auto"/>
                <w:kern w:val="0"/>
                <w:sz w:val="24"/>
                <w:szCs w:val="24"/>
                <w:highlight w:val="none"/>
                <w:vertAlign w:val="subscript"/>
                <w:lang w:val="en-US" w:eastAsia="zh-CN" w:bidi="ar-SA"/>
              </w:rPr>
              <w:t>2</w:t>
            </w:r>
            <w:r>
              <w:rPr>
                <w:rFonts w:hint="default" w:ascii="Times New Roman" w:hAnsi="Times New Roman" w:eastAsia="宋体" w:cs="Times New Roman"/>
                <w:color w:val="auto"/>
                <w:kern w:val="0"/>
                <w:sz w:val="24"/>
                <w:szCs w:val="24"/>
                <w:highlight w:val="none"/>
                <w:lang w:val="en-US" w:eastAsia="zh-CN" w:bidi="ar-SA"/>
              </w:rPr>
              <w:t>等，但产生量不大，影响范围有限。项目在施工过程中使用的运输车辆多为大吨位车辆，工程车辆行驶将加重城镇车辆尾气污染负荷。因此施工现场应合理布置运输车辆行驶路线，配合有关部门搞好施工期间周围道路的交通组织，保证行驶速度，减少怠速时间，以减少机动车尾气的排放；对燃柴油的大型运输车辆和推土机需安装尾气净化器，尾气应达标排放；加强对施工机械，运输车辆的维修保养，禁止施工机械超负荷工作和运输车辆超载；施工现场不设置维修点；不得使用劣质燃料。</w:t>
            </w:r>
          </w:p>
          <w:p w14:paraId="2FB5319F">
            <w:pPr>
              <w:adjustRightInd w:val="0"/>
              <w:spacing w:line="360" w:lineRule="auto"/>
              <w:ind w:firstLine="480" w:firstLineChars="200"/>
              <w:rPr>
                <w:rFonts w:hint="default" w:ascii="Times New Roman" w:hAnsi="Times New Roman" w:eastAsia="黑体" w:cs="Times New Roman"/>
                <w:b w:val="0"/>
                <w:bCs w:val="0"/>
                <w:color w:val="auto"/>
                <w:kern w:val="0"/>
                <w:sz w:val="24"/>
                <w:szCs w:val="24"/>
                <w:highlight w:val="none"/>
                <w:lang w:val="en-US" w:eastAsia="zh-CN" w:bidi="ar-SA"/>
              </w:rPr>
            </w:pPr>
            <w:r>
              <w:rPr>
                <w:rFonts w:hint="eastAsia" w:eastAsia="黑体" w:cs="Times New Roman"/>
                <w:b w:val="0"/>
                <w:bCs w:val="0"/>
                <w:color w:val="auto"/>
                <w:kern w:val="0"/>
                <w:sz w:val="24"/>
                <w:szCs w:val="24"/>
                <w:highlight w:val="none"/>
                <w:lang w:val="en-US" w:eastAsia="zh-CN" w:bidi="ar-SA"/>
              </w:rPr>
              <w:t>2.4底泥恶臭</w:t>
            </w:r>
          </w:p>
          <w:p w14:paraId="2F5D0409">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w:t>
            </w:r>
            <w:r>
              <w:rPr>
                <w:rFonts w:hint="eastAsia" w:cs="Times New Roman"/>
                <w:color w:val="auto"/>
                <w:kern w:val="0"/>
                <w:sz w:val="24"/>
                <w:szCs w:val="24"/>
                <w:highlight w:val="none"/>
                <w:lang w:val="en-US" w:eastAsia="zh-CN" w:bidi="ar-SA"/>
              </w:rPr>
              <w:t>高崖沟为季节性泄洪沟道，枯水期处于污水状态，本次工程设计清淤工程在枯水期开展</w:t>
            </w:r>
            <w:r>
              <w:rPr>
                <w:rFonts w:hint="default" w:ascii="Times New Roman" w:hAnsi="Times New Roman" w:eastAsia="宋体" w:cs="Times New Roman"/>
                <w:color w:val="auto"/>
                <w:kern w:val="0"/>
                <w:sz w:val="24"/>
                <w:szCs w:val="24"/>
                <w:highlight w:val="none"/>
                <w:lang w:val="en-US" w:eastAsia="zh-CN" w:bidi="ar-SA"/>
              </w:rPr>
              <w:t>，采用排干清淤的方式，</w:t>
            </w:r>
            <w:r>
              <w:rPr>
                <w:rFonts w:hint="eastAsia" w:cs="Times New Roman"/>
                <w:color w:val="auto"/>
                <w:kern w:val="0"/>
                <w:sz w:val="24"/>
                <w:szCs w:val="24"/>
                <w:highlight w:val="none"/>
                <w:lang w:val="en-US" w:eastAsia="zh-CN" w:bidi="ar-SA"/>
              </w:rPr>
              <w:t>其次由于高崖沟为季节性泄洪沟，其主要任务为强降雨天气泄洪，同时高崖沟所在区域地处宁夏水土流失区，因此高崖沟淤泥主要为强降雨天气情况下山洪冲击的沟道两侧的泥土及砂石，因此清淤所清出淤泥以淤沙为主，基本无恶臭，因此项目施工期基本无恶臭气体产生</w:t>
            </w:r>
            <w:r>
              <w:rPr>
                <w:rFonts w:hint="default" w:ascii="Times New Roman" w:hAnsi="Times New Roman" w:eastAsia="宋体" w:cs="Times New Roman"/>
                <w:color w:val="auto"/>
                <w:kern w:val="0"/>
                <w:sz w:val="24"/>
                <w:szCs w:val="24"/>
                <w:highlight w:val="none"/>
                <w:lang w:val="en-US" w:eastAsia="zh-CN" w:bidi="ar-SA"/>
              </w:rPr>
              <w:t>。</w:t>
            </w:r>
          </w:p>
          <w:p w14:paraId="6B0E1CD9">
            <w:pPr>
              <w:adjustRightInd w:val="0"/>
              <w:spacing w:line="360" w:lineRule="auto"/>
              <w:ind w:firstLine="480" w:firstLineChars="200"/>
              <w:rPr>
                <w:rFonts w:hint="default" w:ascii="Times New Roman" w:hAnsi="Times New Roman" w:eastAsia="黑体" w:cs="Times New Roman"/>
                <w:b w:val="0"/>
                <w:bCs w:val="0"/>
                <w:color w:val="auto"/>
                <w:kern w:val="0"/>
                <w:sz w:val="24"/>
                <w:szCs w:val="24"/>
                <w:highlight w:val="none"/>
                <w:lang w:val="en-US" w:eastAsia="zh-CN" w:bidi="ar-SA"/>
              </w:rPr>
            </w:pPr>
            <w:r>
              <w:rPr>
                <w:rFonts w:hint="default" w:ascii="Times New Roman" w:hAnsi="Times New Roman" w:eastAsia="黑体" w:cs="Times New Roman"/>
                <w:b w:val="0"/>
                <w:bCs w:val="0"/>
                <w:color w:val="auto"/>
                <w:kern w:val="0"/>
                <w:sz w:val="24"/>
                <w:szCs w:val="24"/>
                <w:highlight w:val="none"/>
                <w:lang w:val="en-US" w:eastAsia="zh-CN" w:bidi="ar-SA"/>
              </w:rPr>
              <w:t>3、水环境影响分析</w:t>
            </w:r>
          </w:p>
          <w:p w14:paraId="3240307D">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w:t>
            </w:r>
            <w:r>
              <w:rPr>
                <w:rFonts w:hint="eastAsia" w:cs="Times New Roman"/>
                <w:color w:val="auto"/>
                <w:kern w:val="0"/>
                <w:sz w:val="24"/>
                <w:szCs w:val="24"/>
                <w:highlight w:val="none"/>
                <w:lang w:val="en-US" w:eastAsia="zh-CN" w:bidi="ar-SA"/>
              </w:rPr>
              <w:t>高崖沟为季节性泄洪沟</w:t>
            </w:r>
            <w:r>
              <w:rPr>
                <w:rFonts w:hint="eastAsia" w:ascii="Times New Roman" w:hAnsi="Times New Roman" w:eastAsia="宋体" w:cs="Times New Roman"/>
                <w:color w:val="auto"/>
                <w:kern w:val="0"/>
                <w:sz w:val="24"/>
                <w:szCs w:val="24"/>
                <w:highlight w:val="none"/>
                <w:lang w:val="en-US" w:eastAsia="zh-CN" w:bidi="ar-SA"/>
              </w:rPr>
              <w:t>道，枯水期处于</w:t>
            </w:r>
            <w:r>
              <w:rPr>
                <w:rFonts w:hint="eastAsia" w:cs="Times New Roman"/>
                <w:color w:val="auto"/>
                <w:kern w:val="0"/>
                <w:sz w:val="24"/>
                <w:szCs w:val="24"/>
                <w:highlight w:val="none"/>
                <w:lang w:val="en-US" w:eastAsia="zh-CN" w:bidi="ar-SA"/>
              </w:rPr>
              <w:t>无水</w:t>
            </w:r>
            <w:r>
              <w:rPr>
                <w:rFonts w:hint="eastAsia" w:ascii="Times New Roman" w:hAnsi="Times New Roman" w:eastAsia="宋体" w:cs="Times New Roman"/>
                <w:color w:val="auto"/>
                <w:kern w:val="0"/>
                <w:sz w:val="24"/>
                <w:szCs w:val="24"/>
                <w:highlight w:val="none"/>
                <w:lang w:val="en-US" w:eastAsia="zh-CN" w:bidi="ar-SA"/>
              </w:rPr>
              <w:t>状态，本次工程设计清淤工程在枯水期开展</w:t>
            </w:r>
            <w:r>
              <w:rPr>
                <w:rFonts w:hint="default" w:ascii="Times New Roman" w:hAnsi="Times New Roman" w:eastAsia="宋体" w:cs="Times New Roman"/>
                <w:color w:val="auto"/>
                <w:kern w:val="0"/>
                <w:sz w:val="24"/>
                <w:szCs w:val="24"/>
                <w:highlight w:val="none"/>
                <w:lang w:val="en-US" w:eastAsia="zh-CN" w:bidi="ar-SA"/>
              </w:rPr>
              <w:t>，采用排干清淤的方式，</w:t>
            </w:r>
            <w:r>
              <w:rPr>
                <w:rFonts w:hint="eastAsia" w:ascii="Times New Roman" w:hAnsi="Times New Roman" w:eastAsia="宋体" w:cs="Times New Roman"/>
                <w:color w:val="auto"/>
                <w:kern w:val="0"/>
                <w:sz w:val="24"/>
                <w:szCs w:val="24"/>
                <w:highlight w:val="none"/>
                <w:lang w:val="en-US" w:eastAsia="zh-CN" w:bidi="ar-SA"/>
              </w:rPr>
              <w:t>因此</w:t>
            </w:r>
            <w:r>
              <w:rPr>
                <w:rFonts w:hint="default" w:ascii="Times New Roman" w:hAnsi="Times New Roman" w:eastAsia="宋体" w:cs="Times New Roman"/>
                <w:color w:val="auto"/>
                <w:kern w:val="0"/>
                <w:sz w:val="24"/>
                <w:szCs w:val="24"/>
                <w:highlight w:val="none"/>
                <w:lang w:val="en-US" w:eastAsia="zh-CN" w:bidi="ar-SA"/>
              </w:rPr>
              <w:t>本项目施工期间废水主要为施工人员生活污水及施工废水，生活污水经</w:t>
            </w:r>
            <w:r>
              <w:rPr>
                <w:rFonts w:hint="eastAsia" w:ascii="Times New Roman" w:hAnsi="Times New Roman" w:eastAsia="宋体" w:cs="Times New Roman"/>
                <w:color w:val="auto"/>
                <w:kern w:val="0"/>
                <w:sz w:val="24"/>
                <w:szCs w:val="24"/>
                <w:highlight w:val="none"/>
                <w:lang w:val="en-US" w:eastAsia="zh-CN" w:bidi="ar-SA"/>
              </w:rPr>
              <w:t>配套设置的临时化粪池处理后由粪污车拉运至距离较近的乡镇生活污水处理设施处理</w:t>
            </w:r>
            <w:r>
              <w:rPr>
                <w:rFonts w:hint="default" w:ascii="Times New Roman" w:hAnsi="Times New Roman" w:eastAsia="宋体" w:cs="Times New Roman"/>
                <w:color w:val="auto"/>
                <w:kern w:val="0"/>
                <w:sz w:val="24"/>
                <w:szCs w:val="24"/>
                <w:highlight w:val="none"/>
                <w:lang w:val="en-US" w:eastAsia="zh-CN" w:bidi="ar-SA"/>
              </w:rPr>
              <w:t>；施工废水主要为车辆冲洗废水</w:t>
            </w:r>
            <w:r>
              <w:rPr>
                <w:rFonts w:hint="eastAsia" w:ascii="Times New Roman" w:hAnsi="Times New Roman" w:eastAsia="宋体" w:cs="Times New Roman"/>
                <w:color w:val="auto"/>
                <w:kern w:val="0"/>
                <w:sz w:val="24"/>
                <w:szCs w:val="24"/>
                <w:highlight w:val="none"/>
                <w:lang w:val="en-US" w:eastAsia="zh-CN" w:bidi="ar-SA"/>
              </w:rPr>
              <w:t>及</w:t>
            </w:r>
            <w:r>
              <w:rPr>
                <w:rFonts w:hint="eastAsia" w:cs="Times New Roman"/>
                <w:color w:val="auto"/>
                <w:kern w:val="0"/>
                <w:sz w:val="24"/>
                <w:szCs w:val="24"/>
                <w:highlight w:val="none"/>
                <w:lang w:val="en-US" w:eastAsia="zh-CN" w:bidi="ar-SA"/>
              </w:rPr>
              <w:t>混凝土养护</w:t>
            </w:r>
            <w:r>
              <w:rPr>
                <w:rFonts w:hint="eastAsia" w:ascii="Times New Roman" w:hAnsi="Times New Roman" w:eastAsia="宋体" w:cs="Times New Roman"/>
                <w:color w:val="auto"/>
                <w:kern w:val="0"/>
                <w:sz w:val="24"/>
                <w:szCs w:val="24"/>
                <w:highlight w:val="none"/>
                <w:lang w:val="en-US" w:eastAsia="zh-CN" w:bidi="ar-SA"/>
              </w:rPr>
              <w:t>废水</w:t>
            </w:r>
            <w:r>
              <w:rPr>
                <w:rFonts w:hint="default" w:ascii="Times New Roman" w:hAnsi="Times New Roman" w:eastAsia="宋体" w:cs="Times New Roman"/>
                <w:color w:val="auto"/>
                <w:kern w:val="0"/>
                <w:sz w:val="24"/>
                <w:szCs w:val="24"/>
                <w:highlight w:val="none"/>
                <w:lang w:val="en-US" w:eastAsia="zh-CN" w:bidi="ar-SA"/>
              </w:rPr>
              <w:t>，</w:t>
            </w:r>
            <w:r>
              <w:rPr>
                <w:rFonts w:hint="eastAsia" w:ascii="Times New Roman" w:hAnsi="Times New Roman" w:eastAsia="宋体" w:cs="Times New Roman"/>
                <w:color w:val="auto"/>
                <w:kern w:val="0"/>
                <w:sz w:val="24"/>
                <w:szCs w:val="24"/>
                <w:highlight w:val="none"/>
                <w:lang w:val="en-US" w:eastAsia="zh-CN" w:bidi="ar-SA"/>
              </w:rPr>
              <w:t>其中洗车废水</w:t>
            </w:r>
            <w:r>
              <w:rPr>
                <w:rFonts w:hint="default" w:ascii="Times New Roman" w:hAnsi="Times New Roman" w:eastAsia="宋体" w:cs="Times New Roman"/>
                <w:color w:val="auto"/>
                <w:kern w:val="0"/>
                <w:sz w:val="24"/>
                <w:szCs w:val="24"/>
                <w:highlight w:val="none"/>
                <w:lang w:val="en-US" w:eastAsia="zh-CN" w:bidi="ar-SA"/>
              </w:rPr>
              <w:t>经施工现场配套沉淀池沉淀处理后回用于施工现场洒水抑尘</w:t>
            </w:r>
            <w:r>
              <w:rPr>
                <w:rFonts w:hint="eastAsia" w:ascii="Times New Roman" w:hAnsi="Times New Roman" w:eastAsia="宋体" w:cs="Times New Roman"/>
                <w:color w:val="auto"/>
                <w:kern w:val="0"/>
                <w:sz w:val="24"/>
                <w:szCs w:val="24"/>
                <w:highlight w:val="none"/>
                <w:lang w:val="en-US" w:eastAsia="zh-CN" w:bidi="ar-SA"/>
              </w:rPr>
              <w:t>，不外排；</w:t>
            </w:r>
            <w:r>
              <w:rPr>
                <w:rFonts w:hint="eastAsia" w:cs="Times New Roman"/>
                <w:color w:val="auto"/>
                <w:kern w:val="0"/>
                <w:sz w:val="24"/>
                <w:szCs w:val="24"/>
                <w:highlight w:val="none"/>
                <w:lang w:val="en-US" w:eastAsia="zh-CN" w:bidi="ar-SA"/>
              </w:rPr>
              <w:t>混凝土养护</w:t>
            </w:r>
            <w:r>
              <w:rPr>
                <w:rFonts w:hint="eastAsia" w:ascii="Times New Roman" w:hAnsi="Times New Roman" w:eastAsia="宋体" w:cs="Times New Roman"/>
                <w:color w:val="auto"/>
                <w:kern w:val="0"/>
                <w:sz w:val="24"/>
                <w:szCs w:val="24"/>
                <w:highlight w:val="none"/>
                <w:lang w:val="en-US" w:eastAsia="zh-CN" w:bidi="ar-SA"/>
              </w:rPr>
              <w:t>废水自然蒸发</w:t>
            </w:r>
            <w:r>
              <w:rPr>
                <w:rFonts w:hint="default" w:ascii="Times New Roman" w:hAnsi="Times New Roman" w:eastAsia="宋体" w:cs="Times New Roman"/>
                <w:color w:val="auto"/>
                <w:kern w:val="0"/>
                <w:sz w:val="24"/>
                <w:szCs w:val="24"/>
                <w:highlight w:val="none"/>
                <w:lang w:val="en-US" w:eastAsia="zh-CN" w:bidi="ar-SA"/>
              </w:rPr>
              <w:t>。</w:t>
            </w:r>
          </w:p>
          <w:p w14:paraId="3F1D1542">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综上所述，通过采取以上措施后，项目施工废水对周围水环境影响较小。</w:t>
            </w:r>
          </w:p>
          <w:p w14:paraId="1B23ED46">
            <w:pPr>
              <w:adjustRightInd w:val="0"/>
              <w:spacing w:line="360" w:lineRule="auto"/>
              <w:ind w:firstLine="480" w:firstLineChars="200"/>
              <w:rPr>
                <w:rFonts w:hint="default" w:ascii="Times New Roman" w:hAnsi="Times New Roman" w:eastAsia="黑体" w:cs="Times New Roman"/>
                <w:b w:val="0"/>
                <w:bCs w:val="0"/>
                <w:color w:val="auto"/>
                <w:kern w:val="0"/>
                <w:sz w:val="24"/>
                <w:szCs w:val="24"/>
                <w:highlight w:val="none"/>
                <w:lang w:val="en-US" w:eastAsia="zh-CN" w:bidi="ar-SA"/>
              </w:rPr>
            </w:pPr>
            <w:r>
              <w:rPr>
                <w:rFonts w:hint="default" w:ascii="Times New Roman" w:hAnsi="Times New Roman" w:eastAsia="黑体" w:cs="Times New Roman"/>
                <w:b w:val="0"/>
                <w:bCs w:val="0"/>
                <w:color w:val="auto"/>
                <w:kern w:val="0"/>
                <w:sz w:val="24"/>
                <w:szCs w:val="24"/>
                <w:highlight w:val="none"/>
                <w:lang w:val="en-US" w:eastAsia="zh-CN" w:bidi="ar-SA"/>
              </w:rPr>
              <w:t>4、声环境影响分析</w:t>
            </w:r>
          </w:p>
          <w:p w14:paraId="706DA1ED">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施工期噪声源主要可分为机械噪声、施工作业噪声和施工车辆噪声。机械噪声主要由施工机械所造成的，如挖土机、推土机等，多为点源噪声源；施工作业噪声主要是指一些零星的敲打声、装卸车辆的撞击声、吆喝声、拆装模板的撞击声等，多为瞬间噪声；施工车辆的噪声属于交通噪声。这些施工噪声中对声环境影响最大的是机械噪声。施工期噪声主要属中低频噪声，故施工期噪声对周边环境的影响只考虑扩散衰减，采用点源噪声衰减模式进行预测，预测模式为：</w:t>
            </w:r>
          </w:p>
          <w:p w14:paraId="593DDDCE">
            <w:pPr>
              <w:adjustRightInd w:val="0"/>
              <w:spacing w:line="360" w:lineRule="auto"/>
              <w:ind w:firstLine="420" w:firstLineChars="200"/>
              <w:jc w:val="center"/>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cs="Times New Roman"/>
                <w:color w:val="auto"/>
                <w:highlight w:val="none"/>
              </w:rPr>
              <w:drawing>
                <wp:inline distT="0" distB="0" distL="114300" distR="114300">
                  <wp:extent cx="2476500" cy="638175"/>
                  <wp:effectExtent l="0" t="0" r="0" b="952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8"/>
                          <a:stretch>
                            <a:fillRect/>
                          </a:stretch>
                        </pic:blipFill>
                        <pic:spPr>
                          <a:xfrm>
                            <a:off x="0" y="0"/>
                            <a:ext cx="2476500" cy="638175"/>
                          </a:xfrm>
                          <a:prstGeom prst="rect">
                            <a:avLst/>
                          </a:prstGeom>
                          <a:noFill/>
                          <a:ln>
                            <a:noFill/>
                          </a:ln>
                        </pic:spPr>
                      </pic:pic>
                    </a:graphicData>
                  </a:graphic>
                </wp:inline>
              </w:drawing>
            </w:r>
          </w:p>
          <w:p w14:paraId="621DF1DE">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式中：Lp（r）—预测点处声压级，dB；</w:t>
            </w:r>
          </w:p>
          <w:p w14:paraId="4084A32E">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Lp（r0）—参考位置r0处的声压级，dB；</w:t>
            </w:r>
          </w:p>
          <w:p w14:paraId="687B2CCA">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r—预测点距声源的距离，m；</w:t>
            </w:r>
          </w:p>
          <w:p w14:paraId="4ABB651B">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r0—参考位置距声源的距离，m。</w:t>
            </w:r>
          </w:p>
          <w:p w14:paraId="3539F24D">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各主要施工设备不同距离处的噪声值（未与现状值叠加）预测结果见表4-1。</w:t>
            </w:r>
          </w:p>
          <w:p w14:paraId="7F63600C">
            <w:pPr>
              <w:adjustRightInd w:val="0"/>
              <w:snapToGrid w:val="0"/>
              <w:spacing w:after="0"/>
              <w:jc w:val="center"/>
              <w:rPr>
                <w:rFonts w:hint="default" w:ascii="Times New Roman" w:hAnsi="Times New Roman" w:eastAsia="黑体" w:cs="Times New Roman"/>
                <w:b w:val="0"/>
                <w:bCs w:val="0"/>
                <w:color w:val="auto"/>
                <w:kern w:val="0"/>
                <w:szCs w:val="21"/>
                <w:highlight w:val="none"/>
              </w:rPr>
            </w:pPr>
            <w:r>
              <w:rPr>
                <w:rFonts w:hint="default" w:ascii="Times New Roman" w:hAnsi="Times New Roman" w:eastAsia="黑体" w:cs="Times New Roman"/>
                <w:b w:val="0"/>
                <w:bCs w:val="0"/>
                <w:color w:val="auto"/>
                <w:kern w:val="0"/>
                <w:sz w:val="24"/>
                <w:highlight w:val="none"/>
              </w:rPr>
              <w:t>表4-1  主要施工机械噪声源强表</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09"/>
              <w:gridCol w:w="515"/>
              <w:gridCol w:w="668"/>
              <w:gridCol w:w="625"/>
              <w:gridCol w:w="625"/>
              <w:gridCol w:w="652"/>
              <w:gridCol w:w="640"/>
              <w:gridCol w:w="777"/>
              <w:gridCol w:w="792"/>
              <w:gridCol w:w="765"/>
              <w:gridCol w:w="775"/>
            </w:tblGrid>
            <w:tr w14:paraId="3CDF0E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09" w:type="dxa"/>
                  <w:vMerge w:val="restart"/>
                  <w:tcBorders>
                    <w:tl2br w:val="nil"/>
                    <w:tr2bl w:val="nil"/>
                  </w:tcBorders>
                  <w:noWrap/>
                  <w:vAlign w:val="center"/>
                </w:tcPr>
                <w:p w14:paraId="2010B6A0">
                  <w:pPr>
                    <w:pStyle w:val="64"/>
                    <w:keepNext/>
                    <w:keepLines/>
                    <w:widowControl/>
                    <w:spacing w:before="24" w:after="24" w:line="240" w:lineRule="atLeast"/>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噪声源</w:t>
                  </w:r>
                </w:p>
              </w:tc>
              <w:tc>
                <w:tcPr>
                  <w:tcW w:w="6834" w:type="dxa"/>
                  <w:gridSpan w:val="10"/>
                  <w:tcBorders>
                    <w:tl2br w:val="nil"/>
                    <w:tr2bl w:val="nil"/>
                  </w:tcBorders>
                  <w:noWrap/>
                  <w:vAlign w:val="center"/>
                </w:tcPr>
                <w:p w14:paraId="286CB3C5">
                  <w:pPr>
                    <w:pStyle w:val="64"/>
                    <w:keepNext/>
                    <w:keepLines/>
                    <w:widowControl/>
                    <w:spacing w:before="24" w:after="24" w:line="240" w:lineRule="atLeast"/>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距噪声源不同距离噪声级dB(A)</w:t>
                  </w:r>
                </w:p>
              </w:tc>
            </w:tr>
            <w:tr w14:paraId="2665AC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09" w:type="dxa"/>
                  <w:vMerge w:val="continue"/>
                  <w:tcBorders>
                    <w:tl2br w:val="nil"/>
                    <w:tr2bl w:val="nil"/>
                  </w:tcBorders>
                  <w:noWrap w:val="0"/>
                  <w:vAlign w:val="center"/>
                </w:tcPr>
                <w:p w14:paraId="5C6E0962">
                  <w:pPr>
                    <w:pStyle w:val="64"/>
                    <w:keepNext/>
                    <w:keepLines/>
                    <w:widowControl/>
                    <w:spacing w:before="24" w:after="24" w:line="240" w:lineRule="atLeast"/>
                    <w:rPr>
                      <w:rFonts w:hint="default" w:ascii="Times New Roman" w:hAnsi="Times New Roman" w:eastAsia="宋体" w:cs="Times New Roman"/>
                      <w:color w:val="auto"/>
                      <w:sz w:val="21"/>
                      <w:szCs w:val="21"/>
                      <w:highlight w:val="none"/>
                    </w:rPr>
                  </w:pPr>
                </w:p>
              </w:tc>
              <w:tc>
                <w:tcPr>
                  <w:tcW w:w="515" w:type="dxa"/>
                  <w:tcBorders>
                    <w:tl2br w:val="nil"/>
                    <w:tr2bl w:val="nil"/>
                  </w:tcBorders>
                  <w:noWrap w:val="0"/>
                  <w:vAlign w:val="center"/>
                </w:tcPr>
                <w:p w14:paraId="27B0BC17">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5m</w:t>
                  </w:r>
                </w:p>
              </w:tc>
              <w:tc>
                <w:tcPr>
                  <w:tcW w:w="668" w:type="dxa"/>
                  <w:tcBorders>
                    <w:tl2br w:val="nil"/>
                    <w:tr2bl w:val="nil"/>
                  </w:tcBorders>
                  <w:noWrap/>
                  <w:vAlign w:val="center"/>
                </w:tcPr>
                <w:p w14:paraId="07957DC8">
                  <w:pPr>
                    <w:pStyle w:val="64"/>
                    <w:keepNext/>
                    <w:keepLines/>
                    <w:widowControl/>
                    <w:spacing w:before="24" w:after="24" w:line="240" w:lineRule="atLeast"/>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m</w:t>
                  </w:r>
                </w:p>
              </w:tc>
              <w:tc>
                <w:tcPr>
                  <w:tcW w:w="625" w:type="dxa"/>
                  <w:tcBorders>
                    <w:tl2br w:val="nil"/>
                    <w:tr2bl w:val="nil"/>
                  </w:tcBorders>
                  <w:noWrap w:val="0"/>
                  <w:vAlign w:val="center"/>
                </w:tcPr>
                <w:p w14:paraId="067D342B">
                  <w:pPr>
                    <w:pStyle w:val="64"/>
                    <w:keepNext/>
                    <w:keepLines/>
                    <w:widowControl/>
                    <w:spacing w:before="24" w:after="24" w:line="240" w:lineRule="atLeas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0m</w:t>
                  </w:r>
                </w:p>
              </w:tc>
              <w:tc>
                <w:tcPr>
                  <w:tcW w:w="625" w:type="dxa"/>
                  <w:tcBorders>
                    <w:tl2br w:val="nil"/>
                    <w:tr2bl w:val="nil"/>
                  </w:tcBorders>
                  <w:noWrap/>
                  <w:vAlign w:val="center"/>
                </w:tcPr>
                <w:p w14:paraId="7052E8C3">
                  <w:pPr>
                    <w:pStyle w:val="64"/>
                    <w:keepNext/>
                    <w:keepLines/>
                    <w:widowControl/>
                    <w:spacing w:before="24" w:after="24" w:line="240" w:lineRule="atLeas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0m</w:t>
                  </w:r>
                </w:p>
              </w:tc>
              <w:tc>
                <w:tcPr>
                  <w:tcW w:w="652" w:type="dxa"/>
                  <w:tcBorders>
                    <w:tl2br w:val="nil"/>
                    <w:tr2bl w:val="nil"/>
                  </w:tcBorders>
                  <w:noWrap w:val="0"/>
                  <w:vAlign w:val="center"/>
                </w:tcPr>
                <w:p w14:paraId="2ED445FC">
                  <w:pPr>
                    <w:pStyle w:val="64"/>
                    <w:keepNext/>
                    <w:keepLines/>
                    <w:widowControl/>
                    <w:spacing w:before="24" w:after="24" w:line="240" w:lineRule="atLeas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0m</w:t>
                  </w:r>
                </w:p>
              </w:tc>
              <w:tc>
                <w:tcPr>
                  <w:tcW w:w="640" w:type="dxa"/>
                  <w:tcBorders>
                    <w:tl2br w:val="nil"/>
                    <w:tr2bl w:val="nil"/>
                  </w:tcBorders>
                  <w:noWrap/>
                  <w:vAlign w:val="center"/>
                </w:tcPr>
                <w:p w14:paraId="76EB77C5">
                  <w:pPr>
                    <w:pStyle w:val="64"/>
                    <w:keepNext/>
                    <w:keepLines/>
                    <w:widowControl/>
                    <w:spacing w:before="24" w:after="24" w:line="240" w:lineRule="atLeas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0m</w:t>
                  </w:r>
                </w:p>
              </w:tc>
              <w:tc>
                <w:tcPr>
                  <w:tcW w:w="777" w:type="dxa"/>
                  <w:tcBorders>
                    <w:tl2br w:val="nil"/>
                    <w:tr2bl w:val="nil"/>
                  </w:tcBorders>
                  <w:noWrap w:val="0"/>
                  <w:vAlign w:val="center"/>
                </w:tcPr>
                <w:p w14:paraId="7EBC62BB">
                  <w:pPr>
                    <w:pStyle w:val="64"/>
                    <w:keepNext/>
                    <w:keepLines/>
                    <w:widowControl/>
                    <w:spacing w:before="24" w:after="24" w:line="240" w:lineRule="atLeast"/>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100</w:t>
                  </w:r>
                  <w:r>
                    <w:rPr>
                      <w:rFonts w:hint="default" w:ascii="Times New Roman" w:hAnsi="Times New Roman" w:eastAsia="宋体" w:cs="Times New Roman"/>
                      <w:color w:val="auto"/>
                      <w:sz w:val="21"/>
                      <w:szCs w:val="21"/>
                      <w:highlight w:val="none"/>
                    </w:rPr>
                    <w:t>m</w:t>
                  </w:r>
                </w:p>
              </w:tc>
              <w:tc>
                <w:tcPr>
                  <w:tcW w:w="792" w:type="dxa"/>
                  <w:tcBorders>
                    <w:tl2br w:val="nil"/>
                    <w:tr2bl w:val="nil"/>
                  </w:tcBorders>
                  <w:noWrap/>
                  <w:vAlign w:val="center"/>
                </w:tcPr>
                <w:p w14:paraId="5393D105">
                  <w:pPr>
                    <w:pStyle w:val="64"/>
                    <w:keepNext/>
                    <w:keepLines/>
                    <w:widowControl/>
                    <w:spacing w:before="24" w:after="24" w:line="240" w:lineRule="atLeas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0m</w:t>
                  </w:r>
                </w:p>
              </w:tc>
              <w:tc>
                <w:tcPr>
                  <w:tcW w:w="765" w:type="dxa"/>
                  <w:tcBorders>
                    <w:tl2br w:val="nil"/>
                    <w:tr2bl w:val="nil"/>
                  </w:tcBorders>
                  <w:noWrap/>
                  <w:vAlign w:val="center"/>
                </w:tcPr>
                <w:p w14:paraId="111AB20F">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0m</w:t>
                  </w:r>
                </w:p>
              </w:tc>
              <w:tc>
                <w:tcPr>
                  <w:tcW w:w="775" w:type="dxa"/>
                  <w:tcBorders>
                    <w:tl2br w:val="nil"/>
                    <w:tr2bl w:val="nil"/>
                  </w:tcBorders>
                  <w:noWrap/>
                  <w:vAlign w:val="center"/>
                </w:tcPr>
                <w:p w14:paraId="4E23B927">
                  <w:pPr>
                    <w:pStyle w:val="64"/>
                    <w:keepNext/>
                    <w:keepLines/>
                    <w:widowControl/>
                    <w:spacing w:before="24" w:after="24" w:line="240" w:lineRule="atLeas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rPr>
                    <w:t>0m</w:t>
                  </w:r>
                </w:p>
              </w:tc>
            </w:tr>
            <w:tr w14:paraId="747454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09" w:type="dxa"/>
                  <w:tcBorders>
                    <w:tl2br w:val="nil"/>
                    <w:tr2bl w:val="nil"/>
                  </w:tcBorders>
                  <w:shd w:val="clear" w:color="auto" w:fill="auto"/>
                  <w:noWrap/>
                  <w:vAlign w:val="center"/>
                </w:tcPr>
                <w:p w14:paraId="3C8F2F09">
                  <w:pPr>
                    <w:pStyle w:val="2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vertAlign w:val="baseline"/>
                      <w:lang w:val="en-US" w:eastAsia="zh-CN" w:bidi="ar-SA"/>
                    </w:rPr>
                  </w:pPr>
                  <w:r>
                    <w:rPr>
                      <w:rFonts w:hint="default" w:ascii="Times New Roman" w:hAnsi="Times New Roman" w:cs="Times New Roman"/>
                      <w:color w:val="auto"/>
                      <w:highlight w:val="none"/>
                      <w:vertAlign w:val="baseline"/>
                      <w:lang w:val="en-US" w:eastAsia="zh-CN"/>
                    </w:rPr>
                    <w:t>挖掘机</w:t>
                  </w:r>
                </w:p>
              </w:tc>
              <w:tc>
                <w:tcPr>
                  <w:tcW w:w="515" w:type="dxa"/>
                  <w:tcBorders>
                    <w:tl2br w:val="nil"/>
                    <w:tr2bl w:val="nil"/>
                  </w:tcBorders>
                  <w:noWrap w:val="0"/>
                  <w:vAlign w:val="center"/>
                </w:tcPr>
                <w:p w14:paraId="78813F74">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82</w:t>
                  </w:r>
                </w:p>
              </w:tc>
              <w:tc>
                <w:tcPr>
                  <w:tcW w:w="668" w:type="dxa"/>
                  <w:tcBorders>
                    <w:tl2br w:val="nil"/>
                    <w:tr2bl w:val="nil"/>
                  </w:tcBorders>
                  <w:noWrap/>
                  <w:vAlign w:val="center"/>
                </w:tcPr>
                <w:p w14:paraId="738A3AE1">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76</w:t>
                  </w:r>
                </w:p>
              </w:tc>
              <w:tc>
                <w:tcPr>
                  <w:tcW w:w="625" w:type="dxa"/>
                  <w:tcBorders>
                    <w:tl2br w:val="nil"/>
                    <w:tr2bl w:val="nil"/>
                  </w:tcBorders>
                  <w:noWrap w:val="0"/>
                  <w:vAlign w:val="center"/>
                </w:tcPr>
                <w:p w14:paraId="448DE6DA">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70</w:t>
                  </w:r>
                </w:p>
              </w:tc>
              <w:tc>
                <w:tcPr>
                  <w:tcW w:w="625" w:type="dxa"/>
                  <w:tcBorders>
                    <w:tl2br w:val="nil"/>
                    <w:tr2bl w:val="nil"/>
                  </w:tcBorders>
                  <w:noWrap/>
                  <w:vAlign w:val="center"/>
                </w:tcPr>
                <w:p w14:paraId="44A40DCB">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64</w:t>
                  </w:r>
                </w:p>
              </w:tc>
              <w:tc>
                <w:tcPr>
                  <w:tcW w:w="652" w:type="dxa"/>
                  <w:tcBorders>
                    <w:tl2br w:val="nil"/>
                    <w:tr2bl w:val="nil"/>
                  </w:tcBorders>
                  <w:noWrap w:val="0"/>
                  <w:vAlign w:val="center"/>
                </w:tcPr>
                <w:p w14:paraId="14BA8934">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62.5</w:t>
                  </w:r>
                </w:p>
              </w:tc>
              <w:tc>
                <w:tcPr>
                  <w:tcW w:w="640" w:type="dxa"/>
                  <w:tcBorders>
                    <w:tl2br w:val="nil"/>
                    <w:tr2bl w:val="nil"/>
                  </w:tcBorders>
                  <w:noWrap/>
                  <w:vAlign w:val="center"/>
                </w:tcPr>
                <w:p w14:paraId="041A07D7">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58</w:t>
                  </w:r>
                </w:p>
              </w:tc>
              <w:tc>
                <w:tcPr>
                  <w:tcW w:w="777" w:type="dxa"/>
                  <w:tcBorders>
                    <w:tl2br w:val="nil"/>
                    <w:tr2bl w:val="nil"/>
                  </w:tcBorders>
                  <w:noWrap w:val="0"/>
                  <w:vAlign w:val="center"/>
                </w:tcPr>
                <w:p w14:paraId="027D452D">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56.5</w:t>
                  </w:r>
                </w:p>
              </w:tc>
              <w:tc>
                <w:tcPr>
                  <w:tcW w:w="792" w:type="dxa"/>
                  <w:tcBorders>
                    <w:tl2br w:val="nil"/>
                    <w:tr2bl w:val="nil"/>
                  </w:tcBorders>
                  <w:noWrap/>
                  <w:vAlign w:val="center"/>
                </w:tcPr>
                <w:p w14:paraId="79B597D9">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53.5</w:t>
                  </w:r>
                </w:p>
              </w:tc>
              <w:tc>
                <w:tcPr>
                  <w:tcW w:w="765" w:type="dxa"/>
                  <w:tcBorders>
                    <w:tl2br w:val="nil"/>
                    <w:tr2bl w:val="nil"/>
                  </w:tcBorders>
                  <w:noWrap/>
                  <w:vAlign w:val="center"/>
                </w:tcPr>
                <w:p w14:paraId="4F075A52">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50.5</w:t>
                  </w:r>
                </w:p>
              </w:tc>
              <w:tc>
                <w:tcPr>
                  <w:tcW w:w="775" w:type="dxa"/>
                  <w:tcBorders>
                    <w:tl2br w:val="nil"/>
                    <w:tr2bl w:val="nil"/>
                  </w:tcBorders>
                  <w:noWrap/>
                  <w:vAlign w:val="center"/>
                </w:tcPr>
                <w:p w14:paraId="05518860">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47.5</w:t>
                  </w:r>
                </w:p>
              </w:tc>
            </w:tr>
            <w:tr w14:paraId="4D714B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09" w:type="dxa"/>
                  <w:tcBorders>
                    <w:tl2br w:val="nil"/>
                    <w:tr2bl w:val="nil"/>
                  </w:tcBorders>
                  <w:shd w:val="clear" w:color="auto" w:fill="auto"/>
                  <w:noWrap/>
                  <w:vAlign w:val="center"/>
                </w:tcPr>
                <w:p w14:paraId="15ADF658">
                  <w:pPr>
                    <w:pStyle w:val="2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vertAlign w:val="baseline"/>
                      <w:lang w:val="en-US" w:eastAsia="zh-CN" w:bidi="ar-SA"/>
                    </w:rPr>
                  </w:pPr>
                  <w:r>
                    <w:rPr>
                      <w:rFonts w:hint="default" w:ascii="Times New Roman" w:hAnsi="Times New Roman" w:cs="Times New Roman"/>
                      <w:color w:val="auto"/>
                      <w:highlight w:val="none"/>
                      <w:vertAlign w:val="baseline"/>
                      <w:lang w:val="en-US" w:eastAsia="zh-CN"/>
                    </w:rPr>
                    <w:t>双桥载重汽车</w:t>
                  </w:r>
                </w:p>
              </w:tc>
              <w:tc>
                <w:tcPr>
                  <w:tcW w:w="515" w:type="dxa"/>
                  <w:tcBorders>
                    <w:tl2br w:val="nil"/>
                    <w:tr2bl w:val="nil"/>
                  </w:tcBorders>
                  <w:noWrap w:val="0"/>
                  <w:vAlign w:val="center"/>
                </w:tcPr>
                <w:p w14:paraId="1BBE0A4B">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84</w:t>
                  </w:r>
                </w:p>
              </w:tc>
              <w:tc>
                <w:tcPr>
                  <w:tcW w:w="668" w:type="dxa"/>
                  <w:tcBorders>
                    <w:tl2br w:val="nil"/>
                    <w:tr2bl w:val="nil"/>
                  </w:tcBorders>
                  <w:noWrap/>
                  <w:vAlign w:val="center"/>
                </w:tcPr>
                <w:p w14:paraId="0308B279">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78</w:t>
                  </w:r>
                </w:p>
              </w:tc>
              <w:tc>
                <w:tcPr>
                  <w:tcW w:w="625" w:type="dxa"/>
                  <w:tcBorders>
                    <w:tl2br w:val="nil"/>
                    <w:tr2bl w:val="nil"/>
                  </w:tcBorders>
                  <w:noWrap w:val="0"/>
                  <w:vAlign w:val="center"/>
                </w:tcPr>
                <w:p w14:paraId="38983345">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72</w:t>
                  </w:r>
                </w:p>
              </w:tc>
              <w:tc>
                <w:tcPr>
                  <w:tcW w:w="625" w:type="dxa"/>
                  <w:tcBorders>
                    <w:tl2br w:val="nil"/>
                    <w:tr2bl w:val="nil"/>
                  </w:tcBorders>
                  <w:noWrap/>
                  <w:vAlign w:val="center"/>
                </w:tcPr>
                <w:p w14:paraId="3175EFD9">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66</w:t>
                  </w:r>
                </w:p>
              </w:tc>
              <w:tc>
                <w:tcPr>
                  <w:tcW w:w="652" w:type="dxa"/>
                  <w:tcBorders>
                    <w:tl2br w:val="nil"/>
                    <w:tr2bl w:val="nil"/>
                  </w:tcBorders>
                  <w:noWrap w:val="0"/>
                  <w:vAlign w:val="center"/>
                </w:tcPr>
                <w:p w14:paraId="43D46110">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64.5</w:t>
                  </w:r>
                </w:p>
              </w:tc>
              <w:tc>
                <w:tcPr>
                  <w:tcW w:w="640" w:type="dxa"/>
                  <w:tcBorders>
                    <w:tl2br w:val="nil"/>
                    <w:tr2bl w:val="nil"/>
                  </w:tcBorders>
                  <w:noWrap/>
                  <w:vAlign w:val="center"/>
                </w:tcPr>
                <w:p w14:paraId="3E790130">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w:t>
                  </w:r>
                </w:p>
              </w:tc>
              <w:tc>
                <w:tcPr>
                  <w:tcW w:w="777" w:type="dxa"/>
                  <w:tcBorders>
                    <w:tl2br w:val="nil"/>
                    <w:tr2bl w:val="nil"/>
                  </w:tcBorders>
                  <w:noWrap w:val="0"/>
                  <w:vAlign w:val="center"/>
                </w:tcPr>
                <w:p w14:paraId="153242F1">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58.5</w:t>
                  </w:r>
                </w:p>
              </w:tc>
              <w:tc>
                <w:tcPr>
                  <w:tcW w:w="792" w:type="dxa"/>
                  <w:tcBorders>
                    <w:tl2br w:val="nil"/>
                    <w:tr2bl w:val="nil"/>
                  </w:tcBorders>
                  <w:noWrap/>
                  <w:vAlign w:val="center"/>
                </w:tcPr>
                <w:p w14:paraId="30873FAD">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55.5</w:t>
                  </w:r>
                </w:p>
              </w:tc>
              <w:tc>
                <w:tcPr>
                  <w:tcW w:w="765" w:type="dxa"/>
                  <w:tcBorders>
                    <w:tl2br w:val="nil"/>
                    <w:tr2bl w:val="nil"/>
                  </w:tcBorders>
                  <w:noWrap/>
                  <w:vAlign w:val="center"/>
                </w:tcPr>
                <w:p w14:paraId="7D6EA566">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52.5</w:t>
                  </w:r>
                </w:p>
              </w:tc>
              <w:tc>
                <w:tcPr>
                  <w:tcW w:w="775" w:type="dxa"/>
                  <w:tcBorders>
                    <w:tl2br w:val="nil"/>
                    <w:tr2bl w:val="nil"/>
                  </w:tcBorders>
                  <w:noWrap/>
                  <w:vAlign w:val="center"/>
                </w:tcPr>
                <w:p w14:paraId="737BF0E3">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49.5</w:t>
                  </w:r>
                </w:p>
              </w:tc>
            </w:tr>
            <w:tr w14:paraId="19EE38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09" w:type="dxa"/>
                  <w:tcBorders>
                    <w:tl2br w:val="nil"/>
                    <w:tr2bl w:val="nil"/>
                  </w:tcBorders>
                  <w:shd w:val="clear" w:color="auto" w:fill="auto"/>
                  <w:noWrap/>
                  <w:vAlign w:val="center"/>
                </w:tcPr>
                <w:p w14:paraId="263F1369">
                  <w:pPr>
                    <w:pStyle w:val="2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vertAlign w:val="baseline"/>
                      <w:lang w:val="en-US" w:eastAsia="zh-CN" w:bidi="ar-SA"/>
                    </w:rPr>
                  </w:pPr>
                  <w:r>
                    <w:rPr>
                      <w:rFonts w:hint="default" w:ascii="Times New Roman" w:hAnsi="Times New Roman" w:cs="Times New Roman"/>
                      <w:color w:val="auto"/>
                      <w:highlight w:val="none"/>
                      <w:vertAlign w:val="baseline"/>
                      <w:lang w:val="en-US" w:eastAsia="zh-CN"/>
                    </w:rPr>
                    <w:t>装载机</w:t>
                  </w:r>
                </w:p>
              </w:tc>
              <w:tc>
                <w:tcPr>
                  <w:tcW w:w="515" w:type="dxa"/>
                  <w:tcBorders>
                    <w:tl2br w:val="nil"/>
                    <w:tr2bl w:val="nil"/>
                  </w:tcBorders>
                  <w:noWrap w:val="0"/>
                  <w:vAlign w:val="center"/>
                </w:tcPr>
                <w:p w14:paraId="010A3730">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87</w:t>
                  </w:r>
                </w:p>
              </w:tc>
              <w:tc>
                <w:tcPr>
                  <w:tcW w:w="668" w:type="dxa"/>
                  <w:tcBorders>
                    <w:tl2br w:val="nil"/>
                    <w:tr2bl w:val="nil"/>
                  </w:tcBorders>
                  <w:noWrap/>
                  <w:vAlign w:val="center"/>
                </w:tcPr>
                <w:p w14:paraId="26D0DEBE">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81</w:t>
                  </w:r>
                </w:p>
              </w:tc>
              <w:tc>
                <w:tcPr>
                  <w:tcW w:w="625" w:type="dxa"/>
                  <w:tcBorders>
                    <w:tl2br w:val="nil"/>
                    <w:tr2bl w:val="nil"/>
                  </w:tcBorders>
                  <w:noWrap w:val="0"/>
                  <w:vAlign w:val="center"/>
                </w:tcPr>
                <w:p w14:paraId="4E3B7A03">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75</w:t>
                  </w:r>
                </w:p>
              </w:tc>
              <w:tc>
                <w:tcPr>
                  <w:tcW w:w="625" w:type="dxa"/>
                  <w:tcBorders>
                    <w:tl2br w:val="nil"/>
                    <w:tr2bl w:val="nil"/>
                  </w:tcBorders>
                  <w:noWrap/>
                  <w:vAlign w:val="center"/>
                </w:tcPr>
                <w:p w14:paraId="11F23415">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69</w:t>
                  </w:r>
                </w:p>
              </w:tc>
              <w:tc>
                <w:tcPr>
                  <w:tcW w:w="652" w:type="dxa"/>
                  <w:tcBorders>
                    <w:tl2br w:val="nil"/>
                    <w:tr2bl w:val="nil"/>
                  </w:tcBorders>
                  <w:noWrap w:val="0"/>
                  <w:vAlign w:val="center"/>
                </w:tcPr>
                <w:p w14:paraId="60E9A3FE">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67.5</w:t>
                  </w:r>
                </w:p>
              </w:tc>
              <w:tc>
                <w:tcPr>
                  <w:tcW w:w="640" w:type="dxa"/>
                  <w:tcBorders>
                    <w:tl2br w:val="nil"/>
                    <w:tr2bl w:val="nil"/>
                  </w:tcBorders>
                  <w:noWrap/>
                  <w:vAlign w:val="center"/>
                </w:tcPr>
                <w:p w14:paraId="7810D671">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63</w:t>
                  </w:r>
                </w:p>
              </w:tc>
              <w:tc>
                <w:tcPr>
                  <w:tcW w:w="777" w:type="dxa"/>
                  <w:tcBorders>
                    <w:tl2br w:val="nil"/>
                    <w:tr2bl w:val="nil"/>
                  </w:tcBorders>
                  <w:noWrap w:val="0"/>
                  <w:vAlign w:val="center"/>
                </w:tcPr>
                <w:p w14:paraId="60326FAD">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61.5</w:t>
                  </w:r>
                </w:p>
              </w:tc>
              <w:tc>
                <w:tcPr>
                  <w:tcW w:w="792" w:type="dxa"/>
                  <w:tcBorders>
                    <w:tl2br w:val="nil"/>
                    <w:tr2bl w:val="nil"/>
                  </w:tcBorders>
                  <w:noWrap/>
                  <w:vAlign w:val="center"/>
                </w:tcPr>
                <w:p w14:paraId="242D3326">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58.5</w:t>
                  </w:r>
                </w:p>
              </w:tc>
              <w:tc>
                <w:tcPr>
                  <w:tcW w:w="765" w:type="dxa"/>
                  <w:tcBorders>
                    <w:tl2br w:val="nil"/>
                    <w:tr2bl w:val="nil"/>
                  </w:tcBorders>
                  <w:noWrap/>
                  <w:vAlign w:val="center"/>
                </w:tcPr>
                <w:p w14:paraId="1EEF3989">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55.5</w:t>
                  </w:r>
                </w:p>
              </w:tc>
              <w:tc>
                <w:tcPr>
                  <w:tcW w:w="775" w:type="dxa"/>
                  <w:tcBorders>
                    <w:tl2br w:val="nil"/>
                    <w:tr2bl w:val="nil"/>
                  </w:tcBorders>
                  <w:noWrap/>
                  <w:vAlign w:val="center"/>
                </w:tcPr>
                <w:p w14:paraId="5AB84FA4">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52.5</w:t>
                  </w:r>
                </w:p>
              </w:tc>
            </w:tr>
            <w:tr w14:paraId="78490C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09" w:type="dxa"/>
                  <w:tcBorders>
                    <w:tl2br w:val="nil"/>
                    <w:tr2bl w:val="nil"/>
                  </w:tcBorders>
                  <w:shd w:val="clear" w:color="auto" w:fill="auto"/>
                  <w:noWrap/>
                  <w:vAlign w:val="center"/>
                </w:tcPr>
                <w:p w14:paraId="787468D9">
                  <w:pPr>
                    <w:pStyle w:val="2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vertAlign w:val="baseline"/>
                      <w:lang w:val="en-US" w:eastAsia="zh-CN" w:bidi="ar-SA"/>
                    </w:rPr>
                  </w:pPr>
                  <w:r>
                    <w:rPr>
                      <w:rFonts w:hint="default" w:ascii="Times New Roman" w:hAnsi="Times New Roman" w:cs="Times New Roman"/>
                      <w:color w:val="auto"/>
                      <w:highlight w:val="none"/>
                      <w:vertAlign w:val="baseline"/>
                      <w:lang w:val="en-US" w:eastAsia="zh-CN"/>
                    </w:rPr>
                    <w:t>推土机</w:t>
                  </w:r>
                </w:p>
              </w:tc>
              <w:tc>
                <w:tcPr>
                  <w:tcW w:w="515" w:type="dxa"/>
                  <w:tcBorders>
                    <w:tl2br w:val="nil"/>
                    <w:tr2bl w:val="nil"/>
                  </w:tcBorders>
                  <w:noWrap w:val="0"/>
                  <w:vAlign w:val="center"/>
                </w:tcPr>
                <w:p w14:paraId="73053E27">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87</w:t>
                  </w:r>
                </w:p>
              </w:tc>
              <w:tc>
                <w:tcPr>
                  <w:tcW w:w="668" w:type="dxa"/>
                  <w:tcBorders>
                    <w:tl2br w:val="nil"/>
                    <w:tr2bl w:val="nil"/>
                  </w:tcBorders>
                  <w:noWrap/>
                  <w:vAlign w:val="center"/>
                </w:tcPr>
                <w:p w14:paraId="7C93213B">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81</w:t>
                  </w:r>
                </w:p>
              </w:tc>
              <w:tc>
                <w:tcPr>
                  <w:tcW w:w="625" w:type="dxa"/>
                  <w:tcBorders>
                    <w:tl2br w:val="nil"/>
                    <w:tr2bl w:val="nil"/>
                  </w:tcBorders>
                  <w:noWrap w:val="0"/>
                  <w:vAlign w:val="center"/>
                </w:tcPr>
                <w:p w14:paraId="4AD22DB1">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75</w:t>
                  </w:r>
                </w:p>
              </w:tc>
              <w:tc>
                <w:tcPr>
                  <w:tcW w:w="625" w:type="dxa"/>
                  <w:tcBorders>
                    <w:tl2br w:val="nil"/>
                    <w:tr2bl w:val="nil"/>
                  </w:tcBorders>
                  <w:noWrap/>
                  <w:vAlign w:val="center"/>
                </w:tcPr>
                <w:p w14:paraId="5FB2A8C3">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69</w:t>
                  </w:r>
                </w:p>
              </w:tc>
              <w:tc>
                <w:tcPr>
                  <w:tcW w:w="652" w:type="dxa"/>
                  <w:tcBorders>
                    <w:tl2br w:val="nil"/>
                    <w:tr2bl w:val="nil"/>
                  </w:tcBorders>
                  <w:noWrap w:val="0"/>
                  <w:vAlign w:val="center"/>
                </w:tcPr>
                <w:p w14:paraId="5A24E7DF">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67.5</w:t>
                  </w:r>
                </w:p>
              </w:tc>
              <w:tc>
                <w:tcPr>
                  <w:tcW w:w="640" w:type="dxa"/>
                  <w:tcBorders>
                    <w:tl2br w:val="nil"/>
                    <w:tr2bl w:val="nil"/>
                  </w:tcBorders>
                  <w:noWrap/>
                  <w:vAlign w:val="center"/>
                </w:tcPr>
                <w:p w14:paraId="4A789919">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63</w:t>
                  </w:r>
                </w:p>
              </w:tc>
              <w:tc>
                <w:tcPr>
                  <w:tcW w:w="777" w:type="dxa"/>
                  <w:tcBorders>
                    <w:tl2br w:val="nil"/>
                    <w:tr2bl w:val="nil"/>
                  </w:tcBorders>
                  <w:noWrap w:val="0"/>
                  <w:vAlign w:val="center"/>
                </w:tcPr>
                <w:p w14:paraId="21A965E3">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61.5</w:t>
                  </w:r>
                </w:p>
              </w:tc>
              <w:tc>
                <w:tcPr>
                  <w:tcW w:w="792" w:type="dxa"/>
                  <w:tcBorders>
                    <w:tl2br w:val="nil"/>
                    <w:tr2bl w:val="nil"/>
                  </w:tcBorders>
                  <w:noWrap/>
                  <w:vAlign w:val="center"/>
                </w:tcPr>
                <w:p w14:paraId="518C81AF">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58.5</w:t>
                  </w:r>
                </w:p>
              </w:tc>
              <w:tc>
                <w:tcPr>
                  <w:tcW w:w="765" w:type="dxa"/>
                  <w:tcBorders>
                    <w:tl2br w:val="nil"/>
                    <w:tr2bl w:val="nil"/>
                  </w:tcBorders>
                  <w:noWrap/>
                  <w:vAlign w:val="center"/>
                </w:tcPr>
                <w:p w14:paraId="24EB1C32">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55.5</w:t>
                  </w:r>
                </w:p>
              </w:tc>
              <w:tc>
                <w:tcPr>
                  <w:tcW w:w="775" w:type="dxa"/>
                  <w:tcBorders>
                    <w:tl2br w:val="nil"/>
                    <w:tr2bl w:val="nil"/>
                  </w:tcBorders>
                  <w:noWrap/>
                  <w:vAlign w:val="center"/>
                </w:tcPr>
                <w:p w14:paraId="3CFD931A">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52.5</w:t>
                  </w:r>
                </w:p>
              </w:tc>
            </w:tr>
            <w:tr w14:paraId="773C54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09" w:type="dxa"/>
                  <w:tcBorders>
                    <w:tl2br w:val="nil"/>
                    <w:tr2bl w:val="nil"/>
                  </w:tcBorders>
                  <w:shd w:val="clear" w:color="auto" w:fill="auto"/>
                  <w:noWrap/>
                  <w:vAlign w:val="center"/>
                </w:tcPr>
                <w:p w14:paraId="0F5B847E">
                  <w:pPr>
                    <w:pStyle w:val="2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vertAlign w:val="baseline"/>
                      <w:lang w:val="en-US" w:eastAsia="zh-CN" w:bidi="ar-SA"/>
                    </w:rPr>
                  </w:pPr>
                  <w:r>
                    <w:rPr>
                      <w:rFonts w:hint="default" w:ascii="Times New Roman" w:hAnsi="Times New Roman" w:cs="Times New Roman"/>
                      <w:color w:val="auto"/>
                      <w:highlight w:val="none"/>
                      <w:vertAlign w:val="baseline"/>
                      <w:lang w:val="en-US" w:eastAsia="zh-CN"/>
                    </w:rPr>
                    <w:t>柴油发电机</w:t>
                  </w:r>
                </w:p>
              </w:tc>
              <w:tc>
                <w:tcPr>
                  <w:tcW w:w="515" w:type="dxa"/>
                  <w:tcBorders>
                    <w:tl2br w:val="nil"/>
                    <w:tr2bl w:val="nil"/>
                  </w:tcBorders>
                  <w:noWrap w:val="0"/>
                  <w:vAlign w:val="center"/>
                </w:tcPr>
                <w:p w14:paraId="17DBB6E8">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w:t>
                  </w:r>
                </w:p>
              </w:tc>
              <w:tc>
                <w:tcPr>
                  <w:tcW w:w="668" w:type="dxa"/>
                  <w:tcBorders>
                    <w:tl2br w:val="nil"/>
                    <w:tr2bl w:val="nil"/>
                  </w:tcBorders>
                  <w:noWrap/>
                  <w:vAlign w:val="center"/>
                </w:tcPr>
                <w:p w14:paraId="7B155388">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74</w:t>
                  </w:r>
                </w:p>
              </w:tc>
              <w:tc>
                <w:tcPr>
                  <w:tcW w:w="625" w:type="dxa"/>
                  <w:tcBorders>
                    <w:tl2br w:val="nil"/>
                    <w:tr2bl w:val="nil"/>
                  </w:tcBorders>
                  <w:noWrap w:val="0"/>
                  <w:vAlign w:val="center"/>
                </w:tcPr>
                <w:p w14:paraId="11D8085D">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68</w:t>
                  </w:r>
                </w:p>
              </w:tc>
              <w:tc>
                <w:tcPr>
                  <w:tcW w:w="625" w:type="dxa"/>
                  <w:tcBorders>
                    <w:tl2br w:val="nil"/>
                    <w:tr2bl w:val="nil"/>
                  </w:tcBorders>
                  <w:noWrap/>
                  <w:vAlign w:val="center"/>
                </w:tcPr>
                <w:p w14:paraId="712D6B71">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62</w:t>
                  </w:r>
                </w:p>
              </w:tc>
              <w:tc>
                <w:tcPr>
                  <w:tcW w:w="652" w:type="dxa"/>
                  <w:tcBorders>
                    <w:tl2br w:val="nil"/>
                    <w:tr2bl w:val="nil"/>
                  </w:tcBorders>
                  <w:noWrap w:val="0"/>
                  <w:vAlign w:val="center"/>
                </w:tcPr>
                <w:p w14:paraId="7C8DBB0D">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60.5</w:t>
                  </w:r>
                </w:p>
              </w:tc>
              <w:tc>
                <w:tcPr>
                  <w:tcW w:w="640" w:type="dxa"/>
                  <w:tcBorders>
                    <w:tl2br w:val="nil"/>
                    <w:tr2bl w:val="nil"/>
                  </w:tcBorders>
                  <w:noWrap/>
                  <w:vAlign w:val="center"/>
                </w:tcPr>
                <w:p w14:paraId="1ADFAC52">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56</w:t>
                  </w:r>
                </w:p>
              </w:tc>
              <w:tc>
                <w:tcPr>
                  <w:tcW w:w="777" w:type="dxa"/>
                  <w:tcBorders>
                    <w:tl2br w:val="nil"/>
                    <w:tr2bl w:val="nil"/>
                  </w:tcBorders>
                  <w:noWrap w:val="0"/>
                  <w:vAlign w:val="center"/>
                </w:tcPr>
                <w:p w14:paraId="65F90925">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54.5</w:t>
                  </w:r>
                </w:p>
              </w:tc>
              <w:tc>
                <w:tcPr>
                  <w:tcW w:w="792" w:type="dxa"/>
                  <w:tcBorders>
                    <w:tl2br w:val="nil"/>
                    <w:tr2bl w:val="nil"/>
                  </w:tcBorders>
                  <w:noWrap/>
                  <w:vAlign w:val="center"/>
                </w:tcPr>
                <w:p w14:paraId="64F7E846">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51.5</w:t>
                  </w:r>
                </w:p>
              </w:tc>
              <w:tc>
                <w:tcPr>
                  <w:tcW w:w="765" w:type="dxa"/>
                  <w:tcBorders>
                    <w:tl2br w:val="nil"/>
                    <w:tr2bl w:val="nil"/>
                  </w:tcBorders>
                  <w:noWrap/>
                  <w:vAlign w:val="center"/>
                </w:tcPr>
                <w:p w14:paraId="64D93D28">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48.5</w:t>
                  </w:r>
                </w:p>
              </w:tc>
              <w:tc>
                <w:tcPr>
                  <w:tcW w:w="775" w:type="dxa"/>
                  <w:tcBorders>
                    <w:tl2br w:val="nil"/>
                    <w:tr2bl w:val="nil"/>
                  </w:tcBorders>
                  <w:noWrap/>
                  <w:vAlign w:val="center"/>
                </w:tcPr>
                <w:p w14:paraId="06E62593">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45.5</w:t>
                  </w:r>
                </w:p>
              </w:tc>
            </w:tr>
            <w:tr w14:paraId="042859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09" w:type="dxa"/>
                  <w:tcBorders>
                    <w:tl2br w:val="nil"/>
                    <w:tr2bl w:val="nil"/>
                  </w:tcBorders>
                  <w:shd w:val="clear" w:color="auto" w:fill="auto"/>
                  <w:noWrap/>
                  <w:vAlign w:val="center"/>
                </w:tcPr>
                <w:p w14:paraId="550A375F">
                  <w:pPr>
                    <w:pStyle w:val="2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vertAlign w:val="baseline"/>
                      <w:lang w:val="en-US" w:eastAsia="zh-CN" w:bidi="ar-SA"/>
                    </w:rPr>
                  </w:pPr>
                  <w:r>
                    <w:rPr>
                      <w:rFonts w:hint="default" w:ascii="Times New Roman" w:hAnsi="Times New Roman" w:cs="Times New Roman"/>
                      <w:color w:val="auto"/>
                      <w:highlight w:val="none"/>
                      <w:vertAlign w:val="baseline"/>
                      <w:lang w:val="en-US" w:eastAsia="zh-CN"/>
                    </w:rPr>
                    <w:t>电动振捣器</w:t>
                  </w:r>
                </w:p>
              </w:tc>
              <w:tc>
                <w:tcPr>
                  <w:tcW w:w="515" w:type="dxa"/>
                  <w:tcBorders>
                    <w:tl2br w:val="nil"/>
                    <w:tr2bl w:val="nil"/>
                  </w:tcBorders>
                  <w:noWrap w:val="0"/>
                  <w:vAlign w:val="center"/>
                </w:tcPr>
                <w:p w14:paraId="198DA8DE">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85</w:t>
                  </w:r>
                </w:p>
              </w:tc>
              <w:tc>
                <w:tcPr>
                  <w:tcW w:w="668" w:type="dxa"/>
                  <w:tcBorders>
                    <w:tl2br w:val="nil"/>
                    <w:tr2bl w:val="nil"/>
                  </w:tcBorders>
                  <w:noWrap/>
                  <w:vAlign w:val="center"/>
                </w:tcPr>
                <w:p w14:paraId="4FB977D8">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79</w:t>
                  </w:r>
                </w:p>
              </w:tc>
              <w:tc>
                <w:tcPr>
                  <w:tcW w:w="625" w:type="dxa"/>
                  <w:tcBorders>
                    <w:tl2br w:val="nil"/>
                    <w:tr2bl w:val="nil"/>
                  </w:tcBorders>
                  <w:noWrap w:val="0"/>
                  <w:vAlign w:val="center"/>
                </w:tcPr>
                <w:p w14:paraId="55800396">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73</w:t>
                  </w:r>
                </w:p>
              </w:tc>
              <w:tc>
                <w:tcPr>
                  <w:tcW w:w="625" w:type="dxa"/>
                  <w:tcBorders>
                    <w:tl2br w:val="nil"/>
                    <w:tr2bl w:val="nil"/>
                  </w:tcBorders>
                  <w:noWrap/>
                  <w:vAlign w:val="center"/>
                </w:tcPr>
                <w:p w14:paraId="264AE027">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67</w:t>
                  </w:r>
                </w:p>
              </w:tc>
              <w:tc>
                <w:tcPr>
                  <w:tcW w:w="652" w:type="dxa"/>
                  <w:tcBorders>
                    <w:tl2br w:val="nil"/>
                    <w:tr2bl w:val="nil"/>
                  </w:tcBorders>
                  <w:noWrap w:val="0"/>
                  <w:vAlign w:val="center"/>
                </w:tcPr>
                <w:p w14:paraId="2100C678">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65.5</w:t>
                  </w:r>
                </w:p>
              </w:tc>
              <w:tc>
                <w:tcPr>
                  <w:tcW w:w="640" w:type="dxa"/>
                  <w:tcBorders>
                    <w:tl2br w:val="nil"/>
                    <w:tr2bl w:val="nil"/>
                  </w:tcBorders>
                  <w:noWrap/>
                  <w:vAlign w:val="center"/>
                </w:tcPr>
                <w:p w14:paraId="7899E68F">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61</w:t>
                  </w:r>
                </w:p>
              </w:tc>
              <w:tc>
                <w:tcPr>
                  <w:tcW w:w="777" w:type="dxa"/>
                  <w:tcBorders>
                    <w:tl2br w:val="nil"/>
                    <w:tr2bl w:val="nil"/>
                  </w:tcBorders>
                  <w:noWrap w:val="0"/>
                  <w:vAlign w:val="center"/>
                </w:tcPr>
                <w:p w14:paraId="47702EAD">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59.5</w:t>
                  </w:r>
                </w:p>
              </w:tc>
              <w:tc>
                <w:tcPr>
                  <w:tcW w:w="792" w:type="dxa"/>
                  <w:tcBorders>
                    <w:tl2br w:val="nil"/>
                    <w:tr2bl w:val="nil"/>
                  </w:tcBorders>
                  <w:noWrap/>
                  <w:vAlign w:val="center"/>
                </w:tcPr>
                <w:p w14:paraId="6841EA8E">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56.5</w:t>
                  </w:r>
                </w:p>
              </w:tc>
              <w:tc>
                <w:tcPr>
                  <w:tcW w:w="765" w:type="dxa"/>
                  <w:tcBorders>
                    <w:tl2br w:val="nil"/>
                    <w:tr2bl w:val="nil"/>
                  </w:tcBorders>
                  <w:noWrap/>
                  <w:vAlign w:val="center"/>
                </w:tcPr>
                <w:p w14:paraId="14C7B2E3">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53.5</w:t>
                  </w:r>
                </w:p>
              </w:tc>
              <w:tc>
                <w:tcPr>
                  <w:tcW w:w="775" w:type="dxa"/>
                  <w:tcBorders>
                    <w:tl2br w:val="nil"/>
                    <w:tr2bl w:val="nil"/>
                  </w:tcBorders>
                  <w:noWrap/>
                  <w:vAlign w:val="center"/>
                </w:tcPr>
                <w:p w14:paraId="35C8EE91">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50.5</w:t>
                  </w:r>
                </w:p>
              </w:tc>
            </w:tr>
            <w:tr w14:paraId="66B2DF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09" w:type="dxa"/>
                  <w:tcBorders>
                    <w:tl2br w:val="nil"/>
                    <w:tr2bl w:val="nil"/>
                  </w:tcBorders>
                  <w:shd w:val="clear" w:color="auto" w:fill="auto"/>
                  <w:noWrap/>
                  <w:vAlign w:val="center"/>
                </w:tcPr>
                <w:p w14:paraId="4A770108">
                  <w:pPr>
                    <w:pStyle w:val="2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vertAlign w:val="baseline"/>
                      <w:lang w:val="en-US" w:eastAsia="zh-CN" w:bidi="ar-SA"/>
                    </w:rPr>
                  </w:pPr>
                  <w:r>
                    <w:rPr>
                      <w:rFonts w:hint="default" w:ascii="Times New Roman" w:hAnsi="Times New Roman" w:cs="Times New Roman"/>
                      <w:color w:val="auto"/>
                      <w:highlight w:val="none"/>
                      <w:vertAlign w:val="baseline"/>
                      <w:lang w:val="en-US" w:eastAsia="zh-CN"/>
                    </w:rPr>
                    <w:t>蛙式打夯机</w:t>
                  </w:r>
                </w:p>
              </w:tc>
              <w:tc>
                <w:tcPr>
                  <w:tcW w:w="515" w:type="dxa"/>
                  <w:tcBorders>
                    <w:tl2br w:val="nil"/>
                    <w:tr2bl w:val="nil"/>
                  </w:tcBorders>
                  <w:noWrap w:val="0"/>
                  <w:vAlign w:val="center"/>
                </w:tcPr>
                <w:p w14:paraId="0BA358C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88</w:t>
                  </w:r>
                </w:p>
              </w:tc>
              <w:tc>
                <w:tcPr>
                  <w:tcW w:w="668" w:type="dxa"/>
                  <w:tcBorders>
                    <w:tl2br w:val="nil"/>
                    <w:tr2bl w:val="nil"/>
                  </w:tcBorders>
                  <w:noWrap/>
                  <w:vAlign w:val="center"/>
                </w:tcPr>
                <w:p w14:paraId="0330088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82</w:t>
                  </w:r>
                </w:p>
              </w:tc>
              <w:tc>
                <w:tcPr>
                  <w:tcW w:w="625" w:type="dxa"/>
                  <w:tcBorders>
                    <w:tl2br w:val="nil"/>
                    <w:tr2bl w:val="nil"/>
                  </w:tcBorders>
                  <w:noWrap w:val="0"/>
                  <w:vAlign w:val="center"/>
                </w:tcPr>
                <w:p w14:paraId="40BE251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76</w:t>
                  </w:r>
                </w:p>
              </w:tc>
              <w:tc>
                <w:tcPr>
                  <w:tcW w:w="625" w:type="dxa"/>
                  <w:tcBorders>
                    <w:tl2br w:val="nil"/>
                    <w:tr2bl w:val="nil"/>
                  </w:tcBorders>
                  <w:noWrap/>
                  <w:vAlign w:val="center"/>
                </w:tcPr>
                <w:p w14:paraId="13C2FB5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70</w:t>
                  </w:r>
                </w:p>
              </w:tc>
              <w:tc>
                <w:tcPr>
                  <w:tcW w:w="652" w:type="dxa"/>
                  <w:tcBorders>
                    <w:tl2br w:val="nil"/>
                    <w:tr2bl w:val="nil"/>
                  </w:tcBorders>
                  <w:noWrap w:val="0"/>
                  <w:vAlign w:val="center"/>
                </w:tcPr>
                <w:p w14:paraId="233C719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68.5</w:t>
                  </w:r>
                </w:p>
              </w:tc>
              <w:tc>
                <w:tcPr>
                  <w:tcW w:w="640" w:type="dxa"/>
                  <w:tcBorders>
                    <w:tl2br w:val="nil"/>
                    <w:tr2bl w:val="nil"/>
                  </w:tcBorders>
                  <w:noWrap/>
                  <w:vAlign w:val="center"/>
                </w:tcPr>
                <w:p w14:paraId="051F9AF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64</w:t>
                  </w:r>
                </w:p>
              </w:tc>
              <w:tc>
                <w:tcPr>
                  <w:tcW w:w="777" w:type="dxa"/>
                  <w:tcBorders>
                    <w:tl2br w:val="nil"/>
                    <w:tr2bl w:val="nil"/>
                  </w:tcBorders>
                  <w:noWrap w:val="0"/>
                  <w:vAlign w:val="center"/>
                </w:tcPr>
                <w:p w14:paraId="3994AFD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62.5</w:t>
                  </w:r>
                </w:p>
              </w:tc>
              <w:tc>
                <w:tcPr>
                  <w:tcW w:w="792" w:type="dxa"/>
                  <w:tcBorders>
                    <w:tl2br w:val="nil"/>
                    <w:tr2bl w:val="nil"/>
                  </w:tcBorders>
                  <w:noWrap/>
                  <w:vAlign w:val="center"/>
                </w:tcPr>
                <w:p w14:paraId="137B2D6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59.5</w:t>
                  </w:r>
                </w:p>
              </w:tc>
              <w:tc>
                <w:tcPr>
                  <w:tcW w:w="765" w:type="dxa"/>
                  <w:tcBorders>
                    <w:tl2br w:val="nil"/>
                    <w:tr2bl w:val="nil"/>
                  </w:tcBorders>
                  <w:noWrap/>
                  <w:vAlign w:val="center"/>
                </w:tcPr>
                <w:p w14:paraId="5961B4D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56.5</w:t>
                  </w:r>
                </w:p>
              </w:tc>
              <w:tc>
                <w:tcPr>
                  <w:tcW w:w="775" w:type="dxa"/>
                  <w:tcBorders>
                    <w:tl2br w:val="nil"/>
                    <w:tr2bl w:val="nil"/>
                  </w:tcBorders>
                  <w:noWrap/>
                  <w:vAlign w:val="center"/>
                </w:tcPr>
                <w:p w14:paraId="62AF649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53.5</w:t>
                  </w:r>
                </w:p>
              </w:tc>
            </w:tr>
            <w:tr w14:paraId="48CF25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09" w:type="dxa"/>
                  <w:tcBorders>
                    <w:tl2br w:val="nil"/>
                    <w:tr2bl w:val="nil"/>
                  </w:tcBorders>
                  <w:noWrap/>
                  <w:vAlign w:val="center"/>
                </w:tcPr>
                <w:p w14:paraId="5F15ECFF">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洒水车</w:t>
                  </w:r>
                </w:p>
              </w:tc>
              <w:tc>
                <w:tcPr>
                  <w:tcW w:w="515" w:type="dxa"/>
                  <w:tcBorders>
                    <w:tl2br w:val="nil"/>
                    <w:tr2bl w:val="nil"/>
                  </w:tcBorders>
                  <w:noWrap w:val="0"/>
                  <w:vAlign w:val="center"/>
                </w:tcPr>
                <w:p w14:paraId="204AD688">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81</w:t>
                  </w:r>
                </w:p>
              </w:tc>
              <w:tc>
                <w:tcPr>
                  <w:tcW w:w="668" w:type="dxa"/>
                  <w:tcBorders>
                    <w:tl2br w:val="nil"/>
                    <w:tr2bl w:val="nil"/>
                  </w:tcBorders>
                  <w:noWrap/>
                  <w:vAlign w:val="center"/>
                </w:tcPr>
                <w:p w14:paraId="581A10AE">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75</w:t>
                  </w:r>
                </w:p>
              </w:tc>
              <w:tc>
                <w:tcPr>
                  <w:tcW w:w="625" w:type="dxa"/>
                  <w:tcBorders>
                    <w:tl2br w:val="nil"/>
                    <w:tr2bl w:val="nil"/>
                  </w:tcBorders>
                  <w:noWrap w:val="0"/>
                  <w:vAlign w:val="center"/>
                </w:tcPr>
                <w:p w14:paraId="2B3E7FAE">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69</w:t>
                  </w:r>
                </w:p>
              </w:tc>
              <w:tc>
                <w:tcPr>
                  <w:tcW w:w="625" w:type="dxa"/>
                  <w:tcBorders>
                    <w:tl2br w:val="nil"/>
                    <w:tr2bl w:val="nil"/>
                  </w:tcBorders>
                  <w:noWrap/>
                  <w:vAlign w:val="center"/>
                </w:tcPr>
                <w:p w14:paraId="30FBD783">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63</w:t>
                  </w:r>
                </w:p>
              </w:tc>
              <w:tc>
                <w:tcPr>
                  <w:tcW w:w="652" w:type="dxa"/>
                  <w:tcBorders>
                    <w:tl2br w:val="nil"/>
                    <w:tr2bl w:val="nil"/>
                  </w:tcBorders>
                  <w:noWrap w:val="0"/>
                  <w:vAlign w:val="center"/>
                </w:tcPr>
                <w:p w14:paraId="028FD44E">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61.5</w:t>
                  </w:r>
                </w:p>
              </w:tc>
              <w:tc>
                <w:tcPr>
                  <w:tcW w:w="640" w:type="dxa"/>
                  <w:tcBorders>
                    <w:tl2br w:val="nil"/>
                    <w:tr2bl w:val="nil"/>
                  </w:tcBorders>
                  <w:noWrap/>
                  <w:vAlign w:val="center"/>
                </w:tcPr>
                <w:p w14:paraId="696D44CD">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57</w:t>
                  </w:r>
                </w:p>
              </w:tc>
              <w:tc>
                <w:tcPr>
                  <w:tcW w:w="777" w:type="dxa"/>
                  <w:tcBorders>
                    <w:tl2br w:val="nil"/>
                    <w:tr2bl w:val="nil"/>
                  </w:tcBorders>
                  <w:noWrap w:val="0"/>
                  <w:vAlign w:val="center"/>
                </w:tcPr>
                <w:p w14:paraId="07C0782B">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55.5</w:t>
                  </w:r>
                </w:p>
              </w:tc>
              <w:tc>
                <w:tcPr>
                  <w:tcW w:w="792" w:type="dxa"/>
                  <w:tcBorders>
                    <w:tl2br w:val="nil"/>
                    <w:tr2bl w:val="nil"/>
                  </w:tcBorders>
                  <w:noWrap/>
                  <w:vAlign w:val="center"/>
                </w:tcPr>
                <w:p w14:paraId="474E47DE">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52.5</w:t>
                  </w:r>
                </w:p>
              </w:tc>
              <w:tc>
                <w:tcPr>
                  <w:tcW w:w="765" w:type="dxa"/>
                  <w:tcBorders>
                    <w:tl2br w:val="nil"/>
                    <w:tr2bl w:val="nil"/>
                  </w:tcBorders>
                  <w:noWrap/>
                  <w:vAlign w:val="center"/>
                </w:tcPr>
                <w:p w14:paraId="70F91150">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49.5</w:t>
                  </w:r>
                </w:p>
              </w:tc>
              <w:tc>
                <w:tcPr>
                  <w:tcW w:w="775" w:type="dxa"/>
                  <w:tcBorders>
                    <w:tl2br w:val="nil"/>
                    <w:tr2bl w:val="nil"/>
                  </w:tcBorders>
                  <w:noWrap/>
                  <w:vAlign w:val="center"/>
                </w:tcPr>
                <w:p w14:paraId="400ECB6A">
                  <w:pPr>
                    <w:pStyle w:val="64"/>
                    <w:keepNext/>
                    <w:keepLines/>
                    <w:widowControl/>
                    <w:spacing w:before="24" w:after="24"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46.5</w:t>
                  </w:r>
                </w:p>
              </w:tc>
            </w:tr>
            <w:tr w14:paraId="15AE12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43" w:type="dxa"/>
                  <w:gridSpan w:val="11"/>
                  <w:tcBorders>
                    <w:tl2br w:val="nil"/>
                    <w:tr2bl w:val="nil"/>
                  </w:tcBorders>
                  <w:noWrap/>
                  <w:vAlign w:val="center"/>
                </w:tcPr>
                <w:p w14:paraId="5DF8913C">
                  <w:pPr>
                    <w:pStyle w:val="64"/>
                    <w:keepNext/>
                    <w:keepLines/>
                    <w:widowControl/>
                    <w:spacing w:before="24" w:after="24" w:line="240" w:lineRule="atLeas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标准dB（A）：昼间70</w:t>
                  </w:r>
                </w:p>
              </w:tc>
            </w:tr>
          </w:tbl>
          <w:p w14:paraId="6FC8EFF9">
            <w:pPr>
              <w:adjustRightInd w:val="0"/>
              <w:snapToGrid w:val="0"/>
              <w:spacing w:after="0"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cs="Times New Roman"/>
                <w:color w:val="auto"/>
                <w:kern w:val="0"/>
                <w:sz w:val="24"/>
                <w:highlight w:val="none"/>
              </w:rPr>
              <w:t>由上表可知，距主要设备</w:t>
            </w:r>
            <w:r>
              <w:rPr>
                <w:rFonts w:hint="eastAsia" w:cs="Times New Roman"/>
                <w:color w:val="auto"/>
                <w:kern w:val="0"/>
                <w:sz w:val="24"/>
                <w:highlight w:val="none"/>
                <w:lang w:val="en-US" w:eastAsia="zh-CN"/>
              </w:rPr>
              <w:t>4</w:t>
            </w:r>
            <w:r>
              <w:rPr>
                <w:rFonts w:hint="default" w:ascii="Times New Roman" w:hAnsi="Times New Roman" w:cs="Times New Roman"/>
                <w:color w:val="auto"/>
                <w:kern w:val="0"/>
                <w:sz w:val="24"/>
                <w:highlight w:val="none"/>
              </w:rPr>
              <w:t>0m处的昼间</w:t>
            </w:r>
            <w:r>
              <w:rPr>
                <w:rFonts w:hint="default" w:ascii="Times New Roman" w:hAnsi="Times New Roman" w:cs="Times New Roman"/>
                <w:color w:val="auto"/>
                <w:kern w:val="0"/>
                <w:sz w:val="24"/>
                <w:highlight w:val="none"/>
                <w:lang w:eastAsia="zh-CN"/>
              </w:rPr>
              <w:t>噪声</w:t>
            </w:r>
            <w:r>
              <w:rPr>
                <w:rFonts w:hint="default" w:ascii="Times New Roman" w:hAnsi="Times New Roman" w:cs="Times New Roman"/>
                <w:color w:val="auto"/>
                <w:kern w:val="0"/>
                <w:sz w:val="24"/>
                <w:highlight w:val="none"/>
              </w:rPr>
              <w:t>可以满足《建筑施工噪声排放标准》(GB12523-20</w:t>
            </w:r>
            <w:r>
              <w:rPr>
                <w:rFonts w:hint="default" w:ascii="Times New Roman" w:hAnsi="Times New Roman" w:cs="Times New Roman"/>
                <w:color w:val="auto"/>
                <w:kern w:val="0"/>
                <w:sz w:val="24"/>
                <w:highlight w:val="none"/>
                <w:lang w:val="en-US" w:eastAsia="zh-CN"/>
              </w:rPr>
              <w:t>25</w:t>
            </w:r>
            <w:r>
              <w:rPr>
                <w:rFonts w:hint="default" w:ascii="Times New Roman" w:hAnsi="Times New Roman" w:cs="Times New Roman"/>
                <w:color w:val="auto"/>
                <w:kern w:val="0"/>
                <w:sz w:val="24"/>
                <w:highlight w:val="none"/>
              </w:rPr>
              <w:t>)标准限值的要求</w:t>
            </w:r>
            <w:r>
              <w:rPr>
                <w:rFonts w:hint="eastAsia" w:cs="Times New Roman"/>
                <w:color w:val="auto"/>
                <w:kern w:val="0"/>
                <w:sz w:val="24"/>
                <w:highlight w:val="none"/>
                <w:lang w:eastAsia="zh-CN"/>
              </w:rPr>
              <w:t>（</w:t>
            </w:r>
            <w:r>
              <w:rPr>
                <w:rFonts w:hint="default" w:ascii="Times New Roman" w:hAnsi="Times New Roman" w:cs="Times New Roman"/>
                <w:color w:val="auto"/>
                <w:kern w:val="0"/>
                <w:sz w:val="24"/>
                <w:highlight w:val="none"/>
              </w:rPr>
              <w:t>70dB(A)</w:t>
            </w:r>
            <w:r>
              <w:rPr>
                <w:rFonts w:hint="eastAsia" w:cs="Times New Roman"/>
                <w:color w:val="auto"/>
                <w:kern w:val="0"/>
                <w:sz w:val="24"/>
                <w:highlight w:val="none"/>
                <w:lang w:eastAsia="zh-CN"/>
              </w:rPr>
              <w:t>）</w:t>
            </w:r>
            <w:r>
              <w:rPr>
                <w:rFonts w:hint="default" w:ascii="Times New Roman" w:hAnsi="Times New Roman" w:cs="Times New Roman"/>
                <w:color w:val="auto"/>
                <w:kern w:val="0"/>
                <w:sz w:val="24"/>
                <w:highlight w:val="none"/>
              </w:rPr>
              <w:t>，</w:t>
            </w:r>
            <w:r>
              <w:rPr>
                <w:rFonts w:hint="eastAsia" w:cs="Times New Roman"/>
                <w:color w:val="auto"/>
                <w:kern w:val="0"/>
                <w:sz w:val="24"/>
                <w:highlight w:val="none"/>
                <w:lang w:val="en-US" w:eastAsia="zh-CN"/>
              </w:rPr>
              <w:t>项目夜间不施工且仅在沟道清淤及岸坡砌护上游段200m范围内有声环境敏感目标分布，最近声环境保护目标距离施工边界39m，下游段200m范围内均不存在声环境敏感目标，为减少项目施工过程中噪声对沿线居民区生活的影响，本次评价要求项目在施工过程中，在上游段距离居民区较近的沟段采取设置临时声屏障、车辆限速、禁止鸣笛等措施控制噪声对周边环境敏感目标的影响</w:t>
            </w:r>
            <w:r>
              <w:rPr>
                <w:rFonts w:hint="eastAsia" w:cs="Times New Roman"/>
                <w:color w:val="auto"/>
                <w:kern w:val="0"/>
                <w:sz w:val="24"/>
                <w:highlight w:val="none"/>
                <w:lang w:eastAsia="zh-CN"/>
              </w:rPr>
              <w:t>；</w:t>
            </w:r>
            <w:r>
              <w:rPr>
                <w:rFonts w:hint="eastAsia" w:cs="Times New Roman"/>
                <w:color w:val="auto"/>
                <w:kern w:val="0"/>
                <w:sz w:val="24"/>
                <w:highlight w:val="none"/>
                <w:lang w:val="en-US" w:eastAsia="zh-CN"/>
              </w:rPr>
              <w:t>全线要求采取合理安排施工时间，夜间禁止施工，车辆限速、禁止鸣笛等措施控制噪声对周边环境的影响；另项目</w:t>
            </w:r>
            <w:r>
              <w:rPr>
                <w:rFonts w:hint="default" w:ascii="Times New Roman" w:hAnsi="Times New Roman" w:cs="Times New Roman"/>
                <w:color w:val="auto"/>
                <w:kern w:val="0"/>
                <w:sz w:val="24"/>
                <w:highlight w:val="none"/>
              </w:rPr>
              <w:t>施工噪声影响是短期性、暂时性的，</w:t>
            </w:r>
            <w:r>
              <w:rPr>
                <w:rFonts w:hint="eastAsia" w:cs="Times New Roman"/>
                <w:color w:val="auto"/>
                <w:kern w:val="0"/>
                <w:sz w:val="24"/>
                <w:highlight w:val="none"/>
                <w:lang w:val="en-US" w:eastAsia="zh-CN"/>
              </w:rPr>
              <w:t>随着</w:t>
            </w:r>
            <w:r>
              <w:rPr>
                <w:rFonts w:hint="default" w:ascii="Times New Roman" w:hAnsi="Times New Roman" w:cs="Times New Roman"/>
                <w:color w:val="auto"/>
                <w:kern w:val="0"/>
                <w:sz w:val="24"/>
                <w:highlight w:val="none"/>
              </w:rPr>
              <w:t>施工活动结束，施工噪声随之结束。</w:t>
            </w:r>
          </w:p>
          <w:p w14:paraId="32E28A29">
            <w:pPr>
              <w:adjustRightInd w:val="0"/>
              <w:spacing w:line="360" w:lineRule="auto"/>
              <w:ind w:firstLine="480" w:firstLineChars="200"/>
              <w:rPr>
                <w:rFonts w:hint="default" w:ascii="Times New Roman" w:hAnsi="Times New Roman" w:eastAsia="黑体" w:cs="Times New Roman"/>
                <w:b w:val="0"/>
                <w:bCs w:val="0"/>
                <w:color w:val="auto"/>
                <w:kern w:val="0"/>
                <w:sz w:val="24"/>
                <w:szCs w:val="24"/>
                <w:highlight w:val="none"/>
                <w:lang w:val="en-US" w:eastAsia="zh-CN" w:bidi="ar-SA"/>
              </w:rPr>
            </w:pPr>
            <w:r>
              <w:rPr>
                <w:rFonts w:hint="default" w:ascii="Times New Roman" w:hAnsi="Times New Roman" w:eastAsia="黑体" w:cs="Times New Roman"/>
                <w:b w:val="0"/>
                <w:bCs w:val="0"/>
                <w:color w:val="auto"/>
                <w:kern w:val="0"/>
                <w:sz w:val="24"/>
                <w:szCs w:val="24"/>
                <w:highlight w:val="none"/>
                <w:lang w:val="en-US" w:eastAsia="zh-CN" w:bidi="ar-SA"/>
              </w:rPr>
              <w:t>5、固体废物污染防治措施</w:t>
            </w:r>
          </w:p>
          <w:p w14:paraId="361DBF27">
            <w:pPr>
              <w:adjustRightInd w:val="0"/>
              <w:snapToGrid w:val="0"/>
              <w:spacing w:after="0"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施工期的固体废物主要为弃土石方、</w:t>
            </w:r>
            <w:r>
              <w:rPr>
                <w:rFonts w:hint="eastAsia" w:cs="Times New Roman"/>
                <w:color w:val="auto"/>
                <w:kern w:val="0"/>
                <w:sz w:val="24"/>
                <w:highlight w:val="none"/>
                <w:lang w:val="en-US" w:eastAsia="zh-CN"/>
              </w:rPr>
              <w:t>清淤淤泥、</w:t>
            </w:r>
            <w:r>
              <w:rPr>
                <w:rFonts w:hint="default" w:ascii="Times New Roman" w:hAnsi="Times New Roman" w:cs="Times New Roman"/>
                <w:color w:val="auto"/>
                <w:kern w:val="0"/>
                <w:sz w:val="24"/>
                <w:highlight w:val="none"/>
              </w:rPr>
              <w:t>建筑垃圾和生活垃圾。</w:t>
            </w:r>
          </w:p>
          <w:p w14:paraId="72755082">
            <w:pPr>
              <w:adjustRightInd w:val="0"/>
              <w:snapToGrid w:val="0"/>
              <w:spacing w:after="0"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①弃土石方</w:t>
            </w:r>
          </w:p>
          <w:p w14:paraId="193D540C">
            <w:pPr>
              <w:adjustRightInd w:val="0"/>
              <w:snapToGrid w:val="0"/>
              <w:spacing w:after="0"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本项目不设置弃土场。施工期开挖土方绝大部分回填</w:t>
            </w:r>
            <w:r>
              <w:rPr>
                <w:rFonts w:hint="eastAsia" w:cs="Times New Roman"/>
                <w:color w:val="auto"/>
                <w:kern w:val="0"/>
                <w:sz w:val="24"/>
                <w:highlight w:val="none"/>
                <w:lang w:eastAsia="zh-CN"/>
              </w:rPr>
              <w:t>，</w:t>
            </w:r>
            <w:r>
              <w:rPr>
                <w:rFonts w:hint="eastAsia" w:cs="Times New Roman"/>
                <w:color w:val="auto"/>
                <w:kern w:val="0"/>
                <w:sz w:val="24"/>
                <w:highlight w:val="none"/>
                <w:lang w:val="en-US" w:eastAsia="zh-CN"/>
              </w:rPr>
              <w:t>剩余部分</w:t>
            </w:r>
            <w:r>
              <w:rPr>
                <w:rFonts w:hint="default" w:ascii="Times New Roman" w:hAnsi="Times New Roman" w:cs="Times New Roman"/>
                <w:color w:val="auto"/>
                <w:kern w:val="0"/>
                <w:sz w:val="24"/>
                <w:highlight w:val="none"/>
              </w:rPr>
              <w:t>拉运至项目修建巡护道路基础填筑综合利用。</w:t>
            </w:r>
          </w:p>
          <w:p w14:paraId="5FD77D3A">
            <w:pPr>
              <w:adjustRightInd w:val="0"/>
              <w:snapToGrid w:val="0"/>
              <w:spacing w:after="0" w:line="360" w:lineRule="auto"/>
              <w:ind w:firstLine="480" w:firstLineChars="200"/>
              <w:rPr>
                <w:rFonts w:hint="eastAsia"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val="en-US" w:eastAsia="zh-CN"/>
              </w:rPr>
              <w:t>②清淤淤泥</w:t>
            </w:r>
          </w:p>
          <w:p w14:paraId="37AB0C6C">
            <w:pPr>
              <w:adjustRightInd w:val="0"/>
              <w:snapToGrid w:val="0"/>
              <w:spacing w:after="0" w:line="360" w:lineRule="auto"/>
              <w:ind w:firstLine="480" w:firstLineChars="200"/>
              <w:rPr>
                <w:rFonts w:hint="default" w:ascii="Times New Roman" w:hAnsi="Times New Roman" w:cs="Times New Roman"/>
                <w:color w:val="auto"/>
                <w:kern w:val="0"/>
                <w:sz w:val="24"/>
                <w:highlight w:val="none"/>
              </w:rPr>
            </w:pPr>
            <w:r>
              <w:rPr>
                <w:rFonts w:hint="eastAsia" w:cs="Times New Roman"/>
                <w:color w:val="auto"/>
                <w:kern w:val="0"/>
                <w:sz w:val="24"/>
                <w:szCs w:val="24"/>
                <w:highlight w:val="none"/>
                <w:lang w:val="en-US" w:eastAsia="zh-CN" w:bidi="ar-SA"/>
              </w:rPr>
              <w:t>高崖沟为季节性泄洪沟，枯水期处于污水状态，本次工程设计清淤工程在枯水期开展</w:t>
            </w:r>
            <w:r>
              <w:rPr>
                <w:rFonts w:hint="default" w:ascii="Times New Roman" w:hAnsi="Times New Roman" w:eastAsia="宋体" w:cs="Times New Roman"/>
                <w:color w:val="auto"/>
                <w:kern w:val="0"/>
                <w:sz w:val="24"/>
                <w:szCs w:val="24"/>
                <w:highlight w:val="none"/>
                <w:lang w:val="en-US" w:eastAsia="zh-CN" w:bidi="ar-SA"/>
              </w:rPr>
              <w:t>，采用排干清淤的方式，</w:t>
            </w:r>
            <w:r>
              <w:rPr>
                <w:rFonts w:hint="eastAsia" w:cs="Times New Roman"/>
                <w:color w:val="auto"/>
                <w:kern w:val="0"/>
                <w:sz w:val="24"/>
                <w:szCs w:val="24"/>
                <w:highlight w:val="none"/>
                <w:lang w:val="en-US" w:eastAsia="zh-CN" w:bidi="ar-SA"/>
              </w:rPr>
              <w:t>其次由于高崖沟为季节性泄洪沟，其主要任务为强降雨天气泄洪，不承担纳污排污，上游河道无城镇污水处理厂、工业污水处理厂等污染源或排放口，因此丰水期其沟道内水主要为沿岸部分农田退水及雨/洪水，同时高崖沟所在区域地处宁夏水土流失区，因此高崖沟淤泥主要为强降雨天气情况下山洪冲击的沟道两侧的泥土及砂石，因此清淤所清出淤泥以淤沙为主，水分及有机质含量较低，</w:t>
            </w:r>
            <w:r>
              <w:rPr>
                <w:rFonts w:hint="default" w:ascii="Times New Roman" w:hAnsi="Times New Roman" w:cs="Times New Roman"/>
                <w:color w:val="auto"/>
                <w:kern w:val="0"/>
                <w:sz w:val="24"/>
                <w:highlight w:val="none"/>
              </w:rPr>
              <w:t>清理的淤泥翻到沟道两侧沟拜堆放并</w:t>
            </w:r>
            <w:r>
              <w:rPr>
                <w:rFonts w:hint="eastAsia" w:cs="Times New Roman"/>
                <w:color w:val="auto"/>
                <w:kern w:val="0"/>
                <w:sz w:val="24"/>
                <w:highlight w:val="none"/>
                <w:lang w:val="en-US" w:eastAsia="zh-CN"/>
              </w:rPr>
              <w:t>短暂</w:t>
            </w:r>
            <w:r>
              <w:rPr>
                <w:rFonts w:hint="default" w:ascii="Times New Roman" w:hAnsi="Times New Roman" w:cs="Times New Roman"/>
                <w:color w:val="auto"/>
                <w:kern w:val="0"/>
                <w:sz w:val="24"/>
                <w:highlight w:val="none"/>
              </w:rPr>
              <w:t>晾晒，待晒干后拉运至项目修建巡护道路基础填筑综合利用</w:t>
            </w:r>
            <w:r>
              <w:rPr>
                <w:rFonts w:hint="eastAsia" w:cs="Times New Roman"/>
                <w:color w:val="auto"/>
                <w:kern w:val="0"/>
                <w:sz w:val="24"/>
                <w:highlight w:val="none"/>
                <w:lang w:val="en-US" w:eastAsia="zh-CN"/>
              </w:rPr>
              <w:t>，</w:t>
            </w:r>
            <w:r>
              <w:rPr>
                <w:rFonts w:hint="default" w:ascii="Times New Roman" w:hAnsi="Times New Roman" w:cs="Times New Roman"/>
                <w:color w:val="auto"/>
                <w:kern w:val="0"/>
                <w:sz w:val="24"/>
                <w:highlight w:val="none"/>
                <w:lang w:val="en-US" w:eastAsia="zh-CN"/>
              </w:rPr>
              <w:t>对周边环境影响较小</w:t>
            </w:r>
            <w:r>
              <w:rPr>
                <w:rFonts w:hint="default" w:ascii="Times New Roman" w:hAnsi="Times New Roman" w:cs="Times New Roman"/>
                <w:color w:val="auto"/>
                <w:kern w:val="0"/>
                <w:sz w:val="24"/>
                <w:highlight w:val="none"/>
              </w:rPr>
              <w:t>。</w:t>
            </w:r>
          </w:p>
          <w:p w14:paraId="6518155B">
            <w:pPr>
              <w:adjustRightInd w:val="0"/>
              <w:snapToGrid w:val="0"/>
              <w:spacing w:after="0" w:line="360" w:lineRule="auto"/>
              <w:ind w:firstLine="480" w:firstLineChars="200"/>
              <w:rPr>
                <w:rFonts w:hint="default" w:ascii="Times New Roman" w:hAnsi="Times New Roman" w:cs="Times New Roman"/>
                <w:color w:val="auto"/>
                <w:kern w:val="0"/>
                <w:sz w:val="24"/>
                <w:highlight w:val="none"/>
              </w:rPr>
            </w:pPr>
            <w:r>
              <w:rPr>
                <w:rFonts w:hint="eastAsia" w:ascii="Times New Roman" w:hAnsi="Times New Roman" w:cs="Times New Roman"/>
                <w:color w:val="auto"/>
                <w:kern w:val="0"/>
                <w:sz w:val="24"/>
                <w:highlight w:val="none"/>
                <w:lang w:val="en-US" w:eastAsia="zh-CN"/>
              </w:rPr>
              <w:t>同时，由“</w:t>
            </w:r>
            <w:r>
              <w:rPr>
                <w:rFonts w:hint="default" w:ascii="Times New Roman" w:hAnsi="Times New Roman" w:cs="Times New Roman"/>
                <w:color w:val="auto"/>
                <w:kern w:val="0"/>
                <w:sz w:val="24"/>
                <w:highlight w:val="none"/>
                <w:lang w:val="en-US" w:eastAsia="zh-CN"/>
              </w:rPr>
              <w:t>表2-2  本项目治理工程量清单</w:t>
            </w:r>
            <w:r>
              <w:rPr>
                <w:rFonts w:hint="eastAsia" w:ascii="Times New Roman" w:hAnsi="Times New Roman" w:cs="Times New Roman"/>
                <w:color w:val="auto"/>
                <w:kern w:val="0"/>
                <w:sz w:val="24"/>
                <w:highlight w:val="none"/>
                <w:lang w:val="en-US" w:eastAsia="zh-CN"/>
              </w:rPr>
              <w:t>”</w:t>
            </w:r>
            <w:r>
              <w:rPr>
                <w:rFonts w:hint="eastAsia" w:cs="Times New Roman"/>
                <w:color w:val="auto"/>
                <w:kern w:val="0"/>
                <w:sz w:val="24"/>
                <w:highlight w:val="none"/>
                <w:lang w:val="en-US" w:eastAsia="zh-CN"/>
              </w:rPr>
              <w:t>及</w:t>
            </w:r>
            <w:r>
              <w:rPr>
                <w:rFonts w:hint="eastAsia" w:ascii="Times New Roman" w:hAnsi="Times New Roman" w:cs="Times New Roman"/>
                <w:color w:val="auto"/>
                <w:kern w:val="0"/>
                <w:sz w:val="24"/>
                <w:highlight w:val="none"/>
                <w:lang w:val="en-US" w:eastAsia="zh-CN"/>
              </w:rPr>
              <w:t>“</w:t>
            </w:r>
            <w:r>
              <w:rPr>
                <w:rFonts w:hint="default" w:ascii="Times New Roman" w:hAnsi="Times New Roman" w:cs="Times New Roman"/>
                <w:color w:val="auto"/>
                <w:kern w:val="0"/>
                <w:sz w:val="24"/>
                <w:highlight w:val="none"/>
                <w:lang w:val="en-US" w:eastAsia="zh-CN"/>
              </w:rPr>
              <w:t>表2-6  土石方平衡表</w:t>
            </w:r>
            <w:r>
              <w:rPr>
                <w:rFonts w:hint="eastAsia" w:ascii="Times New Roman" w:hAnsi="Times New Roman" w:cs="Times New Roman"/>
                <w:color w:val="auto"/>
                <w:kern w:val="0"/>
                <w:sz w:val="24"/>
                <w:highlight w:val="none"/>
                <w:lang w:val="en-US" w:eastAsia="zh-CN"/>
              </w:rPr>
              <w:t>”</w:t>
            </w:r>
            <w:r>
              <w:rPr>
                <w:rFonts w:hint="eastAsia" w:cs="Times New Roman"/>
                <w:color w:val="auto"/>
                <w:kern w:val="0"/>
                <w:sz w:val="24"/>
                <w:highlight w:val="none"/>
                <w:lang w:val="en-US" w:eastAsia="zh-CN"/>
              </w:rPr>
              <w:t>分析可知，本项目产生的清淤淤泥及多余土方可全部被巡护基础填筑所消纳，同时巡护道路在完成土方摊铺后上层将采用15cm厚砂石进行硬化，因此可确保淤泥及土方摊铺后不会在大风天气下造成扬尘污染。</w:t>
            </w:r>
          </w:p>
          <w:p w14:paraId="63C75F18">
            <w:pPr>
              <w:adjustRightInd w:val="0"/>
              <w:snapToGrid w:val="0"/>
              <w:spacing w:after="0"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③建筑垃圾</w:t>
            </w:r>
          </w:p>
          <w:p w14:paraId="185C54A9">
            <w:pPr>
              <w:adjustRightInd w:val="0"/>
              <w:snapToGrid w:val="0"/>
              <w:spacing w:after="0"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项目施工期产生的建筑垃圾</w:t>
            </w:r>
            <w:r>
              <w:rPr>
                <w:rFonts w:hint="default" w:ascii="Times New Roman" w:hAnsi="Times New Roman" w:cs="Times New Roman"/>
                <w:color w:val="auto"/>
                <w:kern w:val="0"/>
                <w:sz w:val="24"/>
                <w:highlight w:val="none"/>
                <w:lang w:val="en-US" w:eastAsia="zh-CN"/>
              </w:rPr>
              <w:t>运至当地政府指定地点堆放，</w:t>
            </w:r>
            <w:r>
              <w:rPr>
                <w:rFonts w:hint="default" w:ascii="Times New Roman" w:hAnsi="Times New Roman" w:cs="Times New Roman"/>
                <w:color w:val="auto"/>
                <w:kern w:val="0"/>
                <w:sz w:val="24"/>
                <w:highlight w:val="none"/>
              </w:rPr>
              <w:t>贮存及处置参照《中华人民共和国固体废物污染环境防治法》（2020年9月1日），临时贮存严格按照“防风、防雨、防漏、防渗”等相关要求执行，编制处置方案，并报县级以上主管部门备案。</w:t>
            </w:r>
          </w:p>
          <w:p w14:paraId="2FA932D0">
            <w:pPr>
              <w:adjustRightInd w:val="0"/>
              <w:snapToGrid w:val="0"/>
              <w:spacing w:after="0"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④人员生活垃圾</w:t>
            </w:r>
          </w:p>
          <w:p w14:paraId="105A1365">
            <w:pPr>
              <w:adjustRightInd w:val="0"/>
              <w:snapToGrid w:val="0"/>
              <w:spacing w:after="0"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施工期间施工人员还将产生一定量的生活垃圾。施工人员按</w:t>
            </w:r>
            <w:r>
              <w:rPr>
                <w:rFonts w:hint="eastAsia" w:cs="Times New Roman"/>
                <w:color w:val="auto"/>
                <w:kern w:val="0"/>
                <w:sz w:val="24"/>
                <w:highlight w:val="none"/>
                <w:lang w:val="en-US" w:eastAsia="zh-CN"/>
              </w:rPr>
              <w:t>8</w:t>
            </w:r>
            <w:r>
              <w:rPr>
                <w:rFonts w:hint="default" w:ascii="Times New Roman" w:hAnsi="Times New Roman" w:cs="Times New Roman"/>
                <w:color w:val="auto"/>
                <w:kern w:val="0"/>
                <w:sz w:val="24"/>
                <w:highlight w:val="none"/>
              </w:rPr>
              <w:t>0人计，施工人员垃圾产生量按0.5kg/人•d计算，则生活垃圾产生量约为</w:t>
            </w:r>
            <w:r>
              <w:rPr>
                <w:rFonts w:hint="default" w:ascii="Times New Roman" w:hAnsi="Times New Roman" w:cs="Times New Roman"/>
                <w:color w:val="auto"/>
                <w:kern w:val="0"/>
                <w:sz w:val="24"/>
                <w:highlight w:val="none"/>
                <w:lang w:val="en-US" w:eastAsia="zh-CN"/>
              </w:rPr>
              <w:t>0.0</w:t>
            </w:r>
            <w:r>
              <w:rPr>
                <w:rFonts w:hint="eastAsia" w:cs="Times New Roman"/>
                <w:color w:val="auto"/>
                <w:kern w:val="0"/>
                <w:sz w:val="24"/>
                <w:highlight w:val="none"/>
                <w:lang w:val="en-US" w:eastAsia="zh-CN"/>
              </w:rPr>
              <w:t>4</w:t>
            </w:r>
            <w:r>
              <w:rPr>
                <w:rFonts w:hint="default" w:ascii="Times New Roman" w:hAnsi="Times New Roman" w:cs="Times New Roman"/>
                <w:color w:val="auto"/>
                <w:kern w:val="0"/>
                <w:sz w:val="24"/>
                <w:highlight w:val="none"/>
                <w:lang w:val="en-US" w:eastAsia="zh-CN"/>
              </w:rPr>
              <w:t>t</w:t>
            </w:r>
            <w:r>
              <w:rPr>
                <w:rFonts w:hint="default" w:ascii="Times New Roman" w:hAnsi="Times New Roman" w:cs="Times New Roman"/>
                <w:color w:val="auto"/>
                <w:kern w:val="0"/>
                <w:sz w:val="24"/>
                <w:highlight w:val="none"/>
              </w:rPr>
              <w:t>/d，经收集后定期送环卫部门统一处置。</w:t>
            </w:r>
          </w:p>
          <w:p w14:paraId="06553F47">
            <w:pPr>
              <w:adjustRightInd w:val="0"/>
              <w:snapToGrid w:val="0"/>
              <w:spacing w:after="0"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综上可知，项目施工期固体废物均得到合理处理，对周围环境影响较小。</w:t>
            </w:r>
          </w:p>
          <w:p w14:paraId="1D2AE25E">
            <w:pPr>
              <w:numPr>
                <w:ilvl w:val="0"/>
                <w:numId w:val="0"/>
              </w:numPr>
              <w:adjustRightInd w:val="0"/>
              <w:snapToGrid w:val="0"/>
              <w:spacing w:after="0" w:line="360" w:lineRule="auto"/>
              <w:ind w:firstLine="480" w:firstLineChars="200"/>
              <w:rPr>
                <w:rFonts w:hint="default" w:ascii="Times New Roman" w:hAnsi="Times New Roman" w:eastAsia="黑体" w:cs="Times New Roman"/>
                <w:b w:val="0"/>
                <w:bCs w:val="0"/>
                <w:color w:val="auto"/>
                <w:kern w:val="0"/>
                <w:sz w:val="24"/>
                <w:highlight w:val="none"/>
                <w:lang w:val="zh-CN"/>
              </w:rPr>
            </w:pPr>
            <w:r>
              <w:rPr>
                <w:rFonts w:hint="default" w:ascii="Times New Roman" w:hAnsi="Times New Roman" w:eastAsia="黑体" w:cs="Times New Roman"/>
                <w:b w:val="0"/>
                <w:bCs w:val="0"/>
                <w:color w:val="auto"/>
                <w:kern w:val="0"/>
                <w:sz w:val="24"/>
                <w:highlight w:val="none"/>
                <w:lang w:val="en-US" w:eastAsia="zh-CN"/>
              </w:rPr>
              <w:t>6、</w:t>
            </w:r>
            <w:r>
              <w:rPr>
                <w:rFonts w:hint="default" w:ascii="Times New Roman" w:hAnsi="Times New Roman" w:eastAsia="黑体" w:cs="Times New Roman"/>
                <w:b w:val="0"/>
                <w:bCs w:val="0"/>
                <w:color w:val="auto"/>
                <w:kern w:val="0"/>
                <w:sz w:val="24"/>
                <w:highlight w:val="none"/>
                <w:lang w:val="zh-CN"/>
              </w:rPr>
              <w:t>小结</w:t>
            </w:r>
          </w:p>
          <w:p w14:paraId="023649B5">
            <w:pPr>
              <w:adjustRightInd w:val="0"/>
              <w:spacing w:line="360" w:lineRule="auto"/>
              <w:ind w:firstLine="480" w:firstLineChars="200"/>
              <w:rPr>
                <w:rFonts w:hint="default" w:ascii="Times New Roman" w:hAnsi="Times New Roman" w:eastAsia="仿宋_GB2312" w:cs="Times New Roman"/>
                <w:bCs/>
                <w:color w:val="auto"/>
                <w:spacing w:val="-10"/>
                <w:sz w:val="24"/>
                <w:highlight w:val="none"/>
              </w:rPr>
            </w:pPr>
            <w:r>
              <w:rPr>
                <w:rFonts w:hint="default" w:ascii="Times New Roman" w:hAnsi="Times New Roman" w:cs="Times New Roman"/>
                <w:color w:val="auto"/>
                <w:kern w:val="0"/>
                <w:sz w:val="24"/>
                <w:highlight w:val="none"/>
              </w:rPr>
              <w:t>本项目施工期对该区域的大气环境、声环境及生态环境都将产生一定的影响，但这些影响是暂时性的，随着施工期的结束影响将逐渐消失，不会对项目所在区域生态功能造成不良影响。</w:t>
            </w:r>
          </w:p>
        </w:tc>
      </w:tr>
      <w:tr w14:paraId="7F7C43DB">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291" w:hRule="atLeast"/>
          <w:jc w:val="center"/>
        </w:trPr>
        <w:tc>
          <w:tcPr>
            <w:tcW w:w="344" w:type="dxa"/>
            <w:tcBorders>
              <w:tl2br w:val="nil"/>
              <w:tr2bl w:val="nil"/>
            </w:tcBorders>
            <w:tcMar>
              <w:left w:w="28" w:type="dxa"/>
              <w:right w:w="28" w:type="dxa"/>
            </w:tcMar>
            <w:vAlign w:val="center"/>
          </w:tcPr>
          <w:p w14:paraId="217F8D93">
            <w:pPr>
              <w:adjustRightInd w:val="0"/>
              <w:spacing w:line="240" w:lineRule="auto"/>
              <w:jc w:val="center"/>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运营</w:t>
            </w:r>
          </w:p>
          <w:p w14:paraId="52D6CD5A">
            <w:pPr>
              <w:adjustRightInd w:val="0"/>
              <w:spacing w:line="240" w:lineRule="auto"/>
              <w:jc w:val="center"/>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期生</w:t>
            </w:r>
          </w:p>
          <w:p w14:paraId="6AD7B731">
            <w:pPr>
              <w:adjustRightInd w:val="0"/>
              <w:spacing w:line="240" w:lineRule="auto"/>
              <w:jc w:val="center"/>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态环</w:t>
            </w:r>
          </w:p>
          <w:p w14:paraId="45F8EDD8">
            <w:pPr>
              <w:adjustRightInd w:val="0"/>
              <w:spacing w:line="240" w:lineRule="auto"/>
              <w:jc w:val="center"/>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境影</w:t>
            </w:r>
          </w:p>
          <w:p w14:paraId="03158DE5">
            <w:pPr>
              <w:adjustRightInd w:val="0"/>
              <w:spacing w:line="240" w:lineRule="auto"/>
              <w:jc w:val="center"/>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响分</w:t>
            </w:r>
          </w:p>
          <w:p w14:paraId="5AAB660D">
            <w:pPr>
              <w:adjustRightInd w:val="0"/>
              <w:spacing w:line="240" w:lineRule="auto"/>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b/>
                <w:bCs/>
                <w:color w:val="auto"/>
                <w:kern w:val="2"/>
                <w:sz w:val="24"/>
                <w:szCs w:val="24"/>
                <w:highlight w:val="none"/>
                <w:lang w:val="en-US" w:eastAsia="zh-CN" w:bidi="ar-SA"/>
              </w:rPr>
              <w:t>析</w:t>
            </w:r>
          </w:p>
        </w:tc>
        <w:tc>
          <w:tcPr>
            <w:tcW w:w="8564" w:type="dxa"/>
            <w:tcBorders>
              <w:tl2br w:val="nil"/>
              <w:tr2bl w:val="nil"/>
            </w:tcBorders>
            <w:vAlign w:val="center"/>
          </w:tcPr>
          <w:p w14:paraId="2D4B0506">
            <w:pPr>
              <w:adjustRightInd w:val="0"/>
              <w:spacing w:line="360" w:lineRule="auto"/>
              <w:ind w:firstLine="480" w:firstLineChars="200"/>
              <w:rPr>
                <w:rFonts w:hint="eastAsia"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本项目运营期不产生废气、废水、噪声以及固体废物，且不存在土壤及地下水污染因子及污染途径。因此，本项目不对运营期大气环境、地下水环境、声环境、土壤环境、固体废物进行环境影响分析</w:t>
            </w:r>
            <w:r>
              <w:rPr>
                <w:rFonts w:hint="eastAsia" w:cs="Times New Roman"/>
                <w:color w:val="auto"/>
                <w:kern w:val="0"/>
                <w:sz w:val="24"/>
                <w:szCs w:val="24"/>
                <w:highlight w:val="none"/>
                <w:lang w:val="en-US" w:eastAsia="zh-CN" w:bidi="ar-SA"/>
              </w:rPr>
              <w:t>。</w:t>
            </w:r>
          </w:p>
          <w:p w14:paraId="50BC60B8">
            <w:pPr>
              <w:adjustRightInd w:val="0"/>
              <w:spacing w:line="360" w:lineRule="auto"/>
              <w:ind w:firstLine="480" w:firstLineChars="200"/>
              <w:rPr>
                <w:rFonts w:hint="default" w:ascii="Times New Roman" w:hAnsi="Times New Roman" w:eastAsia="仿宋_GB2312" w:cs="Times New Roman"/>
                <w:bCs/>
                <w:color w:val="auto"/>
                <w:spacing w:val="-10"/>
                <w:sz w:val="24"/>
                <w:highlight w:val="none"/>
                <w:lang w:eastAsia="zh-CN"/>
              </w:rPr>
            </w:pPr>
            <w:r>
              <w:rPr>
                <w:rFonts w:hint="default" w:ascii="Times New Roman" w:hAnsi="Times New Roman" w:cs="Times New Roman" w:eastAsiaTheme="minorEastAsia"/>
                <w:color w:val="auto"/>
                <w:sz w:val="24"/>
                <w:szCs w:val="20"/>
                <w:highlight w:val="none"/>
                <w:lang w:val="en-US" w:eastAsia="zh-CN" w:bidi="en-US"/>
              </w:rPr>
              <w:t>本项目</w:t>
            </w:r>
            <w:r>
              <w:rPr>
                <w:rFonts w:hint="eastAsia" w:cs="Times New Roman" w:eastAsiaTheme="minorEastAsia"/>
                <w:color w:val="auto"/>
                <w:sz w:val="24"/>
                <w:szCs w:val="20"/>
                <w:highlight w:val="none"/>
                <w:lang w:val="en-US" w:eastAsia="zh-CN" w:bidi="en-US"/>
              </w:rPr>
              <w:t>所治理沟道高崖沟为入黄沟道，项目为高崖沟边坡砌护及</w:t>
            </w:r>
            <w:r>
              <w:rPr>
                <w:rFonts w:hint="default" w:ascii="Times New Roman" w:hAnsi="Times New Roman" w:cs="Times New Roman" w:eastAsiaTheme="minorEastAsia"/>
                <w:color w:val="auto"/>
                <w:sz w:val="24"/>
                <w:szCs w:val="20"/>
                <w:highlight w:val="none"/>
                <w:lang w:val="en-US" w:eastAsia="zh-CN" w:bidi="en-US"/>
              </w:rPr>
              <w:t>河道清淤治理</w:t>
            </w:r>
            <w:r>
              <w:rPr>
                <w:rFonts w:hint="eastAsia" w:cs="Times New Roman" w:eastAsiaTheme="minorEastAsia"/>
                <w:color w:val="auto"/>
                <w:sz w:val="24"/>
                <w:szCs w:val="20"/>
                <w:highlight w:val="none"/>
                <w:lang w:val="en-US" w:eastAsia="zh-CN" w:bidi="en-US"/>
              </w:rPr>
              <w:t>项目，项目边坡砌护工程的实施有利于增强沟道两侧护岸稳定，减少由于水流侧向冲刷造成的水土流失，沟道清淤工程的实施有利于行洪通畅</w:t>
            </w:r>
            <w:r>
              <w:rPr>
                <w:rFonts w:hint="eastAsia" w:cs="Times New Roman" w:eastAsiaTheme="minorEastAsia"/>
                <w:color w:val="auto"/>
                <w:sz w:val="24"/>
                <w:szCs w:val="24"/>
                <w:highlight w:val="none"/>
                <w:lang w:val="en-US" w:eastAsia="zh-CN" w:bidi="en-US"/>
              </w:rPr>
              <w:t>，</w:t>
            </w:r>
            <w:r>
              <w:rPr>
                <w:rFonts w:hint="eastAsia" w:cs="Times New Roman"/>
                <w:color w:val="auto"/>
                <w:sz w:val="24"/>
                <w:szCs w:val="24"/>
                <w:highlight w:val="none"/>
                <w:lang w:val="en-US" w:eastAsia="zh-CN"/>
              </w:rPr>
              <w:t>使得沟道行洪更为流畅，清淤后增加水体流动及自净，对高崖沟丰水期沟道水环境质量有正向作用</w:t>
            </w:r>
            <w:r>
              <w:rPr>
                <w:rFonts w:hint="default" w:ascii="Times New Roman" w:hAnsi="Times New Roman" w:eastAsia="宋体" w:cs="Times New Roman"/>
                <w:color w:val="auto"/>
                <w:sz w:val="24"/>
                <w:szCs w:val="24"/>
                <w:highlight w:val="none"/>
                <w:lang w:val="en-US" w:eastAsia="zh-CN"/>
              </w:rPr>
              <w:t>。</w:t>
            </w:r>
          </w:p>
        </w:tc>
      </w:tr>
      <w:tr w14:paraId="575C8BE4">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156" w:hRule="atLeast"/>
          <w:jc w:val="center"/>
        </w:trPr>
        <w:tc>
          <w:tcPr>
            <w:tcW w:w="344" w:type="dxa"/>
            <w:tcBorders>
              <w:tl2br w:val="nil"/>
              <w:tr2bl w:val="nil"/>
            </w:tcBorders>
            <w:tcMar>
              <w:left w:w="28" w:type="dxa"/>
              <w:right w:w="28" w:type="dxa"/>
            </w:tcMar>
            <w:vAlign w:val="center"/>
          </w:tcPr>
          <w:p w14:paraId="617E1C55">
            <w:pPr>
              <w:adjustRightInd w:val="0"/>
              <w:snapToGrid w:val="0"/>
              <w:jc w:val="center"/>
              <w:rPr>
                <w:rFonts w:hint="default" w:ascii="Times New Roman" w:hAnsi="Times New Roman" w:eastAsia="仿宋_GB2312" w:cs="Times New Roman"/>
                <w:b/>
                <w:bCs/>
                <w:color w:val="auto"/>
                <w:sz w:val="24"/>
                <w:highlight w:val="none"/>
                <w:lang w:eastAsia="zh-CN"/>
              </w:rPr>
            </w:pPr>
            <w:r>
              <w:rPr>
                <w:rFonts w:hint="default" w:ascii="Times New Roman" w:hAnsi="Times New Roman" w:eastAsia="宋体" w:cs="Times New Roman"/>
                <w:b/>
                <w:bCs/>
                <w:color w:val="auto"/>
                <w:sz w:val="24"/>
                <w:highlight w:val="none"/>
                <w:lang w:eastAsia="zh-CN"/>
              </w:rPr>
              <w:t>选址选线环境</w:t>
            </w:r>
            <w:r>
              <w:rPr>
                <w:rFonts w:hint="default" w:ascii="Times New Roman" w:hAnsi="Times New Roman" w:cs="Times New Roman"/>
                <w:b/>
                <w:bCs/>
                <w:color w:val="auto"/>
                <w:sz w:val="24"/>
                <w:highlight w:val="none"/>
                <w:lang w:eastAsia="zh-CN"/>
              </w:rPr>
              <w:t>合理性</w:t>
            </w:r>
            <w:r>
              <w:rPr>
                <w:rFonts w:hint="default" w:ascii="Times New Roman" w:hAnsi="Times New Roman" w:eastAsia="宋体" w:cs="Times New Roman"/>
                <w:b/>
                <w:bCs/>
                <w:color w:val="auto"/>
                <w:sz w:val="24"/>
                <w:highlight w:val="none"/>
                <w:lang w:eastAsia="zh-CN"/>
              </w:rPr>
              <w:t>分析</w:t>
            </w:r>
          </w:p>
        </w:tc>
        <w:tc>
          <w:tcPr>
            <w:tcW w:w="8564" w:type="dxa"/>
            <w:tcBorders>
              <w:tl2br w:val="nil"/>
              <w:tr2bl w:val="nil"/>
            </w:tcBorders>
            <w:vAlign w:val="center"/>
          </w:tcPr>
          <w:p w14:paraId="35035DFE">
            <w:pPr>
              <w:adjustRightInd w:val="0"/>
              <w:spacing w:line="360" w:lineRule="auto"/>
              <w:ind w:firstLine="480" w:firstLineChars="200"/>
              <w:rPr>
                <w:rFonts w:hint="default" w:ascii="Times New Roman" w:hAnsi="Times New Roman" w:eastAsia="仿宋_GB2312" w:cs="Times New Roman"/>
                <w:bCs/>
                <w:color w:val="auto"/>
                <w:spacing w:val="-10"/>
                <w:sz w:val="24"/>
                <w:highlight w:val="none"/>
                <w:lang w:eastAsia="zh-CN"/>
              </w:rPr>
            </w:pPr>
            <w:r>
              <w:rPr>
                <w:rFonts w:hint="eastAsia" w:ascii="Times New Roman" w:hAnsi="Times New Roman" w:cs="Times New Roman" w:eastAsiaTheme="minorEastAsia"/>
                <w:color w:val="auto"/>
                <w:sz w:val="24"/>
                <w:szCs w:val="20"/>
                <w:highlight w:val="none"/>
                <w:lang w:val="en-US" w:eastAsia="zh-CN" w:bidi="en-US"/>
              </w:rPr>
              <w:t>项目在原有河道内清淤、砌护。不取直河道。</w:t>
            </w:r>
            <w:r>
              <w:rPr>
                <w:rFonts w:hint="eastAsia" w:cs="Times New Roman" w:eastAsiaTheme="minorEastAsia"/>
                <w:color w:val="auto"/>
                <w:sz w:val="24"/>
                <w:szCs w:val="20"/>
                <w:highlight w:val="none"/>
                <w:lang w:val="en-US" w:eastAsia="zh-CN" w:bidi="en-US"/>
              </w:rPr>
              <w:t>因此</w:t>
            </w:r>
            <w:r>
              <w:rPr>
                <w:rFonts w:hint="eastAsia" w:ascii="Times New Roman" w:hAnsi="Times New Roman" w:cs="Times New Roman" w:eastAsiaTheme="minorEastAsia"/>
                <w:color w:val="auto"/>
                <w:sz w:val="24"/>
                <w:szCs w:val="20"/>
                <w:highlight w:val="none"/>
                <w:lang w:val="en-US" w:eastAsia="zh-CN" w:bidi="en-US"/>
              </w:rPr>
              <w:t>方案唯一</w:t>
            </w:r>
            <w:r>
              <w:rPr>
                <w:rFonts w:hint="eastAsia" w:cs="Times New Roman" w:eastAsiaTheme="minorEastAsia"/>
                <w:color w:val="auto"/>
                <w:sz w:val="24"/>
                <w:szCs w:val="20"/>
                <w:highlight w:val="none"/>
                <w:lang w:val="en-US" w:eastAsia="zh-CN" w:bidi="en-US"/>
              </w:rPr>
              <w:t>，</w:t>
            </w:r>
            <w:r>
              <w:rPr>
                <w:rFonts w:hint="eastAsia" w:ascii="Times New Roman" w:hAnsi="Times New Roman" w:cs="Times New Roman" w:eastAsiaTheme="minorEastAsia"/>
                <w:color w:val="auto"/>
                <w:sz w:val="24"/>
                <w:szCs w:val="20"/>
                <w:highlight w:val="none"/>
                <w:lang w:val="en-US" w:eastAsia="zh-CN" w:bidi="en-US"/>
              </w:rPr>
              <w:t>不存在选址选线情况。</w:t>
            </w:r>
          </w:p>
        </w:tc>
      </w:tr>
    </w:tbl>
    <w:p w14:paraId="55806A76">
      <w:pPr>
        <w:adjustRightInd w:val="0"/>
        <w:snapToGrid w:val="0"/>
        <w:spacing w:line="360" w:lineRule="auto"/>
        <w:rPr>
          <w:rFonts w:hint="default" w:ascii="Times New Roman" w:hAnsi="Times New Roman" w:cs="Times New Roman"/>
          <w:b/>
          <w:color w:val="auto"/>
          <w:kern w:val="0"/>
          <w:sz w:val="28"/>
          <w:szCs w:val="28"/>
          <w:highlight w:val="none"/>
        </w:rPr>
        <w:sectPr>
          <w:pgSz w:w="11907" w:h="16840"/>
          <w:pgMar w:top="1701" w:right="1417" w:bottom="1701" w:left="1417" w:header="851" w:footer="851" w:gutter="0"/>
          <w:pgBorders>
            <w:top w:val="none" w:sz="0" w:space="0"/>
            <w:left w:val="none" w:sz="0" w:space="0"/>
            <w:bottom w:val="none" w:sz="0" w:space="0"/>
            <w:right w:val="none" w:sz="0" w:space="0"/>
          </w:pgBorders>
          <w:pgNumType w:fmt="numberInDash"/>
          <w:cols w:space="720" w:num="1"/>
          <w:docGrid w:linePitch="312" w:charSpace="0"/>
        </w:sectPr>
      </w:pPr>
    </w:p>
    <w:p w14:paraId="676490F3">
      <w:pPr>
        <w:pStyle w:val="22"/>
        <w:jc w:val="center"/>
        <w:outlineLvl w:val="0"/>
        <w:rPr>
          <w:rFonts w:hint="default" w:ascii="Times New Roman" w:hAnsi="Times New Roman" w:eastAsia="黑体" w:cs="Times New Roman"/>
          <w:snapToGrid w:val="0"/>
          <w:color w:val="auto"/>
          <w:sz w:val="30"/>
          <w:szCs w:val="30"/>
          <w:highlight w:val="none"/>
          <w:lang w:eastAsia="zh-CN"/>
        </w:rPr>
      </w:pPr>
      <w:r>
        <w:rPr>
          <w:rFonts w:hint="default" w:ascii="Times New Roman" w:hAnsi="Times New Roman" w:eastAsia="黑体" w:cs="Times New Roman"/>
          <w:snapToGrid w:val="0"/>
          <w:color w:val="auto"/>
          <w:sz w:val="30"/>
          <w:szCs w:val="30"/>
          <w:highlight w:val="none"/>
          <w:lang w:eastAsia="zh-CN"/>
        </w:rPr>
        <w:t>五</w:t>
      </w:r>
      <w:r>
        <w:rPr>
          <w:rFonts w:hint="default" w:ascii="Times New Roman" w:hAnsi="Times New Roman" w:eastAsia="黑体" w:cs="Times New Roman"/>
          <w:snapToGrid w:val="0"/>
          <w:color w:val="auto"/>
          <w:sz w:val="30"/>
          <w:szCs w:val="30"/>
          <w:highlight w:val="none"/>
        </w:rPr>
        <w:t>、</w:t>
      </w:r>
      <w:r>
        <w:rPr>
          <w:rFonts w:hint="default" w:ascii="Times New Roman" w:hAnsi="Times New Roman" w:eastAsia="黑体" w:cs="Times New Roman"/>
          <w:snapToGrid w:val="0"/>
          <w:color w:val="auto"/>
          <w:sz w:val="30"/>
          <w:szCs w:val="30"/>
          <w:highlight w:val="none"/>
          <w:lang w:eastAsia="zh-CN"/>
        </w:rPr>
        <w:t>主要生态环境保护措施</w:t>
      </w: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397"/>
        <w:gridCol w:w="8511"/>
      </w:tblGrid>
      <w:tr w14:paraId="0B15F68D">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16" w:hRule="atLeast"/>
          <w:jc w:val="center"/>
        </w:trPr>
        <w:tc>
          <w:tcPr>
            <w:tcW w:w="397" w:type="dxa"/>
            <w:tcBorders>
              <w:tl2br w:val="nil"/>
              <w:tr2bl w:val="nil"/>
            </w:tcBorders>
            <w:tcMar>
              <w:left w:w="28" w:type="dxa"/>
              <w:right w:w="28" w:type="dxa"/>
            </w:tcMar>
            <w:vAlign w:val="center"/>
          </w:tcPr>
          <w:p w14:paraId="36E4F49F">
            <w:pPr>
              <w:pStyle w:val="22"/>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r>
              <w:rPr>
                <w:rFonts w:hint="default" w:ascii="Times New Roman" w:hAnsi="Times New Roman" w:cs="Times New Roman"/>
                <w:b/>
                <w:bCs/>
                <w:color w:val="auto"/>
                <w:kern w:val="2"/>
                <w:szCs w:val="24"/>
                <w:highlight w:val="none"/>
                <w:lang w:eastAsia="zh-CN"/>
              </w:rPr>
              <w:t>施工期</w:t>
            </w:r>
            <w:r>
              <w:rPr>
                <w:rFonts w:hint="default" w:ascii="Times New Roman" w:hAnsi="Times New Roman" w:eastAsia="宋体" w:cs="Times New Roman"/>
                <w:b/>
                <w:bCs/>
                <w:color w:val="auto"/>
                <w:kern w:val="2"/>
                <w:szCs w:val="24"/>
                <w:highlight w:val="none"/>
                <w:lang w:eastAsia="zh-CN"/>
              </w:rPr>
              <w:t>生态环境</w:t>
            </w:r>
            <w:r>
              <w:rPr>
                <w:rFonts w:hint="default" w:ascii="Times New Roman" w:hAnsi="Times New Roman" w:cs="Times New Roman"/>
                <w:b/>
                <w:bCs/>
                <w:color w:val="auto"/>
                <w:kern w:val="2"/>
                <w:szCs w:val="24"/>
                <w:highlight w:val="none"/>
                <w:lang w:eastAsia="zh-CN"/>
              </w:rPr>
              <w:t>保护措施</w:t>
            </w:r>
          </w:p>
        </w:tc>
        <w:tc>
          <w:tcPr>
            <w:tcW w:w="8511" w:type="dxa"/>
            <w:tcBorders>
              <w:tl2br w:val="nil"/>
              <w:tr2bl w:val="nil"/>
            </w:tcBorders>
            <w:vAlign w:val="center"/>
          </w:tcPr>
          <w:p w14:paraId="7380D60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黑体" w:cs="Times New Roman"/>
                <w:color w:val="auto"/>
                <w:kern w:val="0"/>
                <w:sz w:val="24"/>
                <w:szCs w:val="24"/>
                <w:highlight w:val="none"/>
                <w:lang w:val="en-US" w:eastAsia="zh-CN" w:bidi="ar-SA"/>
              </w:rPr>
            </w:pPr>
            <w:r>
              <w:rPr>
                <w:rFonts w:hint="default" w:ascii="Times New Roman" w:hAnsi="Times New Roman" w:eastAsia="黑体" w:cs="Times New Roman"/>
                <w:color w:val="auto"/>
                <w:kern w:val="0"/>
                <w:sz w:val="24"/>
                <w:szCs w:val="24"/>
                <w:highlight w:val="none"/>
                <w:lang w:val="en-US" w:eastAsia="zh-CN" w:bidi="ar-SA"/>
              </w:rPr>
              <w:t>1、施工期生态减缓措施</w:t>
            </w:r>
          </w:p>
          <w:p w14:paraId="671D602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本项目的实施必将对项目建设区域的生态环境产生一定的影响，按照《环境影响评价技术导则 生态影响》中生态恢复的原则，对于可能出现的生态问题，其优先次序应遵循“避让→减缓→修复和补偿”的顺序，能避让的尽量避让，对不能避让的情况则采取措施减缓，减缓不能生效的，就应有必要的补偿和重建方案。尽可能在最大程度上避让潜在的不利生态影响。本项目充分考虑了周边环境敏感区的分布，避让了自然保护区、风景名胜区、生态保护红线等环境敏感区；在保护减缓方面，施工过程中采取了限定施工范围、铺设下垫等措施，尽量减轻对植被的破坏；在恢复方面，施工结束后将对临时占地进行植被恢复，确保项目建设对生态影响的程度降至最小。</w:t>
            </w:r>
          </w:p>
          <w:p w14:paraId="49096A1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（1）总体措施</w:t>
            </w:r>
          </w:p>
          <w:p w14:paraId="4BFAF94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①生态保护意识教育</w:t>
            </w:r>
          </w:p>
          <w:p w14:paraId="5552F4D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加强对施工人员的环境保护意识教育，要求文明施工</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一切施工活动严格控制在施工红线范围内，施工临时生活区做好垃圾的集中收集及妥善处置，不得在施工现场随意丢弃垃圾，制定施工现场环境保护管理制度并要求全体施工人员严格遵守</w:t>
            </w:r>
            <w:r>
              <w:rPr>
                <w:rFonts w:hint="default" w:ascii="Times New Roman" w:hAnsi="Times New Roman" w:eastAsia="宋体" w:cs="Times New Roman"/>
                <w:color w:val="auto"/>
                <w:sz w:val="24"/>
                <w:szCs w:val="24"/>
                <w:highlight w:val="none"/>
              </w:rPr>
              <w:t>。</w:t>
            </w:r>
          </w:p>
          <w:p w14:paraId="1A2B3AD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②划定施工范围</w:t>
            </w:r>
          </w:p>
          <w:p w14:paraId="65D82F5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根据项目施工点位，划定施工范围，禁止随意扩展施工范围。</w:t>
            </w:r>
            <w:r>
              <w:rPr>
                <w:rFonts w:hint="eastAsia" w:cs="Times New Roman"/>
                <w:color w:val="auto"/>
                <w:sz w:val="24"/>
                <w:szCs w:val="24"/>
                <w:highlight w:val="none"/>
                <w:lang w:val="en-US" w:eastAsia="zh-CN"/>
              </w:rPr>
              <w:t>在宁夏与甘肃交界段，严格控制施工区域在宁夏境内一侧，不得对对岸甘肃境内造成影响，同时项目所有临时工程均要布置在宁夏境内，清淤淤泥及挖方土方等均应堆放在宁夏境内；新建巡护道路在宁夏一侧沟拜。</w:t>
            </w:r>
          </w:p>
          <w:p w14:paraId="1570847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③施工组织方式优化</w:t>
            </w:r>
          </w:p>
          <w:p w14:paraId="364FC6B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合理安排工期，避免大风及暴雨天气施工，提高施工效率，缩短施工时间，减少生态影响；可根据天气情况及时调整施工工序，工序布设紧凑合理，避免因工序安排不当而造成大面积地表裸露，将水土流失控制在最小程度。</w:t>
            </w:r>
          </w:p>
          <w:p w14:paraId="693E776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④加强施工人员管理</w:t>
            </w:r>
          </w:p>
          <w:p w14:paraId="4E71D97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加强施工人员管理，禁止施工人员打猎、捡拾鸟卵。</w:t>
            </w:r>
          </w:p>
          <w:p w14:paraId="7F3B3B8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⑤定期清理污染物</w:t>
            </w:r>
          </w:p>
          <w:p w14:paraId="15DF3F8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施工时，污染物排放不得超过国家和地方规定的污染物排放标准，定期安排人员收集垃圾和废污水，禁止</w:t>
            </w:r>
            <w:r>
              <w:rPr>
                <w:rFonts w:hint="eastAsia" w:cs="Times New Roman"/>
                <w:color w:val="auto"/>
                <w:sz w:val="24"/>
                <w:szCs w:val="24"/>
                <w:highlight w:val="none"/>
                <w:lang w:val="en-US" w:eastAsia="zh-CN"/>
              </w:rPr>
              <w:t>高崖沟或周边外环境直接</w:t>
            </w:r>
            <w:r>
              <w:rPr>
                <w:rFonts w:hint="default" w:ascii="Times New Roman" w:hAnsi="Times New Roman" w:eastAsia="宋体" w:cs="Times New Roman"/>
                <w:color w:val="auto"/>
                <w:sz w:val="24"/>
                <w:szCs w:val="24"/>
                <w:highlight w:val="none"/>
              </w:rPr>
              <w:t>排放废污水、扔垃圾等。施工现场使用带油料的机械器具，应采取措施防止油料跑、冒、滴、漏，防止对土壤和水体造成污染。</w:t>
            </w:r>
          </w:p>
          <w:p w14:paraId="4A02B23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⑥加强植被恢复措施</w:t>
            </w:r>
          </w:p>
          <w:p w14:paraId="7FF8511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项目施工应当尽量减少破坏植被；</w:t>
            </w:r>
            <w:r>
              <w:rPr>
                <w:rFonts w:hint="eastAsia" w:cs="Times New Roman"/>
                <w:color w:val="auto"/>
                <w:sz w:val="24"/>
                <w:szCs w:val="24"/>
                <w:highlight w:val="none"/>
                <w:lang w:val="en-US" w:eastAsia="zh-CN"/>
              </w:rPr>
              <w:t>河道内</w:t>
            </w:r>
            <w:r>
              <w:rPr>
                <w:rFonts w:hint="default" w:ascii="Times New Roman" w:hAnsi="Times New Roman" w:eastAsia="宋体" w:cs="Times New Roman"/>
                <w:color w:val="auto"/>
                <w:sz w:val="24"/>
                <w:szCs w:val="24"/>
                <w:highlight w:val="none"/>
              </w:rPr>
              <w:t>临时占地施工结束后</w:t>
            </w:r>
            <w:r>
              <w:rPr>
                <w:rFonts w:hint="eastAsia" w:cs="Times New Roman"/>
                <w:color w:val="auto"/>
                <w:sz w:val="24"/>
                <w:szCs w:val="24"/>
                <w:highlight w:val="none"/>
                <w:lang w:val="en-US" w:eastAsia="zh-CN"/>
              </w:rPr>
              <w:t>随着施工机械撤出，将逐步恢复沟道原有生态，沟道外临时施工区占用的草地及荒地</w:t>
            </w:r>
            <w:r>
              <w:rPr>
                <w:rFonts w:hint="default" w:ascii="Times New Roman" w:hAnsi="Times New Roman" w:eastAsia="宋体" w:cs="Times New Roman"/>
                <w:color w:val="auto"/>
                <w:sz w:val="24"/>
                <w:szCs w:val="24"/>
                <w:highlight w:val="none"/>
              </w:rPr>
              <w:t>应恢复原地貌和植被。</w:t>
            </w:r>
            <w:r>
              <w:rPr>
                <w:rFonts w:hint="eastAsia" w:cs="Times New Roman"/>
                <w:color w:val="auto"/>
                <w:sz w:val="24"/>
                <w:szCs w:val="24"/>
                <w:highlight w:val="none"/>
                <w:lang w:val="en-US" w:eastAsia="zh-CN"/>
              </w:rPr>
              <w:t>其中草地恢复面积约10.26亩，恢复草种选择当地常见且易成活的</w:t>
            </w:r>
            <w:r>
              <w:rPr>
                <w:rFonts w:hint="default" w:ascii="Times New Roman" w:hAnsi="Times New Roman" w:eastAsia="宋体" w:cs="Times New Roman"/>
                <w:color w:val="auto"/>
                <w:kern w:val="0"/>
                <w:sz w:val="24"/>
                <w:szCs w:val="24"/>
                <w:highlight w:val="none"/>
                <w:lang w:val="en-US" w:eastAsia="zh-CN" w:bidi="ar-SA"/>
              </w:rPr>
              <w:t>茭蒿</w:t>
            </w:r>
            <w:r>
              <w:rPr>
                <w:rFonts w:hint="eastAsia" w:cs="Times New Roman"/>
                <w:color w:val="auto"/>
                <w:kern w:val="0"/>
                <w:sz w:val="24"/>
                <w:szCs w:val="24"/>
                <w:highlight w:val="none"/>
                <w:lang w:val="en-US" w:eastAsia="zh-CN" w:bidi="ar-SA"/>
              </w:rPr>
              <w:t>、</w:t>
            </w:r>
            <w:r>
              <w:rPr>
                <w:rFonts w:hint="eastAsia" w:cs="Times New Roman"/>
                <w:color w:val="auto"/>
                <w:sz w:val="24"/>
                <w:szCs w:val="24"/>
                <w:highlight w:val="none"/>
                <w:lang w:val="en-US" w:eastAsia="zh-CN"/>
              </w:rPr>
              <w:t>冰草、冷蒿等；荒地恢复面积23.94亩，项目施工结束后对占用的荒地进行表土松土，并辅助撒播种草以恢复其生态功能，草种选择当地常见且易成活的</w:t>
            </w:r>
            <w:r>
              <w:rPr>
                <w:rFonts w:hint="default" w:ascii="Times New Roman" w:hAnsi="Times New Roman" w:eastAsia="宋体" w:cs="Times New Roman"/>
                <w:color w:val="auto"/>
                <w:kern w:val="0"/>
                <w:sz w:val="24"/>
                <w:szCs w:val="24"/>
                <w:highlight w:val="none"/>
                <w:lang w:val="en-US" w:eastAsia="zh-CN" w:bidi="ar-SA"/>
              </w:rPr>
              <w:t>茭蒿</w:t>
            </w:r>
            <w:r>
              <w:rPr>
                <w:rFonts w:hint="eastAsia" w:cs="Times New Roman"/>
                <w:color w:val="auto"/>
                <w:kern w:val="0"/>
                <w:sz w:val="24"/>
                <w:szCs w:val="24"/>
                <w:highlight w:val="none"/>
                <w:lang w:val="en-US" w:eastAsia="zh-CN" w:bidi="ar-SA"/>
              </w:rPr>
              <w:t>、</w:t>
            </w:r>
            <w:r>
              <w:rPr>
                <w:rFonts w:hint="eastAsia" w:cs="Times New Roman"/>
                <w:color w:val="auto"/>
                <w:sz w:val="24"/>
                <w:szCs w:val="24"/>
                <w:highlight w:val="none"/>
                <w:lang w:val="en-US" w:eastAsia="zh-CN"/>
              </w:rPr>
              <w:t>冰草、冷蒿等。</w:t>
            </w:r>
          </w:p>
          <w:p w14:paraId="2A93F6C1">
            <w:pPr>
              <w:pStyle w:val="56"/>
              <w:spacing w:before="0"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（2）植被保护措施</w:t>
            </w:r>
          </w:p>
          <w:p w14:paraId="53690007">
            <w:pPr>
              <w:pStyle w:val="56"/>
              <w:spacing w:before="0"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①避让措施</w:t>
            </w:r>
          </w:p>
          <w:p w14:paraId="02DDC552">
            <w:pPr>
              <w:pStyle w:val="56"/>
              <w:spacing w:before="0" w:line="360" w:lineRule="auto"/>
              <w:ind w:firstLine="480" w:firstLineChars="200"/>
              <w:jc w:val="both"/>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1）选线</w:t>
            </w:r>
            <w:r>
              <w:rPr>
                <w:rFonts w:hint="eastAsia" w:eastAsia="宋体" w:cs="Times New Roman"/>
                <w:color w:val="auto"/>
                <w:sz w:val="24"/>
                <w:highlight w:val="none"/>
                <w:lang w:val="en-US" w:eastAsia="zh-CN"/>
              </w:rPr>
              <w:t>避让措施</w:t>
            </w:r>
          </w:p>
          <w:p w14:paraId="40DC863B">
            <w:pPr>
              <w:pStyle w:val="56"/>
              <w:spacing w:before="0"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 工程在设计时已尽量避开生态敏感区及植被较好的区域。</w:t>
            </w:r>
            <w:r>
              <w:rPr>
                <w:rFonts w:hint="eastAsia" w:eastAsia="宋体" w:cs="Times New Roman"/>
                <w:color w:val="auto"/>
                <w:sz w:val="24"/>
                <w:highlight w:val="none"/>
                <w:lang w:val="en-US" w:eastAsia="zh-CN"/>
              </w:rPr>
              <w:t>沟道岸坡</w:t>
            </w:r>
            <w:r>
              <w:rPr>
                <w:rFonts w:hint="default" w:ascii="Times New Roman" w:hAnsi="Times New Roman" w:cs="Times New Roman"/>
                <w:color w:val="auto"/>
                <w:sz w:val="24"/>
                <w:highlight w:val="none"/>
              </w:rPr>
              <w:t>尽量利用自然地势和环境，对土地进行平整时，严格按照施工红线进行施工，尽量避免对植被造成破坏。</w:t>
            </w:r>
          </w:p>
          <w:p w14:paraId="0574C859">
            <w:pPr>
              <w:pStyle w:val="56"/>
              <w:spacing w:before="0"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b </w:t>
            </w:r>
            <w:r>
              <w:rPr>
                <w:rFonts w:hint="eastAsia" w:eastAsia="宋体" w:cs="Times New Roman"/>
                <w:color w:val="auto"/>
                <w:sz w:val="24"/>
                <w:highlight w:val="none"/>
                <w:lang w:val="en-US" w:eastAsia="zh-CN"/>
              </w:rPr>
              <w:t>河道外临时施工区</w:t>
            </w:r>
            <w:r>
              <w:rPr>
                <w:rFonts w:hint="default" w:ascii="Times New Roman" w:hAnsi="Times New Roman" w:cs="Times New Roman"/>
                <w:color w:val="auto"/>
                <w:sz w:val="24"/>
                <w:highlight w:val="none"/>
              </w:rPr>
              <w:t>占地的选址尽量选择</w:t>
            </w:r>
            <w:r>
              <w:rPr>
                <w:rFonts w:hint="eastAsia" w:eastAsia="宋体" w:cs="Times New Roman"/>
                <w:color w:val="auto"/>
                <w:sz w:val="24"/>
                <w:highlight w:val="none"/>
                <w:lang w:val="en-US" w:eastAsia="zh-CN"/>
              </w:rPr>
              <w:t>荒地</w:t>
            </w:r>
            <w:r>
              <w:rPr>
                <w:rFonts w:hint="default" w:ascii="Times New Roman" w:hAnsi="Times New Roman" w:cs="Times New Roman"/>
                <w:color w:val="auto"/>
                <w:sz w:val="24"/>
                <w:highlight w:val="none"/>
              </w:rPr>
              <w:t>和植被覆盖度低的区域，尽量减小对植被占用的影响。</w:t>
            </w:r>
          </w:p>
          <w:p w14:paraId="3D043B0B">
            <w:pPr>
              <w:pStyle w:val="56"/>
              <w:spacing w:before="0"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c 为方便运输，施工道路应尽量利用原有道路，施工运输车辆按照指定运输道路路线行驶，减少对地表植被的破坏；同时注意做好路面洒水等防尘工作，减少扬尘影响。临时用地应尽量缩短使用时间，施工结束后及时恢复土地原有功能。</w:t>
            </w:r>
          </w:p>
          <w:p w14:paraId="23D38100">
            <w:pPr>
              <w:pStyle w:val="56"/>
              <w:spacing w:before="0" w:line="360" w:lineRule="auto"/>
              <w:ind w:firstLine="480" w:firstLineChars="200"/>
              <w:jc w:val="both"/>
              <w:rPr>
                <w:rFonts w:hint="default" w:ascii="Times New Roman" w:hAnsi="Times New Roman" w:cs="Times New Roman"/>
                <w:color w:val="auto"/>
                <w:sz w:val="24"/>
                <w:highlight w:val="none"/>
              </w:rPr>
            </w:pPr>
            <w:r>
              <w:rPr>
                <w:rFonts w:hint="eastAsia" w:eastAsia="宋体" w:cs="Times New Roman"/>
                <w:color w:val="auto"/>
                <w:sz w:val="24"/>
                <w:highlight w:val="none"/>
                <w:lang w:val="en-US" w:eastAsia="zh-CN"/>
              </w:rPr>
              <w:t>2</w:t>
            </w:r>
            <w:r>
              <w:rPr>
                <w:rFonts w:hint="default" w:ascii="Times New Roman" w:hAnsi="Times New Roman" w:cs="Times New Roman"/>
                <w:color w:val="auto"/>
                <w:sz w:val="24"/>
                <w:highlight w:val="none"/>
              </w:rPr>
              <w:t>）</w:t>
            </w:r>
            <w:r>
              <w:rPr>
                <w:rFonts w:hint="eastAsia" w:eastAsia="宋体" w:cs="Times New Roman"/>
                <w:color w:val="auto"/>
                <w:sz w:val="24"/>
                <w:highlight w:val="none"/>
                <w:lang w:val="en-US" w:eastAsia="zh-CN"/>
              </w:rPr>
              <w:t>施工布置避让</w:t>
            </w:r>
            <w:r>
              <w:rPr>
                <w:rFonts w:hint="default" w:ascii="Times New Roman" w:hAnsi="Times New Roman" w:cs="Times New Roman"/>
                <w:color w:val="auto"/>
                <w:sz w:val="24"/>
                <w:highlight w:val="none"/>
              </w:rPr>
              <w:t>措施</w:t>
            </w:r>
          </w:p>
          <w:p w14:paraId="1AF4F8D0">
            <w:pPr>
              <w:pStyle w:val="56"/>
              <w:spacing w:before="0" w:line="360" w:lineRule="auto"/>
              <w:ind w:firstLine="480" w:firstLineChars="200"/>
              <w:jc w:val="both"/>
              <w:rPr>
                <w:rFonts w:hint="default" w:ascii="Times New Roman" w:hAnsi="Times New Roman" w:eastAsia="宋体" w:cs="Times New Roman"/>
                <w:color w:val="auto"/>
                <w:sz w:val="24"/>
                <w:highlight w:val="none"/>
                <w:lang w:val="en-US" w:eastAsia="zh-CN"/>
              </w:rPr>
            </w:pPr>
            <w:r>
              <w:rPr>
                <w:rFonts w:hint="eastAsia" w:eastAsia="宋体" w:cs="Times New Roman"/>
                <w:color w:val="auto"/>
                <w:sz w:val="24"/>
                <w:highlight w:val="none"/>
                <w:lang w:val="en-US" w:eastAsia="zh-CN"/>
              </w:rPr>
              <w:t>a 高崖沟为季节性泄洪沟道，且根据现场踏勘，现状沟道内水生植被主要为当地常见的芦苇及雨季在高崖沟有水的状况下次生的藻类植被，陆生植被主要为当地常见的冰草、沙蒿等，本次项目施工报告过程中将不可避免地会对区域植被造成破坏，本次项目针对水生及陆生植被保护措施提出在枯水期进行施工，避开植被生长期，且严格划定项目施工范围等措施减少施工过程对水生及陆生植被的破坏及影响。</w:t>
            </w:r>
          </w:p>
          <w:p w14:paraId="7CBA2EE3">
            <w:pPr>
              <w:pStyle w:val="56"/>
              <w:spacing w:before="0" w:line="360" w:lineRule="auto"/>
              <w:ind w:firstLine="480" w:firstLineChars="200"/>
              <w:jc w:val="both"/>
              <w:rPr>
                <w:rFonts w:hint="default" w:ascii="Times New Roman" w:hAnsi="Times New Roman" w:eastAsia="宋体" w:cs="Times New Roman"/>
                <w:color w:val="auto"/>
                <w:sz w:val="24"/>
                <w:highlight w:val="none"/>
                <w:lang w:val="en-US" w:eastAsia="zh-CN"/>
              </w:rPr>
            </w:pPr>
            <w:r>
              <w:rPr>
                <w:rFonts w:hint="eastAsia" w:eastAsia="宋体" w:cs="Times New Roman"/>
                <w:color w:val="auto"/>
                <w:sz w:val="24"/>
                <w:highlight w:val="none"/>
                <w:lang w:val="en-US" w:eastAsia="zh-CN"/>
              </w:rPr>
              <w:t>b 本次项目沿线共计设置6处施工营地，在项目设计时，充分结合项目外环境特点，尽可能避开耕地、草地等生态敏感区域，在满足施工需求的前提下尽量占用沟道管理范围内的荒地及荒地。</w:t>
            </w:r>
          </w:p>
          <w:p w14:paraId="1EFA1F9B">
            <w:pPr>
              <w:pStyle w:val="56"/>
              <w:spacing w:before="0" w:line="360" w:lineRule="auto"/>
              <w:ind w:firstLine="480" w:firstLineChars="200"/>
              <w:jc w:val="both"/>
              <w:rPr>
                <w:rFonts w:hint="default" w:ascii="Times New Roman" w:hAnsi="Times New Roman" w:eastAsia="宋体" w:cs="Times New Roman"/>
                <w:color w:val="auto"/>
                <w:sz w:val="24"/>
                <w:highlight w:val="none"/>
                <w:lang w:val="en-US" w:eastAsia="zh-CN"/>
              </w:rPr>
            </w:pPr>
            <w:r>
              <w:rPr>
                <w:rFonts w:hint="eastAsia" w:eastAsia="宋体" w:cs="Times New Roman"/>
                <w:color w:val="auto"/>
                <w:sz w:val="24"/>
                <w:highlight w:val="none"/>
                <w:lang w:val="en-US" w:eastAsia="zh-CN"/>
              </w:rPr>
              <w:t>c 本次项目清淤产生的淤泥需要短暂晾晒，要求将清出的淤泥晾晒于项目施工范围内的沟拜上，不得占用外环境耕地、草地及荒地进行淤泥晾晒。</w:t>
            </w:r>
          </w:p>
          <w:p w14:paraId="54D1B61F">
            <w:pPr>
              <w:pStyle w:val="56"/>
              <w:spacing w:before="0" w:line="360" w:lineRule="auto"/>
              <w:ind w:firstLine="480" w:firstLineChars="200"/>
              <w:jc w:val="both"/>
              <w:rPr>
                <w:rFonts w:hint="default" w:ascii="Times New Roman" w:hAnsi="Times New Roman" w:cs="Times New Roman"/>
                <w:color w:val="auto"/>
                <w:sz w:val="24"/>
                <w:highlight w:val="none"/>
              </w:rPr>
            </w:pPr>
            <w:r>
              <w:rPr>
                <w:rFonts w:hint="eastAsia" w:eastAsia="宋体" w:cs="Times New Roman"/>
                <w:color w:val="auto"/>
                <w:sz w:val="24"/>
                <w:highlight w:val="none"/>
                <w:lang w:val="en-US" w:eastAsia="zh-CN"/>
              </w:rPr>
              <w:t>3</w:t>
            </w:r>
            <w:r>
              <w:rPr>
                <w:rFonts w:hint="default" w:ascii="Times New Roman" w:hAnsi="Times New Roman" w:cs="Times New Roman"/>
                <w:color w:val="auto"/>
                <w:sz w:val="24"/>
                <w:highlight w:val="none"/>
              </w:rPr>
              <w:t>）临时用地恢复措施</w:t>
            </w:r>
          </w:p>
          <w:p w14:paraId="652A832A">
            <w:pPr>
              <w:pStyle w:val="56"/>
              <w:spacing w:before="0"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 临时用地应尽量在工程征租地范围内使用。合理划定施工范围和人员、车辆的行走路线，禁止施工人员越线施工，避免对施工范围之外的区域的植被造成碾压和破坏。</w:t>
            </w:r>
          </w:p>
          <w:p w14:paraId="24BC67DE">
            <w:pPr>
              <w:pStyle w:val="56"/>
              <w:spacing w:before="0"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b 应严格控制各类临时工程用地的数量，其面积不应大于设计给定的面积，禁止随意的超标占地。</w:t>
            </w:r>
          </w:p>
          <w:p w14:paraId="359A7CC3">
            <w:pPr>
              <w:pStyle w:val="56"/>
              <w:spacing w:before="0"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c 施工进度安排应紧凑合理，尽量缩短施工工期和地表的裸露时间；</w:t>
            </w:r>
            <w:r>
              <w:rPr>
                <w:rFonts w:hint="default" w:ascii="Times New Roman" w:hAnsi="Times New Roman" w:eastAsia="宋体" w:cs="Times New Roman"/>
                <w:color w:val="auto"/>
                <w:sz w:val="24"/>
                <w:highlight w:val="none"/>
                <w:lang w:val="en-US" w:eastAsia="zh-CN"/>
              </w:rPr>
              <w:t>施工结束后对</w:t>
            </w:r>
            <w:r>
              <w:rPr>
                <w:rFonts w:hint="default" w:ascii="Times New Roman" w:hAnsi="Times New Roman" w:cs="Times New Roman"/>
                <w:color w:val="auto"/>
                <w:sz w:val="24"/>
                <w:highlight w:val="none"/>
              </w:rPr>
              <w:t>周围进行土地整治，恢复植被。</w:t>
            </w:r>
          </w:p>
          <w:p w14:paraId="1B9FCD0F">
            <w:pPr>
              <w:pStyle w:val="56"/>
              <w:spacing w:before="0"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②减缓与恢复措施</w:t>
            </w:r>
          </w:p>
          <w:p w14:paraId="0B445738">
            <w:pPr>
              <w:pStyle w:val="56"/>
              <w:spacing w:before="0" w:line="360" w:lineRule="auto"/>
              <w:ind w:firstLine="480" w:firstLineChars="200"/>
              <w:jc w:val="both"/>
              <w:rPr>
                <w:rFonts w:hint="default" w:ascii="Times New Roman" w:hAnsi="Times New Roman" w:cs="Times New Roman"/>
                <w:color w:val="auto"/>
                <w:sz w:val="24"/>
                <w:highlight w:val="none"/>
              </w:rPr>
            </w:pPr>
            <w:r>
              <w:rPr>
                <w:rFonts w:hint="eastAsia" w:eastAsia="宋体" w:cs="Times New Roman"/>
                <w:color w:val="auto"/>
                <w:sz w:val="24"/>
                <w:highlight w:val="none"/>
                <w:lang w:val="en-US" w:eastAsia="zh-CN"/>
              </w:rPr>
              <w:t>1</w:t>
            </w:r>
            <w:r>
              <w:rPr>
                <w:rFonts w:hint="default" w:ascii="Times New Roman" w:hAnsi="Times New Roman" w:cs="Times New Roman"/>
                <w:color w:val="auto"/>
                <w:sz w:val="24"/>
                <w:highlight w:val="none"/>
              </w:rPr>
              <w:t>）及时清理建筑废料和生活垃圾</w:t>
            </w:r>
          </w:p>
          <w:p w14:paraId="4CBAD05F">
            <w:pPr>
              <w:pStyle w:val="56"/>
              <w:spacing w:before="0"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对于临时占地，由于施工人员、施工车辆及施工材料压占临时设施区改变其土壤紧实度，会影响植被的自然生长，同时材料运输过程中部分沙石、水泥洒落，施工迹地有部分建筑垃圾，因此在工程完工后应清除各种残留的建筑垃圾。</w:t>
            </w:r>
          </w:p>
          <w:p w14:paraId="5CFA6F9B">
            <w:pPr>
              <w:pStyle w:val="56"/>
              <w:spacing w:before="0" w:line="360" w:lineRule="auto"/>
              <w:ind w:firstLine="480" w:firstLineChars="200"/>
              <w:jc w:val="both"/>
              <w:rPr>
                <w:rFonts w:hint="default" w:ascii="Times New Roman" w:hAnsi="Times New Roman" w:cs="Times New Roman"/>
                <w:color w:val="auto"/>
                <w:sz w:val="24"/>
                <w:highlight w:val="none"/>
              </w:rPr>
            </w:pPr>
            <w:r>
              <w:rPr>
                <w:rFonts w:hint="eastAsia" w:eastAsia="宋体" w:cs="Times New Roman"/>
                <w:color w:val="auto"/>
                <w:sz w:val="24"/>
                <w:highlight w:val="none"/>
                <w:lang w:val="en-US" w:eastAsia="zh-CN"/>
              </w:rPr>
              <w:t>2</w:t>
            </w:r>
            <w:r>
              <w:rPr>
                <w:rFonts w:hint="default" w:ascii="Times New Roman" w:hAnsi="Times New Roman" w:cs="Times New Roman"/>
                <w:color w:val="auto"/>
                <w:sz w:val="24"/>
                <w:highlight w:val="none"/>
              </w:rPr>
              <w:t>）及时进行植被恢复</w:t>
            </w:r>
          </w:p>
          <w:p w14:paraId="6A305946">
            <w:pPr>
              <w:pStyle w:val="56"/>
              <w:spacing w:before="0"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施工后对</w:t>
            </w:r>
            <w:r>
              <w:rPr>
                <w:rFonts w:hint="default" w:ascii="Times New Roman" w:hAnsi="Times New Roman" w:eastAsia="宋体" w:cs="Times New Roman"/>
                <w:color w:val="auto"/>
                <w:sz w:val="24"/>
                <w:highlight w:val="none"/>
                <w:lang w:val="en-US" w:eastAsia="zh-CN"/>
              </w:rPr>
              <w:t>临时占地</w:t>
            </w:r>
            <w:r>
              <w:rPr>
                <w:rFonts w:hint="default" w:ascii="Times New Roman" w:hAnsi="Times New Roman" w:cs="Times New Roman"/>
                <w:color w:val="auto"/>
                <w:sz w:val="24"/>
                <w:highlight w:val="none"/>
              </w:rPr>
              <w:t>进行植被恢复，采用当地适生树草种，对自然条件相对较差的区域，应进行人工养护，确保植被的成活率。</w:t>
            </w:r>
          </w:p>
          <w:p w14:paraId="686F26D5">
            <w:pPr>
              <w:pStyle w:val="56"/>
              <w:spacing w:before="0"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highlight w:val="none"/>
                <w:lang w:val="en-US" w:eastAsia="zh-CN"/>
              </w:rPr>
              <w:t>③</w:t>
            </w:r>
            <w:r>
              <w:rPr>
                <w:rFonts w:hint="default" w:ascii="Times New Roman" w:hAnsi="Times New Roman" w:cs="Times New Roman"/>
                <w:color w:val="auto"/>
                <w:sz w:val="24"/>
                <w:highlight w:val="none"/>
              </w:rPr>
              <w:t>管理措施</w:t>
            </w:r>
          </w:p>
          <w:p w14:paraId="7719E04C">
            <w:pPr>
              <w:pStyle w:val="56"/>
              <w:spacing w:before="0"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1）积极进行环保宣传，严格管理监督施工前应印发环境保护手册，组织专业人员对施工人员进行环保宣传教育</w:t>
            </w:r>
            <w:r>
              <w:rPr>
                <w:rFonts w:hint="eastAsia" w:eastAsia="宋体" w:cs="Times New Roman"/>
                <w:color w:val="auto"/>
                <w:sz w:val="24"/>
                <w:highlight w:val="none"/>
                <w:lang w:eastAsia="zh-CN"/>
              </w:rPr>
              <w:t>，在</w:t>
            </w:r>
            <w:r>
              <w:rPr>
                <w:rFonts w:hint="default" w:ascii="Times New Roman" w:hAnsi="Times New Roman" w:cs="Times New Roman"/>
                <w:color w:val="auto"/>
                <w:sz w:val="24"/>
                <w:highlight w:val="none"/>
              </w:rPr>
              <w:t>施工</w:t>
            </w:r>
            <w:r>
              <w:rPr>
                <w:rFonts w:hint="eastAsia" w:eastAsia="宋体" w:cs="Times New Roman"/>
                <w:color w:val="auto"/>
                <w:sz w:val="24"/>
                <w:highlight w:val="none"/>
                <w:lang w:eastAsia="zh-CN"/>
              </w:rPr>
              <w:t>期间</w:t>
            </w:r>
            <w:r>
              <w:rPr>
                <w:rFonts w:hint="default" w:ascii="Times New Roman" w:hAnsi="Times New Roman" w:cs="Times New Roman"/>
                <w:color w:val="auto"/>
                <w:sz w:val="24"/>
                <w:highlight w:val="none"/>
              </w:rPr>
              <w:t>严格施工红线，严格行为规范，进行必要的管理监督，禁止破坏植被的情况发生。</w:t>
            </w:r>
          </w:p>
          <w:p w14:paraId="70708C46">
            <w:pPr>
              <w:pStyle w:val="56"/>
              <w:spacing w:before="0"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2）加强珍稀濒危动植物宣传教育</w:t>
            </w:r>
          </w:p>
          <w:p w14:paraId="63471C17">
            <w:pPr>
              <w:pStyle w:val="56"/>
              <w:spacing w:before="0"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施工前应对施工人员进行珍稀濒危动植物宣传教育，确保施工人员能够第一时间认出保护植物，严禁施工作业人员破坏、采挖，一经发现立即上报。</w:t>
            </w:r>
          </w:p>
          <w:p w14:paraId="78CDD8BF">
            <w:pPr>
              <w:pStyle w:val="56"/>
              <w:spacing w:before="0"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3）积极采取有效措施预防火灾</w:t>
            </w:r>
          </w:p>
          <w:p w14:paraId="2B2E314D">
            <w:pPr>
              <w:pStyle w:val="56"/>
              <w:spacing w:before="0"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工程施工</w:t>
            </w:r>
            <w:r>
              <w:rPr>
                <w:rFonts w:hint="eastAsia" w:eastAsia="宋体" w:cs="Times New Roman"/>
                <w:color w:val="auto"/>
                <w:sz w:val="24"/>
                <w:highlight w:val="none"/>
                <w:lang w:eastAsia="zh-CN"/>
              </w:rPr>
              <w:t>期间</w:t>
            </w:r>
            <w:r>
              <w:rPr>
                <w:rFonts w:hint="default" w:ascii="Times New Roman" w:hAnsi="Times New Roman" w:cs="Times New Roman"/>
                <w:color w:val="auto"/>
                <w:sz w:val="24"/>
                <w:highlight w:val="none"/>
              </w:rPr>
              <w:t>更应加强防护，如在施工区竖立防火警示牌，开展巡回检查、搞好消防队伍及设施的建设等，以预防和杜绝火灾发生。</w:t>
            </w:r>
          </w:p>
          <w:p w14:paraId="71258CCB">
            <w:pPr>
              <w:pStyle w:val="56"/>
              <w:spacing w:before="0"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4）预防外来入侵物种的扩散</w:t>
            </w:r>
          </w:p>
          <w:p w14:paraId="0C9F2101">
            <w:pPr>
              <w:pStyle w:val="56"/>
              <w:spacing w:before="0"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熟悉了解外来入侵的扩散和传播机制，通过切断其传播途径和控制传播源头来预防外来入侵物种的扩散。</w:t>
            </w:r>
          </w:p>
          <w:p w14:paraId="3C6F9ED5">
            <w:pPr>
              <w:pStyle w:val="56"/>
              <w:spacing w:before="0"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（3）动物保护措施</w:t>
            </w:r>
          </w:p>
          <w:p w14:paraId="6D56CD64">
            <w:pPr>
              <w:pStyle w:val="56"/>
              <w:spacing w:before="0"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①避让措施</w:t>
            </w:r>
          </w:p>
          <w:p w14:paraId="452B5DD5">
            <w:pPr>
              <w:pStyle w:val="56"/>
              <w:spacing w:before="0"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1）尽量缩短施工时间，降低施工活动对区域</w:t>
            </w:r>
            <w:r>
              <w:rPr>
                <w:rFonts w:hint="eastAsia" w:eastAsia="宋体" w:cs="Times New Roman"/>
                <w:color w:val="auto"/>
                <w:sz w:val="24"/>
                <w:highlight w:val="none"/>
                <w:lang w:val="en-US" w:eastAsia="zh-CN"/>
              </w:rPr>
              <w:t>栖息及日常活动</w:t>
            </w:r>
            <w:r>
              <w:rPr>
                <w:rFonts w:hint="default" w:ascii="Times New Roman" w:hAnsi="Times New Roman" w:cs="Times New Roman"/>
                <w:color w:val="auto"/>
                <w:sz w:val="24"/>
                <w:highlight w:val="none"/>
              </w:rPr>
              <w:t>的影响。</w:t>
            </w:r>
          </w:p>
          <w:p w14:paraId="41183867">
            <w:pPr>
              <w:pStyle w:val="56"/>
              <w:spacing w:before="0"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2）施工材料的堆放要远离水源，尤其是粉状材料与有害材料，运输材料时</w:t>
            </w:r>
            <w:r>
              <w:rPr>
                <w:rFonts w:hint="eastAsia" w:eastAsia="宋体" w:cs="Times New Roman"/>
                <w:color w:val="auto"/>
                <w:sz w:val="24"/>
                <w:highlight w:val="none"/>
                <w:lang w:val="en-US" w:eastAsia="zh-CN"/>
              </w:rPr>
              <w:t>需要对物料进行遮盖，避免</w:t>
            </w:r>
            <w:r>
              <w:rPr>
                <w:rFonts w:hint="default" w:ascii="Times New Roman" w:hAnsi="Times New Roman" w:cs="Times New Roman"/>
                <w:color w:val="auto"/>
                <w:sz w:val="24"/>
                <w:highlight w:val="none"/>
              </w:rPr>
              <w:t>被雨水</w:t>
            </w:r>
            <w:r>
              <w:rPr>
                <w:rFonts w:hint="eastAsia" w:eastAsia="宋体" w:cs="Times New Roman"/>
                <w:color w:val="auto"/>
                <w:sz w:val="24"/>
                <w:highlight w:val="none"/>
                <w:lang w:val="en-US" w:eastAsia="zh-CN"/>
              </w:rPr>
              <w:t>冲刷</w:t>
            </w:r>
            <w:r>
              <w:rPr>
                <w:rFonts w:hint="default" w:ascii="Times New Roman" w:hAnsi="Times New Roman" w:cs="Times New Roman"/>
                <w:color w:val="auto"/>
                <w:sz w:val="24"/>
                <w:highlight w:val="none"/>
              </w:rPr>
              <w:t>或风吹至</w:t>
            </w:r>
            <w:r>
              <w:rPr>
                <w:rFonts w:hint="eastAsia" w:eastAsia="宋体" w:cs="Times New Roman"/>
                <w:color w:val="auto"/>
                <w:sz w:val="24"/>
                <w:highlight w:val="none"/>
                <w:lang w:eastAsia="zh-CN"/>
              </w:rPr>
              <w:t>周边</w:t>
            </w:r>
            <w:r>
              <w:rPr>
                <w:rFonts w:hint="eastAsia" w:eastAsia="宋体" w:cs="Times New Roman"/>
                <w:color w:val="auto"/>
                <w:sz w:val="24"/>
                <w:highlight w:val="none"/>
                <w:lang w:val="en-US" w:eastAsia="zh-CN"/>
              </w:rPr>
              <w:t>环境中</w:t>
            </w:r>
            <w:r>
              <w:rPr>
                <w:rFonts w:hint="default" w:ascii="Times New Roman" w:hAnsi="Times New Roman" w:cs="Times New Roman"/>
                <w:color w:val="auto"/>
                <w:sz w:val="24"/>
                <w:highlight w:val="none"/>
              </w:rPr>
              <w:t>对</w:t>
            </w:r>
            <w:r>
              <w:rPr>
                <w:rFonts w:hint="eastAsia" w:eastAsia="宋体" w:cs="Times New Roman"/>
                <w:color w:val="auto"/>
                <w:sz w:val="24"/>
                <w:highlight w:val="none"/>
                <w:lang w:val="en-US" w:eastAsia="zh-CN"/>
              </w:rPr>
              <w:t>水生、陆生</w:t>
            </w:r>
            <w:r>
              <w:rPr>
                <w:rFonts w:hint="default" w:ascii="Times New Roman" w:hAnsi="Times New Roman" w:cs="Times New Roman"/>
                <w:color w:val="auto"/>
                <w:sz w:val="24"/>
                <w:highlight w:val="none"/>
              </w:rPr>
              <w:t>动物的生境造成污染。</w:t>
            </w:r>
          </w:p>
          <w:p w14:paraId="40FD11A3">
            <w:pPr>
              <w:pStyle w:val="56"/>
              <w:spacing w:before="0" w:line="360" w:lineRule="auto"/>
              <w:ind w:firstLine="480" w:firstLineChars="200"/>
              <w:jc w:val="both"/>
              <w:rPr>
                <w:rFonts w:hint="default" w:ascii="Times New Roman" w:hAnsi="Times New Roman" w:cs="Times New Roman"/>
                <w:color w:val="auto"/>
                <w:sz w:val="24"/>
                <w:highlight w:val="none"/>
              </w:rPr>
            </w:pPr>
            <w:r>
              <w:rPr>
                <w:rFonts w:hint="eastAsia" w:eastAsia="宋体" w:cs="Times New Roman"/>
                <w:color w:val="auto"/>
                <w:sz w:val="24"/>
                <w:highlight w:val="none"/>
                <w:lang w:val="en-US" w:eastAsia="zh-CN"/>
              </w:rPr>
              <w:t>3</w:t>
            </w:r>
            <w:r>
              <w:rPr>
                <w:rFonts w:hint="default" w:ascii="Times New Roman" w:hAnsi="Times New Roman" w:cs="Times New Roman"/>
                <w:color w:val="auto"/>
                <w:sz w:val="24"/>
                <w:highlight w:val="none"/>
              </w:rPr>
              <w:t>）施工过程中减少施工噪声，</w:t>
            </w:r>
            <w:r>
              <w:rPr>
                <w:rFonts w:hint="eastAsia" w:eastAsia="宋体" w:cs="Times New Roman"/>
                <w:color w:val="auto"/>
                <w:sz w:val="24"/>
                <w:highlight w:val="none"/>
                <w:lang w:val="en-US" w:eastAsia="zh-CN"/>
              </w:rPr>
              <w:t>施工营地及高噪声施工设备应合理安排施工布置及施工时间，</w:t>
            </w:r>
            <w:r>
              <w:rPr>
                <w:rFonts w:hint="default" w:ascii="Times New Roman" w:hAnsi="Times New Roman" w:cs="Times New Roman"/>
                <w:color w:val="auto"/>
                <w:sz w:val="24"/>
                <w:highlight w:val="none"/>
              </w:rPr>
              <w:t>避免对野生动物活动的影响。野生鸟类和兽类大多是晨昏外出觅食，正午休息。为了减少工程施工噪声对野生动物的惊扰，应做好施工方式和时间的计划，并力求避免在晨昏和正午进行噪声较大的施工活动。</w:t>
            </w:r>
          </w:p>
          <w:p w14:paraId="495BAAE6">
            <w:pPr>
              <w:pStyle w:val="56"/>
              <w:spacing w:before="0" w:line="360" w:lineRule="auto"/>
              <w:ind w:firstLine="480" w:firstLineChars="200"/>
              <w:jc w:val="both"/>
              <w:rPr>
                <w:rFonts w:hint="default" w:ascii="Times New Roman" w:hAnsi="Times New Roman" w:cs="Times New Roman"/>
                <w:color w:val="auto"/>
                <w:sz w:val="24"/>
                <w:highlight w:val="none"/>
              </w:rPr>
            </w:pPr>
            <w:r>
              <w:rPr>
                <w:rFonts w:hint="eastAsia" w:eastAsia="宋体" w:cs="Times New Roman"/>
                <w:color w:val="auto"/>
                <w:sz w:val="24"/>
                <w:highlight w:val="none"/>
                <w:lang w:val="en-US" w:eastAsia="zh-CN"/>
              </w:rPr>
              <w:t>4</w:t>
            </w:r>
            <w:r>
              <w:rPr>
                <w:rFonts w:hint="default" w:ascii="Times New Roman" w:hAnsi="Times New Roman" w:cs="Times New Roman"/>
                <w:color w:val="auto"/>
                <w:sz w:val="24"/>
                <w:highlight w:val="none"/>
              </w:rPr>
              <w:t>）施工机械要采用低噪声设备，加强设备的日常维修保养，使施工机械保持良好状态，避免超过正常噪声运转。对高噪声设备，应在其附近加设可移动的简单围障，以降低其噪声影响。</w:t>
            </w:r>
            <w:r>
              <w:rPr>
                <w:rFonts w:hint="eastAsia" w:eastAsia="宋体" w:cs="Times New Roman"/>
                <w:color w:val="auto"/>
                <w:sz w:val="24"/>
                <w:highlight w:val="none"/>
                <w:lang w:eastAsia="zh-CN"/>
              </w:rPr>
              <w:t>增强</w:t>
            </w:r>
            <w:r>
              <w:rPr>
                <w:rFonts w:hint="default" w:ascii="Times New Roman" w:hAnsi="Times New Roman" w:cs="Times New Roman"/>
                <w:color w:val="auto"/>
                <w:sz w:val="24"/>
                <w:highlight w:val="none"/>
              </w:rPr>
              <w:t>施工人员的保护意识，严禁捕猎野生动物。尤其在靠近水域路段施工时，严禁捕捉两栖类与爬行类野生动物。</w:t>
            </w:r>
          </w:p>
          <w:p w14:paraId="4BA68A65">
            <w:pPr>
              <w:pStyle w:val="56"/>
              <w:spacing w:before="0"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②减缓与恢复措施</w:t>
            </w:r>
          </w:p>
          <w:p w14:paraId="036AF044">
            <w:pPr>
              <w:pStyle w:val="56"/>
              <w:spacing w:before="0"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1）禁止猎杀兽类、鸟类和捕蛇捉蛙。施工过程中遇到鸟类、蛇等动物的卵应妥善移置到附近类似的环境中。</w:t>
            </w:r>
          </w:p>
          <w:p w14:paraId="1530AAA5">
            <w:pPr>
              <w:pStyle w:val="56"/>
              <w:spacing w:before="0"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2）标明施工活动区，禁止在非施工区点火、狩猎等。</w:t>
            </w:r>
          </w:p>
          <w:p w14:paraId="3932B85B">
            <w:pPr>
              <w:pStyle w:val="56"/>
              <w:spacing w:before="0"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3）禁止夜间施工，减少施工区车辆灯光和施工人员照明灯光的持续，严格控制光源使用量或者进行遮蔽，减少对外界的漏光量。</w:t>
            </w:r>
          </w:p>
          <w:p w14:paraId="3B40C806">
            <w:pPr>
              <w:pStyle w:val="56"/>
              <w:spacing w:before="0"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w:t>
            </w:r>
            <w:r>
              <w:rPr>
                <w:rFonts w:hint="eastAsia" w:eastAsia="宋体" w:cs="Times New Roman"/>
                <w:color w:val="auto"/>
                <w:sz w:val="24"/>
                <w:highlight w:val="none"/>
                <w:lang w:val="en-US" w:eastAsia="zh-CN"/>
              </w:rPr>
              <w:t>施工区域机械必要时采取减振垫、隔音罩，同时采取限速行驶及禁止鸣笛等措施以减少噪声、振动等对周边动物的生境影响</w:t>
            </w:r>
            <w:r>
              <w:rPr>
                <w:rFonts w:hint="default" w:ascii="Times New Roman" w:hAnsi="Times New Roman" w:cs="Times New Roman"/>
                <w:color w:val="auto"/>
                <w:sz w:val="24"/>
                <w:highlight w:val="none"/>
              </w:rPr>
              <w:t>。</w:t>
            </w:r>
          </w:p>
          <w:p w14:paraId="7E786CB9">
            <w:pPr>
              <w:pStyle w:val="56"/>
              <w:spacing w:before="0" w:line="360" w:lineRule="auto"/>
              <w:ind w:firstLine="480" w:firstLineChars="200"/>
              <w:jc w:val="both"/>
              <w:rPr>
                <w:rFonts w:hint="default" w:ascii="Times New Roman" w:hAnsi="Times New Roman" w:cs="Times New Roman"/>
                <w:color w:val="auto"/>
                <w:sz w:val="24"/>
                <w:highlight w:val="none"/>
              </w:rPr>
            </w:pPr>
            <w:r>
              <w:rPr>
                <w:rFonts w:hint="eastAsia" w:eastAsia="宋体" w:cs="Times New Roman"/>
                <w:color w:val="auto"/>
                <w:sz w:val="24"/>
                <w:highlight w:val="none"/>
                <w:lang w:val="en-US" w:eastAsia="zh-CN"/>
              </w:rPr>
              <w:t>5</w:t>
            </w:r>
            <w:r>
              <w:rPr>
                <w:rFonts w:hint="default" w:ascii="Times New Roman" w:hAnsi="Times New Roman" w:cs="Times New Roman"/>
                <w:color w:val="auto"/>
                <w:sz w:val="24"/>
                <w:highlight w:val="none"/>
              </w:rPr>
              <w:t>）对</w:t>
            </w:r>
            <w:r>
              <w:rPr>
                <w:rFonts w:hint="default" w:ascii="Times New Roman" w:hAnsi="Times New Roman" w:eastAsia="宋体" w:cs="Times New Roman"/>
                <w:color w:val="auto"/>
                <w:sz w:val="24"/>
                <w:highlight w:val="none"/>
                <w:lang w:val="en-US" w:eastAsia="zh-CN"/>
              </w:rPr>
              <w:t>临时占地</w:t>
            </w:r>
            <w:r>
              <w:rPr>
                <w:rFonts w:hint="default" w:ascii="Times New Roman" w:hAnsi="Times New Roman" w:cs="Times New Roman"/>
                <w:color w:val="auto"/>
                <w:sz w:val="24"/>
                <w:highlight w:val="none"/>
              </w:rPr>
              <w:t>应尽快地做好植被恢复工作，以尽量减少生境破坏对动物造成的不利影响，有利于动物适应新的生境。</w:t>
            </w:r>
          </w:p>
          <w:p w14:paraId="56808CEC">
            <w:pPr>
              <w:pStyle w:val="56"/>
              <w:spacing w:before="0"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③管理措施</w:t>
            </w:r>
          </w:p>
          <w:p w14:paraId="1F4226D0">
            <w:pPr>
              <w:pStyle w:val="56"/>
              <w:spacing w:before="0"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通过宣传和培训加强施工人员对野生动物和生态环境的保护意识；建设前做好施工规划前期工作；在项目区内特别是在林地区域内设置告示牌和警告牌</w:t>
            </w:r>
            <w:r>
              <w:rPr>
                <w:rFonts w:hint="eastAsia" w:eastAsia="宋体" w:cs="Times New Roman"/>
                <w:color w:val="auto"/>
                <w:sz w:val="24"/>
                <w:highlight w:val="none"/>
                <w:lang w:eastAsia="zh-CN"/>
              </w:rPr>
              <w:t>；在</w:t>
            </w:r>
            <w:r>
              <w:rPr>
                <w:rFonts w:hint="default" w:ascii="Times New Roman" w:hAnsi="Times New Roman" w:cs="Times New Roman"/>
                <w:color w:val="auto"/>
                <w:sz w:val="24"/>
                <w:highlight w:val="none"/>
              </w:rPr>
              <w:t>施工期间加强临时施工场所的防护，加强施工人员生活污水排放管理，减少水体污染，降低野生动物生境的受污染程度；做好工程完工后生态恢复工作。</w:t>
            </w:r>
          </w:p>
          <w:p w14:paraId="1BA18496">
            <w:pPr>
              <w:pStyle w:val="56"/>
              <w:spacing w:before="0"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生态管理措施</w:t>
            </w:r>
          </w:p>
          <w:p w14:paraId="1034074C">
            <w:pPr>
              <w:pStyle w:val="56"/>
              <w:spacing w:before="0" w:after="0"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①建立高效、务实的环境保护管理体系，制定详细的施工方案，细化植被保护方案和应急措施。</w:t>
            </w:r>
          </w:p>
          <w:p w14:paraId="49C8F9B7">
            <w:pPr>
              <w:pStyle w:val="56"/>
              <w:spacing w:before="0" w:after="0"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②加强工程招、投标工作中的环境保护管理，聘用专业施工队伍</w:t>
            </w:r>
            <w:r>
              <w:rPr>
                <w:rFonts w:hint="default" w:ascii="Times New Roman" w:hAnsi="Times New Roman" w:cs="Times New Roman"/>
                <w:color w:val="auto"/>
                <w:sz w:val="24"/>
                <w:highlight w:val="none"/>
                <w:lang w:eastAsia="zh-CN"/>
              </w:rPr>
              <w:t>，在</w:t>
            </w:r>
            <w:r>
              <w:rPr>
                <w:rFonts w:hint="default" w:ascii="Times New Roman" w:hAnsi="Times New Roman" w:cs="Times New Roman"/>
                <w:color w:val="auto"/>
                <w:sz w:val="24"/>
                <w:highlight w:val="none"/>
              </w:rPr>
              <w:t>施工前给施工人员进行现场指导和培训，加强施工管理，文明施工，做好环境管理与教育培训。施工期严格施工作业范围，规范施工行为，加强管理监督。</w:t>
            </w:r>
          </w:p>
          <w:p w14:paraId="596B3F0B">
            <w:pPr>
              <w:pStyle w:val="56"/>
              <w:spacing w:before="0" w:after="0"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③加强环境保护监理监测工作，全过程监控污染防治措施的落实和动植物保护。</w:t>
            </w:r>
          </w:p>
          <w:p w14:paraId="6DAB5728">
            <w:pPr>
              <w:pStyle w:val="56"/>
              <w:spacing w:before="0" w:after="0"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④为及时消除因设计缺陷导致的环保问题，建设单位应加强</w:t>
            </w:r>
            <w:r>
              <w:rPr>
                <w:rFonts w:hint="eastAsia" w:eastAsia="宋体" w:cs="Times New Roman"/>
                <w:color w:val="auto"/>
                <w:sz w:val="24"/>
                <w:highlight w:val="none"/>
                <w:lang w:val="en-US" w:eastAsia="zh-CN"/>
              </w:rPr>
              <w:t>沟道砌护及清淤</w:t>
            </w:r>
            <w:r>
              <w:rPr>
                <w:rFonts w:hint="default" w:ascii="Times New Roman" w:hAnsi="Times New Roman" w:cs="Times New Roman"/>
                <w:color w:val="auto"/>
                <w:sz w:val="24"/>
                <w:highlight w:val="none"/>
              </w:rPr>
              <w:t>设计后续服务的管理工作。</w:t>
            </w:r>
          </w:p>
          <w:p w14:paraId="2AB857F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highlight w:val="none"/>
              </w:rPr>
              <w:t>⑤秋冬季施工时，必须注意生产和生活用火的安全，避免火灾的发生和蔓延对区域植被造成破坏。</w:t>
            </w:r>
          </w:p>
          <w:p w14:paraId="45EC2D0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综上所述，在采取上述避让、减缓、</w:t>
            </w:r>
            <w:r>
              <w:rPr>
                <w:rFonts w:hint="eastAsia" w:cs="Times New Roman"/>
                <w:color w:val="auto"/>
                <w:sz w:val="24"/>
                <w:highlight w:val="none"/>
                <w:lang w:val="en-US" w:eastAsia="zh-CN"/>
              </w:rPr>
              <w:t>恢复等措施及严格落实管理的基础上，项目施工期对生态环境的不利影响将得到有效避免和减缓，生态修复效果可达，治理措施合理可行。</w:t>
            </w:r>
          </w:p>
          <w:p w14:paraId="1F56C1F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黑体" w:cs="Times New Roman"/>
                <w:b w:val="0"/>
                <w:bCs w:val="0"/>
                <w:color w:val="auto"/>
                <w:kern w:val="0"/>
                <w:sz w:val="24"/>
                <w:szCs w:val="24"/>
                <w:highlight w:val="none"/>
                <w:lang w:val="en-US" w:eastAsia="zh-CN" w:bidi="ar-SA"/>
              </w:rPr>
            </w:pPr>
            <w:r>
              <w:rPr>
                <w:rFonts w:hint="default" w:ascii="Times New Roman" w:hAnsi="Times New Roman" w:eastAsia="黑体" w:cs="Times New Roman"/>
                <w:b w:val="0"/>
                <w:bCs w:val="0"/>
                <w:color w:val="auto"/>
                <w:kern w:val="0"/>
                <w:sz w:val="24"/>
                <w:szCs w:val="24"/>
                <w:highlight w:val="none"/>
                <w:lang w:val="en-US" w:eastAsia="zh-CN" w:bidi="ar-SA"/>
              </w:rPr>
              <w:t>2、施工期大气污染防治措施</w:t>
            </w:r>
          </w:p>
          <w:p w14:paraId="2C4FEF3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黑体" w:cs="Times New Roman"/>
                <w:b w:val="0"/>
                <w:bCs w:val="0"/>
                <w:color w:val="auto"/>
                <w:kern w:val="0"/>
                <w:sz w:val="24"/>
                <w:szCs w:val="24"/>
                <w:highlight w:val="none"/>
                <w:lang w:val="en-US" w:eastAsia="zh-CN" w:bidi="ar-SA"/>
              </w:rPr>
            </w:pPr>
            <w:r>
              <w:rPr>
                <w:rFonts w:hint="default" w:ascii="Times New Roman" w:hAnsi="Times New Roman" w:eastAsia="黑体" w:cs="Times New Roman"/>
                <w:b w:val="0"/>
                <w:bCs w:val="0"/>
                <w:color w:val="auto"/>
                <w:kern w:val="0"/>
                <w:sz w:val="24"/>
                <w:szCs w:val="24"/>
                <w:highlight w:val="none"/>
                <w:lang w:val="en-US" w:eastAsia="zh-CN" w:bidi="ar-SA"/>
              </w:rPr>
              <w:t>（1）扬尘</w:t>
            </w:r>
          </w:p>
          <w:p w14:paraId="7F2EEEE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施工期扬尘主要来源于各项工程的土方开挖和回填，建筑材料运输、装卸等过程，建筑垃圾和生活垃圾清理等过程给周边大气环境带来一定影响。本项目施工扬尘主要采取以下措施：</w:t>
            </w:r>
          </w:p>
          <w:p w14:paraId="05B3150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本项目施工期间，必须采取可行的扬尘控制措施，尽量减轻其污染程度，缩小其影响范围。具体扬尘防治措施如下：</w:t>
            </w:r>
          </w:p>
          <w:p w14:paraId="30142BB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①设置车辆冲洗设施。对土石方转运、物料运输及建筑垃圾清理等车辆在上路前须对车身和车轮进行严格清洗，禁止车辆带泥上路，避免对交通道路造成扬尘污染。</w:t>
            </w:r>
          </w:p>
          <w:p w14:paraId="1F2FE74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②必须湿法作业，对施工范围内的各个施工场地、道路、物料及土石方堆场、建筑垃圾临时堆场等易起尘部位要及时洒水抑尘，不准高空抛撒建筑垃圾。干燥、大风天气适当增加洒水频率。</w:t>
            </w:r>
          </w:p>
          <w:p w14:paraId="7CBEA88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③项目施工期</w:t>
            </w:r>
            <w:r>
              <w:rPr>
                <w:rFonts w:hint="eastAsia" w:cs="Times New Roman"/>
                <w:color w:val="auto"/>
                <w:kern w:val="0"/>
                <w:sz w:val="24"/>
                <w:szCs w:val="24"/>
                <w:highlight w:val="none"/>
                <w:lang w:val="en-US" w:eastAsia="zh-CN" w:bidi="ar-SA"/>
              </w:rPr>
              <w:t>经常道路</w:t>
            </w:r>
            <w:r>
              <w:rPr>
                <w:rFonts w:hint="default" w:ascii="Times New Roman" w:hAnsi="Times New Roman" w:cs="Times New Roman"/>
                <w:color w:val="auto"/>
                <w:kern w:val="0"/>
                <w:sz w:val="24"/>
                <w:szCs w:val="24"/>
                <w:highlight w:val="none"/>
                <w:lang w:val="en-US" w:eastAsia="zh-CN" w:bidi="ar-SA"/>
              </w:rPr>
              <w:t>充分利用沟道两侧机耕道</w:t>
            </w:r>
            <w:r>
              <w:rPr>
                <w:rFonts w:hint="eastAsia" w:cs="Times New Roman"/>
                <w:color w:val="auto"/>
                <w:kern w:val="0"/>
                <w:sz w:val="24"/>
                <w:szCs w:val="24"/>
                <w:highlight w:val="none"/>
                <w:lang w:val="en-US" w:eastAsia="zh-CN" w:bidi="ar-SA"/>
              </w:rPr>
              <w:t>、</w:t>
            </w:r>
            <w:r>
              <w:rPr>
                <w:rFonts w:hint="default" w:ascii="Times New Roman" w:hAnsi="Times New Roman" w:cs="Times New Roman"/>
                <w:color w:val="auto"/>
                <w:kern w:val="0"/>
                <w:sz w:val="24"/>
                <w:szCs w:val="24"/>
                <w:highlight w:val="none"/>
                <w:lang w:val="en-US" w:eastAsia="zh-CN" w:bidi="ar-SA"/>
              </w:rPr>
              <w:t>乡村公路</w:t>
            </w:r>
            <w:r>
              <w:rPr>
                <w:rFonts w:hint="eastAsia" w:cs="Times New Roman"/>
                <w:color w:val="auto"/>
                <w:kern w:val="0"/>
                <w:sz w:val="24"/>
                <w:szCs w:val="24"/>
                <w:highlight w:val="none"/>
                <w:lang w:val="en-US" w:eastAsia="zh-CN" w:bidi="ar-SA"/>
              </w:rPr>
              <w:t>及沟道两侧原有巡护道路和沟拜</w:t>
            </w:r>
            <w:r>
              <w:rPr>
                <w:rFonts w:hint="default" w:ascii="Times New Roman" w:hAnsi="Times New Roman" w:cs="Times New Roman"/>
                <w:color w:val="auto"/>
                <w:kern w:val="0"/>
                <w:sz w:val="24"/>
                <w:szCs w:val="24"/>
                <w:highlight w:val="none"/>
                <w:lang w:val="en-US" w:eastAsia="zh-CN" w:bidi="ar-SA"/>
              </w:rPr>
              <w:t>进行运输，</w:t>
            </w:r>
            <w:r>
              <w:rPr>
                <w:rFonts w:hint="eastAsia" w:cs="Times New Roman"/>
                <w:color w:val="auto"/>
                <w:kern w:val="0"/>
                <w:sz w:val="24"/>
                <w:szCs w:val="24"/>
                <w:highlight w:val="none"/>
                <w:lang w:val="en-US" w:eastAsia="zh-CN" w:bidi="ar-SA"/>
              </w:rPr>
              <w:t>同时</w:t>
            </w:r>
            <w:r>
              <w:rPr>
                <w:rFonts w:hint="default" w:ascii="Times New Roman" w:hAnsi="Times New Roman" w:cs="Times New Roman"/>
                <w:color w:val="auto"/>
                <w:kern w:val="0"/>
                <w:sz w:val="24"/>
                <w:szCs w:val="24"/>
                <w:highlight w:val="none"/>
                <w:lang w:val="en-US" w:eastAsia="zh-CN" w:bidi="ar-SA"/>
              </w:rPr>
              <w:t>项目应对沟道两侧没有硬化的道路</w:t>
            </w:r>
            <w:r>
              <w:rPr>
                <w:rFonts w:hint="eastAsia" w:cs="Times New Roman"/>
                <w:color w:val="auto"/>
                <w:kern w:val="0"/>
                <w:sz w:val="24"/>
                <w:szCs w:val="24"/>
                <w:highlight w:val="none"/>
                <w:lang w:val="en-US" w:eastAsia="zh-CN" w:bidi="ar-SA"/>
              </w:rPr>
              <w:t>或沟拜</w:t>
            </w:r>
            <w:r>
              <w:rPr>
                <w:rFonts w:hint="default" w:ascii="Times New Roman" w:hAnsi="Times New Roman" w:cs="Times New Roman"/>
                <w:color w:val="auto"/>
                <w:kern w:val="0"/>
                <w:sz w:val="24"/>
                <w:szCs w:val="24"/>
                <w:highlight w:val="none"/>
                <w:lang w:val="en-US" w:eastAsia="zh-CN" w:bidi="ar-SA"/>
              </w:rPr>
              <w:t>采取泥结碎石硬化，以减轻道路扬尘污染。</w:t>
            </w:r>
          </w:p>
          <w:p w14:paraId="28C8B5F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④物料须按需暂存、不得在施工现场大量堆放，建筑垃圾及时拉运至市政规定的建筑垃圾堆放场所，土方及时回填，尽量缩短物料、建筑垃圾、土方的堆放时间。建筑垃圾等无法在48小时内清运完毕的，应当在施工工地内设置临时堆放场，临时堆放场应当利用苫布遮盖等防尘措施。</w:t>
            </w:r>
          </w:p>
          <w:p w14:paraId="25CCF28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⑤运输物料的车辆应限速，不得超载、冒载，运渣车辆、车厢遮盖严密后方可运出场外，并对运输道路采取定期清扫、洒水，文明施工等措施；</w:t>
            </w:r>
          </w:p>
          <w:p w14:paraId="20798DA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⑥不准露天搅拌混凝土、砂浆。项目采用商品混凝土、预拌砂浆，不自行搅拌</w:t>
            </w:r>
            <w:r>
              <w:rPr>
                <w:rFonts w:hint="eastAsia" w:cs="Times New Roman"/>
                <w:color w:val="auto"/>
                <w:kern w:val="0"/>
                <w:sz w:val="24"/>
                <w:szCs w:val="24"/>
                <w:highlight w:val="none"/>
                <w:lang w:val="en-US" w:eastAsia="zh-CN" w:bidi="ar-SA"/>
              </w:rPr>
              <w:t>；</w:t>
            </w:r>
          </w:p>
          <w:p w14:paraId="5140BBE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⑦不准场地积水。若出现场地积水现象，及时抽水排水，并平整路面；</w:t>
            </w:r>
          </w:p>
          <w:p w14:paraId="5A860DB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本项目施工期通过严格采取以上扬尘防治措施，可有效控制施工扬尘对周围环境及保护目标的影响，施工厂界扬尘排放浓度符合《大气污染物综合排放标准》(GB16297-1996)表2中的标准限值，对周围环境影响较小。且随着施工期的结束，该影响也会随之消失。</w:t>
            </w:r>
          </w:p>
          <w:p w14:paraId="0917053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黑体" w:cs="Times New Roman"/>
                <w:b w:val="0"/>
                <w:bCs w:val="0"/>
                <w:color w:val="auto"/>
                <w:kern w:val="0"/>
                <w:sz w:val="24"/>
                <w:szCs w:val="24"/>
                <w:highlight w:val="none"/>
                <w:lang w:val="en-US" w:eastAsia="zh-CN" w:bidi="ar-SA"/>
              </w:rPr>
            </w:pPr>
            <w:r>
              <w:rPr>
                <w:rFonts w:hint="default" w:ascii="Times New Roman" w:hAnsi="Times New Roman" w:eastAsia="黑体" w:cs="Times New Roman"/>
                <w:b w:val="0"/>
                <w:bCs w:val="0"/>
                <w:color w:val="auto"/>
                <w:kern w:val="0"/>
                <w:sz w:val="24"/>
                <w:szCs w:val="24"/>
                <w:highlight w:val="none"/>
                <w:lang w:val="en-US" w:eastAsia="zh-CN" w:bidi="ar-SA"/>
              </w:rPr>
              <w:t>（2）施工机械废气</w:t>
            </w:r>
          </w:p>
          <w:p w14:paraId="31E30CE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1）使用符合国家标准的工程车辆及施工机械，淘汰老、旧车辆及施工机械，使用符合燃油标号的油料；</w:t>
            </w:r>
          </w:p>
          <w:p w14:paraId="30AE284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2）推广环保新技术，更新控制排放物装置，使用新型节油净化器和燃油增效剂，达到净化空气作用的同时又节省了燃油：</w:t>
            </w:r>
          </w:p>
          <w:p w14:paraId="4D23B7A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3）为了保证尾气达标排放，所有燃油机械及运输车辆需安装尾气净化器；</w:t>
            </w:r>
          </w:p>
          <w:p w14:paraId="642FD99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4）施工用非道路移动机械要进行登记备案后方可进入施工现场；</w:t>
            </w:r>
          </w:p>
          <w:p w14:paraId="77791F3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5）定期对施工机械进行维修、保养，始终保持发动机处于良好的状况，降低尾气中有害成分的浓度。</w:t>
            </w:r>
          </w:p>
          <w:p w14:paraId="36C4E3B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③柴油发电机废气防治措施</w:t>
            </w:r>
          </w:p>
          <w:p w14:paraId="1E57B48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1）使用符合国家标准的柴油发电机；</w:t>
            </w:r>
          </w:p>
          <w:p w14:paraId="447EAE7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2）安装尾气净化器；</w:t>
            </w:r>
          </w:p>
          <w:p w14:paraId="37FD0F8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3）定期进行维修、保养。</w:t>
            </w:r>
          </w:p>
          <w:p w14:paraId="7A34FFA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综上所述，本项目施工期通过采取以上措施后，可有效减轻施工机械废气对周围大气环境及保护目标的影响。</w:t>
            </w:r>
          </w:p>
          <w:p w14:paraId="04A12E4E">
            <w:pPr>
              <w:adjustRightInd w:val="0"/>
              <w:spacing w:line="360" w:lineRule="auto"/>
              <w:ind w:firstLine="480" w:firstLineChars="200"/>
              <w:rPr>
                <w:rFonts w:hint="default" w:ascii="Times New Roman" w:hAnsi="Times New Roman" w:eastAsia="黑体" w:cs="Times New Roman"/>
                <w:b w:val="0"/>
                <w:bCs w:val="0"/>
                <w:color w:val="auto"/>
                <w:kern w:val="0"/>
                <w:sz w:val="24"/>
                <w:szCs w:val="24"/>
                <w:highlight w:val="none"/>
                <w:lang w:val="en-US" w:eastAsia="zh-CN" w:bidi="ar-SA"/>
              </w:rPr>
            </w:pPr>
            <w:r>
              <w:rPr>
                <w:rFonts w:hint="default" w:ascii="Times New Roman" w:hAnsi="Times New Roman" w:eastAsia="黑体" w:cs="Times New Roman"/>
                <w:b w:val="0"/>
                <w:bCs w:val="0"/>
                <w:color w:val="auto"/>
                <w:kern w:val="0"/>
                <w:sz w:val="24"/>
                <w:szCs w:val="24"/>
                <w:highlight w:val="none"/>
                <w:lang w:val="en-US" w:eastAsia="zh-CN" w:bidi="ar-SA"/>
              </w:rPr>
              <w:t>（</w:t>
            </w:r>
            <w:r>
              <w:rPr>
                <w:rFonts w:hint="eastAsia" w:eastAsia="黑体" w:cs="Times New Roman"/>
                <w:b w:val="0"/>
                <w:bCs w:val="0"/>
                <w:color w:val="auto"/>
                <w:kern w:val="0"/>
                <w:sz w:val="24"/>
                <w:szCs w:val="24"/>
                <w:highlight w:val="none"/>
                <w:lang w:val="en-US" w:eastAsia="zh-CN" w:bidi="ar-SA"/>
              </w:rPr>
              <w:t>3</w:t>
            </w:r>
            <w:r>
              <w:rPr>
                <w:rFonts w:hint="default" w:ascii="Times New Roman" w:hAnsi="Times New Roman" w:eastAsia="黑体" w:cs="Times New Roman"/>
                <w:b w:val="0"/>
                <w:bCs w:val="0"/>
                <w:color w:val="auto"/>
                <w:kern w:val="0"/>
                <w:sz w:val="24"/>
                <w:szCs w:val="24"/>
                <w:highlight w:val="none"/>
                <w:lang w:val="en-US" w:eastAsia="zh-CN" w:bidi="ar-SA"/>
              </w:rPr>
              <w:t>）</w:t>
            </w:r>
            <w:r>
              <w:rPr>
                <w:rFonts w:hint="eastAsia" w:eastAsia="黑体" w:cs="Times New Roman"/>
                <w:b w:val="0"/>
                <w:bCs w:val="0"/>
                <w:color w:val="auto"/>
                <w:kern w:val="0"/>
                <w:sz w:val="24"/>
                <w:szCs w:val="24"/>
                <w:highlight w:val="none"/>
                <w:lang w:val="en-US" w:eastAsia="zh-CN" w:bidi="ar-SA"/>
              </w:rPr>
              <w:t>底泥恶臭</w:t>
            </w:r>
          </w:p>
          <w:p w14:paraId="305BB23A">
            <w:pPr>
              <w:adjustRightIn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w:t>
            </w:r>
            <w:r>
              <w:rPr>
                <w:rFonts w:hint="eastAsia" w:cs="Times New Roman"/>
                <w:color w:val="auto"/>
                <w:kern w:val="0"/>
                <w:sz w:val="24"/>
                <w:szCs w:val="24"/>
                <w:highlight w:val="none"/>
                <w:lang w:val="en-US" w:eastAsia="zh-CN" w:bidi="ar-SA"/>
              </w:rPr>
              <w:t>高崖沟为季节性泄洪沟道，枯水期处于污水状态，本次工程设计清淤工程在枯水期开展</w:t>
            </w:r>
            <w:r>
              <w:rPr>
                <w:rFonts w:hint="default" w:ascii="Times New Roman" w:hAnsi="Times New Roman" w:eastAsia="宋体" w:cs="Times New Roman"/>
                <w:color w:val="auto"/>
                <w:kern w:val="0"/>
                <w:sz w:val="24"/>
                <w:szCs w:val="24"/>
                <w:highlight w:val="none"/>
                <w:lang w:val="en-US" w:eastAsia="zh-CN" w:bidi="ar-SA"/>
              </w:rPr>
              <w:t>，采用排干清淤的方式，</w:t>
            </w:r>
            <w:r>
              <w:rPr>
                <w:rFonts w:hint="eastAsia" w:cs="Times New Roman"/>
                <w:color w:val="auto"/>
                <w:kern w:val="0"/>
                <w:sz w:val="24"/>
                <w:szCs w:val="24"/>
                <w:highlight w:val="none"/>
                <w:lang w:val="en-US" w:eastAsia="zh-CN" w:bidi="ar-SA"/>
              </w:rPr>
              <w:t>其次由于高崖沟为季节性泄洪沟，其主要任务为强降雨天气泄洪，同时高崖沟所在区域地处宁夏水土流失区，因此高崖沟淤泥主要为强降雨天气情况下山洪冲击的沟道两侧的泥土及砂石，因此清淤所清出淤泥以淤沙为主，基本无恶臭，因此项目施工期基本无恶臭气体产生</w:t>
            </w:r>
            <w:r>
              <w:rPr>
                <w:rFonts w:hint="default" w:ascii="Times New Roman" w:hAnsi="Times New Roman" w:eastAsia="宋体" w:cs="Times New Roman"/>
                <w:color w:val="auto"/>
                <w:kern w:val="0"/>
                <w:sz w:val="24"/>
                <w:szCs w:val="24"/>
                <w:highlight w:val="none"/>
                <w:lang w:val="en-US" w:eastAsia="zh-CN" w:bidi="ar-SA"/>
              </w:rPr>
              <w:t>。</w:t>
            </w:r>
          </w:p>
          <w:p w14:paraId="2C758ED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黑体" w:cs="Times New Roman"/>
                <w:b w:val="0"/>
                <w:bCs w:val="0"/>
                <w:color w:val="auto"/>
                <w:kern w:val="0"/>
                <w:sz w:val="24"/>
                <w:szCs w:val="24"/>
                <w:highlight w:val="none"/>
                <w:lang w:val="en-US" w:eastAsia="zh-CN" w:bidi="ar-SA"/>
              </w:rPr>
            </w:pPr>
            <w:r>
              <w:rPr>
                <w:rFonts w:hint="default" w:ascii="Times New Roman" w:hAnsi="Times New Roman" w:eastAsia="黑体" w:cs="Times New Roman"/>
                <w:b w:val="0"/>
                <w:bCs w:val="0"/>
                <w:color w:val="auto"/>
                <w:kern w:val="0"/>
                <w:sz w:val="24"/>
                <w:szCs w:val="24"/>
                <w:highlight w:val="none"/>
                <w:lang w:val="en-US" w:eastAsia="zh-CN" w:bidi="ar-SA"/>
              </w:rPr>
              <w:t>3、施工期水污染防治措施</w:t>
            </w:r>
          </w:p>
          <w:p w14:paraId="27CE6C4D">
            <w:pPr>
              <w:pStyle w:val="56"/>
              <w:spacing w:before="0" w:after="0" w:line="360" w:lineRule="auto"/>
              <w:ind w:firstLine="480" w:firstLineChars="200"/>
              <w:jc w:val="both"/>
              <w:rPr>
                <w:rFonts w:hint="default" w:ascii="Times New Roman" w:hAnsi="Times New Roman" w:cs="Times New Roman"/>
                <w:color w:val="auto"/>
                <w:kern w:val="0"/>
                <w:sz w:val="24"/>
                <w:highlight w:val="none"/>
              </w:rPr>
            </w:pPr>
            <w:r>
              <w:rPr>
                <w:rFonts w:hint="default" w:ascii="Times New Roman" w:hAnsi="Times New Roman" w:eastAsia="宋体" w:cs="Times New Roman"/>
                <w:color w:val="auto"/>
                <w:kern w:val="0"/>
                <w:sz w:val="24"/>
                <w:szCs w:val="24"/>
                <w:highlight w:val="none"/>
                <w:lang w:val="en-US" w:eastAsia="zh-CN" w:bidi="ar-SA"/>
              </w:rPr>
              <w:t>本项目</w:t>
            </w:r>
            <w:r>
              <w:rPr>
                <w:rFonts w:hint="eastAsia" w:cs="Times New Roman"/>
                <w:color w:val="auto"/>
                <w:kern w:val="0"/>
                <w:sz w:val="24"/>
                <w:szCs w:val="24"/>
                <w:highlight w:val="none"/>
                <w:lang w:val="en-US" w:eastAsia="zh-CN" w:bidi="ar-SA"/>
              </w:rPr>
              <w:t>高崖沟为季节性泄洪沟</w:t>
            </w:r>
            <w:r>
              <w:rPr>
                <w:rFonts w:hint="eastAsia" w:ascii="Times New Roman" w:hAnsi="Times New Roman" w:eastAsia="宋体" w:cs="Times New Roman"/>
                <w:color w:val="auto"/>
                <w:kern w:val="0"/>
                <w:sz w:val="24"/>
                <w:szCs w:val="24"/>
                <w:highlight w:val="none"/>
                <w:lang w:val="en-US" w:eastAsia="zh-CN" w:bidi="ar-SA"/>
              </w:rPr>
              <w:t>道，枯水期处于污水状态，本次工程设计清淤工程在枯水期开展</w:t>
            </w:r>
            <w:r>
              <w:rPr>
                <w:rFonts w:hint="default" w:ascii="Times New Roman" w:hAnsi="Times New Roman" w:eastAsia="宋体" w:cs="Times New Roman"/>
                <w:color w:val="auto"/>
                <w:kern w:val="0"/>
                <w:sz w:val="24"/>
                <w:szCs w:val="24"/>
                <w:highlight w:val="none"/>
                <w:lang w:val="en-US" w:eastAsia="zh-CN" w:bidi="ar-SA"/>
              </w:rPr>
              <w:t>，采用排干清淤的方式，</w:t>
            </w:r>
            <w:r>
              <w:rPr>
                <w:rFonts w:hint="eastAsia" w:eastAsia="宋体" w:cs="Times New Roman"/>
                <w:color w:val="auto"/>
                <w:kern w:val="0"/>
                <w:sz w:val="24"/>
                <w:szCs w:val="24"/>
                <w:highlight w:val="none"/>
                <w:lang w:val="en-US" w:eastAsia="zh-CN" w:bidi="ar-SA"/>
              </w:rPr>
              <w:t>不涉及基坑排水、项目采用商品混凝土，不在现场进行混凝土的搅拌，不涉及泥浆水；</w:t>
            </w:r>
            <w:r>
              <w:rPr>
                <w:rFonts w:hint="eastAsia" w:ascii="Times New Roman" w:hAnsi="Times New Roman" w:eastAsia="宋体" w:cs="Times New Roman"/>
                <w:color w:val="auto"/>
                <w:kern w:val="0"/>
                <w:sz w:val="24"/>
                <w:szCs w:val="24"/>
                <w:highlight w:val="none"/>
                <w:lang w:val="en-US" w:eastAsia="zh-CN" w:bidi="ar-SA"/>
              </w:rPr>
              <w:t>因此</w:t>
            </w:r>
            <w:r>
              <w:rPr>
                <w:rFonts w:hint="default" w:ascii="Times New Roman" w:hAnsi="Times New Roman" w:eastAsia="宋体" w:cs="Times New Roman"/>
                <w:color w:val="auto"/>
                <w:kern w:val="0"/>
                <w:sz w:val="24"/>
                <w:szCs w:val="24"/>
                <w:highlight w:val="none"/>
                <w:lang w:val="en-US" w:eastAsia="zh-CN" w:bidi="ar-SA"/>
              </w:rPr>
              <w:t>本项目施工期间废水主要为施工人员生活污水及施工废水</w:t>
            </w:r>
            <w:r>
              <w:rPr>
                <w:rFonts w:hint="eastAsia" w:eastAsia="宋体" w:cs="Times New Roman"/>
                <w:color w:val="auto"/>
                <w:kern w:val="0"/>
                <w:sz w:val="24"/>
                <w:szCs w:val="24"/>
                <w:highlight w:val="none"/>
                <w:lang w:val="en-US" w:eastAsia="zh-CN" w:bidi="ar-SA"/>
              </w:rPr>
              <w:t>，混凝土养护</w:t>
            </w:r>
            <w:r>
              <w:rPr>
                <w:rFonts w:hint="eastAsia" w:ascii="Times New Roman" w:hAnsi="Times New Roman" w:eastAsia="宋体" w:cs="Times New Roman"/>
                <w:color w:val="auto"/>
                <w:kern w:val="0"/>
                <w:sz w:val="24"/>
                <w:szCs w:val="24"/>
                <w:highlight w:val="none"/>
                <w:lang w:val="en-US" w:eastAsia="zh-CN" w:bidi="ar-SA"/>
              </w:rPr>
              <w:t>废水自然蒸发</w:t>
            </w:r>
            <w:r>
              <w:rPr>
                <w:rFonts w:hint="eastAsia" w:eastAsia="宋体" w:cs="Times New Roman"/>
                <w:color w:val="auto"/>
                <w:kern w:val="0"/>
                <w:sz w:val="24"/>
                <w:szCs w:val="24"/>
                <w:highlight w:val="none"/>
                <w:lang w:val="en-US" w:eastAsia="zh-CN" w:bidi="ar-SA"/>
              </w:rPr>
              <w:t>，因此</w:t>
            </w:r>
            <w:r>
              <w:rPr>
                <w:rFonts w:hint="default" w:ascii="Times New Roman" w:hAnsi="Times New Roman" w:cs="Times New Roman"/>
                <w:color w:val="auto"/>
                <w:kern w:val="0"/>
                <w:sz w:val="24"/>
                <w:highlight w:val="none"/>
              </w:rPr>
              <w:t>本项目施工期废水主要为生活污水和施工废水。</w:t>
            </w:r>
          </w:p>
          <w:p w14:paraId="15C766AB">
            <w:pPr>
              <w:pStyle w:val="56"/>
              <w:spacing w:before="0" w:after="0" w:line="360" w:lineRule="auto"/>
              <w:ind w:firstLine="480" w:firstLineChars="200"/>
              <w:jc w:val="both"/>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①施工生活污水</w:t>
            </w:r>
          </w:p>
          <w:p w14:paraId="2D30BD8D">
            <w:pPr>
              <w:pStyle w:val="56"/>
              <w:spacing w:before="0" w:after="0" w:line="360" w:lineRule="auto"/>
              <w:ind w:firstLine="480" w:firstLineChars="200"/>
              <w:jc w:val="both"/>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本项目施工期施工人员约</w:t>
            </w:r>
            <w:r>
              <w:rPr>
                <w:rFonts w:hint="eastAsia" w:eastAsia="宋体" w:cs="Times New Roman"/>
                <w:color w:val="auto"/>
                <w:kern w:val="0"/>
                <w:sz w:val="24"/>
                <w:highlight w:val="none"/>
                <w:lang w:val="en-US" w:eastAsia="zh-CN"/>
              </w:rPr>
              <w:t>8</w:t>
            </w:r>
            <w:r>
              <w:rPr>
                <w:rFonts w:hint="default" w:ascii="Times New Roman" w:hAnsi="Times New Roman" w:cs="Times New Roman"/>
                <w:color w:val="auto"/>
                <w:kern w:val="0"/>
                <w:sz w:val="24"/>
                <w:highlight w:val="none"/>
              </w:rPr>
              <w:t>0人，均来自附近村庄，</w:t>
            </w:r>
            <w:r>
              <w:rPr>
                <w:rFonts w:hint="eastAsia" w:eastAsia="宋体" w:cs="Times New Roman"/>
                <w:color w:val="auto"/>
                <w:kern w:val="0"/>
                <w:sz w:val="24"/>
                <w:highlight w:val="none"/>
                <w:lang w:val="en-US" w:eastAsia="zh-CN"/>
              </w:rPr>
              <w:t>施工营地</w:t>
            </w:r>
            <w:r>
              <w:rPr>
                <w:rFonts w:hint="default" w:ascii="Times New Roman" w:hAnsi="Times New Roman" w:cs="Times New Roman"/>
                <w:color w:val="auto"/>
                <w:kern w:val="0"/>
                <w:sz w:val="24"/>
                <w:highlight w:val="none"/>
              </w:rPr>
              <w:t>不设食堂、宿舍等，</w:t>
            </w:r>
            <w:r>
              <w:rPr>
                <w:rFonts w:hint="default" w:ascii="Times New Roman" w:hAnsi="Times New Roman" w:eastAsia="宋体" w:cs="Times New Roman"/>
                <w:color w:val="auto"/>
                <w:kern w:val="0"/>
                <w:sz w:val="24"/>
                <w:szCs w:val="24"/>
                <w:highlight w:val="none"/>
                <w:lang w:val="en-US" w:eastAsia="zh-CN" w:bidi="ar-SA"/>
              </w:rPr>
              <w:t>生活污水经</w:t>
            </w:r>
            <w:r>
              <w:rPr>
                <w:rFonts w:hint="eastAsia" w:ascii="Times New Roman" w:hAnsi="Times New Roman" w:eastAsia="宋体" w:cs="Times New Roman"/>
                <w:color w:val="auto"/>
                <w:kern w:val="0"/>
                <w:sz w:val="24"/>
                <w:szCs w:val="24"/>
                <w:highlight w:val="none"/>
                <w:lang w:val="en-US" w:eastAsia="zh-CN" w:bidi="ar-SA"/>
              </w:rPr>
              <w:t>配套设置的临时化粪池处理后由粪污车拉运至距离较近的乡镇生活污水处理设施处理</w:t>
            </w:r>
            <w:r>
              <w:rPr>
                <w:rFonts w:hint="default" w:ascii="Times New Roman" w:hAnsi="Times New Roman" w:cs="Times New Roman"/>
                <w:color w:val="auto"/>
                <w:kern w:val="0"/>
                <w:sz w:val="24"/>
                <w:highlight w:val="none"/>
              </w:rPr>
              <w:t>。</w:t>
            </w:r>
          </w:p>
          <w:p w14:paraId="1B615070">
            <w:pPr>
              <w:pStyle w:val="56"/>
              <w:spacing w:before="0" w:after="0" w:line="360" w:lineRule="auto"/>
              <w:ind w:firstLine="480" w:firstLineChars="200"/>
              <w:jc w:val="both"/>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②施工生产废水</w:t>
            </w:r>
          </w:p>
          <w:p w14:paraId="39FB520E">
            <w:pPr>
              <w:pStyle w:val="56"/>
              <w:spacing w:before="0" w:after="0" w:line="360" w:lineRule="auto"/>
              <w:ind w:firstLine="480" w:firstLineChars="200"/>
              <w:jc w:val="both"/>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highlight w:val="none"/>
              </w:rPr>
              <w:t>生产废水主要为施工车辆冲洗废水，主要污染物为COD、SS等，废水经临时沉淀池处理后回用于施工机械车辆冲洗及洒水抑尘，不外排。</w:t>
            </w:r>
          </w:p>
          <w:p w14:paraId="1ECB15F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黑体" w:cs="Times New Roman"/>
                <w:b w:val="0"/>
                <w:bCs w:val="0"/>
                <w:color w:val="auto"/>
                <w:kern w:val="0"/>
                <w:sz w:val="24"/>
                <w:szCs w:val="24"/>
                <w:highlight w:val="none"/>
                <w:lang w:val="en-US" w:eastAsia="zh-CN" w:bidi="ar-SA"/>
              </w:rPr>
            </w:pPr>
            <w:r>
              <w:rPr>
                <w:rFonts w:hint="default" w:ascii="Times New Roman" w:hAnsi="Times New Roman" w:eastAsia="黑体" w:cs="Times New Roman"/>
                <w:b w:val="0"/>
                <w:bCs w:val="0"/>
                <w:color w:val="auto"/>
                <w:kern w:val="0"/>
                <w:sz w:val="24"/>
                <w:szCs w:val="24"/>
                <w:highlight w:val="none"/>
                <w:lang w:val="en-US" w:eastAsia="zh-CN" w:bidi="ar-SA"/>
              </w:rPr>
              <w:t>4、施工期噪声污染防治措施</w:t>
            </w:r>
          </w:p>
          <w:p w14:paraId="08343724">
            <w:pPr>
              <w:pStyle w:val="56"/>
              <w:spacing w:before="0" w:after="0"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在施工阶段，由于各种施工机械设备的运转和各类车辆的运行，不可避免地将产生噪声污染。建筑施</w:t>
            </w:r>
            <w:r>
              <w:rPr>
                <w:rFonts w:hint="default" w:ascii="Times New Roman" w:hAnsi="Times New Roman" w:eastAsia="宋体" w:cs="Times New Roman"/>
                <w:color w:val="auto"/>
                <w:sz w:val="24"/>
                <w:highlight w:val="none"/>
              </w:rPr>
              <w:t>工期间向周围排放噪声必须按照《中华人民共和国噪声污染防治法》规定，严格按《建筑施工噪声排放标准》（GB12523-20</w:t>
            </w:r>
            <w:r>
              <w:rPr>
                <w:rFonts w:hint="default" w:ascii="Times New Roman" w:hAnsi="Times New Roman" w:eastAsia="宋体" w:cs="Times New Roman"/>
                <w:color w:val="auto"/>
                <w:sz w:val="24"/>
                <w:highlight w:val="none"/>
                <w:lang w:val="en-US" w:eastAsia="zh-CN"/>
              </w:rPr>
              <w:t>25</w:t>
            </w:r>
            <w:r>
              <w:rPr>
                <w:rFonts w:hint="default" w:ascii="Times New Roman" w:hAnsi="Times New Roman" w:eastAsia="宋体" w:cs="Times New Roman"/>
                <w:color w:val="auto"/>
                <w:sz w:val="24"/>
                <w:highlight w:val="none"/>
              </w:rPr>
              <w:t>）进行控制，从而减少施工期噪声对周围</w:t>
            </w:r>
            <w:r>
              <w:rPr>
                <w:rFonts w:hint="default" w:ascii="Times New Roman" w:hAnsi="Times New Roman" w:cs="Times New Roman"/>
                <w:color w:val="auto"/>
                <w:sz w:val="24"/>
                <w:highlight w:val="none"/>
              </w:rPr>
              <w:t>环境影响。施工噪声的防治主要是通过合理安排施工时间、</w:t>
            </w:r>
            <w:r>
              <w:rPr>
                <w:rFonts w:hint="default" w:ascii="Times New Roman" w:hAnsi="Times New Roman" w:cs="Times New Roman"/>
                <w:color w:val="auto"/>
                <w:sz w:val="24"/>
                <w:highlight w:val="none"/>
                <w:lang w:eastAsia="zh-CN"/>
              </w:rPr>
              <w:t>采取</w:t>
            </w:r>
            <w:r>
              <w:rPr>
                <w:rFonts w:hint="default" w:ascii="Times New Roman" w:hAnsi="Times New Roman" w:cs="Times New Roman"/>
                <w:color w:val="auto"/>
                <w:sz w:val="24"/>
                <w:highlight w:val="none"/>
              </w:rPr>
              <w:t>低噪声机械设备等措施来实施的。</w:t>
            </w:r>
          </w:p>
          <w:p w14:paraId="10F85077">
            <w:pPr>
              <w:pStyle w:val="56"/>
              <w:spacing w:before="0" w:after="0"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①从声源上控制：建设单位在与施工单位签订合同时，应要求其使用的主要机械设备为低噪声机械设备，例如</w:t>
            </w:r>
            <w:r>
              <w:rPr>
                <w:rFonts w:hint="default" w:ascii="Times New Roman" w:hAnsi="Times New Roman" w:cs="Times New Roman"/>
                <w:color w:val="auto"/>
                <w:sz w:val="24"/>
                <w:highlight w:val="none"/>
                <w:lang w:eastAsia="zh-CN"/>
              </w:rPr>
              <w:t>选择</w:t>
            </w:r>
            <w:r>
              <w:rPr>
                <w:rFonts w:hint="default" w:ascii="Times New Roman" w:hAnsi="Times New Roman" w:cs="Times New Roman"/>
                <w:color w:val="auto"/>
                <w:sz w:val="24"/>
                <w:highlight w:val="none"/>
              </w:rPr>
              <w:t>液压机械取代燃油机械。同时在施工过程中施工单位应</w:t>
            </w:r>
            <w:r>
              <w:rPr>
                <w:rFonts w:hint="eastAsia" w:eastAsia="宋体" w:cs="Times New Roman"/>
                <w:color w:val="auto"/>
                <w:sz w:val="24"/>
                <w:highlight w:val="none"/>
                <w:lang w:eastAsia="zh-CN"/>
              </w:rPr>
              <w:t>设</w:t>
            </w:r>
            <w:r>
              <w:rPr>
                <w:rFonts w:hint="default" w:ascii="Times New Roman" w:hAnsi="Times New Roman" w:cs="Times New Roman"/>
                <w:color w:val="auto"/>
                <w:sz w:val="24"/>
                <w:highlight w:val="none"/>
              </w:rPr>
              <w:t>专人对设备进行定期保养和维护，振动大的设备采用</w:t>
            </w:r>
            <w:r>
              <w:rPr>
                <w:rFonts w:hint="default" w:ascii="Times New Roman" w:hAnsi="Times New Roman" w:cs="Times New Roman"/>
                <w:color w:val="auto"/>
                <w:sz w:val="24"/>
                <w:highlight w:val="none"/>
                <w:lang w:eastAsia="zh-CN"/>
              </w:rPr>
              <w:t>减振措施</w:t>
            </w:r>
            <w:r>
              <w:rPr>
                <w:rFonts w:hint="default" w:ascii="Times New Roman" w:hAnsi="Times New Roman" w:cs="Times New Roman"/>
                <w:color w:val="auto"/>
                <w:sz w:val="24"/>
                <w:highlight w:val="none"/>
              </w:rPr>
              <w:t>，并负责对现场工作人员进行培训，严格按操作规范使用各类机械，应尽量避免大量高噪声设备同时施工等。</w:t>
            </w:r>
          </w:p>
          <w:p w14:paraId="158B232B">
            <w:pPr>
              <w:pStyle w:val="56"/>
              <w:spacing w:before="0" w:after="0"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②合理安排施工时间：施工单位应合理安排好施工时间，将噪声大的作业安排在白天，尽量避免在动物觅食期间施工，禁止在22：00~06：00期间施工。</w:t>
            </w:r>
          </w:p>
          <w:p w14:paraId="3DBFCFAD">
            <w:pPr>
              <w:pStyle w:val="56"/>
              <w:spacing w:before="0" w:after="0"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③合理选择施工机械的放置位置，尽量避免在居民点附近放置高噪声施工设备。</w:t>
            </w:r>
          </w:p>
          <w:p w14:paraId="2ED2075D">
            <w:pPr>
              <w:pStyle w:val="56"/>
              <w:spacing w:before="0" w:after="0"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④对靠近居民点的高噪声施工设备采取隔声、隔振或消声措施，如在声源周围设置掩蔽物、加隔振垫、安装消声器等。控制施工场界噪声满足《建筑施工噪声</w:t>
            </w:r>
            <w:r>
              <w:rPr>
                <w:rFonts w:hint="default" w:ascii="Times New Roman" w:hAnsi="Times New Roman" w:cs="Times New Roman"/>
                <w:color w:val="auto"/>
                <w:sz w:val="24"/>
                <w:highlight w:val="none"/>
                <w:lang w:val="en-US" w:eastAsia="zh-CN"/>
              </w:rPr>
              <w:t>排放标准</w:t>
            </w:r>
            <w:r>
              <w:rPr>
                <w:rFonts w:hint="default" w:ascii="Times New Roman" w:hAnsi="Times New Roman" w:cs="Times New Roman"/>
                <w:color w:val="auto"/>
                <w:sz w:val="24"/>
                <w:highlight w:val="none"/>
              </w:rPr>
              <w:t>》（GB12523-20</w:t>
            </w:r>
            <w:r>
              <w:rPr>
                <w:rFonts w:hint="default" w:ascii="Times New Roman" w:hAnsi="Times New Roman" w:cs="Times New Roman"/>
                <w:color w:val="auto"/>
                <w:sz w:val="24"/>
                <w:highlight w:val="none"/>
                <w:lang w:val="en-US" w:eastAsia="zh-CN"/>
              </w:rPr>
              <w:t>25</w:t>
            </w:r>
            <w:r>
              <w:rPr>
                <w:rFonts w:hint="default" w:ascii="Times New Roman" w:hAnsi="Times New Roman" w:cs="Times New Roman"/>
                <w:color w:val="auto"/>
                <w:sz w:val="24"/>
                <w:highlight w:val="none"/>
              </w:rPr>
              <w:t>）中的要求，并由施工企业自行对施工现场噪声值进行监测和记录。</w:t>
            </w:r>
          </w:p>
          <w:p w14:paraId="6E9E2E80">
            <w:pPr>
              <w:pStyle w:val="56"/>
              <w:spacing w:before="0" w:after="0"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⑤施工场地的施工车辆出入地点应尽量远离周围敏感点布置，运输车辆限速行驶（在居民区附近一般不超过15km/h），并尽量压缩施工区汽车数量和行车密度，控制汽车鸣笛。</w:t>
            </w:r>
          </w:p>
          <w:p w14:paraId="32B7DD70">
            <w:pPr>
              <w:pStyle w:val="56"/>
              <w:spacing w:before="0" w:after="0"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⑥建设管理部门应加强对施工场地的噪声管理，施工企业也应对施工噪声进行自律，文明施工，避免因施工噪声产生纠纷。</w:t>
            </w:r>
          </w:p>
          <w:p w14:paraId="158ED0D7">
            <w:pPr>
              <w:pStyle w:val="56"/>
              <w:spacing w:before="0" w:after="0"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⑦若因特殊需要必须连续施工作业的，应当取得地方人民政府住房和城乡建设、生态环境主管部门或者地方人民政府指定的部门的证明，并在施工现场显著位置公示或者以其他方式公告附近居民。</w:t>
            </w:r>
          </w:p>
          <w:p w14:paraId="5C8C588C">
            <w:pPr>
              <w:pStyle w:val="56"/>
              <w:spacing w:before="0" w:after="0"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⑧在利用现有道路运输施工物资时，应合理选择运输路线，禁止夜间运输。此外，在途经距离施工道路较近的村庄时，应减速慢行，需新修筑的便道应尽量远离村镇等。建设单位应对施工承包商的运输路线提出要求，要求承包商必须提供建材运输路线，并请环保监理或环保专业人员确认施工路线在减缓噪声影响方面的合理性。建设单位根据确定后的运输路线进行监督，并可联合地方环保部门</w:t>
            </w:r>
            <w:r>
              <w:rPr>
                <w:rFonts w:hint="eastAsia" w:eastAsia="宋体" w:cs="Times New Roman"/>
                <w:color w:val="auto"/>
                <w:sz w:val="24"/>
                <w:highlight w:val="none"/>
                <w:lang w:eastAsia="zh-CN"/>
              </w:rPr>
              <w:t>加大</w:t>
            </w:r>
            <w:r>
              <w:rPr>
                <w:rFonts w:hint="default" w:ascii="Times New Roman" w:hAnsi="Times New Roman" w:cs="Times New Roman"/>
                <w:color w:val="auto"/>
                <w:sz w:val="24"/>
                <w:highlight w:val="none"/>
              </w:rPr>
              <w:t>监督力度。</w:t>
            </w:r>
          </w:p>
          <w:p w14:paraId="74B08CE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黑体" w:cs="Times New Roman"/>
                <w:b w:val="0"/>
                <w:bCs w:val="0"/>
                <w:color w:val="auto"/>
                <w:kern w:val="0"/>
                <w:sz w:val="24"/>
                <w:szCs w:val="24"/>
                <w:highlight w:val="none"/>
                <w:lang w:val="en-US" w:eastAsia="zh-CN" w:bidi="ar-SA"/>
              </w:rPr>
            </w:pPr>
            <w:r>
              <w:rPr>
                <w:rFonts w:hint="default" w:ascii="Times New Roman" w:hAnsi="Times New Roman" w:eastAsia="黑体" w:cs="Times New Roman"/>
                <w:b w:val="0"/>
                <w:bCs w:val="0"/>
                <w:color w:val="auto"/>
                <w:kern w:val="0"/>
                <w:sz w:val="24"/>
                <w:szCs w:val="24"/>
                <w:highlight w:val="none"/>
                <w:lang w:val="en-US" w:eastAsia="zh-CN" w:bidi="ar-SA"/>
              </w:rPr>
              <w:t>5、施工期固废污染防治措施</w:t>
            </w:r>
          </w:p>
          <w:p w14:paraId="3051A963">
            <w:pPr>
              <w:adjustRightInd w:val="0"/>
              <w:snapToGrid w:val="0"/>
              <w:spacing w:after="0"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cs="Times New Roman"/>
                <w:color w:val="auto"/>
                <w:kern w:val="0"/>
                <w:sz w:val="24"/>
                <w:highlight w:val="none"/>
              </w:rPr>
              <w:t>施工期</w:t>
            </w:r>
            <w:r>
              <w:rPr>
                <w:rFonts w:hint="default" w:ascii="Times New Roman" w:hAnsi="Times New Roman" w:cs="Times New Roman"/>
                <w:color w:val="auto"/>
                <w:kern w:val="0"/>
                <w:sz w:val="24"/>
                <w:highlight w:val="none"/>
                <w:lang w:val="en-US" w:eastAsia="zh-CN"/>
              </w:rPr>
              <w:t>固体废物主要为弃土石方</w:t>
            </w:r>
            <w:r>
              <w:rPr>
                <w:rFonts w:hint="eastAsia" w:cs="Times New Roman"/>
                <w:color w:val="auto"/>
                <w:kern w:val="0"/>
                <w:sz w:val="24"/>
                <w:highlight w:val="none"/>
                <w:lang w:val="en-US" w:eastAsia="zh-CN"/>
              </w:rPr>
              <w:t>及清淤淤泥</w:t>
            </w:r>
            <w:r>
              <w:rPr>
                <w:rFonts w:hint="default" w:ascii="Times New Roman" w:hAnsi="Times New Roman" w:cs="Times New Roman"/>
                <w:color w:val="auto"/>
                <w:kern w:val="0"/>
                <w:sz w:val="24"/>
                <w:highlight w:val="none"/>
                <w:lang w:val="en-US" w:eastAsia="zh-CN"/>
              </w:rPr>
              <w:t>、建筑垃圾及生活垃圾</w:t>
            </w:r>
            <w:r>
              <w:rPr>
                <w:rFonts w:hint="default" w:ascii="Times New Roman" w:hAnsi="Times New Roman" w:cs="Times New Roman"/>
                <w:color w:val="auto"/>
                <w:kern w:val="0"/>
                <w:sz w:val="24"/>
                <w:highlight w:val="none"/>
              </w:rPr>
              <w:t>。</w:t>
            </w:r>
          </w:p>
          <w:p w14:paraId="3CD00913">
            <w:pPr>
              <w:adjustRightInd w:val="0"/>
              <w:snapToGrid w:val="0"/>
              <w:spacing w:after="0"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eastAsia="zh-CN"/>
              </w:rPr>
              <w:t>（</w:t>
            </w:r>
            <w:r>
              <w:rPr>
                <w:rFonts w:hint="eastAsia" w:cs="Times New Roman"/>
                <w:color w:val="auto"/>
                <w:kern w:val="0"/>
                <w:sz w:val="24"/>
                <w:highlight w:val="none"/>
                <w:lang w:val="en-US" w:eastAsia="zh-CN"/>
              </w:rPr>
              <w:t>1</w:t>
            </w:r>
            <w:r>
              <w:rPr>
                <w:rFonts w:hint="eastAsia" w:cs="Times New Roman"/>
                <w:color w:val="auto"/>
                <w:kern w:val="0"/>
                <w:sz w:val="24"/>
                <w:highlight w:val="none"/>
                <w:lang w:eastAsia="zh-CN"/>
              </w:rPr>
              <w:t>）</w:t>
            </w:r>
            <w:r>
              <w:rPr>
                <w:rFonts w:hint="eastAsia" w:cs="Times New Roman"/>
                <w:color w:val="auto"/>
                <w:kern w:val="0"/>
                <w:sz w:val="24"/>
                <w:highlight w:val="none"/>
                <w:lang w:val="en-US" w:eastAsia="zh-CN"/>
              </w:rPr>
              <w:t>固体废物处置措施</w:t>
            </w:r>
          </w:p>
          <w:p w14:paraId="40805BD8">
            <w:pPr>
              <w:adjustRightInd w:val="0"/>
              <w:snapToGrid w:val="0"/>
              <w:spacing w:after="0"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①弃土石方</w:t>
            </w:r>
          </w:p>
          <w:p w14:paraId="3C7D9497">
            <w:pPr>
              <w:adjustRightInd w:val="0"/>
              <w:snapToGrid w:val="0"/>
              <w:spacing w:after="0"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本项目不设置弃土场。施工期开挖土方绝大部分回填</w:t>
            </w:r>
            <w:r>
              <w:rPr>
                <w:rFonts w:hint="eastAsia" w:cs="Times New Roman"/>
                <w:color w:val="auto"/>
                <w:kern w:val="0"/>
                <w:sz w:val="24"/>
                <w:highlight w:val="none"/>
                <w:lang w:eastAsia="zh-CN"/>
              </w:rPr>
              <w:t>，</w:t>
            </w:r>
            <w:r>
              <w:rPr>
                <w:rFonts w:hint="eastAsia" w:cs="Times New Roman"/>
                <w:color w:val="auto"/>
                <w:kern w:val="0"/>
                <w:sz w:val="24"/>
                <w:highlight w:val="none"/>
                <w:lang w:val="en-US" w:eastAsia="zh-CN"/>
              </w:rPr>
              <w:t>剩余部分</w:t>
            </w:r>
            <w:r>
              <w:rPr>
                <w:rFonts w:hint="default" w:ascii="Times New Roman" w:hAnsi="Times New Roman" w:cs="Times New Roman"/>
                <w:color w:val="auto"/>
                <w:kern w:val="0"/>
                <w:sz w:val="24"/>
                <w:highlight w:val="none"/>
              </w:rPr>
              <w:t>拉运至项目修建巡护道路基础填筑综合利用。</w:t>
            </w:r>
          </w:p>
          <w:p w14:paraId="0C71C1F9">
            <w:pPr>
              <w:adjustRightInd w:val="0"/>
              <w:snapToGrid w:val="0"/>
              <w:spacing w:after="0" w:line="360" w:lineRule="auto"/>
              <w:ind w:firstLine="480" w:firstLineChars="200"/>
              <w:rPr>
                <w:rFonts w:hint="eastAsia"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val="en-US" w:eastAsia="zh-CN"/>
              </w:rPr>
              <w:t>②清淤淤泥</w:t>
            </w:r>
          </w:p>
          <w:p w14:paraId="551F860D">
            <w:pPr>
              <w:adjustRightInd w:val="0"/>
              <w:snapToGrid w:val="0"/>
              <w:spacing w:after="0" w:line="360" w:lineRule="auto"/>
              <w:ind w:firstLine="480" w:firstLineChars="200"/>
              <w:rPr>
                <w:rFonts w:hint="default" w:ascii="Times New Roman" w:hAnsi="Times New Roman" w:cs="Times New Roman"/>
                <w:color w:val="auto"/>
                <w:kern w:val="0"/>
                <w:sz w:val="24"/>
                <w:highlight w:val="none"/>
              </w:rPr>
            </w:pPr>
            <w:r>
              <w:rPr>
                <w:rFonts w:hint="eastAsia" w:cs="Times New Roman"/>
                <w:color w:val="auto"/>
                <w:kern w:val="0"/>
                <w:sz w:val="24"/>
                <w:szCs w:val="24"/>
                <w:highlight w:val="none"/>
                <w:lang w:val="en-US" w:eastAsia="zh-CN" w:bidi="ar-SA"/>
              </w:rPr>
              <w:t>高崖沟为季节性泄洪沟，枯水期处于污水状态，本次工程设计清淤工程在枯水期开展</w:t>
            </w:r>
            <w:r>
              <w:rPr>
                <w:rFonts w:hint="default" w:ascii="Times New Roman" w:hAnsi="Times New Roman" w:eastAsia="宋体" w:cs="Times New Roman"/>
                <w:color w:val="auto"/>
                <w:kern w:val="0"/>
                <w:sz w:val="24"/>
                <w:szCs w:val="24"/>
                <w:highlight w:val="none"/>
                <w:lang w:val="en-US" w:eastAsia="zh-CN" w:bidi="ar-SA"/>
              </w:rPr>
              <w:t>，采用排干清淤的方式，</w:t>
            </w:r>
            <w:r>
              <w:rPr>
                <w:rFonts w:hint="eastAsia" w:cs="Times New Roman"/>
                <w:color w:val="auto"/>
                <w:kern w:val="0"/>
                <w:sz w:val="24"/>
                <w:szCs w:val="24"/>
                <w:highlight w:val="none"/>
                <w:lang w:val="en-US" w:eastAsia="zh-CN" w:bidi="ar-SA"/>
              </w:rPr>
              <w:t>其次由于高崖沟为季节性泄洪沟，其主要任务为强降雨天气泄洪，不承担纳污排污，上游河道无城镇污水处理厂、工业污水处理厂等污染源或排放口，因此丰水期其沟道内水主要为沿岸部分农田退水及雨/洪水，同时高崖沟所在区域地处宁夏水土流失区，因此高崖沟淤泥主要为强降雨天气情况下山洪冲击的沟道两侧的泥土及砂石，因此清淤所清出淤泥以淤沙为主，水分及有机质含量较低，</w:t>
            </w:r>
            <w:r>
              <w:rPr>
                <w:rFonts w:hint="default" w:ascii="Times New Roman" w:hAnsi="Times New Roman" w:cs="Times New Roman"/>
                <w:color w:val="auto"/>
                <w:kern w:val="0"/>
                <w:sz w:val="24"/>
                <w:highlight w:val="none"/>
              </w:rPr>
              <w:t>清理的淤泥翻到沟道两侧沟拜堆放并</w:t>
            </w:r>
            <w:r>
              <w:rPr>
                <w:rFonts w:hint="eastAsia" w:cs="Times New Roman"/>
                <w:color w:val="auto"/>
                <w:kern w:val="0"/>
                <w:sz w:val="24"/>
                <w:highlight w:val="none"/>
                <w:lang w:val="en-US" w:eastAsia="zh-CN"/>
              </w:rPr>
              <w:t>短暂</w:t>
            </w:r>
            <w:r>
              <w:rPr>
                <w:rFonts w:hint="default" w:ascii="Times New Roman" w:hAnsi="Times New Roman" w:cs="Times New Roman"/>
                <w:color w:val="auto"/>
                <w:kern w:val="0"/>
                <w:sz w:val="24"/>
                <w:highlight w:val="none"/>
              </w:rPr>
              <w:t>晾晒，待晒干后拉运至项目修建巡护道路基础填筑综合利用</w:t>
            </w:r>
            <w:r>
              <w:rPr>
                <w:rFonts w:hint="eastAsia" w:cs="Times New Roman"/>
                <w:color w:val="auto"/>
                <w:kern w:val="0"/>
                <w:sz w:val="24"/>
                <w:highlight w:val="none"/>
                <w:lang w:val="en-US" w:eastAsia="zh-CN"/>
              </w:rPr>
              <w:t>，</w:t>
            </w:r>
            <w:r>
              <w:rPr>
                <w:rFonts w:hint="default" w:ascii="Times New Roman" w:hAnsi="Times New Roman" w:cs="Times New Roman"/>
                <w:color w:val="auto"/>
                <w:kern w:val="0"/>
                <w:sz w:val="24"/>
                <w:highlight w:val="none"/>
                <w:lang w:val="en-US" w:eastAsia="zh-CN"/>
              </w:rPr>
              <w:t>对周边环境影响较小</w:t>
            </w:r>
            <w:r>
              <w:rPr>
                <w:rFonts w:hint="default" w:ascii="Times New Roman" w:hAnsi="Times New Roman" w:cs="Times New Roman"/>
                <w:color w:val="auto"/>
                <w:kern w:val="0"/>
                <w:sz w:val="24"/>
                <w:highlight w:val="none"/>
              </w:rPr>
              <w:t>。</w:t>
            </w:r>
          </w:p>
          <w:p w14:paraId="74414461">
            <w:pPr>
              <w:adjustRightInd w:val="0"/>
              <w:snapToGrid w:val="0"/>
              <w:spacing w:after="0" w:line="360" w:lineRule="auto"/>
              <w:ind w:firstLine="480" w:firstLineChars="200"/>
              <w:rPr>
                <w:rFonts w:hint="default" w:ascii="Times New Roman" w:hAnsi="Times New Roman" w:cs="Times New Roman"/>
                <w:color w:val="auto"/>
                <w:kern w:val="0"/>
                <w:sz w:val="24"/>
                <w:highlight w:val="none"/>
                <w:lang w:val="en-US" w:eastAsia="zh-CN"/>
              </w:rPr>
            </w:pPr>
            <w:r>
              <w:rPr>
                <w:rFonts w:hint="eastAsia" w:ascii="Times New Roman" w:hAnsi="Times New Roman" w:cs="Times New Roman"/>
                <w:color w:val="auto"/>
                <w:kern w:val="0"/>
                <w:sz w:val="24"/>
                <w:highlight w:val="none"/>
                <w:lang w:val="en-US" w:eastAsia="zh-CN"/>
              </w:rPr>
              <w:t>同时，由“</w:t>
            </w:r>
            <w:r>
              <w:rPr>
                <w:rFonts w:hint="default" w:ascii="Times New Roman" w:hAnsi="Times New Roman" w:cs="Times New Roman"/>
                <w:color w:val="auto"/>
                <w:kern w:val="0"/>
                <w:sz w:val="24"/>
                <w:highlight w:val="none"/>
                <w:lang w:val="en-US" w:eastAsia="zh-CN"/>
              </w:rPr>
              <w:t>表2-2  本项目治理工程量清单</w:t>
            </w:r>
            <w:r>
              <w:rPr>
                <w:rFonts w:hint="eastAsia" w:ascii="Times New Roman" w:hAnsi="Times New Roman" w:cs="Times New Roman"/>
                <w:color w:val="auto"/>
                <w:kern w:val="0"/>
                <w:sz w:val="24"/>
                <w:highlight w:val="none"/>
                <w:lang w:val="en-US" w:eastAsia="zh-CN"/>
              </w:rPr>
              <w:t>”</w:t>
            </w:r>
            <w:r>
              <w:rPr>
                <w:rFonts w:hint="eastAsia" w:cs="Times New Roman"/>
                <w:color w:val="auto"/>
                <w:kern w:val="0"/>
                <w:sz w:val="24"/>
                <w:highlight w:val="none"/>
                <w:lang w:val="en-US" w:eastAsia="zh-CN"/>
              </w:rPr>
              <w:t>及</w:t>
            </w:r>
            <w:r>
              <w:rPr>
                <w:rFonts w:hint="eastAsia" w:ascii="Times New Roman" w:hAnsi="Times New Roman" w:cs="Times New Roman"/>
                <w:color w:val="auto"/>
                <w:kern w:val="0"/>
                <w:sz w:val="24"/>
                <w:highlight w:val="none"/>
                <w:lang w:val="en-US" w:eastAsia="zh-CN"/>
              </w:rPr>
              <w:t>“</w:t>
            </w:r>
            <w:r>
              <w:rPr>
                <w:rFonts w:hint="default" w:ascii="Times New Roman" w:hAnsi="Times New Roman" w:cs="Times New Roman"/>
                <w:color w:val="auto"/>
                <w:kern w:val="0"/>
                <w:sz w:val="24"/>
                <w:highlight w:val="none"/>
                <w:lang w:val="en-US" w:eastAsia="zh-CN"/>
              </w:rPr>
              <w:t>表2-6  土石方平衡表</w:t>
            </w:r>
            <w:r>
              <w:rPr>
                <w:rFonts w:hint="eastAsia" w:ascii="Times New Roman" w:hAnsi="Times New Roman" w:cs="Times New Roman"/>
                <w:color w:val="auto"/>
                <w:kern w:val="0"/>
                <w:sz w:val="24"/>
                <w:highlight w:val="none"/>
                <w:lang w:val="en-US" w:eastAsia="zh-CN"/>
              </w:rPr>
              <w:t>”</w:t>
            </w:r>
            <w:r>
              <w:rPr>
                <w:rFonts w:hint="eastAsia" w:cs="Times New Roman"/>
                <w:color w:val="auto"/>
                <w:kern w:val="0"/>
                <w:sz w:val="24"/>
                <w:highlight w:val="none"/>
                <w:lang w:val="en-US" w:eastAsia="zh-CN"/>
              </w:rPr>
              <w:t>分析可知，本项目产生的清淤淤泥及多余土方可全部被巡护基础填筑所消纳，同时巡护道路在完成土方摊铺后上层将采用15cm厚砂石进行硬化，因此可确保淤泥及土方摊铺后不会在大风天气下造成扬尘污染。</w:t>
            </w:r>
          </w:p>
          <w:p w14:paraId="50206E4E">
            <w:pPr>
              <w:adjustRightInd w:val="0"/>
              <w:snapToGrid w:val="0"/>
              <w:spacing w:after="0" w:line="360" w:lineRule="auto"/>
              <w:ind w:firstLine="480" w:firstLineChars="200"/>
              <w:rPr>
                <w:rFonts w:hint="default" w:ascii="Times New Roman" w:hAnsi="Times New Roman" w:cs="Times New Roman"/>
                <w:color w:val="auto"/>
                <w:kern w:val="0"/>
                <w:sz w:val="24"/>
                <w:highlight w:val="none"/>
              </w:rPr>
            </w:pPr>
            <w:r>
              <w:rPr>
                <w:rFonts w:hint="eastAsia" w:cs="Times New Roman"/>
                <w:color w:val="auto"/>
                <w:kern w:val="0"/>
                <w:sz w:val="24"/>
                <w:highlight w:val="none"/>
                <w:lang w:val="en-US" w:eastAsia="zh-CN"/>
              </w:rPr>
              <w:t>③</w:t>
            </w:r>
            <w:r>
              <w:rPr>
                <w:rFonts w:hint="default" w:ascii="Times New Roman" w:hAnsi="Times New Roman" w:cs="Times New Roman"/>
                <w:color w:val="auto"/>
                <w:kern w:val="0"/>
                <w:sz w:val="24"/>
                <w:highlight w:val="none"/>
              </w:rPr>
              <w:t>建筑垃圾</w:t>
            </w:r>
          </w:p>
          <w:p w14:paraId="1C889F8D">
            <w:pPr>
              <w:adjustRightInd w:val="0"/>
              <w:snapToGrid w:val="0"/>
              <w:spacing w:after="0"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项目施工期产生的建筑垃圾</w:t>
            </w:r>
            <w:r>
              <w:rPr>
                <w:rFonts w:hint="default" w:ascii="Times New Roman" w:hAnsi="Times New Roman" w:cs="Times New Roman"/>
                <w:color w:val="auto"/>
                <w:kern w:val="0"/>
                <w:sz w:val="24"/>
                <w:highlight w:val="none"/>
                <w:lang w:val="en-US" w:eastAsia="zh-CN"/>
              </w:rPr>
              <w:t>运至当地政府指定地点堆放，</w:t>
            </w:r>
            <w:r>
              <w:rPr>
                <w:rFonts w:hint="default" w:ascii="Times New Roman" w:hAnsi="Times New Roman" w:cs="Times New Roman"/>
                <w:color w:val="auto"/>
                <w:kern w:val="0"/>
                <w:sz w:val="24"/>
                <w:highlight w:val="none"/>
              </w:rPr>
              <w:t>贮存及处置参照《中华人民共和国固体废物污染环境防治法》（2020年9月1日），临时贮存严格按照“防风、防雨、防漏、防渗”等相关要求执行，编制处置方案，并报县级以上主管部门备案。</w:t>
            </w:r>
          </w:p>
          <w:p w14:paraId="173A04CF">
            <w:pPr>
              <w:adjustRightInd w:val="0"/>
              <w:snapToGrid w:val="0"/>
              <w:spacing w:after="0" w:line="360" w:lineRule="auto"/>
              <w:ind w:firstLine="480" w:firstLineChars="200"/>
              <w:rPr>
                <w:rFonts w:hint="default" w:ascii="Times New Roman" w:hAnsi="Times New Roman" w:cs="Times New Roman"/>
                <w:color w:val="auto"/>
                <w:kern w:val="0"/>
                <w:sz w:val="24"/>
                <w:highlight w:val="none"/>
              </w:rPr>
            </w:pPr>
            <w:r>
              <w:rPr>
                <w:rFonts w:hint="eastAsia" w:cs="Times New Roman"/>
                <w:color w:val="auto"/>
                <w:kern w:val="0"/>
                <w:sz w:val="24"/>
                <w:highlight w:val="none"/>
                <w:lang w:val="en-US" w:eastAsia="zh-CN"/>
              </w:rPr>
              <w:t>④</w:t>
            </w:r>
            <w:r>
              <w:rPr>
                <w:rFonts w:hint="default" w:ascii="Times New Roman" w:hAnsi="Times New Roman" w:cs="Times New Roman"/>
                <w:color w:val="auto"/>
                <w:kern w:val="0"/>
                <w:sz w:val="24"/>
                <w:highlight w:val="none"/>
              </w:rPr>
              <w:t>人员生活垃圾</w:t>
            </w:r>
          </w:p>
          <w:p w14:paraId="0F6F61A7">
            <w:pPr>
              <w:adjustRightInd w:val="0"/>
              <w:snapToGrid w:val="0"/>
              <w:spacing w:after="0"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施工期间施工人员还将产生一定量的生活垃圾，经收集后定期送环卫部门统一处置。</w:t>
            </w:r>
          </w:p>
          <w:p w14:paraId="68AF418C">
            <w:pPr>
              <w:adjustRightInd w:val="0"/>
              <w:snapToGrid w:val="0"/>
              <w:spacing w:after="0"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eastAsia="zh-CN"/>
              </w:rPr>
              <w:t>（</w:t>
            </w:r>
            <w:r>
              <w:rPr>
                <w:rFonts w:hint="eastAsia" w:cs="Times New Roman"/>
                <w:color w:val="auto"/>
                <w:kern w:val="0"/>
                <w:sz w:val="24"/>
                <w:highlight w:val="none"/>
                <w:lang w:val="en-US" w:eastAsia="zh-CN"/>
              </w:rPr>
              <w:t>2</w:t>
            </w:r>
            <w:r>
              <w:rPr>
                <w:rFonts w:hint="eastAsia" w:cs="Times New Roman"/>
                <w:color w:val="auto"/>
                <w:kern w:val="0"/>
                <w:sz w:val="24"/>
                <w:highlight w:val="none"/>
                <w:lang w:eastAsia="zh-CN"/>
              </w:rPr>
              <w:t>）</w:t>
            </w:r>
            <w:r>
              <w:rPr>
                <w:rFonts w:hint="eastAsia" w:cs="Times New Roman"/>
                <w:color w:val="auto"/>
                <w:kern w:val="0"/>
                <w:sz w:val="24"/>
                <w:highlight w:val="none"/>
                <w:lang w:val="en-US" w:eastAsia="zh-CN"/>
              </w:rPr>
              <w:t>固体废物管理措施</w:t>
            </w:r>
          </w:p>
          <w:p w14:paraId="04129C7F">
            <w:pPr>
              <w:adjustRightInd w:val="0"/>
              <w:snapToGrid w:val="0"/>
              <w:spacing w:after="0"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本项目整个施工期固体废物产生量较小，施工前施工单位应编制建筑垃圾处理方案，采取污染防治措施，并报县级以上地方人民政府环境卫生主管部门备案。建筑垃圾产生后及时清理出施工现场，不能及时清理时应选择无植被区域分类集中堆放，并采取苫盖措施，能回收利用的尽量回收利用，不能利用的按照环境卫生主管部门的规定，由遮盖篷布的密闭车辆及时清运至环境卫生主管部门指定的地点处置，不得擅自倾倒、抛撒或者堆放工程施工过程中产生的建筑垃圾。</w:t>
            </w:r>
          </w:p>
          <w:p w14:paraId="0383C1E7">
            <w:pPr>
              <w:adjustRightInd w:val="0"/>
              <w:snapToGrid w:val="0"/>
              <w:spacing w:after="0"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kern w:val="0"/>
                <w:sz w:val="24"/>
                <w:highlight w:val="none"/>
              </w:rPr>
              <w:t>在施工期固体废物的处置过程中，还应采取以下管理措施：</w:t>
            </w:r>
          </w:p>
          <w:p w14:paraId="45B200AA">
            <w:pPr>
              <w:adjustRightInd w:val="0"/>
              <w:snapToGrid w:val="0"/>
              <w:spacing w:after="0"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kern w:val="0"/>
                <w:sz w:val="24"/>
                <w:highlight w:val="none"/>
              </w:rPr>
              <w:t>(1)施工期间产生的固体废物需设置集中暂存点，采取遮盖抑尘网或篷布，分类存放，加强管理，禁止就地焚烧垃圾，注意防火。</w:t>
            </w:r>
          </w:p>
          <w:p w14:paraId="5A10D2B2">
            <w:pPr>
              <w:adjustRightInd w:val="0"/>
              <w:snapToGrid w:val="0"/>
              <w:spacing w:after="0"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kern w:val="0"/>
                <w:sz w:val="24"/>
                <w:highlight w:val="none"/>
              </w:rPr>
              <w:t>(2)施工期间产生的固体废物应堆放在无植被区或植被覆盖度较低的区域，及时清运、避免占压现有植被，废品应尽量做到综合利用，不得随意乱</w:t>
            </w:r>
            <w:r>
              <w:rPr>
                <w:rFonts w:hint="default" w:ascii="Times New Roman" w:hAnsi="Times New Roman" w:cs="Times New Roman"/>
                <w:color w:val="auto"/>
                <w:kern w:val="0"/>
                <w:sz w:val="24"/>
                <w:highlight w:val="none"/>
                <w:lang w:val="en-US" w:eastAsia="zh-CN"/>
              </w:rPr>
              <w:t>扔</w:t>
            </w:r>
            <w:r>
              <w:rPr>
                <w:rFonts w:hint="default" w:ascii="Times New Roman" w:hAnsi="Times New Roman" w:cs="Times New Roman"/>
                <w:color w:val="auto"/>
                <w:kern w:val="0"/>
                <w:sz w:val="24"/>
                <w:highlight w:val="none"/>
              </w:rPr>
              <w:t>、遗弃在施工现场。</w:t>
            </w:r>
          </w:p>
          <w:p w14:paraId="3208211F">
            <w:pPr>
              <w:adjustRightInd w:val="0"/>
              <w:snapToGrid w:val="0"/>
              <w:spacing w:after="0"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(3)禁止在施工营地以外的</w:t>
            </w:r>
            <w:r>
              <w:rPr>
                <w:rFonts w:hint="eastAsia" w:cs="Times New Roman"/>
                <w:color w:val="auto"/>
                <w:kern w:val="0"/>
                <w:sz w:val="24"/>
                <w:highlight w:val="none"/>
                <w:lang w:eastAsia="zh-CN"/>
              </w:rPr>
              <w:t>其他</w:t>
            </w:r>
            <w:r>
              <w:rPr>
                <w:rFonts w:hint="default" w:ascii="Times New Roman" w:hAnsi="Times New Roman" w:cs="Times New Roman"/>
                <w:color w:val="auto"/>
                <w:kern w:val="0"/>
                <w:sz w:val="24"/>
                <w:highlight w:val="none"/>
              </w:rPr>
              <w:t>区域乱</w:t>
            </w:r>
            <w:r>
              <w:rPr>
                <w:rFonts w:hint="default" w:ascii="Times New Roman" w:hAnsi="Times New Roman" w:cs="Times New Roman"/>
                <w:color w:val="auto"/>
                <w:kern w:val="0"/>
                <w:sz w:val="24"/>
                <w:highlight w:val="none"/>
                <w:lang w:eastAsia="zh-CN"/>
              </w:rPr>
              <w:t>扔</w:t>
            </w:r>
            <w:r>
              <w:rPr>
                <w:rFonts w:hint="default" w:ascii="Times New Roman" w:hAnsi="Times New Roman" w:cs="Times New Roman"/>
                <w:color w:val="auto"/>
                <w:kern w:val="0"/>
                <w:sz w:val="24"/>
                <w:highlight w:val="none"/>
              </w:rPr>
              <w:t>水瓶、烟头、纸屑等生活垃圾，不得胡乱丢弃。</w:t>
            </w:r>
          </w:p>
          <w:p w14:paraId="592B7874">
            <w:pPr>
              <w:adjustRightInd w:val="0"/>
              <w:snapToGrid w:val="0"/>
              <w:spacing w:after="0"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(4)施工现场应设置环境保护宣传栏</w:t>
            </w:r>
            <w:r>
              <w:rPr>
                <w:rFonts w:hint="eastAsia" w:cs="Times New Roman"/>
                <w:color w:val="auto"/>
                <w:kern w:val="0"/>
                <w:sz w:val="24"/>
                <w:highlight w:val="none"/>
                <w:lang w:eastAsia="zh-CN"/>
              </w:rPr>
              <w:t>，在</w:t>
            </w:r>
            <w:r>
              <w:rPr>
                <w:rFonts w:hint="default" w:ascii="Times New Roman" w:hAnsi="Times New Roman" w:cs="Times New Roman"/>
                <w:color w:val="auto"/>
                <w:kern w:val="0"/>
                <w:sz w:val="24"/>
                <w:highlight w:val="none"/>
              </w:rPr>
              <w:t>施工前向施工人员进行培训，并宣传施工期环境保护相关知识，提高施工期环境质量和效率。</w:t>
            </w:r>
          </w:p>
          <w:p w14:paraId="0592C4B4">
            <w:pPr>
              <w:adjustRightInd w:val="0"/>
              <w:spacing w:line="360" w:lineRule="auto"/>
              <w:ind w:firstLine="480" w:firstLineChars="200"/>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highlight w:val="none"/>
                <w:lang w:val="zh-CN"/>
              </w:rPr>
              <w:t>综上所述，本项目施工期产生的固体废物全部得到合理处置后，对周围环境影响轻微。</w:t>
            </w:r>
          </w:p>
        </w:tc>
      </w:tr>
      <w:tr w14:paraId="4CD01997">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862" w:hRule="atLeast"/>
          <w:jc w:val="center"/>
        </w:trPr>
        <w:tc>
          <w:tcPr>
            <w:tcW w:w="397" w:type="dxa"/>
            <w:tcBorders>
              <w:tl2br w:val="nil"/>
              <w:tr2bl w:val="nil"/>
            </w:tcBorders>
            <w:tcMar>
              <w:left w:w="28" w:type="dxa"/>
              <w:right w:w="28" w:type="dxa"/>
            </w:tcMar>
            <w:vAlign w:val="center"/>
          </w:tcPr>
          <w:p w14:paraId="15CE9647">
            <w:pPr>
              <w:adjustRightInd w:val="0"/>
              <w:spacing w:line="240" w:lineRule="auto"/>
              <w:jc w:val="center"/>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运营</w:t>
            </w:r>
          </w:p>
          <w:p w14:paraId="1BF052B9">
            <w:pPr>
              <w:adjustRightInd w:val="0"/>
              <w:spacing w:line="240" w:lineRule="auto"/>
              <w:jc w:val="center"/>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期生</w:t>
            </w:r>
          </w:p>
          <w:p w14:paraId="408E04E1">
            <w:pPr>
              <w:adjustRightInd w:val="0"/>
              <w:spacing w:line="240" w:lineRule="auto"/>
              <w:jc w:val="center"/>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态环</w:t>
            </w:r>
          </w:p>
          <w:p w14:paraId="17550EB9">
            <w:pPr>
              <w:adjustRightInd w:val="0"/>
              <w:spacing w:line="240" w:lineRule="auto"/>
              <w:jc w:val="center"/>
              <w:rPr>
                <w:rFonts w:hint="default" w:ascii="Times New Roman" w:hAnsi="Times New Roman"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境</w:t>
            </w:r>
            <w:r>
              <w:rPr>
                <w:rFonts w:hint="default" w:ascii="Times New Roman" w:hAnsi="Times New Roman" w:cs="Times New Roman"/>
                <w:b/>
                <w:bCs/>
                <w:color w:val="auto"/>
                <w:kern w:val="2"/>
                <w:sz w:val="24"/>
                <w:szCs w:val="24"/>
                <w:highlight w:val="none"/>
                <w:lang w:val="en-US" w:eastAsia="zh-CN" w:bidi="ar-SA"/>
              </w:rPr>
              <w:t>保</w:t>
            </w:r>
          </w:p>
          <w:p w14:paraId="4682C2EA">
            <w:pPr>
              <w:adjustRightInd w:val="0"/>
              <w:spacing w:line="240" w:lineRule="auto"/>
              <w:jc w:val="center"/>
              <w:rPr>
                <w:rFonts w:hint="default" w:ascii="Times New Roman" w:hAnsi="Times New Roman" w:cs="Times New Roman"/>
                <w:b/>
                <w:bCs/>
                <w:color w:val="auto"/>
                <w:kern w:val="2"/>
                <w:sz w:val="24"/>
                <w:szCs w:val="24"/>
                <w:highlight w:val="none"/>
                <w:lang w:val="en-US" w:eastAsia="zh-CN" w:bidi="ar-SA"/>
              </w:rPr>
            </w:pPr>
            <w:r>
              <w:rPr>
                <w:rFonts w:hint="default" w:ascii="Times New Roman" w:hAnsi="Times New Roman" w:cs="Times New Roman"/>
                <w:b/>
                <w:bCs/>
                <w:color w:val="auto"/>
                <w:kern w:val="2"/>
                <w:sz w:val="24"/>
                <w:szCs w:val="24"/>
                <w:highlight w:val="none"/>
                <w:lang w:val="en-US" w:eastAsia="zh-CN" w:bidi="ar-SA"/>
              </w:rPr>
              <w:t>护措</w:t>
            </w:r>
          </w:p>
          <w:p w14:paraId="5D8B8832">
            <w:pPr>
              <w:adjustRightInd w:val="0"/>
              <w:spacing w:line="240" w:lineRule="auto"/>
              <w:jc w:val="center"/>
              <w:rPr>
                <w:rFonts w:hint="default" w:ascii="Times New Roman" w:hAnsi="Times New Roman" w:eastAsia="宋体" w:cs="Times New Roman"/>
                <w:color w:val="auto"/>
                <w:highlight w:val="none"/>
                <w:lang w:eastAsia="zh-CN"/>
              </w:rPr>
            </w:pPr>
            <w:r>
              <w:rPr>
                <w:rFonts w:hint="default" w:ascii="Times New Roman" w:hAnsi="Times New Roman" w:cs="Times New Roman"/>
                <w:b/>
                <w:bCs/>
                <w:color w:val="auto"/>
                <w:kern w:val="2"/>
                <w:sz w:val="24"/>
                <w:szCs w:val="24"/>
                <w:highlight w:val="none"/>
                <w:lang w:val="en-US" w:eastAsia="zh-CN" w:bidi="ar-SA"/>
              </w:rPr>
              <w:t>施</w:t>
            </w:r>
          </w:p>
        </w:tc>
        <w:tc>
          <w:tcPr>
            <w:tcW w:w="8511" w:type="dxa"/>
            <w:tcBorders>
              <w:tl2br w:val="nil"/>
              <w:tr2bl w:val="nil"/>
            </w:tcBorders>
            <w:vAlign w:val="center"/>
          </w:tcPr>
          <w:p w14:paraId="6504E995">
            <w:pPr>
              <w:adjustRightInd w:val="0"/>
              <w:spacing w:line="360" w:lineRule="auto"/>
              <w:ind w:firstLine="480" w:firstLineChars="200"/>
              <w:rPr>
                <w:rFonts w:hint="eastAsia"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本项目运营期不产生废气、废水、噪声以及固体废物，且不存在土壤及地下水污染因子及污染途径。因此，本项目运营期</w:t>
            </w:r>
            <w:r>
              <w:rPr>
                <w:rFonts w:hint="eastAsia" w:cs="Times New Roman"/>
                <w:color w:val="auto"/>
                <w:kern w:val="0"/>
                <w:sz w:val="24"/>
                <w:szCs w:val="24"/>
                <w:highlight w:val="none"/>
                <w:lang w:val="en-US" w:eastAsia="zh-CN" w:bidi="ar-SA"/>
              </w:rPr>
              <w:t>无需采取</w:t>
            </w:r>
            <w:r>
              <w:rPr>
                <w:rFonts w:hint="default" w:ascii="Times New Roman" w:hAnsi="Times New Roman" w:cs="Times New Roman"/>
                <w:color w:val="auto"/>
                <w:kern w:val="0"/>
                <w:sz w:val="24"/>
                <w:szCs w:val="24"/>
                <w:highlight w:val="none"/>
                <w:lang w:val="en-US" w:eastAsia="zh-CN" w:bidi="ar-SA"/>
              </w:rPr>
              <w:t>大气环境、地下水环境、声环境、土壤环境、固体废物</w:t>
            </w:r>
            <w:r>
              <w:rPr>
                <w:rFonts w:hint="eastAsia" w:cs="Times New Roman"/>
                <w:color w:val="auto"/>
                <w:kern w:val="0"/>
                <w:sz w:val="24"/>
                <w:szCs w:val="24"/>
                <w:highlight w:val="none"/>
                <w:lang w:val="en-US" w:eastAsia="zh-CN" w:bidi="ar-SA"/>
              </w:rPr>
              <w:t>等</w:t>
            </w:r>
            <w:r>
              <w:rPr>
                <w:rFonts w:hint="default" w:ascii="Times New Roman" w:hAnsi="Times New Roman" w:cs="Times New Roman"/>
                <w:color w:val="auto"/>
                <w:kern w:val="0"/>
                <w:sz w:val="24"/>
                <w:szCs w:val="24"/>
                <w:highlight w:val="none"/>
                <w:lang w:val="en-US" w:eastAsia="zh-CN" w:bidi="ar-SA"/>
              </w:rPr>
              <w:t>环境保护措施</w:t>
            </w:r>
            <w:r>
              <w:rPr>
                <w:rFonts w:hint="eastAsia" w:cs="Times New Roman"/>
                <w:color w:val="auto"/>
                <w:kern w:val="0"/>
                <w:sz w:val="24"/>
                <w:szCs w:val="24"/>
                <w:highlight w:val="none"/>
                <w:lang w:val="en-US" w:eastAsia="zh-CN" w:bidi="ar-SA"/>
              </w:rPr>
              <w:t>。</w:t>
            </w:r>
          </w:p>
          <w:p w14:paraId="45262F3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eastAsiaTheme="minorEastAsia"/>
                <w:color w:val="auto"/>
                <w:sz w:val="24"/>
                <w:szCs w:val="20"/>
                <w:highlight w:val="none"/>
                <w:lang w:val="en-US" w:eastAsia="zh-CN" w:bidi="en-US"/>
              </w:rPr>
              <w:t>本项目</w:t>
            </w:r>
            <w:r>
              <w:rPr>
                <w:rFonts w:hint="eastAsia" w:cs="Times New Roman" w:eastAsiaTheme="minorEastAsia"/>
                <w:color w:val="auto"/>
                <w:sz w:val="24"/>
                <w:szCs w:val="20"/>
                <w:highlight w:val="none"/>
                <w:lang w:val="en-US" w:eastAsia="zh-CN" w:bidi="en-US"/>
              </w:rPr>
              <w:t>所治理沟道高崖沟为入黄沟道，项目为高崖沟边坡砌护及</w:t>
            </w:r>
            <w:r>
              <w:rPr>
                <w:rFonts w:hint="default" w:ascii="Times New Roman" w:hAnsi="Times New Roman" w:cs="Times New Roman" w:eastAsiaTheme="minorEastAsia"/>
                <w:color w:val="auto"/>
                <w:sz w:val="24"/>
                <w:szCs w:val="20"/>
                <w:highlight w:val="none"/>
                <w:lang w:val="en-US" w:eastAsia="zh-CN" w:bidi="en-US"/>
              </w:rPr>
              <w:t>河道清淤治理</w:t>
            </w:r>
            <w:r>
              <w:rPr>
                <w:rFonts w:hint="eastAsia" w:cs="Times New Roman" w:eastAsiaTheme="minorEastAsia"/>
                <w:color w:val="auto"/>
                <w:sz w:val="24"/>
                <w:szCs w:val="20"/>
                <w:highlight w:val="none"/>
                <w:lang w:val="en-US" w:eastAsia="zh-CN" w:bidi="en-US"/>
              </w:rPr>
              <w:t>项目，项目边坡砌护工程的实施有利于增强沟道两侧护岸稳定，减少由于水流侧向冲刷造成的水土流失，沟道清淤工程的实施有利于行洪通畅</w:t>
            </w:r>
            <w:r>
              <w:rPr>
                <w:rFonts w:hint="eastAsia" w:cs="Times New Roman" w:eastAsiaTheme="minorEastAsia"/>
                <w:color w:val="auto"/>
                <w:sz w:val="24"/>
                <w:szCs w:val="24"/>
                <w:highlight w:val="none"/>
                <w:lang w:val="en-US" w:eastAsia="zh-CN" w:bidi="en-US"/>
              </w:rPr>
              <w:t>，</w:t>
            </w:r>
            <w:r>
              <w:rPr>
                <w:rFonts w:hint="eastAsia" w:cs="Times New Roman"/>
                <w:color w:val="auto"/>
                <w:sz w:val="24"/>
                <w:szCs w:val="24"/>
                <w:highlight w:val="none"/>
                <w:lang w:val="en-US" w:eastAsia="zh-CN"/>
              </w:rPr>
              <w:t>使得沟道行洪更为流畅，清淤后增加水体流动及自净，对高崖沟丰水期沟道水环境质量有正向作用</w:t>
            </w:r>
            <w:r>
              <w:rPr>
                <w:rFonts w:hint="default" w:ascii="Times New Roman" w:hAnsi="Times New Roman" w:cs="Times New Roman"/>
                <w:color w:val="auto"/>
                <w:kern w:val="0"/>
                <w:sz w:val="24"/>
                <w:szCs w:val="24"/>
                <w:highlight w:val="none"/>
                <w:lang w:val="en-US" w:eastAsia="zh-CN" w:bidi="ar-SA"/>
              </w:rPr>
              <w:t>。</w:t>
            </w:r>
            <w:r>
              <w:rPr>
                <w:rFonts w:hint="eastAsia" w:cs="Times New Roman"/>
                <w:color w:val="auto"/>
                <w:kern w:val="0"/>
                <w:sz w:val="24"/>
                <w:szCs w:val="24"/>
                <w:highlight w:val="none"/>
                <w:lang w:val="en-US" w:eastAsia="zh-CN" w:bidi="ar-SA"/>
              </w:rPr>
              <w:t>运营期应做好沟道水文水情及沟道淤泥淤积、岸坡稳定等监控监测。</w:t>
            </w:r>
          </w:p>
        </w:tc>
      </w:tr>
      <w:tr w14:paraId="1327EAF3">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519" w:hRule="atLeast"/>
          <w:jc w:val="center"/>
        </w:trPr>
        <w:tc>
          <w:tcPr>
            <w:tcW w:w="397" w:type="dxa"/>
            <w:tcBorders>
              <w:tl2br w:val="nil"/>
              <w:tr2bl w:val="nil"/>
            </w:tcBorders>
            <w:tcMar>
              <w:left w:w="28" w:type="dxa"/>
              <w:right w:w="28" w:type="dxa"/>
            </w:tcMar>
            <w:vAlign w:val="center"/>
          </w:tcPr>
          <w:p w14:paraId="020EFADC">
            <w:pPr>
              <w:adjustRightInd w:val="0"/>
              <w:snapToGrid w:val="0"/>
              <w:jc w:val="center"/>
              <w:rPr>
                <w:rFonts w:hint="default" w:ascii="Times New Roman" w:hAnsi="Times New Roman" w:eastAsia="仿宋_GB2312" w:cs="Times New Roman"/>
                <w:b/>
                <w:bCs/>
                <w:color w:val="auto"/>
                <w:sz w:val="24"/>
                <w:highlight w:val="none"/>
                <w:lang w:eastAsia="zh-CN"/>
              </w:rPr>
            </w:pPr>
            <w:r>
              <w:rPr>
                <w:rFonts w:hint="default" w:ascii="Times New Roman" w:hAnsi="Times New Roman" w:cs="Times New Roman"/>
                <w:b/>
                <w:bCs/>
                <w:color w:val="auto"/>
                <w:sz w:val="24"/>
                <w:highlight w:val="none"/>
                <w:lang w:eastAsia="zh-CN"/>
              </w:rPr>
              <w:t>其他</w:t>
            </w:r>
          </w:p>
        </w:tc>
        <w:tc>
          <w:tcPr>
            <w:tcW w:w="8511" w:type="dxa"/>
            <w:tcBorders>
              <w:tl2br w:val="nil"/>
              <w:tr2bl w:val="nil"/>
            </w:tcBorders>
          </w:tcPr>
          <w:p w14:paraId="2E4C5D6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黑体" w:cs="Times New Roman"/>
                <w:b w:val="0"/>
                <w:bCs w:val="0"/>
                <w:color w:val="auto"/>
                <w:kern w:val="0"/>
                <w:sz w:val="24"/>
                <w:szCs w:val="24"/>
                <w:highlight w:val="none"/>
                <w:lang w:val="en-US" w:eastAsia="zh-CN" w:bidi="ar-SA"/>
              </w:rPr>
            </w:pPr>
            <w:r>
              <w:rPr>
                <w:rFonts w:hint="default" w:ascii="Times New Roman" w:hAnsi="Times New Roman" w:eastAsia="黑体" w:cs="Times New Roman"/>
                <w:b w:val="0"/>
                <w:bCs w:val="0"/>
                <w:color w:val="auto"/>
                <w:kern w:val="0"/>
                <w:sz w:val="24"/>
                <w:szCs w:val="24"/>
                <w:highlight w:val="none"/>
                <w:lang w:val="en-US" w:eastAsia="zh-CN" w:bidi="ar-SA"/>
              </w:rPr>
              <w:t>1、环境管理与监测计划</w:t>
            </w:r>
          </w:p>
          <w:p w14:paraId="765D6E6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黑体" w:cs="Times New Roman"/>
                <w:b w:val="0"/>
                <w:bCs w:val="0"/>
                <w:color w:val="auto"/>
                <w:kern w:val="0"/>
                <w:sz w:val="24"/>
                <w:szCs w:val="24"/>
                <w:highlight w:val="none"/>
                <w:lang w:val="en-US" w:eastAsia="zh-CN" w:bidi="ar-SA"/>
              </w:rPr>
            </w:pPr>
            <w:r>
              <w:rPr>
                <w:rFonts w:hint="default" w:ascii="Times New Roman" w:hAnsi="Times New Roman" w:eastAsia="黑体" w:cs="Times New Roman"/>
                <w:b w:val="0"/>
                <w:bCs w:val="0"/>
                <w:color w:val="auto"/>
                <w:kern w:val="0"/>
                <w:sz w:val="24"/>
                <w:szCs w:val="24"/>
                <w:highlight w:val="none"/>
                <w:lang w:val="en-US" w:eastAsia="zh-CN" w:bidi="ar-SA"/>
              </w:rPr>
              <w:t>1.1环境管理</w:t>
            </w:r>
          </w:p>
          <w:p w14:paraId="179AFC8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建设项目环境保护管理是指项目在施工期和营运期必须遵守国家、自治区、中卫市的有关环境保护法律法规、政策与标准，接受地方生态环境主管部门的监督，调整和制定环境规划保护目标，协调同有关部门的关系以及一切与改善环境有关的管理活动。施工期环境管理见表5-</w:t>
            </w:r>
            <w:r>
              <w:rPr>
                <w:rFonts w:hint="eastAsia" w:cs="Times New Roman"/>
                <w:color w:val="auto"/>
                <w:kern w:val="0"/>
                <w:sz w:val="24"/>
                <w:szCs w:val="24"/>
                <w:highlight w:val="none"/>
                <w:lang w:val="en-US" w:eastAsia="zh-CN" w:bidi="ar-SA"/>
              </w:rPr>
              <w:t>2</w:t>
            </w:r>
            <w:r>
              <w:rPr>
                <w:rFonts w:hint="default" w:ascii="Times New Roman" w:hAnsi="Times New Roman" w:cs="Times New Roman"/>
                <w:color w:val="auto"/>
                <w:kern w:val="0"/>
                <w:sz w:val="24"/>
                <w:szCs w:val="24"/>
                <w:highlight w:val="none"/>
                <w:lang w:val="en-US" w:eastAsia="zh-CN" w:bidi="ar-SA"/>
              </w:rPr>
              <w:t>。</w:t>
            </w:r>
          </w:p>
          <w:p w14:paraId="42B2CBA1">
            <w:pPr>
              <w:pStyle w:val="63"/>
              <w:bidi w:val="0"/>
              <w:jc w:val="center"/>
              <w:rPr>
                <w:rFonts w:hint="default" w:ascii="Times New Roman" w:hAnsi="Times New Roman" w:eastAsia="黑体" w:cs="Times New Roman"/>
                <w:b w:val="0"/>
                <w:bCs/>
                <w:color w:val="auto"/>
                <w:kern w:val="44"/>
                <w:sz w:val="24"/>
                <w:szCs w:val="24"/>
                <w:highlight w:val="none"/>
                <w:lang w:val="en-US" w:eastAsia="zh-CN" w:bidi="ar-SA"/>
              </w:rPr>
            </w:pPr>
            <w:r>
              <w:rPr>
                <w:rFonts w:hint="default" w:ascii="Times New Roman" w:hAnsi="Times New Roman" w:eastAsia="黑体" w:cs="Times New Roman"/>
                <w:b w:val="0"/>
                <w:bCs/>
                <w:color w:val="auto"/>
                <w:kern w:val="44"/>
                <w:sz w:val="24"/>
                <w:szCs w:val="24"/>
                <w:highlight w:val="none"/>
                <w:lang w:val="en-US" w:eastAsia="zh-CN" w:bidi="ar-SA"/>
              </w:rPr>
              <w:t>表5-</w:t>
            </w:r>
            <w:r>
              <w:rPr>
                <w:rFonts w:hint="eastAsia" w:eastAsia="黑体" w:cs="Times New Roman"/>
                <w:b w:val="0"/>
                <w:bCs/>
                <w:color w:val="auto"/>
                <w:kern w:val="44"/>
                <w:sz w:val="24"/>
                <w:szCs w:val="24"/>
                <w:highlight w:val="none"/>
                <w:lang w:val="en-US" w:eastAsia="zh-CN" w:bidi="ar-SA"/>
              </w:rPr>
              <w:t>2</w:t>
            </w:r>
            <w:r>
              <w:rPr>
                <w:rFonts w:hint="default" w:ascii="Times New Roman" w:hAnsi="Times New Roman" w:eastAsia="黑体" w:cs="Times New Roman"/>
                <w:b w:val="0"/>
                <w:bCs/>
                <w:color w:val="auto"/>
                <w:kern w:val="44"/>
                <w:sz w:val="24"/>
                <w:szCs w:val="24"/>
                <w:highlight w:val="none"/>
                <w:lang w:val="en-US" w:eastAsia="zh-CN" w:bidi="ar-SA"/>
              </w:rPr>
              <w:t xml:space="preserve">  施工期环境管理</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9"/>
              <w:gridCol w:w="1380"/>
              <w:gridCol w:w="3669"/>
              <w:gridCol w:w="2387"/>
            </w:tblGrid>
            <w:tr w14:paraId="775197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2" w:type="dxa"/>
                  <w:tcBorders>
                    <w:tl2br w:val="nil"/>
                    <w:tr2bl w:val="nil"/>
                  </w:tcBorders>
                  <w:noWrap w:val="0"/>
                  <w:vAlign w:val="center"/>
                </w:tcPr>
                <w:p w14:paraId="5A22F8E5">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类别</w:t>
                  </w:r>
                </w:p>
              </w:tc>
              <w:tc>
                <w:tcPr>
                  <w:tcW w:w="1320" w:type="dxa"/>
                  <w:tcBorders>
                    <w:tl2br w:val="nil"/>
                    <w:tr2bl w:val="nil"/>
                  </w:tcBorders>
                  <w:noWrap w:val="0"/>
                  <w:vAlign w:val="center"/>
                </w:tcPr>
                <w:p w14:paraId="04286BD1">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污染源</w:t>
                  </w:r>
                </w:p>
              </w:tc>
              <w:tc>
                <w:tcPr>
                  <w:tcW w:w="3510" w:type="dxa"/>
                  <w:tcBorders>
                    <w:tl2br w:val="nil"/>
                    <w:tr2bl w:val="nil"/>
                  </w:tcBorders>
                  <w:noWrap w:val="0"/>
                  <w:vAlign w:val="center"/>
                </w:tcPr>
                <w:p w14:paraId="0A90377D">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污染防治措施及设施</w:t>
                  </w:r>
                </w:p>
              </w:tc>
              <w:tc>
                <w:tcPr>
                  <w:tcW w:w="2284" w:type="dxa"/>
                  <w:tcBorders>
                    <w:tl2br w:val="nil"/>
                    <w:tr2bl w:val="nil"/>
                  </w:tcBorders>
                  <w:noWrap w:val="0"/>
                  <w:vAlign w:val="center"/>
                </w:tcPr>
                <w:p w14:paraId="681D5FFB">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预期效果</w:t>
                  </w:r>
                </w:p>
              </w:tc>
            </w:tr>
            <w:tr w14:paraId="104A56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2" w:type="dxa"/>
                  <w:vMerge w:val="restart"/>
                  <w:tcBorders>
                    <w:tl2br w:val="nil"/>
                    <w:tr2bl w:val="nil"/>
                  </w:tcBorders>
                  <w:noWrap w:val="0"/>
                  <w:vAlign w:val="center"/>
                </w:tcPr>
                <w:p w14:paraId="2E028D37">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废气</w:t>
                  </w:r>
                </w:p>
              </w:tc>
              <w:tc>
                <w:tcPr>
                  <w:tcW w:w="1320" w:type="dxa"/>
                  <w:tcBorders>
                    <w:tl2br w:val="nil"/>
                    <w:tr2bl w:val="nil"/>
                  </w:tcBorders>
                  <w:noWrap w:val="0"/>
                  <w:vAlign w:val="center"/>
                </w:tcPr>
                <w:p w14:paraId="6DF65618">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施工扬尘</w:t>
                  </w:r>
                </w:p>
              </w:tc>
              <w:tc>
                <w:tcPr>
                  <w:tcW w:w="3510" w:type="dxa"/>
                  <w:tcBorders>
                    <w:tl2br w:val="nil"/>
                    <w:tr2bl w:val="nil"/>
                  </w:tcBorders>
                  <w:noWrap w:val="0"/>
                  <w:vAlign w:val="center"/>
                </w:tcPr>
                <w:p w14:paraId="74F05686">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both"/>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①施工作业过程中，由洒水车定期进行洒水抑尘</w:t>
                  </w:r>
                  <w:r>
                    <w:rPr>
                      <w:rFonts w:hint="default" w:ascii="Times New Roman" w:hAnsi="Times New Roman" w:cs="Times New Roman"/>
                      <w:b w:val="0"/>
                      <w:bCs w:val="0"/>
                      <w:color w:val="auto"/>
                      <w:sz w:val="21"/>
                      <w:szCs w:val="21"/>
                      <w:highlight w:val="none"/>
                      <w:lang w:eastAsia="zh-CN"/>
                    </w:rPr>
                    <w:t>。</w:t>
                  </w:r>
                </w:p>
                <w:p w14:paraId="10AE1048">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both"/>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②运输车辆在易产生扬尘的路段应慢速行驶，保持车辆进出施工现场出入口路面清洁、湿润</w:t>
                  </w:r>
                  <w:r>
                    <w:rPr>
                      <w:rFonts w:hint="default" w:ascii="Times New Roman" w:hAnsi="Times New Roman" w:cs="Times New Roman"/>
                      <w:b w:val="0"/>
                      <w:bCs w:val="0"/>
                      <w:color w:val="auto"/>
                      <w:sz w:val="21"/>
                      <w:szCs w:val="21"/>
                      <w:highlight w:val="none"/>
                      <w:lang w:eastAsia="zh-CN"/>
                    </w:rPr>
                    <w:t>。</w:t>
                  </w:r>
                </w:p>
              </w:tc>
              <w:tc>
                <w:tcPr>
                  <w:tcW w:w="2284" w:type="dxa"/>
                  <w:vMerge w:val="restart"/>
                  <w:tcBorders>
                    <w:tl2br w:val="nil"/>
                    <w:tr2bl w:val="nil"/>
                  </w:tcBorders>
                  <w:noWrap w:val="0"/>
                  <w:vAlign w:val="center"/>
                </w:tcPr>
                <w:p w14:paraId="074B97BD">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有效减轻其污染影响程度和范围</w:t>
                  </w:r>
                </w:p>
              </w:tc>
            </w:tr>
            <w:tr w14:paraId="361ED4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2" w:type="dxa"/>
                  <w:vMerge w:val="continue"/>
                  <w:tcBorders>
                    <w:tl2br w:val="nil"/>
                    <w:tr2bl w:val="nil"/>
                  </w:tcBorders>
                  <w:noWrap w:val="0"/>
                  <w:vAlign w:val="center"/>
                </w:tcPr>
                <w:p w14:paraId="6F63B738">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p>
              </w:tc>
              <w:tc>
                <w:tcPr>
                  <w:tcW w:w="1320" w:type="dxa"/>
                  <w:tcBorders>
                    <w:tl2br w:val="nil"/>
                    <w:tr2bl w:val="nil"/>
                  </w:tcBorders>
                  <w:noWrap w:val="0"/>
                  <w:vAlign w:val="center"/>
                </w:tcPr>
                <w:p w14:paraId="2CC35E5A">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施工机械尾气</w:t>
                  </w:r>
                </w:p>
              </w:tc>
              <w:tc>
                <w:tcPr>
                  <w:tcW w:w="3510" w:type="dxa"/>
                  <w:tcBorders>
                    <w:tl2br w:val="nil"/>
                    <w:tr2bl w:val="nil"/>
                  </w:tcBorders>
                  <w:noWrap w:val="0"/>
                  <w:vAlign w:val="center"/>
                </w:tcPr>
                <w:p w14:paraId="3154B259">
                  <w:pPr>
                    <w:pStyle w:val="38"/>
                    <w:keepNext w:val="0"/>
                    <w:keepLines w:val="0"/>
                    <w:pageBreakBefore w:val="0"/>
                    <w:widowControl w:val="0"/>
                    <w:kinsoku/>
                    <w:wordWrap/>
                    <w:overflowPunct/>
                    <w:topLinePunct w:val="0"/>
                    <w:autoSpaceDE/>
                    <w:autoSpaceDN/>
                    <w:bidi w:val="0"/>
                    <w:spacing w:line="240" w:lineRule="exact"/>
                    <w:ind w:left="0" w:leftChars="0" w:firstLine="420" w:firstLineChars="200"/>
                    <w:jc w:val="both"/>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项目所在地较为开阔，空气流通较好，汽车排放的废气能够较快地扩散，不会对当地的环境空气产生较大影响，但项目建设过程中仍应采取控制措施，加强施工机械的维护，使环境空气质量受到的影响降至最低。</w:t>
                  </w:r>
                </w:p>
              </w:tc>
              <w:tc>
                <w:tcPr>
                  <w:tcW w:w="2284" w:type="dxa"/>
                  <w:vMerge w:val="continue"/>
                  <w:tcBorders>
                    <w:tl2br w:val="nil"/>
                    <w:tr2bl w:val="nil"/>
                  </w:tcBorders>
                  <w:noWrap w:val="0"/>
                  <w:vAlign w:val="center"/>
                </w:tcPr>
                <w:p w14:paraId="49C4D064">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p>
              </w:tc>
            </w:tr>
            <w:tr w14:paraId="064404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2" w:type="dxa"/>
                  <w:tcBorders>
                    <w:tl2br w:val="nil"/>
                    <w:tr2bl w:val="nil"/>
                  </w:tcBorders>
                  <w:noWrap w:val="0"/>
                  <w:vAlign w:val="center"/>
                </w:tcPr>
                <w:p w14:paraId="7387EE24">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废水</w:t>
                  </w:r>
                </w:p>
              </w:tc>
              <w:tc>
                <w:tcPr>
                  <w:tcW w:w="1320" w:type="dxa"/>
                  <w:tcBorders>
                    <w:tl2br w:val="nil"/>
                    <w:tr2bl w:val="nil"/>
                  </w:tcBorders>
                  <w:noWrap w:val="0"/>
                  <w:vAlign w:val="center"/>
                </w:tcPr>
                <w:p w14:paraId="262ABE76">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生活污水</w:t>
                  </w:r>
                </w:p>
              </w:tc>
              <w:tc>
                <w:tcPr>
                  <w:tcW w:w="3510" w:type="dxa"/>
                  <w:tcBorders>
                    <w:tl2br w:val="nil"/>
                    <w:tr2bl w:val="nil"/>
                  </w:tcBorders>
                  <w:noWrap w:val="0"/>
                  <w:vAlign w:val="center"/>
                </w:tcPr>
                <w:p w14:paraId="25EA0A3C">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cs="Times New Roman"/>
                      <w:color w:val="auto"/>
                      <w:szCs w:val="21"/>
                      <w:highlight w:val="none"/>
                      <w:lang w:val="en-US" w:eastAsia="zh-CN"/>
                    </w:rPr>
                    <w:t>生活污水经配套设置的临时化粪池处理后由粪污车拉运至距离较近的乡镇生活污水处理设施处理。</w:t>
                  </w:r>
                </w:p>
              </w:tc>
              <w:tc>
                <w:tcPr>
                  <w:tcW w:w="2284" w:type="dxa"/>
                  <w:tcBorders>
                    <w:tl2br w:val="nil"/>
                    <w:tr2bl w:val="nil"/>
                  </w:tcBorders>
                  <w:noWrap w:val="0"/>
                  <w:vAlign w:val="center"/>
                </w:tcPr>
                <w:p w14:paraId="3FB1AD92">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减少对区域水体环境的影响</w:t>
                  </w:r>
                </w:p>
              </w:tc>
            </w:tr>
            <w:tr w14:paraId="2CE829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2" w:type="dxa"/>
                  <w:tcBorders>
                    <w:tl2br w:val="nil"/>
                    <w:tr2bl w:val="nil"/>
                  </w:tcBorders>
                  <w:noWrap w:val="0"/>
                  <w:vAlign w:val="center"/>
                </w:tcPr>
                <w:p w14:paraId="5390D688">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噪声</w:t>
                  </w:r>
                </w:p>
              </w:tc>
              <w:tc>
                <w:tcPr>
                  <w:tcW w:w="1320" w:type="dxa"/>
                  <w:tcBorders>
                    <w:tl2br w:val="nil"/>
                    <w:tr2bl w:val="nil"/>
                  </w:tcBorders>
                  <w:noWrap w:val="0"/>
                  <w:vAlign w:val="center"/>
                </w:tcPr>
                <w:p w14:paraId="6CA815D3">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施工设备及车辆噪声</w:t>
                  </w:r>
                </w:p>
              </w:tc>
              <w:tc>
                <w:tcPr>
                  <w:tcW w:w="3510" w:type="dxa"/>
                  <w:tcBorders>
                    <w:tl2br w:val="nil"/>
                    <w:tr2bl w:val="nil"/>
                  </w:tcBorders>
                  <w:noWrap w:val="0"/>
                  <w:vAlign w:val="center"/>
                </w:tcPr>
                <w:p w14:paraId="49B03B8B">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both"/>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①选用低噪施工机械设备。</w:t>
                  </w:r>
                </w:p>
                <w:p w14:paraId="7D5F688A">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both"/>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②合理安排高噪设备施工时间。</w:t>
                  </w:r>
                </w:p>
                <w:p w14:paraId="7E83FDB0">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③物料运输路线尽量远离声敏感点。</w:t>
                  </w:r>
                </w:p>
              </w:tc>
              <w:tc>
                <w:tcPr>
                  <w:tcW w:w="2284" w:type="dxa"/>
                  <w:tcBorders>
                    <w:tl2br w:val="nil"/>
                    <w:tr2bl w:val="nil"/>
                  </w:tcBorders>
                  <w:noWrap w:val="0"/>
                  <w:vAlign w:val="center"/>
                </w:tcPr>
                <w:p w14:paraId="5774E5AD">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达到</w:t>
                  </w:r>
                  <w:r>
                    <w:rPr>
                      <w:rFonts w:hint="default" w:ascii="Times New Roman" w:hAnsi="Times New Roman" w:eastAsia="宋体" w:cs="Times New Roman"/>
                      <w:b w:val="0"/>
                      <w:bCs w:val="0"/>
                      <w:color w:val="auto"/>
                      <w:sz w:val="21"/>
                      <w:szCs w:val="21"/>
                      <w:highlight w:val="none"/>
                      <w:lang w:val="en-US" w:eastAsia="zh-CN"/>
                    </w:rPr>
                    <w:t>《建筑施工噪声排放标准》（GB12523-2025）</w:t>
                  </w:r>
                  <w:r>
                    <w:rPr>
                      <w:rFonts w:hint="default" w:ascii="Times New Roman" w:hAnsi="Times New Roman" w:eastAsia="宋体" w:cs="Times New Roman"/>
                      <w:b w:val="0"/>
                      <w:bCs w:val="0"/>
                      <w:color w:val="auto"/>
                      <w:sz w:val="21"/>
                      <w:szCs w:val="21"/>
                      <w:highlight w:val="none"/>
                      <w:lang w:eastAsia="zh-CN"/>
                    </w:rPr>
                    <w:t>要求</w:t>
                  </w:r>
                </w:p>
              </w:tc>
            </w:tr>
            <w:tr w14:paraId="5D6F5D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2" w:type="dxa"/>
                  <w:tcBorders>
                    <w:tl2br w:val="nil"/>
                    <w:tr2bl w:val="nil"/>
                  </w:tcBorders>
                  <w:noWrap w:val="0"/>
                  <w:vAlign w:val="center"/>
                </w:tcPr>
                <w:p w14:paraId="20767F59">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固废</w:t>
                  </w:r>
                </w:p>
              </w:tc>
              <w:tc>
                <w:tcPr>
                  <w:tcW w:w="1320" w:type="dxa"/>
                  <w:tcBorders>
                    <w:tl2br w:val="nil"/>
                    <w:tr2bl w:val="nil"/>
                  </w:tcBorders>
                  <w:noWrap w:val="0"/>
                  <w:vAlign w:val="center"/>
                </w:tcPr>
                <w:p w14:paraId="16E92365">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eastAsia" w:ascii="Times New Roman" w:cs="Times New Roman"/>
                      <w:b w:val="0"/>
                      <w:bCs w:val="0"/>
                      <w:color w:val="auto"/>
                      <w:sz w:val="21"/>
                      <w:szCs w:val="21"/>
                      <w:highlight w:val="none"/>
                      <w:lang w:val="en-US" w:eastAsia="zh-CN"/>
                    </w:rPr>
                    <w:t>土方、</w:t>
                  </w:r>
                  <w:r>
                    <w:rPr>
                      <w:rFonts w:hint="default" w:ascii="Times New Roman" w:hAnsi="Times New Roman" w:cs="Times New Roman"/>
                      <w:b w:val="0"/>
                      <w:bCs w:val="0"/>
                      <w:color w:val="auto"/>
                      <w:sz w:val="21"/>
                      <w:szCs w:val="21"/>
                      <w:highlight w:val="none"/>
                      <w:lang w:val="en-US" w:eastAsia="zh-CN"/>
                    </w:rPr>
                    <w:t>淤泥及</w:t>
                  </w:r>
                  <w:r>
                    <w:rPr>
                      <w:rFonts w:hint="default" w:ascii="Times New Roman" w:hAnsi="Times New Roman" w:eastAsia="宋体" w:cs="Times New Roman"/>
                      <w:b w:val="0"/>
                      <w:bCs w:val="0"/>
                      <w:color w:val="auto"/>
                      <w:sz w:val="21"/>
                      <w:szCs w:val="21"/>
                      <w:highlight w:val="none"/>
                      <w:lang w:eastAsia="zh-CN"/>
                    </w:rPr>
                    <w:t>建筑垃圾</w:t>
                  </w:r>
                </w:p>
              </w:tc>
              <w:tc>
                <w:tcPr>
                  <w:tcW w:w="3510" w:type="dxa"/>
                  <w:tcBorders>
                    <w:tl2br w:val="nil"/>
                    <w:tr2bl w:val="nil"/>
                  </w:tcBorders>
                  <w:noWrap w:val="0"/>
                  <w:vAlign w:val="center"/>
                </w:tcPr>
                <w:p w14:paraId="27F54C4C">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0"/>
                      <w:sz w:val="21"/>
                      <w:szCs w:val="21"/>
                      <w:highlight w:val="none"/>
                    </w:rPr>
                    <w:t>施工期开挖土方绝大部分回填</w:t>
                  </w:r>
                  <w:r>
                    <w:rPr>
                      <w:rFonts w:hint="eastAsia" w:cs="Times New Roman"/>
                      <w:color w:val="auto"/>
                      <w:kern w:val="0"/>
                      <w:sz w:val="21"/>
                      <w:szCs w:val="21"/>
                      <w:highlight w:val="none"/>
                      <w:lang w:eastAsia="zh-CN"/>
                    </w:rPr>
                    <w:t>，</w:t>
                  </w:r>
                  <w:r>
                    <w:rPr>
                      <w:rFonts w:hint="default" w:ascii="Times New Roman" w:hAnsi="Times New Roman" w:cs="Times New Roman"/>
                      <w:color w:val="auto"/>
                      <w:sz w:val="21"/>
                      <w:szCs w:val="21"/>
                      <w:highlight w:val="none"/>
                      <w:lang w:val="en-US" w:eastAsia="zh-CN"/>
                    </w:rPr>
                    <w:t>剩余土方</w:t>
                  </w:r>
                  <w:r>
                    <w:rPr>
                      <w:rFonts w:hint="eastAsia" w:cs="Times New Roman"/>
                      <w:color w:val="auto"/>
                      <w:kern w:val="0"/>
                      <w:sz w:val="21"/>
                      <w:szCs w:val="21"/>
                      <w:highlight w:val="none"/>
                      <w:lang w:val="en-US" w:eastAsia="zh-CN"/>
                    </w:rPr>
                    <w:t>与晾干后的淤泥一并</w:t>
                  </w:r>
                  <w:r>
                    <w:rPr>
                      <w:rFonts w:hint="default" w:ascii="Times New Roman" w:hAnsi="Times New Roman" w:cs="Times New Roman"/>
                      <w:color w:val="auto"/>
                      <w:kern w:val="0"/>
                      <w:sz w:val="21"/>
                      <w:szCs w:val="21"/>
                      <w:highlight w:val="none"/>
                    </w:rPr>
                    <w:t>拉运至项目修建巡护道路基础填筑综合利用</w:t>
                  </w:r>
                  <w:r>
                    <w:rPr>
                      <w:rFonts w:hint="eastAsia"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清淤淤泥</w:t>
                  </w:r>
                  <w:r>
                    <w:rPr>
                      <w:rFonts w:hint="default" w:ascii="Times New Roman" w:hAnsi="Times New Roman" w:cs="Times New Roman"/>
                      <w:color w:val="auto"/>
                      <w:kern w:val="0"/>
                      <w:sz w:val="21"/>
                      <w:szCs w:val="21"/>
                      <w:highlight w:val="none"/>
                    </w:rPr>
                    <w:t>晒干后</w:t>
                  </w:r>
                  <w:r>
                    <w:rPr>
                      <w:rFonts w:hint="eastAsia" w:cs="Times New Roman"/>
                      <w:color w:val="auto"/>
                      <w:kern w:val="0"/>
                      <w:sz w:val="21"/>
                      <w:szCs w:val="21"/>
                      <w:highlight w:val="none"/>
                      <w:lang w:val="en-US" w:eastAsia="zh-CN"/>
                    </w:rPr>
                    <w:t>与砌护工程产生的多余土方一并</w:t>
                  </w:r>
                  <w:r>
                    <w:rPr>
                      <w:rFonts w:hint="default" w:ascii="Times New Roman" w:hAnsi="Times New Roman" w:cs="Times New Roman"/>
                      <w:color w:val="auto"/>
                      <w:kern w:val="0"/>
                      <w:sz w:val="21"/>
                      <w:szCs w:val="21"/>
                      <w:highlight w:val="none"/>
                    </w:rPr>
                    <w:t>拉运至项目修建巡护道路基础填筑综合利用。</w:t>
                  </w:r>
                  <w:r>
                    <w:rPr>
                      <w:rFonts w:hint="eastAsia" w:ascii="Times New Roman" w:cs="Times New Roman"/>
                      <w:b w:val="0"/>
                      <w:bCs w:val="0"/>
                      <w:color w:val="auto"/>
                      <w:sz w:val="21"/>
                      <w:szCs w:val="21"/>
                      <w:highlight w:val="none"/>
                      <w:lang w:val="en-US" w:eastAsia="zh-CN"/>
                    </w:rPr>
                    <w:t>施工过程中产生的建筑垃圾集中清运至指定地点进行妥善处置。</w:t>
                  </w:r>
                </w:p>
              </w:tc>
              <w:tc>
                <w:tcPr>
                  <w:tcW w:w="2284" w:type="dxa"/>
                  <w:tcBorders>
                    <w:tl2br w:val="nil"/>
                    <w:tr2bl w:val="nil"/>
                  </w:tcBorders>
                  <w:noWrap w:val="0"/>
                  <w:vAlign w:val="center"/>
                </w:tcPr>
                <w:p w14:paraId="72EA8A56">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有效减少</w:t>
                  </w:r>
                  <w:r>
                    <w:rPr>
                      <w:rFonts w:hint="default" w:ascii="Times New Roman" w:hAnsi="Times New Roman" w:cs="Times New Roman"/>
                      <w:b w:val="0"/>
                      <w:bCs w:val="0"/>
                      <w:color w:val="auto"/>
                      <w:sz w:val="21"/>
                      <w:szCs w:val="21"/>
                      <w:highlight w:val="none"/>
                      <w:lang w:eastAsia="zh-CN"/>
                    </w:rPr>
                    <w:t>固体废物</w:t>
                  </w:r>
                  <w:r>
                    <w:rPr>
                      <w:rFonts w:hint="default" w:ascii="Times New Roman" w:hAnsi="Times New Roman" w:eastAsia="宋体" w:cs="Times New Roman"/>
                      <w:b w:val="0"/>
                      <w:bCs w:val="0"/>
                      <w:color w:val="auto"/>
                      <w:sz w:val="21"/>
                      <w:szCs w:val="21"/>
                      <w:highlight w:val="none"/>
                      <w:lang w:eastAsia="zh-CN"/>
                    </w:rPr>
                    <w:t>对评价范围的影响，减少项目水土流失</w:t>
                  </w:r>
                </w:p>
              </w:tc>
            </w:tr>
            <w:tr w14:paraId="3FF0A5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2" w:type="dxa"/>
                  <w:tcBorders>
                    <w:tl2br w:val="nil"/>
                    <w:tr2bl w:val="nil"/>
                  </w:tcBorders>
                  <w:noWrap w:val="0"/>
                  <w:vAlign w:val="center"/>
                </w:tcPr>
                <w:p w14:paraId="6796837B">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生态</w:t>
                  </w:r>
                </w:p>
              </w:tc>
              <w:tc>
                <w:tcPr>
                  <w:tcW w:w="1320" w:type="dxa"/>
                  <w:tcBorders>
                    <w:tl2br w:val="nil"/>
                    <w:tr2bl w:val="nil"/>
                  </w:tcBorders>
                  <w:noWrap w:val="0"/>
                  <w:vAlign w:val="center"/>
                </w:tcPr>
                <w:p w14:paraId="4B85432B">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工程生态恢复</w:t>
                  </w:r>
                </w:p>
              </w:tc>
              <w:tc>
                <w:tcPr>
                  <w:tcW w:w="3510" w:type="dxa"/>
                  <w:tcBorders>
                    <w:tl2br w:val="nil"/>
                    <w:tr2bl w:val="nil"/>
                  </w:tcBorders>
                  <w:noWrap w:val="0"/>
                  <w:vAlign w:val="center"/>
                </w:tcPr>
                <w:p w14:paraId="75F80BC7">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施工完成后进行恢复，并对各施工临时占地</w:t>
                  </w:r>
                  <w:r>
                    <w:rPr>
                      <w:rFonts w:hint="default" w:ascii="Times New Roman" w:hAnsi="Times New Roman" w:cs="Times New Roman"/>
                      <w:b w:val="0"/>
                      <w:bCs w:val="0"/>
                      <w:color w:val="auto"/>
                      <w:sz w:val="21"/>
                      <w:szCs w:val="21"/>
                      <w:highlight w:val="none"/>
                      <w:lang w:val="en-US" w:eastAsia="zh-CN"/>
                    </w:rPr>
                    <w:t>恢复原有状态</w:t>
                  </w:r>
                  <w:r>
                    <w:rPr>
                      <w:rFonts w:hint="default" w:ascii="Times New Roman" w:hAnsi="Times New Roman" w:eastAsia="宋体" w:cs="Times New Roman"/>
                      <w:b w:val="0"/>
                      <w:bCs w:val="0"/>
                      <w:color w:val="auto"/>
                      <w:sz w:val="21"/>
                      <w:szCs w:val="21"/>
                      <w:highlight w:val="none"/>
                      <w:lang w:eastAsia="zh-CN"/>
                    </w:rPr>
                    <w:t>。</w:t>
                  </w:r>
                </w:p>
              </w:tc>
              <w:tc>
                <w:tcPr>
                  <w:tcW w:w="2284" w:type="dxa"/>
                  <w:tcBorders>
                    <w:tl2br w:val="nil"/>
                    <w:tr2bl w:val="nil"/>
                  </w:tcBorders>
                  <w:noWrap w:val="0"/>
                  <w:vAlign w:val="center"/>
                </w:tcPr>
                <w:p w14:paraId="674A82D8">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临时占地</w:t>
                  </w:r>
                  <w:r>
                    <w:rPr>
                      <w:rFonts w:hint="default" w:ascii="Times New Roman" w:hAnsi="Times New Roman" w:eastAsia="宋体" w:cs="Times New Roman"/>
                      <w:b w:val="0"/>
                      <w:bCs w:val="0"/>
                      <w:color w:val="auto"/>
                      <w:sz w:val="21"/>
                      <w:szCs w:val="21"/>
                      <w:highlight w:val="none"/>
                      <w:lang w:eastAsia="zh-CN"/>
                    </w:rPr>
                    <w:t>土地功能得到恢复，生态环境逐步改善</w:t>
                  </w:r>
                </w:p>
              </w:tc>
            </w:tr>
          </w:tbl>
          <w:p w14:paraId="7F7EF14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黑体" w:cs="Times New Roman"/>
                <w:b w:val="0"/>
                <w:bCs w:val="0"/>
                <w:color w:val="auto"/>
                <w:kern w:val="0"/>
                <w:sz w:val="24"/>
                <w:szCs w:val="24"/>
                <w:highlight w:val="none"/>
                <w:lang w:val="en-US" w:eastAsia="zh-CN" w:bidi="ar-SA"/>
              </w:rPr>
            </w:pPr>
            <w:r>
              <w:rPr>
                <w:rFonts w:hint="default" w:ascii="Times New Roman" w:hAnsi="Times New Roman" w:eastAsia="黑体" w:cs="Times New Roman"/>
                <w:b w:val="0"/>
                <w:bCs w:val="0"/>
                <w:color w:val="auto"/>
                <w:kern w:val="0"/>
                <w:sz w:val="24"/>
                <w:szCs w:val="24"/>
                <w:highlight w:val="none"/>
                <w:lang w:val="en-US" w:eastAsia="zh-CN" w:bidi="ar-SA"/>
              </w:rPr>
              <w:t>1.2环境监测</w:t>
            </w:r>
          </w:p>
          <w:p w14:paraId="3F50A58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环境监测单位将根据国家环境部颁布的各项导则和标准规定的方法进行采样、保存和分析样品，与项目的环境监测的要求相同。本工程环境监测计划主要为施工期，监测内容主要有噪声、环境空气和生态</w:t>
            </w:r>
            <w:r>
              <w:rPr>
                <w:rFonts w:hint="eastAsia" w:cs="Times New Roman"/>
                <w:color w:val="auto"/>
                <w:kern w:val="0"/>
                <w:sz w:val="24"/>
                <w:szCs w:val="24"/>
                <w:highlight w:val="none"/>
                <w:lang w:val="en-US" w:eastAsia="zh-CN" w:bidi="ar-SA"/>
              </w:rPr>
              <w:t>三</w:t>
            </w:r>
            <w:r>
              <w:rPr>
                <w:rFonts w:hint="default" w:ascii="Times New Roman" w:hAnsi="Times New Roman" w:cs="Times New Roman"/>
                <w:color w:val="auto"/>
                <w:kern w:val="0"/>
                <w:sz w:val="24"/>
                <w:szCs w:val="24"/>
                <w:highlight w:val="none"/>
                <w:lang w:val="en-US" w:eastAsia="zh-CN" w:bidi="ar-SA"/>
              </w:rPr>
              <w:t>部分。监测计划见表5-</w:t>
            </w:r>
            <w:r>
              <w:rPr>
                <w:rFonts w:hint="eastAsia" w:cs="Times New Roman"/>
                <w:color w:val="auto"/>
                <w:kern w:val="0"/>
                <w:sz w:val="24"/>
                <w:szCs w:val="24"/>
                <w:highlight w:val="none"/>
                <w:lang w:val="en-US" w:eastAsia="zh-CN" w:bidi="ar-SA"/>
              </w:rPr>
              <w:t>3</w:t>
            </w:r>
            <w:r>
              <w:rPr>
                <w:rFonts w:hint="default" w:ascii="Times New Roman" w:hAnsi="Times New Roman" w:cs="Times New Roman"/>
                <w:color w:val="auto"/>
                <w:kern w:val="0"/>
                <w:sz w:val="24"/>
                <w:szCs w:val="24"/>
                <w:highlight w:val="none"/>
                <w:lang w:val="en-US" w:eastAsia="zh-CN" w:bidi="ar-SA"/>
              </w:rPr>
              <w:t>。</w:t>
            </w:r>
          </w:p>
          <w:p w14:paraId="5600442D">
            <w:pPr>
              <w:pStyle w:val="63"/>
              <w:bidi w:val="0"/>
              <w:jc w:val="center"/>
              <w:rPr>
                <w:rFonts w:hint="default" w:ascii="Times New Roman" w:hAnsi="Times New Roman" w:eastAsia="黑体" w:cs="Times New Roman"/>
                <w:b w:val="0"/>
                <w:bCs/>
                <w:color w:val="auto"/>
                <w:kern w:val="44"/>
                <w:sz w:val="24"/>
                <w:szCs w:val="24"/>
                <w:highlight w:val="none"/>
                <w:lang w:val="en-US" w:eastAsia="zh-CN" w:bidi="ar-SA"/>
              </w:rPr>
            </w:pPr>
            <w:r>
              <w:rPr>
                <w:rFonts w:hint="default" w:ascii="Times New Roman" w:hAnsi="Times New Roman" w:eastAsia="黑体" w:cs="Times New Roman"/>
                <w:b w:val="0"/>
                <w:bCs/>
                <w:color w:val="auto"/>
                <w:kern w:val="44"/>
                <w:sz w:val="24"/>
                <w:szCs w:val="24"/>
                <w:highlight w:val="none"/>
                <w:lang w:val="en-US" w:eastAsia="zh-CN" w:bidi="ar-SA"/>
              </w:rPr>
              <w:t>表5-</w:t>
            </w:r>
            <w:r>
              <w:rPr>
                <w:rFonts w:hint="eastAsia" w:eastAsia="黑体" w:cs="Times New Roman"/>
                <w:b w:val="0"/>
                <w:bCs/>
                <w:color w:val="auto"/>
                <w:kern w:val="44"/>
                <w:sz w:val="24"/>
                <w:szCs w:val="24"/>
                <w:highlight w:val="none"/>
                <w:lang w:val="en-US" w:eastAsia="zh-CN" w:bidi="ar-SA"/>
              </w:rPr>
              <w:t>3</w:t>
            </w:r>
            <w:r>
              <w:rPr>
                <w:rFonts w:hint="default" w:ascii="Times New Roman" w:hAnsi="Times New Roman" w:eastAsia="黑体" w:cs="Times New Roman"/>
                <w:b w:val="0"/>
                <w:bCs/>
                <w:color w:val="auto"/>
                <w:kern w:val="44"/>
                <w:sz w:val="24"/>
                <w:szCs w:val="24"/>
                <w:highlight w:val="none"/>
                <w:lang w:val="en-US" w:eastAsia="zh-CN" w:bidi="ar-SA"/>
              </w:rPr>
              <w:t xml:space="preserve">  环境监测计划</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705"/>
              <w:gridCol w:w="825"/>
              <w:gridCol w:w="1110"/>
              <w:gridCol w:w="2170"/>
              <w:gridCol w:w="2845"/>
            </w:tblGrid>
            <w:tr w14:paraId="59ABBE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4" w:type="pct"/>
                  <w:tcBorders>
                    <w:tl2br w:val="nil"/>
                    <w:tr2bl w:val="nil"/>
                  </w:tcBorders>
                  <w:noWrap w:val="0"/>
                  <w:vAlign w:val="center"/>
                </w:tcPr>
                <w:p w14:paraId="21DFB3D1">
                  <w:pPr>
                    <w:adjustRightInd w:val="0"/>
                    <w:snapToGrid w:val="0"/>
                    <w:jc w:val="center"/>
                    <w:rPr>
                      <w:rFonts w:hint="default" w:ascii="Times New Roman" w:hAnsi="Times New Roman" w:eastAsia="宋体" w:cs="Times New Roman"/>
                      <w:b/>
                      <w:bCs/>
                      <w:color w:val="auto"/>
                      <w:szCs w:val="21"/>
                      <w:highlight w:val="none"/>
                      <w:lang w:eastAsia="zh-CN"/>
                    </w:rPr>
                  </w:pPr>
                  <w:r>
                    <w:rPr>
                      <w:rFonts w:hint="default" w:ascii="Times New Roman" w:hAnsi="Times New Roman" w:cs="Times New Roman"/>
                      <w:b/>
                      <w:bCs/>
                      <w:color w:val="auto"/>
                      <w:szCs w:val="21"/>
                      <w:highlight w:val="none"/>
                      <w:lang w:eastAsia="zh-CN"/>
                    </w:rPr>
                    <w:t>时期</w:t>
                  </w:r>
                </w:p>
              </w:tc>
              <w:tc>
                <w:tcPr>
                  <w:tcW w:w="425" w:type="pct"/>
                  <w:tcBorders>
                    <w:tl2br w:val="nil"/>
                    <w:tr2bl w:val="nil"/>
                  </w:tcBorders>
                  <w:noWrap w:val="0"/>
                  <w:vAlign w:val="center"/>
                </w:tcPr>
                <w:p w14:paraId="5BC93845">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监测内容</w:t>
                  </w:r>
                </w:p>
              </w:tc>
              <w:tc>
                <w:tcPr>
                  <w:tcW w:w="497" w:type="pct"/>
                  <w:tcBorders>
                    <w:tl2br w:val="nil"/>
                    <w:tr2bl w:val="nil"/>
                  </w:tcBorders>
                  <w:noWrap w:val="0"/>
                  <w:vAlign w:val="center"/>
                </w:tcPr>
                <w:p w14:paraId="58570487">
                  <w:pPr>
                    <w:adjustRightInd w:val="0"/>
                    <w:snapToGrid w:val="0"/>
                    <w:jc w:val="center"/>
                    <w:rPr>
                      <w:rFonts w:hint="default" w:ascii="Times New Roman" w:hAnsi="Times New Roman" w:eastAsia="宋体" w:cs="Times New Roman"/>
                      <w:b/>
                      <w:bCs/>
                      <w:color w:val="auto"/>
                      <w:szCs w:val="21"/>
                      <w:highlight w:val="none"/>
                      <w:lang w:eastAsia="zh-CN"/>
                    </w:rPr>
                  </w:pPr>
                  <w:r>
                    <w:rPr>
                      <w:rFonts w:hint="default" w:ascii="Times New Roman" w:hAnsi="Times New Roman" w:cs="Times New Roman"/>
                      <w:b/>
                      <w:bCs/>
                      <w:color w:val="auto"/>
                      <w:szCs w:val="21"/>
                      <w:highlight w:val="none"/>
                      <w:lang w:eastAsia="zh-CN"/>
                    </w:rPr>
                    <w:t>指标</w:t>
                  </w:r>
                </w:p>
              </w:tc>
              <w:tc>
                <w:tcPr>
                  <w:tcW w:w="669" w:type="pct"/>
                  <w:tcBorders>
                    <w:tl2br w:val="nil"/>
                    <w:tr2bl w:val="nil"/>
                  </w:tcBorders>
                  <w:noWrap w:val="0"/>
                  <w:vAlign w:val="center"/>
                </w:tcPr>
                <w:p w14:paraId="425431E6">
                  <w:pPr>
                    <w:adjustRightInd w:val="0"/>
                    <w:snapToGrid w:val="0"/>
                    <w:jc w:val="center"/>
                    <w:rPr>
                      <w:rFonts w:hint="default" w:ascii="Times New Roman" w:hAnsi="Times New Roman" w:eastAsia="宋体" w:cs="Times New Roman"/>
                      <w:b/>
                      <w:bCs/>
                      <w:color w:val="auto"/>
                      <w:szCs w:val="21"/>
                      <w:highlight w:val="none"/>
                      <w:lang w:eastAsia="zh-CN"/>
                    </w:rPr>
                  </w:pPr>
                  <w:r>
                    <w:rPr>
                      <w:rFonts w:hint="default" w:ascii="Times New Roman" w:hAnsi="Times New Roman" w:cs="Times New Roman"/>
                      <w:b/>
                      <w:bCs/>
                      <w:color w:val="auto"/>
                      <w:szCs w:val="21"/>
                      <w:highlight w:val="none"/>
                    </w:rPr>
                    <w:t>监测</w:t>
                  </w:r>
                  <w:r>
                    <w:rPr>
                      <w:rFonts w:hint="default" w:ascii="Times New Roman" w:hAnsi="Times New Roman" w:cs="Times New Roman"/>
                      <w:b/>
                      <w:bCs/>
                      <w:color w:val="auto"/>
                      <w:szCs w:val="21"/>
                      <w:highlight w:val="none"/>
                      <w:lang w:eastAsia="zh-CN"/>
                    </w:rPr>
                    <w:t>点位</w:t>
                  </w:r>
                </w:p>
              </w:tc>
              <w:tc>
                <w:tcPr>
                  <w:tcW w:w="1308" w:type="pct"/>
                  <w:tcBorders>
                    <w:tl2br w:val="nil"/>
                    <w:tr2bl w:val="nil"/>
                  </w:tcBorders>
                  <w:noWrap w:val="0"/>
                  <w:vAlign w:val="center"/>
                </w:tcPr>
                <w:p w14:paraId="2A69321A">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监测频次</w:t>
                  </w:r>
                </w:p>
              </w:tc>
              <w:tc>
                <w:tcPr>
                  <w:tcW w:w="1714" w:type="pct"/>
                  <w:tcBorders>
                    <w:tl2br w:val="nil"/>
                    <w:tr2bl w:val="nil"/>
                  </w:tcBorders>
                  <w:noWrap w:val="0"/>
                  <w:vAlign w:val="center"/>
                </w:tcPr>
                <w:p w14:paraId="16213AA2">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执行标准</w:t>
                  </w:r>
                </w:p>
              </w:tc>
            </w:tr>
            <w:tr w14:paraId="796956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84" w:type="pct"/>
                  <w:vMerge w:val="restart"/>
                  <w:tcBorders>
                    <w:tl2br w:val="nil"/>
                    <w:tr2bl w:val="nil"/>
                  </w:tcBorders>
                  <w:noWrap w:val="0"/>
                  <w:vAlign w:val="center"/>
                </w:tcPr>
                <w:p w14:paraId="32817166">
                  <w:pPr>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施工期</w:t>
                  </w:r>
                </w:p>
              </w:tc>
              <w:tc>
                <w:tcPr>
                  <w:tcW w:w="425" w:type="pct"/>
                  <w:tcBorders>
                    <w:tl2br w:val="nil"/>
                    <w:tr2bl w:val="nil"/>
                  </w:tcBorders>
                  <w:noWrap w:val="0"/>
                  <w:vAlign w:val="center"/>
                </w:tcPr>
                <w:p w14:paraId="0B0EFC37">
                  <w:pPr>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大气</w:t>
                  </w:r>
                </w:p>
              </w:tc>
              <w:tc>
                <w:tcPr>
                  <w:tcW w:w="497" w:type="pct"/>
                  <w:tcBorders>
                    <w:tl2br w:val="nil"/>
                    <w:tr2bl w:val="nil"/>
                  </w:tcBorders>
                  <w:noWrap w:val="0"/>
                  <w:vAlign w:val="center"/>
                </w:tcPr>
                <w:p w14:paraId="32DAB145">
                  <w:pPr>
                    <w:adjustRightInd w:val="0"/>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TSP</w:t>
                  </w:r>
                </w:p>
              </w:tc>
              <w:tc>
                <w:tcPr>
                  <w:tcW w:w="669" w:type="pct"/>
                  <w:vMerge w:val="restart"/>
                  <w:tcBorders>
                    <w:tl2br w:val="nil"/>
                    <w:tr2bl w:val="nil"/>
                  </w:tcBorders>
                  <w:noWrap w:val="0"/>
                  <w:vAlign w:val="center"/>
                </w:tcPr>
                <w:p w14:paraId="644088AC">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施工现场</w:t>
                  </w:r>
                  <w:r>
                    <w:rPr>
                      <w:rFonts w:hint="eastAsia" w:cs="Times New Roman"/>
                      <w:color w:val="auto"/>
                      <w:szCs w:val="21"/>
                      <w:highlight w:val="none"/>
                      <w:lang w:val="en-US" w:eastAsia="zh-CN"/>
                    </w:rPr>
                    <w:t>，施工边界外5m</w:t>
                  </w:r>
                </w:p>
              </w:tc>
              <w:tc>
                <w:tcPr>
                  <w:tcW w:w="1308" w:type="pct"/>
                  <w:tcBorders>
                    <w:tl2br w:val="nil"/>
                    <w:tr2bl w:val="nil"/>
                  </w:tcBorders>
                  <w:noWrap w:val="0"/>
                  <w:vAlign w:val="center"/>
                </w:tcPr>
                <w:p w14:paraId="079B7693">
                  <w:pPr>
                    <w:pStyle w:val="80"/>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Cs w:val="21"/>
                      <w:highlight w:val="none"/>
                    </w:rPr>
                  </w:pPr>
                  <w:r>
                    <w:rPr>
                      <w:rFonts w:hint="default" w:ascii="Times New Roman" w:hAnsi="Times New Roman" w:eastAsia="宋体" w:cs="Times New Roman"/>
                      <w:color w:val="auto"/>
                      <w:spacing w:val="-2"/>
                      <w:sz w:val="21"/>
                      <w:szCs w:val="21"/>
                      <w:highlight w:val="none"/>
                    </w:rPr>
                    <w:t>高峰期监测1次，每</w:t>
                  </w:r>
                  <w:r>
                    <w:rPr>
                      <w:rFonts w:hint="default" w:ascii="Times New Roman" w:hAnsi="Times New Roman" w:eastAsia="宋体" w:cs="Times New Roman"/>
                      <w:color w:val="auto"/>
                      <w:sz w:val="21"/>
                      <w:szCs w:val="21"/>
                      <w:highlight w:val="none"/>
                    </w:rPr>
                    <w:t>次连续监测3天，每</w:t>
                  </w:r>
                  <w:r>
                    <w:rPr>
                      <w:rFonts w:hint="default" w:ascii="Times New Roman" w:hAnsi="Times New Roman" w:eastAsia="宋体" w:cs="Times New Roman"/>
                      <w:color w:val="auto"/>
                      <w:spacing w:val="15"/>
                      <w:sz w:val="21"/>
                      <w:szCs w:val="21"/>
                      <w:highlight w:val="none"/>
                    </w:rPr>
                    <w:t>天分4个时段监测</w:t>
                  </w:r>
                </w:p>
              </w:tc>
              <w:tc>
                <w:tcPr>
                  <w:tcW w:w="1714" w:type="pct"/>
                  <w:tcBorders>
                    <w:tl2br w:val="nil"/>
                    <w:tr2bl w:val="nil"/>
                  </w:tcBorders>
                  <w:noWrap w:val="0"/>
                  <w:vAlign w:val="center"/>
                </w:tcPr>
                <w:p w14:paraId="3AE5840D">
                  <w:pPr>
                    <w:wordWrap w:val="0"/>
                    <w:topLinePunct/>
                    <w:adjustRightInd w:val="0"/>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《大气污染物综合排放标准》（GB16297-1996）中“表2无组织排放监控浓度限值标准</w:t>
                  </w:r>
                </w:p>
              </w:tc>
            </w:tr>
            <w:tr w14:paraId="10C2D0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84" w:type="pct"/>
                  <w:vMerge w:val="continue"/>
                  <w:tcBorders>
                    <w:tl2br w:val="nil"/>
                    <w:tr2bl w:val="nil"/>
                  </w:tcBorders>
                  <w:noWrap w:val="0"/>
                  <w:vAlign w:val="center"/>
                </w:tcPr>
                <w:p w14:paraId="224CBCC9">
                  <w:pPr>
                    <w:adjustRightInd w:val="0"/>
                    <w:snapToGrid w:val="0"/>
                    <w:jc w:val="center"/>
                    <w:rPr>
                      <w:rFonts w:hint="default" w:ascii="Times New Roman" w:hAnsi="Times New Roman" w:cs="Times New Roman"/>
                      <w:color w:val="auto"/>
                      <w:szCs w:val="21"/>
                      <w:highlight w:val="none"/>
                    </w:rPr>
                  </w:pPr>
                </w:p>
              </w:tc>
              <w:tc>
                <w:tcPr>
                  <w:tcW w:w="425" w:type="pct"/>
                  <w:tcBorders>
                    <w:tl2br w:val="nil"/>
                    <w:tr2bl w:val="nil"/>
                  </w:tcBorders>
                  <w:noWrap w:val="0"/>
                  <w:vAlign w:val="center"/>
                </w:tcPr>
                <w:p w14:paraId="07E477AB">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噪声</w:t>
                  </w:r>
                </w:p>
              </w:tc>
              <w:tc>
                <w:tcPr>
                  <w:tcW w:w="497" w:type="pct"/>
                  <w:tcBorders>
                    <w:tl2br w:val="nil"/>
                    <w:tr2bl w:val="nil"/>
                  </w:tcBorders>
                  <w:noWrap w:val="0"/>
                  <w:vAlign w:val="center"/>
                </w:tcPr>
                <w:p w14:paraId="756F50C1">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eastAsia="宋体" w:cs="Times New Roman"/>
                      <w:color w:val="auto"/>
                      <w:spacing w:val="5"/>
                      <w:sz w:val="21"/>
                      <w:szCs w:val="21"/>
                      <w:highlight w:val="none"/>
                    </w:rPr>
                    <w:t>等效连续A声级</w:t>
                  </w:r>
                </w:p>
              </w:tc>
              <w:tc>
                <w:tcPr>
                  <w:tcW w:w="669" w:type="pct"/>
                  <w:vMerge w:val="continue"/>
                  <w:tcBorders>
                    <w:tl2br w:val="nil"/>
                    <w:tr2bl w:val="nil"/>
                  </w:tcBorders>
                  <w:noWrap w:val="0"/>
                  <w:vAlign w:val="center"/>
                </w:tcPr>
                <w:p w14:paraId="096B8E38">
                  <w:pPr>
                    <w:adjustRightInd w:val="0"/>
                    <w:snapToGrid w:val="0"/>
                    <w:jc w:val="center"/>
                    <w:rPr>
                      <w:rFonts w:hint="default" w:ascii="Times New Roman" w:hAnsi="Times New Roman" w:cs="Times New Roman"/>
                      <w:color w:val="auto"/>
                      <w:szCs w:val="21"/>
                      <w:highlight w:val="none"/>
                    </w:rPr>
                  </w:pPr>
                </w:p>
              </w:tc>
              <w:tc>
                <w:tcPr>
                  <w:tcW w:w="1308" w:type="pct"/>
                  <w:tcBorders>
                    <w:tl2br w:val="nil"/>
                    <w:tr2bl w:val="nil"/>
                  </w:tcBorders>
                  <w:noWrap w:val="0"/>
                  <w:vAlign w:val="center"/>
                </w:tcPr>
                <w:p w14:paraId="5A7BD9F5">
                  <w:pPr>
                    <w:pStyle w:val="80"/>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Cs w:val="21"/>
                      <w:highlight w:val="none"/>
                    </w:rPr>
                  </w:pPr>
                  <w:r>
                    <w:rPr>
                      <w:rFonts w:hint="default" w:ascii="Times New Roman" w:hAnsi="Times New Roman" w:eastAsia="宋体" w:cs="Times New Roman"/>
                      <w:color w:val="auto"/>
                      <w:spacing w:val="4"/>
                      <w:sz w:val="21"/>
                      <w:szCs w:val="21"/>
                      <w:highlight w:val="none"/>
                    </w:rPr>
                    <w:t>施工期内至少一次，</w:t>
                  </w:r>
                  <w:r>
                    <w:rPr>
                      <w:rFonts w:hint="default" w:ascii="Times New Roman" w:hAnsi="Times New Roman" w:eastAsia="宋体" w:cs="Times New Roman"/>
                      <w:color w:val="auto"/>
                      <w:spacing w:val="1"/>
                      <w:sz w:val="21"/>
                      <w:szCs w:val="21"/>
                      <w:highlight w:val="none"/>
                    </w:rPr>
                    <w:t>监测</w:t>
                  </w:r>
                  <w:r>
                    <w:rPr>
                      <w:rFonts w:hint="default" w:ascii="Times New Roman" w:hAnsi="Times New Roman" w:eastAsia="宋体" w:cs="Times New Roman"/>
                      <w:color w:val="auto"/>
                      <w:spacing w:val="1"/>
                      <w:sz w:val="21"/>
                      <w:szCs w:val="21"/>
                      <w:highlight w:val="none"/>
                      <w:lang w:val="en-US" w:eastAsia="zh-CN"/>
                    </w:rPr>
                    <w:t>1</w:t>
                  </w:r>
                  <w:r>
                    <w:rPr>
                      <w:rFonts w:hint="default" w:ascii="Times New Roman" w:hAnsi="Times New Roman" w:eastAsia="宋体" w:cs="Times New Roman"/>
                      <w:color w:val="auto"/>
                      <w:spacing w:val="1"/>
                      <w:sz w:val="21"/>
                      <w:szCs w:val="21"/>
                      <w:highlight w:val="none"/>
                    </w:rPr>
                    <w:t>天，</w:t>
                  </w:r>
                  <w:r>
                    <w:rPr>
                      <w:rFonts w:hint="default" w:ascii="Times New Roman" w:hAnsi="Times New Roman" w:eastAsia="宋体" w:cs="Times New Roman"/>
                      <w:color w:val="auto"/>
                      <w:spacing w:val="14"/>
                      <w:sz w:val="21"/>
                      <w:szCs w:val="21"/>
                      <w:highlight w:val="none"/>
                    </w:rPr>
                    <w:t>昼、夜间监测1次</w:t>
                  </w:r>
                </w:p>
              </w:tc>
              <w:tc>
                <w:tcPr>
                  <w:tcW w:w="1714" w:type="pct"/>
                  <w:tcBorders>
                    <w:tl2br w:val="nil"/>
                    <w:tr2bl w:val="nil"/>
                  </w:tcBorders>
                  <w:noWrap w:val="0"/>
                  <w:vAlign w:val="center"/>
                </w:tcPr>
                <w:p w14:paraId="7289202C">
                  <w:pPr>
                    <w:wordWrap w:val="0"/>
                    <w:topLinePunct/>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《建筑施工噪声排放标准》（GB12523-2025）</w:t>
                  </w:r>
                </w:p>
              </w:tc>
            </w:tr>
            <w:tr w14:paraId="040040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53" w:hRule="atLeast"/>
                <w:jc w:val="center"/>
              </w:trPr>
              <w:tc>
                <w:tcPr>
                  <w:tcW w:w="384" w:type="pct"/>
                  <w:vMerge w:val="continue"/>
                  <w:tcBorders>
                    <w:tl2br w:val="nil"/>
                    <w:tr2bl w:val="nil"/>
                  </w:tcBorders>
                  <w:noWrap w:val="0"/>
                  <w:vAlign w:val="center"/>
                </w:tcPr>
                <w:p w14:paraId="4AABE599">
                  <w:pPr>
                    <w:adjustRightInd w:val="0"/>
                    <w:snapToGrid w:val="0"/>
                    <w:jc w:val="center"/>
                    <w:rPr>
                      <w:rFonts w:hint="default" w:ascii="Times New Roman" w:hAnsi="Times New Roman" w:cs="Times New Roman"/>
                      <w:color w:val="auto"/>
                      <w:szCs w:val="21"/>
                      <w:highlight w:val="none"/>
                    </w:rPr>
                  </w:pPr>
                </w:p>
              </w:tc>
              <w:tc>
                <w:tcPr>
                  <w:tcW w:w="425" w:type="pct"/>
                  <w:tcBorders>
                    <w:tl2br w:val="nil"/>
                    <w:tr2bl w:val="nil"/>
                  </w:tcBorders>
                  <w:noWrap w:val="0"/>
                  <w:vAlign w:val="center"/>
                </w:tcPr>
                <w:p w14:paraId="0170B7F4">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固体废物</w:t>
                  </w:r>
                </w:p>
              </w:tc>
              <w:tc>
                <w:tcPr>
                  <w:tcW w:w="497" w:type="pct"/>
                  <w:tcBorders>
                    <w:tl2br w:val="nil"/>
                    <w:tr2bl w:val="nil"/>
                  </w:tcBorders>
                  <w:noWrap w:val="0"/>
                  <w:vAlign w:val="center"/>
                </w:tcPr>
                <w:p w14:paraId="520A0B8C">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669" w:type="pct"/>
                  <w:tcBorders>
                    <w:tl2br w:val="nil"/>
                    <w:tr2bl w:val="nil"/>
                  </w:tcBorders>
                  <w:noWrap w:val="0"/>
                  <w:vAlign w:val="center"/>
                </w:tcPr>
                <w:p w14:paraId="6C0FADA2">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kern w:val="0"/>
                      <w:szCs w:val="21"/>
                      <w:highlight w:val="none"/>
                      <w:lang w:eastAsia="zh-CN" w:bidi="ar"/>
                    </w:rPr>
                    <w:t>记录</w:t>
                  </w:r>
                  <w:r>
                    <w:rPr>
                      <w:rFonts w:hint="default" w:ascii="Times New Roman" w:hAnsi="Times New Roman" w:cs="Times New Roman"/>
                      <w:color w:val="auto"/>
                      <w:kern w:val="0"/>
                      <w:szCs w:val="21"/>
                      <w:highlight w:val="none"/>
                      <w:lang w:bidi="ar"/>
                    </w:rPr>
                    <w:t>生活垃圾、</w:t>
                  </w:r>
                  <w:r>
                    <w:rPr>
                      <w:rFonts w:hint="default" w:ascii="Times New Roman" w:hAnsi="Times New Roman" w:cs="Times New Roman"/>
                      <w:color w:val="auto"/>
                      <w:kern w:val="0"/>
                      <w:szCs w:val="21"/>
                      <w:highlight w:val="none"/>
                      <w:lang w:eastAsia="zh-CN" w:bidi="ar"/>
                    </w:rPr>
                    <w:t>土石方产生量、</w:t>
                  </w:r>
                  <w:r>
                    <w:rPr>
                      <w:rFonts w:hint="eastAsia" w:cs="Times New Roman"/>
                      <w:color w:val="auto"/>
                      <w:kern w:val="0"/>
                      <w:szCs w:val="21"/>
                      <w:highlight w:val="none"/>
                      <w:lang w:val="en-US" w:eastAsia="zh-CN" w:bidi="ar"/>
                    </w:rPr>
                    <w:t>清淤淤泥产生量、</w:t>
                  </w:r>
                  <w:r>
                    <w:rPr>
                      <w:rFonts w:hint="default" w:ascii="Times New Roman" w:hAnsi="Times New Roman" w:cs="Times New Roman"/>
                      <w:color w:val="auto"/>
                      <w:kern w:val="0"/>
                      <w:szCs w:val="21"/>
                      <w:highlight w:val="none"/>
                      <w:lang w:eastAsia="zh-CN" w:bidi="ar"/>
                    </w:rPr>
                    <w:t>建筑垃圾产生量</w:t>
                  </w:r>
                </w:p>
              </w:tc>
              <w:tc>
                <w:tcPr>
                  <w:tcW w:w="1308" w:type="pct"/>
                  <w:tcBorders>
                    <w:tl2br w:val="nil"/>
                    <w:tr2bl w:val="nil"/>
                  </w:tcBorders>
                  <w:noWrap w:val="0"/>
                  <w:vAlign w:val="center"/>
                </w:tcPr>
                <w:p w14:paraId="01A1A728">
                  <w:pPr>
                    <w:wordWrap w:val="0"/>
                    <w:topLinePunct/>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每</w:t>
                  </w:r>
                  <w:r>
                    <w:rPr>
                      <w:rFonts w:hint="default" w:ascii="Times New Roman" w:hAnsi="Times New Roman" w:cs="Times New Roman"/>
                      <w:color w:val="auto"/>
                      <w:szCs w:val="21"/>
                      <w:highlight w:val="none"/>
                      <w:lang w:eastAsia="zh-CN"/>
                    </w:rPr>
                    <w:t>天进行统计</w:t>
                  </w:r>
                </w:p>
              </w:tc>
              <w:tc>
                <w:tcPr>
                  <w:tcW w:w="1714" w:type="pct"/>
                  <w:tcBorders>
                    <w:tl2br w:val="nil"/>
                    <w:tr2bl w:val="nil"/>
                  </w:tcBorders>
                  <w:noWrap w:val="0"/>
                  <w:vAlign w:val="center"/>
                </w:tcPr>
                <w:p w14:paraId="34863BF1">
                  <w:pPr>
                    <w:wordWrap w:val="0"/>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一般工业固体废物贮存应满足防渗漏、防雨淋、防扬尘三防措施要求</w:t>
                  </w:r>
                </w:p>
              </w:tc>
            </w:tr>
          </w:tbl>
          <w:p w14:paraId="30BD950C">
            <w:pPr>
              <w:adjustRightInd w:val="0"/>
              <w:spacing w:line="360" w:lineRule="auto"/>
              <w:ind w:firstLine="440" w:firstLineChars="200"/>
              <w:rPr>
                <w:rFonts w:hint="default" w:ascii="Times New Roman" w:hAnsi="Times New Roman" w:eastAsia="仿宋_GB2312" w:cs="Times New Roman"/>
                <w:bCs/>
                <w:color w:val="auto"/>
                <w:spacing w:val="-10"/>
                <w:sz w:val="24"/>
                <w:highlight w:val="none"/>
              </w:rPr>
            </w:pPr>
          </w:p>
        </w:tc>
      </w:tr>
      <w:tr w14:paraId="12B49B4A">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0" w:hRule="atLeast"/>
          <w:jc w:val="center"/>
        </w:trPr>
        <w:tc>
          <w:tcPr>
            <w:tcW w:w="397" w:type="dxa"/>
            <w:tcBorders>
              <w:tl2br w:val="nil"/>
              <w:tr2bl w:val="nil"/>
            </w:tcBorders>
            <w:tcMar>
              <w:left w:w="28" w:type="dxa"/>
              <w:right w:w="28" w:type="dxa"/>
            </w:tcMar>
            <w:vAlign w:val="center"/>
          </w:tcPr>
          <w:p w14:paraId="6B9D8B53">
            <w:pPr>
              <w:adjustRightInd w:val="0"/>
              <w:snapToGrid w:val="0"/>
              <w:jc w:val="center"/>
              <w:rPr>
                <w:rFonts w:hint="default" w:ascii="Times New Roman" w:hAnsi="Times New Roman" w:cs="Times New Roman"/>
                <w:b/>
                <w:bCs/>
                <w:color w:val="auto"/>
                <w:sz w:val="24"/>
                <w:highlight w:val="none"/>
                <w:lang w:eastAsia="zh-CN"/>
              </w:rPr>
            </w:pPr>
            <w:r>
              <w:rPr>
                <w:rFonts w:hint="default" w:ascii="Times New Roman" w:hAnsi="Times New Roman" w:cs="Times New Roman"/>
                <w:b/>
                <w:bCs/>
                <w:color w:val="auto"/>
                <w:sz w:val="24"/>
                <w:highlight w:val="none"/>
                <w:lang w:eastAsia="zh-CN"/>
              </w:rPr>
              <w:t>环保投资</w:t>
            </w:r>
          </w:p>
        </w:tc>
        <w:tc>
          <w:tcPr>
            <w:tcW w:w="8511" w:type="dxa"/>
            <w:tcBorders>
              <w:tl2br w:val="nil"/>
              <w:tr2bl w:val="nil"/>
            </w:tcBorders>
            <w:vAlign w:val="center"/>
          </w:tcPr>
          <w:p w14:paraId="223EC5F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本工程总投资</w:t>
            </w:r>
            <w:r>
              <w:rPr>
                <w:rFonts w:hint="eastAsia" w:ascii="Times New Roman" w:hAnsi="Times New Roman" w:cs="Times New Roman"/>
                <w:color w:val="auto"/>
                <w:kern w:val="0"/>
                <w:sz w:val="24"/>
                <w:szCs w:val="24"/>
                <w:highlight w:val="none"/>
                <w:lang w:val="en-US" w:eastAsia="zh-CN" w:bidi="ar-SA"/>
              </w:rPr>
              <w:t>7781.24</w:t>
            </w:r>
            <w:r>
              <w:rPr>
                <w:rFonts w:hint="default" w:ascii="Times New Roman" w:hAnsi="Times New Roman" w:cs="Times New Roman"/>
                <w:color w:val="auto"/>
                <w:kern w:val="0"/>
                <w:sz w:val="24"/>
                <w:szCs w:val="24"/>
                <w:highlight w:val="none"/>
                <w:lang w:val="en-US" w:eastAsia="zh-CN" w:bidi="ar-SA"/>
              </w:rPr>
              <w:t>万元，</w:t>
            </w:r>
            <w:r>
              <w:rPr>
                <w:rFonts w:hint="eastAsia" w:ascii="Times New Roman" w:hAnsi="Times New Roman" w:cs="Times New Roman"/>
                <w:color w:val="auto"/>
                <w:kern w:val="0"/>
                <w:sz w:val="24"/>
                <w:szCs w:val="24"/>
                <w:highlight w:val="none"/>
                <w:lang w:val="en-US" w:eastAsia="zh-CN" w:bidi="ar-SA"/>
              </w:rPr>
              <w:t>其中环保投资640.63万元，占总投资的</w:t>
            </w:r>
            <w:r>
              <w:rPr>
                <w:rFonts w:hint="eastAsia" w:cs="Times New Roman"/>
                <w:color w:val="auto"/>
                <w:kern w:val="0"/>
                <w:sz w:val="24"/>
                <w:szCs w:val="24"/>
                <w:highlight w:val="none"/>
                <w:lang w:val="en-US" w:eastAsia="zh-CN" w:bidi="ar-SA"/>
              </w:rPr>
              <w:t>8.23</w:t>
            </w:r>
            <w:r>
              <w:rPr>
                <w:rFonts w:hint="eastAsia" w:ascii="Times New Roman" w:hAnsi="Times New Roman" w:cs="Times New Roman"/>
                <w:color w:val="auto"/>
                <w:kern w:val="0"/>
                <w:sz w:val="24"/>
                <w:szCs w:val="24"/>
                <w:highlight w:val="none"/>
                <w:lang w:val="en-US" w:eastAsia="zh-CN" w:bidi="ar-SA"/>
              </w:rPr>
              <w:t>%，环保投资明显见下表5-3</w:t>
            </w:r>
            <w:r>
              <w:rPr>
                <w:rFonts w:hint="default" w:ascii="Times New Roman" w:hAnsi="Times New Roman" w:cs="Times New Roman"/>
                <w:color w:val="auto"/>
                <w:kern w:val="0"/>
                <w:sz w:val="24"/>
                <w:szCs w:val="24"/>
                <w:highlight w:val="none"/>
                <w:lang w:val="en-US" w:eastAsia="zh-CN" w:bidi="ar-SA"/>
              </w:rPr>
              <w:t>。</w:t>
            </w:r>
          </w:p>
          <w:p w14:paraId="44EBE7F8">
            <w:pPr>
              <w:pStyle w:val="63"/>
              <w:bidi w:val="0"/>
              <w:jc w:val="center"/>
              <w:rPr>
                <w:rFonts w:hint="default" w:ascii="Times New Roman" w:hAnsi="Times New Roman" w:eastAsia="黑体" w:cs="Times New Roman"/>
                <w:b w:val="0"/>
                <w:bCs/>
                <w:color w:val="auto"/>
                <w:kern w:val="44"/>
                <w:sz w:val="24"/>
                <w:szCs w:val="24"/>
                <w:highlight w:val="none"/>
                <w:lang w:val="en-US" w:eastAsia="zh-CN" w:bidi="ar-SA"/>
              </w:rPr>
            </w:pPr>
            <w:r>
              <w:rPr>
                <w:rFonts w:hint="default" w:ascii="Times New Roman" w:hAnsi="Times New Roman" w:eastAsia="黑体" w:cs="Times New Roman"/>
                <w:b w:val="0"/>
                <w:bCs/>
                <w:color w:val="auto"/>
                <w:kern w:val="44"/>
                <w:sz w:val="24"/>
                <w:szCs w:val="24"/>
                <w:highlight w:val="none"/>
                <w:lang w:val="en-US" w:eastAsia="zh-CN" w:bidi="ar-SA"/>
              </w:rPr>
              <w:t>表5-</w:t>
            </w:r>
            <w:r>
              <w:rPr>
                <w:rFonts w:hint="eastAsia" w:eastAsia="黑体" w:cs="Times New Roman"/>
                <w:b w:val="0"/>
                <w:bCs/>
                <w:color w:val="auto"/>
                <w:kern w:val="44"/>
                <w:sz w:val="24"/>
                <w:szCs w:val="24"/>
                <w:highlight w:val="none"/>
                <w:lang w:val="en-US" w:eastAsia="zh-CN" w:bidi="ar-SA"/>
              </w:rPr>
              <w:t>3</w:t>
            </w:r>
            <w:r>
              <w:rPr>
                <w:rFonts w:hint="default" w:ascii="Times New Roman" w:hAnsi="Times New Roman" w:eastAsia="黑体" w:cs="Times New Roman"/>
                <w:b w:val="0"/>
                <w:bCs/>
                <w:color w:val="auto"/>
                <w:kern w:val="44"/>
                <w:sz w:val="24"/>
                <w:szCs w:val="24"/>
                <w:highlight w:val="none"/>
                <w:lang w:val="en-US" w:eastAsia="zh-CN" w:bidi="ar-SA"/>
              </w:rPr>
              <w:t xml:space="preserve">  环境</w:t>
            </w:r>
            <w:r>
              <w:rPr>
                <w:rFonts w:hint="eastAsia" w:eastAsia="黑体" w:cs="Times New Roman"/>
                <w:b w:val="0"/>
                <w:bCs/>
                <w:color w:val="auto"/>
                <w:kern w:val="44"/>
                <w:sz w:val="24"/>
                <w:szCs w:val="24"/>
                <w:highlight w:val="none"/>
                <w:lang w:val="en-US" w:eastAsia="zh-CN" w:bidi="ar-SA"/>
              </w:rPr>
              <w:t>投资一览表  单位：万元</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649"/>
              <w:gridCol w:w="1095"/>
              <w:gridCol w:w="4411"/>
              <w:gridCol w:w="1201"/>
            </w:tblGrid>
            <w:tr w14:paraId="722ED1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565" w:type="pct"/>
                  <w:tcBorders>
                    <w:tl2br w:val="nil"/>
                    <w:tr2bl w:val="nil"/>
                  </w:tcBorders>
                  <w:noWrap w:val="0"/>
                  <w:vAlign w:val="center"/>
                </w:tcPr>
                <w:p w14:paraId="2165858A">
                  <w:pPr>
                    <w:adjustRightInd w:val="0"/>
                    <w:snapToGrid w:val="0"/>
                    <w:jc w:val="center"/>
                    <w:rPr>
                      <w:rFonts w:hint="eastAsia" w:ascii="Times New Roman" w:hAnsi="Times New Roman" w:eastAsia="宋体" w:cs="Times New Roman"/>
                      <w:b/>
                      <w:bCs/>
                      <w:color w:val="auto"/>
                      <w:szCs w:val="21"/>
                      <w:highlight w:val="none"/>
                      <w:lang w:val="en-US" w:eastAsia="zh-CN"/>
                    </w:rPr>
                  </w:pPr>
                  <w:r>
                    <w:rPr>
                      <w:rFonts w:hint="eastAsia" w:cs="Times New Roman"/>
                      <w:b/>
                      <w:bCs/>
                      <w:color w:val="auto"/>
                      <w:szCs w:val="21"/>
                      <w:highlight w:val="none"/>
                      <w:lang w:val="en-US" w:eastAsia="zh-CN"/>
                    </w:rPr>
                    <w:t>时期</w:t>
                  </w:r>
                </w:p>
              </w:tc>
              <w:tc>
                <w:tcPr>
                  <w:tcW w:w="1051" w:type="pct"/>
                  <w:gridSpan w:val="2"/>
                  <w:tcBorders>
                    <w:tl2br w:val="nil"/>
                    <w:tr2bl w:val="nil"/>
                  </w:tcBorders>
                  <w:noWrap w:val="0"/>
                  <w:vAlign w:val="center"/>
                </w:tcPr>
                <w:p w14:paraId="1A2A0D9C">
                  <w:pPr>
                    <w:adjustRightInd w:val="0"/>
                    <w:snapToGrid w:val="0"/>
                    <w:jc w:val="center"/>
                    <w:rPr>
                      <w:rFonts w:hint="default" w:ascii="Times New Roman" w:hAnsi="Times New Roman" w:cs="Times New Roman"/>
                      <w:b/>
                      <w:bCs/>
                      <w:color w:val="auto"/>
                      <w:szCs w:val="21"/>
                      <w:highlight w:val="none"/>
                    </w:rPr>
                  </w:pPr>
                  <w:r>
                    <w:rPr>
                      <w:rFonts w:hint="eastAsia" w:cs="Times New Roman"/>
                      <w:b/>
                      <w:bCs/>
                      <w:color w:val="auto"/>
                      <w:szCs w:val="21"/>
                      <w:highlight w:val="none"/>
                      <w:lang w:val="en-US" w:eastAsia="zh-CN"/>
                    </w:rPr>
                    <w:t>项目</w:t>
                  </w:r>
                </w:p>
              </w:tc>
              <w:tc>
                <w:tcPr>
                  <w:tcW w:w="2659" w:type="pct"/>
                  <w:tcBorders>
                    <w:tl2br w:val="nil"/>
                    <w:tr2bl w:val="nil"/>
                  </w:tcBorders>
                  <w:noWrap w:val="0"/>
                  <w:vAlign w:val="center"/>
                </w:tcPr>
                <w:p w14:paraId="0066B375">
                  <w:pPr>
                    <w:adjustRightInd w:val="0"/>
                    <w:snapToGrid w:val="0"/>
                    <w:jc w:val="center"/>
                    <w:rPr>
                      <w:rFonts w:hint="eastAsia" w:ascii="Times New Roman" w:hAnsi="Times New Roman" w:eastAsia="宋体" w:cs="Times New Roman"/>
                      <w:b/>
                      <w:bCs/>
                      <w:color w:val="auto"/>
                      <w:szCs w:val="21"/>
                      <w:highlight w:val="none"/>
                      <w:lang w:val="en-US" w:eastAsia="zh-CN"/>
                    </w:rPr>
                  </w:pPr>
                  <w:r>
                    <w:rPr>
                      <w:rFonts w:hint="eastAsia" w:cs="Times New Roman"/>
                      <w:b/>
                      <w:bCs/>
                      <w:color w:val="auto"/>
                      <w:szCs w:val="21"/>
                      <w:highlight w:val="none"/>
                      <w:lang w:val="en-US" w:eastAsia="zh-CN"/>
                    </w:rPr>
                    <w:t>治理措施</w:t>
                  </w:r>
                </w:p>
              </w:tc>
              <w:tc>
                <w:tcPr>
                  <w:tcW w:w="724" w:type="pct"/>
                  <w:tcBorders>
                    <w:tl2br w:val="nil"/>
                    <w:tr2bl w:val="nil"/>
                  </w:tcBorders>
                  <w:noWrap w:val="0"/>
                  <w:vAlign w:val="center"/>
                </w:tcPr>
                <w:p w14:paraId="21AEB92B">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cs="Times New Roman"/>
                      <w:b/>
                      <w:bCs/>
                      <w:color w:val="auto"/>
                      <w:szCs w:val="21"/>
                      <w:highlight w:val="none"/>
                      <w:lang w:val="en-US" w:eastAsia="zh-CN"/>
                    </w:rPr>
                    <w:t>投资金额</w:t>
                  </w:r>
                </w:p>
              </w:tc>
            </w:tr>
            <w:tr w14:paraId="0E0A82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565" w:type="pct"/>
                  <w:vMerge w:val="restart"/>
                  <w:tcBorders>
                    <w:tl2br w:val="nil"/>
                    <w:tr2bl w:val="nil"/>
                  </w:tcBorders>
                  <w:noWrap w:val="0"/>
                  <w:vAlign w:val="center"/>
                </w:tcPr>
                <w:p w14:paraId="43FC1293">
                  <w:pPr>
                    <w:adjustRightInd w:val="0"/>
                    <w:snapToGrid w:val="0"/>
                    <w:jc w:val="center"/>
                    <w:rPr>
                      <w:rFonts w:hint="eastAsia"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施工期</w:t>
                  </w:r>
                </w:p>
              </w:tc>
              <w:tc>
                <w:tcPr>
                  <w:tcW w:w="391" w:type="pct"/>
                  <w:vMerge w:val="restart"/>
                  <w:tcBorders>
                    <w:tl2br w:val="nil"/>
                    <w:tr2bl w:val="nil"/>
                  </w:tcBorders>
                  <w:noWrap w:val="0"/>
                  <w:vAlign w:val="center"/>
                </w:tcPr>
                <w:p w14:paraId="486584B6">
                  <w:pPr>
                    <w:adjustRightInd w:val="0"/>
                    <w:snapToGrid w:val="0"/>
                    <w:jc w:val="center"/>
                    <w:rPr>
                      <w:rFonts w:hint="eastAsia"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废气</w:t>
                  </w:r>
                </w:p>
              </w:tc>
              <w:tc>
                <w:tcPr>
                  <w:tcW w:w="660" w:type="pct"/>
                  <w:tcBorders>
                    <w:tl2br w:val="nil"/>
                    <w:tr2bl w:val="nil"/>
                  </w:tcBorders>
                  <w:noWrap w:val="0"/>
                  <w:vAlign w:val="center"/>
                </w:tcPr>
                <w:p w14:paraId="6EF4F961">
                  <w:pPr>
                    <w:adjustRightInd w:val="0"/>
                    <w:snapToGrid w:val="0"/>
                    <w:jc w:val="center"/>
                    <w:rPr>
                      <w:rFonts w:hint="eastAsia"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施工扬尘</w:t>
                  </w:r>
                </w:p>
              </w:tc>
              <w:tc>
                <w:tcPr>
                  <w:tcW w:w="2659" w:type="pct"/>
                  <w:tcBorders>
                    <w:tl2br w:val="nil"/>
                    <w:tr2bl w:val="nil"/>
                  </w:tcBorders>
                  <w:noWrap w:val="0"/>
                  <w:vAlign w:val="center"/>
                </w:tcPr>
                <w:p w14:paraId="06632D1E">
                  <w:pPr>
                    <w:adjustRightInd w:val="0"/>
                    <w:snapToGrid w:val="0"/>
                    <w:jc w:val="center"/>
                    <w:rPr>
                      <w:rFonts w:hint="default"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施工场地洒水抑尘、表土苫盖、 运输车辆遮盖篷布</w:t>
                  </w:r>
                </w:p>
              </w:tc>
              <w:tc>
                <w:tcPr>
                  <w:tcW w:w="724" w:type="pct"/>
                  <w:tcBorders>
                    <w:tl2br w:val="nil"/>
                    <w:tr2bl w:val="nil"/>
                  </w:tcBorders>
                  <w:noWrap w:val="0"/>
                  <w:vAlign w:val="center"/>
                </w:tcPr>
                <w:p w14:paraId="57802981">
                  <w:pPr>
                    <w:adjustRightInd w:val="0"/>
                    <w:snapToGrid w:val="0"/>
                    <w:jc w:val="center"/>
                    <w:rPr>
                      <w:rFonts w:hint="default"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12</w:t>
                  </w:r>
                </w:p>
              </w:tc>
            </w:tr>
            <w:tr w14:paraId="566F40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565" w:type="pct"/>
                  <w:vMerge w:val="continue"/>
                  <w:tcBorders>
                    <w:tl2br w:val="nil"/>
                    <w:tr2bl w:val="nil"/>
                  </w:tcBorders>
                  <w:noWrap w:val="0"/>
                  <w:vAlign w:val="center"/>
                </w:tcPr>
                <w:p w14:paraId="11FFB208">
                  <w:pPr>
                    <w:adjustRightInd w:val="0"/>
                    <w:snapToGrid w:val="0"/>
                    <w:jc w:val="center"/>
                    <w:rPr>
                      <w:b w:val="0"/>
                      <w:bCs w:val="0"/>
                      <w:color w:val="auto"/>
                    </w:rPr>
                  </w:pPr>
                </w:p>
              </w:tc>
              <w:tc>
                <w:tcPr>
                  <w:tcW w:w="391" w:type="pct"/>
                  <w:vMerge w:val="continue"/>
                  <w:tcBorders>
                    <w:tl2br w:val="nil"/>
                    <w:tr2bl w:val="nil"/>
                  </w:tcBorders>
                  <w:noWrap w:val="0"/>
                  <w:vAlign w:val="center"/>
                </w:tcPr>
                <w:p w14:paraId="03EB4444">
                  <w:pPr>
                    <w:adjustRightInd w:val="0"/>
                    <w:snapToGrid w:val="0"/>
                    <w:jc w:val="center"/>
                    <w:rPr>
                      <w:b w:val="0"/>
                      <w:bCs w:val="0"/>
                      <w:color w:val="auto"/>
                    </w:rPr>
                  </w:pPr>
                </w:p>
              </w:tc>
              <w:tc>
                <w:tcPr>
                  <w:tcW w:w="660" w:type="pct"/>
                  <w:tcBorders>
                    <w:tl2br w:val="nil"/>
                    <w:tr2bl w:val="nil"/>
                  </w:tcBorders>
                  <w:noWrap w:val="0"/>
                  <w:vAlign w:val="center"/>
                </w:tcPr>
                <w:p w14:paraId="598B7ADF">
                  <w:pPr>
                    <w:adjustRightInd w:val="0"/>
                    <w:snapToGrid w:val="0"/>
                    <w:jc w:val="center"/>
                    <w:rPr>
                      <w:rFonts w:hint="eastAsia"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机械尾气</w:t>
                  </w:r>
                </w:p>
              </w:tc>
              <w:tc>
                <w:tcPr>
                  <w:tcW w:w="2659" w:type="pct"/>
                  <w:tcBorders>
                    <w:tl2br w:val="nil"/>
                    <w:tr2bl w:val="nil"/>
                  </w:tcBorders>
                  <w:noWrap w:val="0"/>
                  <w:vAlign w:val="center"/>
                </w:tcPr>
                <w:p w14:paraId="26656470">
                  <w:pPr>
                    <w:adjustRightInd w:val="0"/>
                    <w:snapToGrid w:val="0"/>
                    <w:jc w:val="center"/>
                    <w:rPr>
                      <w:rFonts w:hint="default"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采用符合国家标准设备，在施工期间加强管理，确保 尾气排放达标，加强设备养护</w:t>
                  </w:r>
                </w:p>
              </w:tc>
              <w:tc>
                <w:tcPr>
                  <w:tcW w:w="724" w:type="pct"/>
                  <w:tcBorders>
                    <w:tl2br w:val="nil"/>
                    <w:tr2bl w:val="nil"/>
                  </w:tcBorders>
                  <w:noWrap w:val="0"/>
                  <w:vAlign w:val="center"/>
                </w:tcPr>
                <w:p w14:paraId="7CF93686">
                  <w:pPr>
                    <w:adjustRightInd w:val="0"/>
                    <w:snapToGrid w:val="0"/>
                    <w:jc w:val="center"/>
                    <w:rPr>
                      <w:rFonts w:hint="default"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6</w:t>
                  </w:r>
                </w:p>
              </w:tc>
            </w:tr>
            <w:tr w14:paraId="65DB59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565" w:type="pct"/>
                  <w:vMerge w:val="continue"/>
                  <w:tcBorders>
                    <w:tl2br w:val="nil"/>
                    <w:tr2bl w:val="nil"/>
                  </w:tcBorders>
                  <w:noWrap w:val="0"/>
                  <w:vAlign w:val="center"/>
                </w:tcPr>
                <w:p w14:paraId="270356B8">
                  <w:pPr>
                    <w:adjustRightInd w:val="0"/>
                    <w:snapToGrid w:val="0"/>
                    <w:jc w:val="center"/>
                    <w:rPr>
                      <w:rFonts w:hint="default" w:ascii="Times New Roman" w:hAnsi="Times New Roman" w:cs="Times New Roman"/>
                      <w:b w:val="0"/>
                      <w:bCs w:val="0"/>
                      <w:color w:val="auto"/>
                      <w:szCs w:val="21"/>
                      <w:highlight w:val="none"/>
                    </w:rPr>
                  </w:pPr>
                </w:p>
              </w:tc>
              <w:tc>
                <w:tcPr>
                  <w:tcW w:w="391" w:type="pct"/>
                  <w:vMerge w:val="restart"/>
                  <w:tcBorders>
                    <w:tl2br w:val="nil"/>
                    <w:tr2bl w:val="nil"/>
                  </w:tcBorders>
                  <w:noWrap w:val="0"/>
                  <w:vAlign w:val="center"/>
                </w:tcPr>
                <w:p w14:paraId="55FC5100">
                  <w:pPr>
                    <w:adjustRightInd w:val="0"/>
                    <w:snapToGrid w:val="0"/>
                    <w:jc w:val="center"/>
                    <w:rPr>
                      <w:rFonts w:hint="eastAsia"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废水</w:t>
                  </w:r>
                </w:p>
              </w:tc>
              <w:tc>
                <w:tcPr>
                  <w:tcW w:w="660" w:type="pct"/>
                  <w:tcBorders>
                    <w:tl2br w:val="nil"/>
                    <w:tr2bl w:val="nil"/>
                  </w:tcBorders>
                  <w:noWrap w:val="0"/>
                  <w:vAlign w:val="center"/>
                </w:tcPr>
                <w:p w14:paraId="6F623E0F">
                  <w:pPr>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施工废水</w:t>
                  </w:r>
                </w:p>
              </w:tc>
              <w:tc>
                <w:tcPr>
                  <w:tcW w:w="2659" w:type="pct"/>
                  <w:tcBorders>
                    <w:tl2br w:val="nil"/>
                    <w:tr2bl w:val="nil"/>
                  </w:tcBorders>
                  <w:noWrap w:val="0"/>
                  <w:vAlign w:val="center"/>
                </w:tcPr>
                <w:p w14:paraId="725DC6AE">
                  <w:pPr>
                    <w:adjustRightInd w:val="0"/>
                    <w:snapToGrid w:val="0"/>
                    <w:jc w:val="center"/>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 w:val="21"/>
                      <w:szCs w:val="21"/>
                      <w:highlight w:val="none"/>
                      <w:lang w:val="en-US" w:eastAsia="zh-CN"/>
                    </w:rPr>
                    <w:t>施工</w:t>
                  </w:r>
                  <w:r>
                    <w:rPr>
                      <w:rFonts w:hint="default" w:ascii="Times New Roman" w:hAnsi="Times New Roman" w:eastAsia="宋体" w:cs="Times New Roman"/>
                      <w:b w:val="0"/>
                      <w:bCs w:val="0"/>
                      <w:color w:val="auto"/>
                      <w:sz w:val="21"/>
                      <w:szCs w:val="21"/>
                      <w:highlight w:val="none"/>
                      <w:lang w:val="en-US" w:eastAsia="zh-CN"/>
                    </w:rPr>
                    <w:t>废水经施工现场配套沉淀池沉淀处理后回用于施工现场洒水抑尘，不外排</w:t>
                  </w:r>
                  <w:r>
                    <w:rPr>
                      <w:rFonts w:hint="default" w:ascii="Times New Roman" w:hAnsi="Times New Roman" w:cs="Times New Roman"/>
                      <w:b w:val="0"/>
                      <w:bCs w:val="0"/>
                      <w:color w:val="auto"/>
                      <w:sz w:val="21"/>
                      <w:szCs w:val="21"/>
                      <w:highlight w:val="none"/>
                      <w:lang w:val="en-US" w:eastAsia="zh-CN"/>
                    </w:rPr>
                    <w:t>。</w:t>
                  </w:r>
                </w:p>
              </w:tc>
              <w:tc>
                <w:tcPr>
                  <w:tcW w:w="724" w:type="pct"/>
                  <w:tcBorders>
                    <w:tl2br w:val="nil"/>
                    <w:tr2bl w:val="nil"/>
                  </w:tcBorders>
                  <w:noWrap w:val="0"/>
                  <w:vAlign w:val="center"/>
                </w:tcPr>
                <w:p w14:paraId="47E6F835">
                  <w:pPr>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18</w:t>
                  </w:r>
                </w:p>
              </w:tc>
            </w:tr>
            <w:tr w14:paraId="5A481E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565" w:type="pct"/>
                  <w:vMerge w:val="continue"/>
                  <w:tcBorders>
                    <w:tl2br w:val="nil"/>
                    <w:tr2bl w:val="nil"/>
                  </w:tcBorders>
                  <w:noWrap w:val="0"/>
                  <w:vAlign w:val="center"/>
                </w:tcPr>
                <w:p w14:paraId="31E8BA20">
                  <w:pPr>
                    <w:adjustRightInd w:val="0"/>
                    <w:snapToGrid w:val="0"/>
                    <w:jc w:val="center"/>
                    <w:rPr>
                      <w:color w:val="auto"/>
                    </w:rPr>
                  </w:pPr>
                </w:p>
              </w:tc>
              <w:tc>
                <w:tcPr>
                  <w:tcW w:w="391" w:type="pct"/>
                  <w:vMerge w:val="continue"/>
                  <w:tcBorders>
                    <w:tl2br w:val="nil"/>
                    <w:tr2bl w:val="nil"/>
                  </w:tcBorders>
                  <w:noWrap w:val="0"/>
                  <w:vAlign w:val="center"/>
                </w:tcPr>
                <w:p w14:paraId="5463F3BA">
                  <w:pPr>
                    <w:adjustRightInd w:val="0"/>
                    <w:snapToGrid w:val="0"/>
                    <w:jc w:val="center"/>
                    <w:rPr>
                      <w:color w:val="auto"/>
                    </w:rPr>
                  </w:pPr>
                </w:p>
              </w:tc>
              <w:tc>
                <w:tcPr>
                  <w:tcW w:w="660" w:type="pct"/>
                  <w:tcBorders>
                    <w:tl2br w:val="nil"/>
                    <w:tr2bl w:val="nil"/>
                  </w:tcBorders>
                  <w:noWrap w:val="0"/>
                  <w:vAlign w:val="center"/>
                </w:tcPr>
                <w:p w14:paraId="5975B159">
                  <w:pPr>
                    <w:adjustRightInd w:val="0"/>
                    <w:snapToGrid w:val="0"/>
                    <w:jc w:val="center"/>
                    <w:rPr>
                      <w:rFonts w:hint="eastAsia"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生活污水</w:t>
                  </w:r>
                </w:p>
              </w:tc>
              <w:tc>
                <w:tcPr>
                  <w:tcW w:w="2659" w:type="pct"/>
                  <w:tcBorders>
                    <w:tl2br w:val="nil"/>
                    <w:tr2bl w:val="nil"/>
                  </w:tcBorders>
                  <w:noWrap w:val="0"/>
                  <w:vAlign w:val="center"/>
                </w:tcPr>
                <w:p w14:paraId="4F68010A">
                  <w:pPr>
                    <w:adjustRightInd w:val="0"/>
                    <w:snapToGrid w:val="0"/>
                    <w:jc w:val="center"/>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临时化粪池处理后由粪污车拉运至距离较近的乡镇生活污水处理设施处理</w:t>
                  </w:r>
                </w:p>
              </w:tc>
              <w:tc>
                <w:tcPr>
                  <w:tcW w:w="724" w:type="pct"/>
                  <w:tcBorders>
                    <w:tl2br w:val="nil"/>
                    <w:tr2bl w:val="nil"/>
                  </w:tcBorders>
                  <w:noWrap w:val="0"/>
                  <w:vAlign w:val="center"/>
                </w:tcPr>
                <w:p w14:paraId="36E22F74">
                  <w:pPr>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12</w:t>
                  </w:r>
                </w:p>
              </w:tc>
            </w:tr>
            <w:tr w14:paraId="63A96B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565" w:type="pct"/>
                  <w:vMerge w:val="continue"/>
                  <w:tcBorders>
                    <w:tl2br w:val="nil"/>
                    <w:tr2bl w:val="nil"/>
                  </w:tcBorders>
                  <w:noWrap w:val="0"/>
                  <w:vAlign w:val="center"/>
                </w:tcPr>
                <w:p w14:paraId="0F260F6B">
                  <w:pPr>
                    <w:adjustRightInd w:val="0"/>
                    <w:snapToGrid w:val="0"/>
                    <w:jc w:val="center"/>
                    <w:rPr>
                      <w:rFonts w:hint="default" w:ascii="Times New Roman" w:hAnsi="Times New Roman" w:cs="Times New Roman"/>
                      <w:b w:val="0"/>
                      <w:bCs w:val="0"/>
                      <w:color w:val="auto"/>
                      <w:szCs w:val="21"/>
                      <w:highlight w:val="none"/>
                    </w:rPr>
                  </w:pPr>
                </w:p>
              </w:tc>
              <w:tc>
                <w:tcPr>
                  <w:tcW w:w="391" w:type="pct"/>
                  <w:tcBorders>
                    <w:tl2br w:val="nil"/>
                    <w:tr2bl w:val="nil"/>
                  </w:tcBorders>
                  <w:noWrap w:val="0"/>
                  <w:vAlign w:val="center"/>
                </w:tcPr>
                <w:p w14:paraId="2F803BFA">
                  <w:pPr>
                    <w:adjustRightInd w:val="0"/>
                    <w:snapToGrid w:val="0"/>
                    <w:jc w:val="center"/>
                    <w:rPr>
                      <w:rFonts w:hint="eastAsia"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噪声</w:t>
                  </w:r>
                </w:p>
              </w:tc>
              <w:tc>
                <w:tcPr>
                  <w:tcW w:w="660" w:type="pct"/>
                  <w:tcBorders>
                    <w:tl2br w:val="nil"/>
                    <w:tr2bl w:val="nil"/>
                  </w:tcBorders>
                  <w:noWrap w:val="0"/>
                  <w:vAlign w:val="center"/>
                </w:tcPr>
                <w:p w14:paraId="5820D822">
                  <w:pPr>
                    <w:adjustRightInd w:val="0"/>
                    <w:snapToGrid w:val="0"/>
                    <w:jc w:val="center"/>
                    <w:rPr>
                      <w:rFonts w:hint="eastAsia"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施工噪声</w:t>
                  </w:r>
                </w:p>
              </w:tc>
              <w:tc>
                <w:tcPr>
                  <w:tcW w:w="2659" w:type="pct"/>
                  <w:tcBorders>
                    <w:tl2br w:val="nil"/>
                    <w:tr2bl w:val="nil"/>
                  </w:tcBorders>
                  <w:noWrap w:val="0"/>
                  <w:vAlign w:val="center"/>
                </w:tcPr>
                <w:p w14:paraId="1D291CAA">
                  <w:pPr>
                    <w:adjustRightInd w:val="0"/>
                    <w:snapToGrid w:val="0"/>
                    <w:jc w:val="center"/>
                    <w:rPr>
                      <w:rFonts w:hint="default" w:ascii="Times New Roman" w:hAnsi="Times New Roman" w:cs="Times New Roman"/>
                      <w:b w:val="0"/>
                      <w:bCs w:val="0"/>
                      <w:color w:val="auto"/>
                      <w:szCs w:val="21"/>
                      <w:highlight w:val="none"/>
                    </w:rPr>
                  </w:pPr>
                  <w:r>
                    <w:rPr>
                      <w:rFonts w:hint="default" w:ascii="Times New Roman" w:hAnsi="Times New Roman" w:cs="Times New Roman" w:eastAsiaTheme="minorEastAsia"/>
                      <w:color w:val="auto"/>
                      <w:sz w:val="21"/>
                      <w:szCs w:val="21"/>
                      <w:highlight w:val="none"/>
                    </w:rPr>
                    <w:t>选用低噪声设备</w:t>
                  </w:r>
                </w:p>
              </w:tc>
              <w:tc>
                <w:tcPr>
                  <w:tcW w:w="724" w:type="pct"/>
                  <w:tcBorders>
                    <w:tl2br w:val="nil"/>
                    <w:tr2bl w:val="nil"/>
                  </w:tcBorders>
                  <w:noWrap w:val="0"/>
                  <w:vAlign w:val="center"/>
                </w:tcPr>
                <w:p w14:paraId="39DE98E8">
                  <w:pPr>
                    <w:adjustRightInd w:val="0"/>
                    <w:snapToGrid w:val="0"/>
                    <w:jc w:val="center"/>
                    <w:rPr>
                      <w:rFonts w:hint="eastAsia"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6</w:t>
                  </w:r>
                </w:p>
              </w:tc>
            </w:tr>
            <w:tr w14:paraId="6CD21E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565" w:type="pct"/>
                  <w:vMerge w:val="continue"/>
                  <w:tcBorders>
                    <w:tl2br w:val="nil"/>
                    <w:tr2bl w:val="nil"/>
                  </w:tcBorders>
                  <w:noWrap w:val="0"/>
                  <w:vAlign w:val="center"/>
                </w:tcPr>
                <w:p w14:paraId="73D97F3F">
                  <w:pPr>
                    <w:adjustRightInd w:val="0"/>
                    <w:snapToGrid w:val="0"/>
                    <w:jc w:val="center"/>
                    <w:rPr>
                      <w:rFonts w:hint="default" w:ascii="Times New Roman" w:hAnsi="Times New Roman" w:cs="Times New Roman"/>
                      <w:b w:val="0"/>
                      <w:bCs w:val="0"/>
                      <w:color w:val="auto"/>
                      <w:szCs w:val="21"/>
                      <w:highlight w:val="none"/>
                    </w:rPr>
                  </w:pPr>
                </w:p>
              </w:tc>
              <w:tc>
                <w:tcPr>
                  <w:tcW w:w="391" w:type="pct"/>
                  <w:vMerge w:val="restart"/>
                  <w:tcBorders>
                    <w:tl2br w:val="nil"/>
                    <w:tr2bl w:val="nil"/>
                  </w:tcBorders>
                  <w:noWrap w:val="0"/>
                  <w:vAlign w:val="center"/>
                </w:tcPr>
                <w:p w14:paraId="27D1CB62">
                  <w:pPr>
                    <w:adjustRightInd w:val="0"/>
                    <w:snapToGrid w:val="0"/>
                    <w:jc w:val="center"/>
                    <w:rPr>
                      <w:rFonts w:hint="eastAsia"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固体废物</w:t>
                  </w:r>
                </w:p>
              </w:tc>
              <w:tc>
                <w:tcPr>
                  <w:tcW w:w="660" w:type="pct"/>
                  <w:tcBorders>
                    <w:tl2br w:val="nil"/>
                    <w:tr2bl w:val="nil"/>
                  </w:tcBorders>
                  <w:noWrap w:val="0"/>
                  <w:vAlign w:val="center"/>
                </w:tcPr>
                <w:p w14:paraId="4322BE92">
                  <w:pPr>
                    <w:adjustRightInd w:val="0"/>
                    <w:snapToGrid w:val="0"/>
                    <w:jc w:val="center"/>
                    <w:rPr>
                      <w:rFonts w:hint="eastAsia"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生活垃圾</w:t>
                  </w:r>
                </w:p>
              </w:tc>
              <w:tc>
                <w:tcPr>
                  <w:tcW w:w="2659" w:type="pct"/>
                  <w:tcBorders>
                    <w:tl2br w:val="nil"/>
                    <w:tr2bl w:val="nil"/>
                  </w:tcBorders>
                  <w:noWrap w:val="0"/>
                  <w:vAlign w:val="center"/>
                </w:tcPr>
                <w:p w14:paraId="4185C50D">
                  <w:pPr>
                    <w:adjustRightInd w:val="0"/>
                    <w:snapToGrid w:val="0"/>
                    <w:jc w:val="center"/>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生活垃圾由施工营地垃圾桶收集，定期运送至附近垃圾中转站由环卫部门处置</w:t>
                  </w:r>
                </w:p>
              </w:tc>
              <w:tc>
                <w:tcPr>
                  <w:tcW w:w="724" w:type="pct"/>
                  <w:tcBorders>
                    <w:tl2br w:val="nil"/>
                    <w:tr2bl w:val="nil"/>
                  </w:tcBorders>
                  <w:noWrap w:val="0"/>
                  <w:vAlign w:val="center"/>
                </w:tcPr>
                <w:p w14:paraId="582983F2">
                  <w:pPr>
                    <w:adjustRightInd w:val="0"/>
                    <w:snapToGrid w:val="0"/>
                    <w:jc w:val="center"/>
                    <w:rPr>
                      <w:rFonts w:hint="eastAsia"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3</w:t>
                  </w:r>
                </w:p>
              </w:tc>
            </w:tr>
            <w:tr w14:paraId="033D1F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565" w:type="pct"/>
                  <w:vMerge w:val="continue"/>
                  <w:tcBorders>
                    <w:tl2br w:val="nil"/>
                    <w:tr2bl w:val="nil"/>
                  </w:tcBorders>
                  <w:noWrap w:val="0"/>
                  <w:vAlign w:val="center"/>
                </w:tcPr>
                <w:p w14:paraId="4F8CCC87">
                  <w:pPr>
                    <w:adjustRightInd w:val="0"/>
                    <w:snapToGrid w:val="0"/>
                    <w:jc w:val="center"/>
                    <w:rPr>
                      <w:color w:val="auto"/>
                    </w:rPr>
                  </w:pPr>
                </w:p>
              </w:tc>
              <w:tc>
                <w:tcPr>
                  <w:tcW w:w="391" w:type="pct"/>
                  <w:vMerge w:val="continue"/>
                  <w:tcBorders>
                    <w:tl2br w:val="nil"/>
                    <w:tr2bl w:val="nil"/>
                  </w:tcBorders>
                  <w:noWrap w:val="0"/>
                  <w:vAlign w:val="center"/>
                </w:tcPr>
                <w:p w14:paraId="4E630A34">
                  <w:pPr>
                    <w:adjustRightInd w:val="0"/>
                    <w:snapToGrid w:val="0"/>
                    <w:jc w:val="center"/>
                    <w:rPr>
                      <w:color w:val="auto"/>
                    </w:rPr>
                  </w:pPr>
                </w:p>
              </w:tc>
              <w:tc>
                <w:tcPr>
                  <w:tcW w:w="660" w:type="pct"/>
                  <w:tcBorders>
                    <w:tl2br w:val="nil"/>
                    <w:tr2bl w:val="nil"/>
                  </w:tcBorders>
                  <w:noWrap w:val="0"/>
                  <w:vAlign w:val="center"/>
                </w:tcPr>
                <w:p w14:paraId="0C3030D8">
                  <w:pPr>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建筑垃圾</w:t>
                  </w:r>
                </w:p>
              </w:tc>
              <w:tc>
                <w:tcPr>
                  <w:tcW w:w="2659" w:type="pct"/>
                  <w:tcBorders>
                    <w:tl2br w:val="nil"/>
                    <w:tr2bl w:val="nil"/>
                  </w:tcBorders>
                  <w:noWrap w:val="0"/>
                  <w:vAlign w:val="center"/>
                </w:tcPr>
                <w:p w14:paraId="2DB37034">
                  <w:pPr>
                    <w:adjustRightInd w:val="0"/>
                    <w:snapToGrid w:val="0"/>
                    <w:jc w:val="center"/>
                    <w:rPr>
                      <w:rFonts w:hint="default" w:ascii="Times New Roman" w:hAnsi="Times New Roman" w:cs="Times New Roman"/>
                      <w:b w:val="0"/>
                      <w:bCs w:val="0"/>
                      <w:color w:val="auto"/>
                      <w:szCs w:val="21"/>
                      <w:highlight w:val="none"/>
                    </w:rPr>
                  </w:pPr>
                  <w:r>
                    <w:rPr>
                      <w:rFonts w:hint="eastAsia" w:ascii="Times New Roman" w:cs="Times New Roman" w:eastAsiaTheme="minorEastAsia"/>
                      <w:color w:val="auto"/>
                      <w:sz w:val="21"/>
                      <w:szCs w:val="21"/>
                      <w:highlight w:val="none"/>
                      <w:lang w:val="en-US" w:eastAsia="zh-CN"/>
                    </w:rPr>
                    <w:t>清运至政府</w:t>
                  </w:r>
                  <w:r>
                    <w:rPr>
                      <w:rFonts w:hint="eastAsia" w:cs="Times New Roman" w:eastAsiaTheme="minorEastAsia"/>
                      <w:color w:val="auto"/>
                      <w:sz w:val="21"/>
                      <w:szCs w:val="21"/>
                      <w:highlight w:val="none"/>
                      <w:lang w:val="en-US" w:eastAsia="zh-CN"/>
                    </w:rPr>
                    <w:t>指定</w:t>
                  </w:r>
                  <w:r>
                    <w:rPr>
                      <w:rFonts w:hint="eastAsia" w:ascii="Times New Roman" w:cs="Times New Roman" w:eastAsiaTheme="minorEastAsia"/>
                      <w:color w:val="auto"/>
                      <w:sz w:val="21"/>
                      <w:szCs w:val="21"/>
                      <w:highlight w:val="none"/>
                      <w:lang w:val="en-US" w:eastAsia="zh-CN"/>
                    </w:rPr>
                    <w:t>点妥善处置</w:t>
                  </w:r>
                </w:p>
              </w:tc>
              <w:tc>
                <w:tcPr>
                  <w:tcW w:w="724" w:type="pct"/>
                  <w:tcBorders>
                    <w:tl2br w:val="nil"/>
                    <w:tr2bl w:val="nil"/>
                  </w:tcBorders>
                  <w:noWrap w:val="0"/>
                  <w:vAlign w:val="center"/>
                </w:tcPr>
                <w:p w14:paraId="37ADC9B2">
                  <w:pPr>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24</w:t>
                  </w:r>
                </w:p>
              </w:tc>
            </w:tr>
            <w:tr w14:paraId="4B500B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565" w:type="pct"/>
                  <w:vMerge w:val="continue"/>
                  <w:tcBorders>
                    <w:tl2br w:val="nil"/>
                    <w:tr2bl w:val="nil"/>
                  </w:tcBorders>
                  <w:noWrap w:val="0"/>
                  <w:vAlign w:val="center"/>
                </w:tcPr>
                <w:p w14:paraId="3D85B469">
                  <w:pPr>
                    <w:adjustRightInd w:val="0"/>
                    <w:snapToGrid w:val="0"/>
                    <w:jc w:val="center"/>
                    <w:rPr>
                      <w:rFonts w:hint="default" w:ascii="Times New Roman" w:hAnsi="Times New Roman" w:cs="Times New Roman"/>
                      <w:b w:val="0"/>
                      <w:bCs w:val="0"/>
                      <w:color w:val="auto"/>
                      <w:szCs w:val="21"/>
                      <w:highlight w:val="none"/>
                    </w:rPr>
                  </w:pPr>
                </w:p>
              </w:tc>
              <w:tc>
                <w:tcPr>
                  <w:tcW w:w="391" w:type="pct"/>
                  <w:vMerge w:val="continue"/>
                  <w:tcBorders>
                    <w:tl2br w:val="nil"/>
                    <w:tr2bl w:val="nil"/>
                  </w:tcBorders>
                  <w:noWrap w:val="0"/>
                  <w:vAlign w:val="center"/>
                </w:tcPr>
                <w:p w14:paraId="06389A21">
                  <w:pPr>
                    <w:adjustRightInd w:val="0"/>
                    <w:snapToGrid w:val="0"/>
                    <w:jc w:val="center"/>
                    <w:rPr>
                      <w:rFonts w:hint="default" w:ascii="Times New Roman" w:hAnsi="Times New Roman" w:cs="Times New Roman"/>
                      <w:b w:val="0"/>
                      <w:bCs w:val="0"/>
                      <w:color w:val="auto"/>
                      <w:szCs w:val="21"/>
                      <w:highlight w:val="none"/>
                    </w:rPr>
                  </w:pPr>
                </w:p>
              </w:tc>
              <w:tc>
                <w:tcPr>
                  <w:tcW w:w="660" w:type="pct"/>
                  <w:tcBorders>
                    <w:tl2br w:val="nil"/>
                    <w:tr2bl w:val="nil"/>
                  </w:tcBorders>
                  <w:noWrap w:val="0"/>
                  <w:vAlign w:val="center"/>
                </w:tcPr>
                <w:p w14:paraId="54C57396">
                  <w:pPr>
                    <w:adjustRightInd w:val="0"/>
                    <w:snapToGrid w:val="0"/>
                    <w:jc w:val="center"/>
                    <w:rPr>
                      <w:rFonts w:hint="eastAsia"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弃土</w:t>
                  </w:r>
                </w:p>
              </w:tc>
              <w:tc>
                <w:tcPr>
                  <w:tcW w:w="2659" w:type="pct"/>
                  <w:tcBorders>
                    <w:tl2br w:val="nil"/>
                    <w:tr2bl w:val="nil"/>
                  </w:tcBorders>
                  <w:noWrap w:val="0"/>
                  <w:vAlign w:val="center"/>
                </w:tcPr>
                <w:p w14:paraId="77C4AEEF">
                  <w:pPr>
                    <w:adjustRightInd w:val="0"/>
                    <w:snapToGrid w:val="0"/>
                    <w:jc w:val="center"/>
                    <w:rPr>
                      <w:rFonts w:hint="default" w:ascii="Times New Roman" w:hAnsi="Times New Roman" w:cs="Times New Roman"/>
                      <w:b w:val="0"/>
                      <w:bCs w:val="0"/>
                      <w:color w:val="auto"/>
                      <w:szCs w:val="21"/>
                      <w:highlight w:val="none"/>
                    </w:rPr>
                  </w:pPr>
                  <w:r>
                    <w:rPr>
                      <w:rFonts w:hint="eastAsia" w:cs="Times New Roman"/>
                      <w:color w:val="auto"/>
                      <w:kern w:val="0"/>
                      <w:sz w:val="21"/>
                      <w:szCs w:val="21"/>
                      <w:highlight w:val="none"/>
                      <w:lang w:val="en-US" w:eastAsia="zh-CN"/>
                    </w:rPr>
                    <w:t>与晾干后的淤泥一并</w:t>
                  </w:r>
                  <w:r>
                    <w:rPr>
                      <w:rFonts w:hint="default" w:ascii="Times New Roman" w:hAnsi="Times New Roman" w:cs="Times New Roman"/>
                      <w:color w:val="auto"/>
                      <w:kern w:val="0"/>
                      <w:sz w:val="21"/>
                      <w:szCs w:val="21"/>
                      <w:highlight w:val="none"/>
                    </w:rPr>
                    <w:t>拉运至项目修建巡护道路基础填筑综合利用</w:t>
                  </w:r>
                </w:p>
              </w:tc>
              <w:tc>
                <w:tcPr>
                  <w:tcW w:w="724" w:type="pct"/>
                  <w:tcBorders>
                    <w:tl2br w:val="nil"/>
                    <w:tr2bl w:val="nil"/>
                  </w:tcBorders>
                  <w:noWrap w:val="0"/>
                  <w:vAlign w:val="center"/>
                </w:tcPr>
                <w:p w14:paraId="3A921E75">
                  <w:pPr>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32.6</w:t>
                  </w:r>
                </w:p>
              </w:tc>
            </w:tr>
            <w:tr w14:paraId="61F1CB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565" w:type="pct"/>
                  <w:vMerge w:val="continue"/>
                  <w:tcBorders>
                    <w:tl2br w:val="nil"/>
                    <w:tr2bl w:val="nil"/>
                  </w:tcBorders>
                  <w:noWrap w:val="0"/>
                  <w:vAlign w:val="center"/>
                </w:tcPr>
                <w:p w14:paraId="0EFF452B">
                  <w:pPr>
                    <w:adjustRightInd w:val="0"/>
                    <w:snapToGrid w:val="0"/>
                    <w:jc w:val="center"/>
                    <w:rPr>
                      <w:rFonts w:hint="default" w:ascii="Times New Roman" w:hAnsi="Times New Roman" w:cs="Times New Roman"/>
                      <w:b w:val="0"/>
                      <w:bCs w:val="0"/>
                      <w:color w:val="auto"/>
                      <w:szCs w:val="21"/>
                      <w:highlight w:val="none"/>
                    </w:rPr>
                  </w:pPr>
                </w:p>
              </w:tc>
              <w:tc>
                <w:tcPr>
                  <w:tcW w:w="391" w:type="pct"/>
                  <w:vMerge w:val="continue"/>
                  <w:tcBorders>
                    <w:tl2br w:val="nil"/>
                    <w:tr2bl w:val="nil"/>
                  </w:tcBorders>
                  <w:noWrap w:val="0"/>
                  <w:vAlign w:val="center"/>
                </w:tcPr>
                <w:p w14:paraId="39D12513">
                  <w:pPr>
                    <w:adjustRightInd w:val="0"/>
                    <w:snapToGrid w:val="0"/>
                    <w:jc w:val="center"/>
                    <w:rPr>
                      <w:rFonts w:hint="default" w:ascii="Times New Roman" w:hAnsi="Times New Roman" w:cs="Times New Roman"/>
                      <w:b w:val="0"/>
                      <w:bCs w:val="0"/>
                      <w:color w:val="auto"/>
                      <w:szCs w:val="21"/>
                      <w:highlight w:val="none"/>
                    </w:rPr>
                  </w:pPr>
                </w:p>
              </w:tc>
              <w:tc>
                <w:tcPr>
                  <w:tcW w:w="660" w:type="pct"/>
                  <w:tcBorders>
                    <w:tl2br w:val="nil"/>
                    <w:tr2bl w:val="nil"/>
                  </w:tcBorders>
                  <w:noWrap w:val="0"/>
                  <w:vAlign w:val="center"/>
                </w:tcPr>
                <w:p w14:paraId="578043AA">
                  <w:pPr>
                    <w:adjustRightInd w:val="0"/>
                    <w:snapToGrid w:val="0"/>
                    <w:jc w:val="center"/>
                    <w:rPr>
                      <w:rFonts w:hint="eastAsia"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淤泥</w:t>
                  </w:r>
                </w:p>
              </w:tc>
              <w:tc>
                <w:tcPr>
                  <w:tcW w:w="2659" w:type="pct"/>
                  <w:tcBorders>
                    <w:tl2br w:val="nil"/>
                    <w:tr2bl w:val="nil"/>
                  </w:tcBorders>
                  <w:noWrap w:val="0"/>
                  <w:vAlign w:val="center"/>
                </w:tcPr>
                <w:p w14:paraId="68797BCF">
                  <w:pPr>
                    <w:adjustRightInd w:val="0"/>
                    <w:snapToGrid w:val="0"/>
                    <w:jc w:val="center"/>
                    <w:rPr>
                      <w:rFonts w:hint="default" w:ascii="Times New Roman" w:hAnsi="Times New Roman" w:cs="Times New Roman"/>
                      <w:b w:val="0"/>
                      <w:bCs w:val="0"/>
                      <w:color w:val="auto"/>
                      <w:szCs w:val="21"/>
                      <w:highlight w:val="none"/>
                    </w:rPr>
                  </w:pPr>
                  <w:r>
                    <w:rPr>
                      <w:rFonts w:hint="default" w:ascii="Times New Roman" w:hAnsi="Times New Roman" w:cs="Times New Roman"/>
                      <w:color w:val="auto"/>
                      <w:szCs w:val="21"/>
                      <w:highlight w:val="none"/>
                      <w:lang w:val="en-US" w:eastAsia="zh-CN"/>
                    </w:rPr>
                    <w:t>晾晒干</w:t>
                  </w:r>
                  <w:r>
                    <w:rPr>
                      <w:rFonts w:hint="default" w:ascii="Times New Roman" w:hAnsi="Times New Roman" w:cs="Times New Roman"/>
                      <w:color w:val="auto"/>
                      <w:sz w:val="21"/>
                      <w:szCs w:val="21"/>
                      <w:highlight w:val="none"/>
                      <w:lang w:val="en-US" w:eastAsia="zh-CN"/>
                    </w:rPr>
                    <w:t>后</w:t>
                  </w:r>
                  <w:r>
                    <w:rPr>
                      <w:rFonts w:hint="eastAsia" w:cs="Times New Roman"/>
                      <w:color w:val="auto"/>
                      <w:kern w:val="0"/>
                      <w:sz w:val="21"/>
                      <w:szCs w:val="21"/>
                      <w:highlight w:val="none"/>
                      <w:lang w:val="en-US" w:eastAsia="zh-CN"/>
                    </w:rPr>
                    <w:t>与砌护工程产生的多余土方一并</w:t>
                  </w:r>
                  <w:r>
                    <w:rPr>
                      <w:rFonts w:hint="default" w:ascii="Times New Roman" w:hAnsi="Times New Roman" w:cs="Times New Roman"/>
                      <w:color w:val="auto"/>
                      <w:kern w:val="0"/>
                      <w:sz w:val="21"/>
                      <w:szCs w:val="21"/>
                      <w:highlight w:val="none"/>
                    </w:rPr>
                    <w:t>拉运至项目修建巡护道路基础填筑综合利用</w:t>
                  </w:r>
                </w:p>
              </w:tc>
              <w:tc>
                <w:tcPr>
                  <w:tcW w:w="724" w:type="pct"/>
                  <w:tcBorders>
                    <w:tl2br w:val="nil"/>
                    <w:tr2bl w:val="nil"/>
                  </w:tcBorders>
                  <w:noWrap w:val="0"/>
                  <w:vAlign w:val="center"/>
                </w:tcPr>
                <w:p w14:paraId="1C650612">
                  <w:pPr>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137.03</w:t>
                  </w:r>
                </w:p>
              </w:tc>
            </w:tr>
            <w:tr w14:paraId="6F1084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565" w:type="pct"/>
                  <w:vMerge w:val="continue"/>
                  <w:tcBorders>
                    <w:tl2br w:val="nil"/>
                    <w:tr2bl w:val="nil"/>
                  </w:tcBorders>
                  <w:noWrap w:val="0"/>
                  <w:vAlign w:val="center"/>
                </w:tcPr>
                <w:p w14:paraId="3CDE485E">
                  <w:pPr>
                    <w:adjustRightInd w:val="0"/>
                    <w:snapToGrid w:val="0"/>
                    <w:jc w:val="center"/>
                    <w:rPr>
                      <w:rFonts w:hint="default" w:ascii="Times New Roman" w:hAnsi="Times New Roman" w:cs="Times New Roman"/>
                      <w:b w:val="0"/>
                      <w:bCs w:val="0"/>
                      <w:color w:val="auto"/>
                      <w:szCs w:val="21"/>
                      <w:highlight w:val="none"/>
                    </w:rPr>
                  </w:pPr>
                </w:p>
              </w:tc>
              <w:tc>
                <w:tcPr>
                  <w:tcW w:w="1051" w:type="pct"/>
                  <w:gridSpan w:val="2"/>
                  <w:tcBorders>
                    <w:tl2br w:val="nil"/>
                    <w:tr2bl w:val="nil"/>
                  </w:tcBorders>
                  <w:noWrap w:val="0"/>
                  <w:vAlign w:val="center"/>
                </w:tcPr>
                <w:p w14:paraId="58EF86AB">
                  <w:pPr>
                    <w:adjustRightInd w:val="0"/>
                    <w:snapToGrid w:val="0"/>
                    <w:jc w:val="center"/>
                    <w:rPr>
                      <w:rFonts w:hint="default" w:ascii="Times New Roman" w:hAnsi="Times New Roman" w:cs="Times New Roman"/>
                      <w:b w:val="0"/>
                      <w:bCs w:val="0"/>
                      <w:color w:val="auto"/>
                      <w:szCs w:val="21"/>
                      <w:highlight w:val="none"/>
                    </w:rPr>
                  </w:pPr>
                  <w:r>
                    <w:rPr>
                      <w:rFonts w:hint="eastAsia" w:cs="Times New Roman"/>
                      <w:b w:val="0"/>
                      <w:bCs w:val="0"/>
                      <w:color w:val="auto"/>
                      <w:szCs w:val="21"/>
                      <w:highlight w:val="none"/>
                      <w:lang w:val="en-US" w:eastAsia="zh-CN"/>
                    </w:rPr>
                    <w:t>生态恢复</w:t>
                  </w:r>
                </w:p>
              </w:tc>
              <w:tc>
                <w:tcPr>
                  <w:tcW w:w="2659" w:type="pct"/>
                  <w:tcBorders>
                    <w:tl2br w:val="nil"/>
                    <w:tr2bl w:val="nil"/>
                  </w:tcBorders>
                  <w:noWrap w:val="0"/>
                  <w:vAlign w:val="center"/>
                </w:tcPr>
                <w:p w14:paraId="32D9D7FE">
                  <w:pPr>
                    <w:adjustRightInd w:val="0"/>
                    <w:snapToGrid w:val="0"/>
                    <w:jc w:val="center"/>
                    <w:rPr>
                      <w:rFonts w:hint="default" w:ascii="Times New Roman" w:hAnsi="Times New Roman" w:cs="Times New Roman"/>
                      <w:b w:val="0"/>
                      <w:bCs w:val="0"/>
                      <w:color w:val="auto"/>
                      <w:szCs w:val="21"/>
                      <w:highlight w:val="none"/>
                    </w:rPr>
                  </w:pPr>
                  <w:r>
                    <w:rPr>
                      <w:rFonts w:hint="default" w:ascii="Times New Roman" w:hAnsi="Times New Roman" w:cs="Times New Roman"/>
                      <w:color w:val="auto"/>
                      <w:szCs w:val="21"/>
                      <w:highlight w:val="none"/>
                      <w:vertAlign w:val="baseline"/>
                      <w:lang w:val="en-US" w:eastAsia="zh-CN"/>
                    </w:rPr>
                    <w:t>施工结束后对</w:t>
                  </w:r>
                  <w:r>
                    <w:rPr>
                      <w:rFonts w:hint="eastAsia" w:ascii="Times New Roman" w:cs="Times New Roman"/>
                      <w:color w:val="auto"/>
                      <w:szCs w:val="21"/>
                      <w:highlight w:val="none"/>
                      <w:vertAlign w:val="baseline"/>
                      <w:lang w:val="en-US" w:eastAsia="zh-CN"/>
                    </w:rPr>
                    <w:t>临时施工区</w:t>
                  </w:r>
                  <w:r>
                    <w:rPr>
                      <w:rFonts w:hint="default" w:ascii="Times New Roman" w:hAnsi="Times New Roman" w:cs="Times New Roman"/>
                      <w:color w:val="auto"/>
                      <w:szCs w:val="21"/>
                      <w:highlight w:val="none"/>
                      <w:vertAlign w:val="baseline"/>
                      <w:lang w:val="en-US" w:eastAsia="zh-CN"/>
                    </w:rPr>
                    <w:t>进行生态修复，根据临时占地施工前</w:t>
                  </w:r>
                  <w:r>
                    <w:rPr>
                      <w:rFonts w:hint="eastAsia" w:ascii="Times New Roman" w:cs="Times New Roman"/>
                      <w:color w:val="auto"/>
                      <w:szCs w:val="21"/>
                      <w:highlight w:val="none"/>
                      <w:vertAlign w:val="baseline"/>
                      <w:lang w:val="en-US" w:eastAsia="zh-CN"/>
                    </w:rPr>
                    <w:t>土地利用</w:t>
                  </w:r>
                  <w:r>
                    <w:rPr>
                      <w:rFonts w:hint="default" w:ascii="Times New Roman" w:hAnsi="Times New Roman" w:cs="Times New Roman"/>
                      <w:color w:val="auto"/>
                      <w:szCs w:val="21"/>
                      <w:highlight w:val="none"/>
                      <w:vertAlign w:val="baseline"/>
                      <w:lang w:val="en-US" w:eastAsia="zh-CN"/>
                    </w:rPr>
                    <w:t>现状恢复到工程前状态。</w:t>
                  </w:r>
                </w:p>
              </w:tc>
              <w:tc>
                <w:tcPr>
                  <w:tcW w:w="724" w:type="pct"/>
                  <w:tcBorders>
                    <w:tl2br w:val="nil"/>
                    <w:tr2bl w:val="nil"/>
                  </w:tcBorders>
                  <w:noWrap w:val="0"/>
                  <w:vAlign w:val="center"/>
                </w:tcPr>
                <w:p w14:paraId="5CFA40CE">
                  <w:pPr>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240</w:t>
                  </w:r>
                </w:p>
              </w:tc>
            </w:tr>
            <w:tr w14:paraId="6E79B6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565" w:type="pct"/>
                  <w:tcBorders>
                    <w:tl2br w:val="nil"/>
                    <w:tr2bl w:val="nil"/>
                  </w:tcBorders>
                  <w:noWrap w:val="0"/>
                  <w:vAlign w:val="center"/>
                </w:tcPr>
                <w:p w14:paraId="20868199">
                  <w:pPr>
                    <w:adjustRightInd w:val="0"/>
                    <w:snapToGrid w:val="0"/>
                    <w:jc w:val="center"/>
                    <w:rPr>
                      <w:rFonts w:hint="eastAsia"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运营期</w:t>
                  </w:r>
                </w:p>
              </w:tc>
              <w:tc>
                <w:tcPr>
                  <w:tcW w:w="1051" w:type="pct"/>
                  <w:gridSpan w:val="2"/>
                  <w:tcBorders>
                    <w:tl2br w:val="nil"/>
                    <w:tr2bl w:val="nil"/>
                  </w:tcBorders>
                  <w:noWrap w:val="0"/>
                  <w:vAlign w:val="center"/>
                </w:tcPr>
                <w:p w14:paraId="654B92CB">
                  <w:pPr>
                    <w:adjustRightInd w:val="0"/>
                    <w:snapToGrid w:val="0"/>
                    <w:jc w:val="center"/>
                    <w:rPr>
                      <w:rFonts w:hint="default" w:ascii="Times New Roman" w:hAnsi="Times New Roman" w:cs="Times New Roman"/>
                      <w:b w:val="0"/>
                      <w:bCs w:val="0"/>
                      <w:color w:val="auto"/>
                      <w:szCs w:val="21"/>
                      <w:highlight w:val="none"/>
                    </w:rPr>
                  </w:pPr>
                  <w:r>
                    <w:rPr>
                      <w:rFonts w:hint="eastAsia" w:cs="Times New Roman"/>
                      <w:b w:val="0"/>
                      <w:bCs w:val="0"/>
                      <w:color w:val="auto"/>
                      <w:szCs w:val="21"/>
                      <w:highlight w:val="none"/>
                      <w:lang w:val="en-US" w:eastAsia="zh-CN"/>
                    </w:rPr>
                    <w:t>生态</w:t>
                  </w:r>
                </w:p>
              </w:tc>
              <w:tc>
                <w:tcPr>
                  <w:tcW w:w="2659" w:type="pct"/>
                  <w:tcBorders>
                    <w:tl2br w:val="nil"/>
                    <w:tr2bl w:val="nil"/>
                  </w:tcBorders>
                  <w:noWrap w:val="0"/>
                  <w:vAlign w:val="center"/>
                </w:tcPr>
                <w:p w14:paraId="3F68FAE6">
                  <w:pPr>
                    <w:adjustRightInd w:val="0"/>
                    <w:snapToGrid w:val="0"/>
                    <w:jc w:val="center"/>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裸露岸坡植被、格宾护岸植被绿化养护</w:t>
                  </w:r>
                </w:p>
              </w:tc>
              <w:tc>
                <w:tcPr>
                  <w:tcW w:w="724" w:type="pct"/>
                  <w:tcBorders>
                    <w:tl2br w:val="nil"/>
                    <w:tr2bl w:val="nil"/>
                  </w:tcBorders>
                  <w:noWrap w:val="0"/>
                  <w:vAlign w:val="center"/>
                </w:tcPr>
                <w:p w14:paraId="2EEECA61">
                  <w:pPr>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150</w:t>
                  </w:r>
                </w:p>
              </w:tc>
            </w:tr>
            <w:tr w14:paraId="609035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4275" w:type="pct"/>
                  <w:gridSpan w:val="4"/>
                  <w:tcBorders>
                    <w:tl2br w:val="nil"/>
                    <w:tr2bl w:val="nil"/>
                  </w:tcBorders>
                  <w:noWrap w:val="0"/>
                  <w:vAlign w:val="center"/>
                </w:tcPr>
                <w:p w14:paraId="08448C4A">
                  <w:pPr>
                    <w:adjustRightInd w:val="0"/>
                    <w:snapToGrid w:val="0"/>
                    <w:jc w:val="center"/>
                    <w:rPr>
                      <w:rFonts w:hint="default" w:ascii="Times New Roman" w:hAnsi="Times New Roman" w:cs="Times New Roman"/>
                      <w:b/>
                      <w:bCs/>
                      <w:color w:val="auto"/>
                      <w:szCs w:val="21"/>
                      <w:highlight w:val="none"/>
                    </w:rPr>
                  </w:pPr>
                  <w:r>
                    <w:rPr>
                      <w:rFonts w:hint="eastAsia" w:cs="Times New Roman"/>
                      <w:b/>
                      <w:bCs/>
                      <w:color w:val="auto"/>
                      <w:szCs w:val="21"/>
                      <w:highlight w:val="none"/>
                      <w:lang w:val="en-US" w:eastAsia="zh-CN"/>
                    </w:rPr>
                    <w:t>合计</w:t>
                  </w:r>
                </w:p>
              </w:tc>
              <w:tc>
                <w:tcPr>
                  <w:tcW w:w="724" w:type="pct"/>
                  <w:tcBorders>
                    <w:tl2br w:val="nil"/>
                    <w:tr2bl w:val="nil"/>
                  </w:tcBorders>
                  <w:noWrap w:val="0"/>
                  <w:vAlign w:val="center"/>
                </w:tcPr>
                <w:p w14:paraId="2980803E">
                  <w:pPr>
                    <w:adjustRightInd w:val="0"/>
                    <w:snapToGrid w:val="0"/>
                    <w:jc w:val="center"/>
                    <w:rPr>
                      <w:rFonts w:hint="default" w:cs="Times New Roman"/>
                      <w:b/>
                      <w:bCs/>
                      <w:color w:val="auto"/>
                      <w:szCs w:val="21"/>
                      <w:highlight w:val="none"/>
                      <w:lang w:val="en-US" w:eastAsia="zh-CN"/>
                    </w:rPr>
                  </w:pPr>
                  <w:r>
                    <w:rPr>
                      <w:rFonts w:hint="eastAsia" w:cs="Times New Roman"/>
                      <w:b/>
                      <w:bCs/>
                      <w:color w:val="auto"/>
                      <w:szCs w:val="21"/>
                      <w:highlight w:val="none"/>
                      <w:lang w:val="en-US" w:eastAsia="zh-CN"/>
                    </w:rPr>
                    <w:t>640.63</w:t>
                  </w:r>
                </w:p>
              </w:tc>
            </w:tr>
          </w:tbl>
          <w:p w14:paraId="7BF0DD44">
            <w:pPr>
              <w:pStyle w:val="63"/>
              <w:bidi w:val="0"/>
              <w:jc w:val="center"/>
              <w:rPr>
                <w:rFonts w:hint="default" w:ascii="Times New Roman" w:hAnsi="Times New Roman" w:eastAsia="黑体" w:cs="Times New Roman"/>
                <w:b w:val="0"/>
                <w:bCs/>
                <w:color w:val="auto"/>
                <w:kern w:val="44"/>
                <w:sz w:val="24"/>
                <w:szCs w:val="24"/>
                <w:highlight w:val="none"/>
                <w:lang w:val="en-US" w:eastAsia="zh-CN" w:bidi="ar-SA"/>
              </w:rPr>
            </w:pPr>
          </w:p>
          <w:p w14:paraId="2ED68808">
            <w:pPr>
              <w:pStyle w:val="63"/>
              <w:bidi w:val="0"/>
              <w:jc w:val="center"/>
              <w:rPr>
                <w:rFonts w:hint="default" w:ascii="Times New Roman" w:hAnsi="Times New Roman" w:eastAsia="黑体" w:cs="Times New Roman"/>
                <w:b w:val="0"/>
                <w:bCs/>
                <w:color w:val="auto"/>
                <w:kern w:val="44"/>
                <w:sz w:val="24"/>
                <w:szCs w:val="24"/>
                <w:highlight w:val="none"/>
                <w:lang w:val="en-US" w:eastAsia="zh-CN" w:bidi="ar-SA"/>
              </w:rPr>
            </w:pPr>
          </w:p>
          <w:p w14:paraId="3ED86D36">
            <w:pPr>
              <w:pStyle w:val="63"/>
              <w:bidi w:val="0"/>
              <w:jc w:val="center"/>
              <w:rPr>
                <w:rFonts w:hint="default" w:ascii="Times New Roman" w:hAnsi="Times New Roman" w:eastAsia="黑体" w:cs="Times New Roman"/>
                <w:b w:val="0"/>
                <w:bCs/>
                <w:color w:val="auto"/>
                <w:kern w:val="44"/>
                <w:sz w:val="24"/>
                <w:szCs w:val="24"/>
                <w:highlight w:val="none"/>
                <w:lang w:val="en-US" w:eastAsia="zh-CN" w:bidi="ar-SA"/>
              </w:rPr>
            </w:pPr>
          </w:p>
          <w:p w14:paraId="73AE0236">
            <w:pPr>
              <w:pStyle w:val="63"/>
              <w:bidi w:val="0"/>
              <w:jc w:val="center"/>
              <w:rPr>
                <w:rFonts w:hint="default" w:ascii="Times New Roman" w:hAnsi="Times New Roman" w:eastAsia="黑体" w:cs="Times New Roman"/>
                <w:b w:val="0"/>
                <w:bCs/>
                <w:color w:val="auto"/>
                <w:kern w:val="44"/>
                <w:sz w:val="24"/>
                <w:szCs w:val="24"/>
                <w:highlight w:val="none"/>
                <w:lang w:val="en-US" w:eastAsia="zh-CN" w:bidi="ar-SA"/>
              </w:rPr>
            </w:pPr>
          </w:p>
          <w:p w14:paraId="7782F5FF">
            <w:pPr>
              <w:pStyle w:val="63"/>
              <w:bidi w:val="0"/>
              <w:jc w:val="center"/>
              <w:rPr>
                <w:rFonts w:hint="default" w:ascii="Times New Roman" w:hAnsi="Times New Roman" w:eastAsia="黑体" w:cs="Times New Roman"/>
                <w:b w:val="0"/>
                <w:bCs/>
                <w:color w:val="auto"/>
                <w:kern w:val="44"/>
                <w:sz w:val="24"/>
                <w:szCs w:val="24"/>
                <w:highlight w:val="none"/>
                <w:lang w:val="en-US" w:eastAsia="zh-CN" w:bidi="ar-SA"/>
              </w:rPr>
            </w:pPr>
          </w:p>
          <w:p w14:paraId="2BECAE80">
            <w:pPr>
              <w:pStyle w:val="63"/>
              <w:bidi w:val="0"/>
              <w:jc w:val="center"/>
              <w:rPr>
                <w:rFonts w:hint="default" w:ascii="Times New Roman" w:hAnsi="Times New Roman" w:eastAsia="黑体" w:cs="Times New Roman"/>
                <w:b w:val="0"/>
                <w:bCs/>
                <w:color w:val="auto"/>
                <w:kern w:val="44"/>
                <w:sz w:val="24"/>
                <w:szCs w:val="24"/>
                <w:highlight w:val="none"/>
                <w:lang w:val="en-US" w:eastAsia="zh-CN" w:bidi="ar-SA"/>
              </w:rPr>
            </w:pPr>
          </w:p>
          <w:p w14:paraId="3AD42112">
            <w:pPr>
              <w:pStyle w:val="63"/>
              <w:bidi w:val="0"/>
              <w:jc w:val="center"/>
              <w:rPr>
                <w:rFonts w:hint="default" w:ascii="Times New Roman" w:hAnsi="Times New Roman" w:eastAsia="黑体" w:cs="Times New Roman"/>
                <w:b w:val="0"/>
                <w:bCs/>
                <w:color w:val="auto"/>
                <w:kern w:val="44"/>
                <w:sz w:val="24"/>
                <w:szCs w:val="24"/>
                <w:highlight w:val="none"/>
                <w:lang w:val="en-US" w:eastAsia="zh-CN" w:bidi="ar-SA"/>
              </w:rPr>
            </w:pPr>
          </w:p>
          <w:p w14:paraId="4D85D62F">
            <w:pPr>
              <w:pStyle w:val="63"/>
              <w:bidi w:val="0"/>
              <w:jc w:val="center"/>
              <w:rPr>
                <w:rFonts w:hint="default" w:ascii="Times New Roman" w:hAnsi="Times New Roman" w:eastAsia="黑体" w:cs="Times New Roman"/>
                <w:b w:val="0"/>
                <w:bCs/>
                <w:color w:val="auto"/>
                <w:kern w:val="44"/>
                <w:sz w:val="24"/>
                <w:szCs w:val="24"/>
                <w:highlight w:val="none"/>
                <w:lang w:val="en-US" w:eastAsia="zh-CN" w:bidi="ar-SA"/>
              </w:rPr>
            </w:pPr>
          </w:p>
          <w:p w14:paraId="515F643A">
            <w:pPr>
              <w:pStyle w:val="63"/>
              <w:bidi w:val="0"/>
              <w:jc w:val="center"/>
              <w:rPr>
                <w:rFonts w:hint="default" w:ascii="Times New Roman" w:hAnsi="Times New Roman" w:eastAsia="黑体" w:cs="Times New Roman"/>
                <w:b w:val="0"/>
                <w:bCs/>
                <w:color w:val="auto"/>
                <w:kern w:val="44"/>
                <w:sz w:val="24"/>
                <w:szCs w:val="24"/>
                <w:highlight w:val="none"/>
                <w:lang w:val="en-US" w:eastAsia="zh-CN" w:bidi="ar-SA"/>
              </w:rPr>
            </w:pPr>
          </w:p>
          <w:p w14:paraId="49FC0DD9">
            <w:pPr>
              <w:pStyle w:val="63"/>
              <w:bidi w:val="0"/>
              <w:jc w:val="center"/>
              <w:rPr>
                <w:rFonts w:hint="default" w:ascii="Times New Roman" w:hAnsi="Times New Roman" w:eastAsia="黑体" w:cs="Times New Roman"/>
                <w:b w:val="0"/>
                <w:bCs/>
                <w:color w:val="auto"/>
                <w:kern w:val="44"/>
                <w:sz w:val="24"/>
                <w:szCs w:val="24"/>
                <w:highlight w:val="none"/>
                <w:lang w:val="en-US" w:eastAsia="zh-CN" w:bidi="ar-SA"/>
              </w:rPr>
            </w:pPr>
          </w:p>
          <w:p w14:paraId="467B6DA9">
            <w:pPr>
              <w:pStyle w:val="63"/>
              <w:bidi w:val="0"/>
              <w:jc w:val="center"/>
              <w:rPr>
                <w:rFonts w:hint="default" w:ascii="Times New Roman" w:hAnsi="Times New Roman" w:eastAsia="黑体" w:cs="Times New Roman"/>
                <w:b w:val="0"/>
                <w:bCs/>
                <w:color w:val="auto"/>
                <w:kern w:val="44"/>
                <w:sz w:val="24"/>
                <w:szCs w:val="24"/>
                <w:highlight w:val="none"/>
                <w:lang w:val="en-US" w:eastAsia="zh-CN" w:bidi="ar-SA"/>
              </w:rPr>
            </w:pPr>
          </w:p>
          <w:p w14:paraId="33A62DEA">
            <w:pPr>
              <w:pStyle w:val="63"/>
              <w:bidi w:val="0"/>
              <w:jc w:val="center"/>
              <w:rPr>
                <w:rFonts w:hint="default" w:ascii="Times New Roman" w:hAnsi="Times New Roman" w:eastAsia="黑体" w:cs="Times New Roman"/>
                <w:b w:val="0"/>
                <w:bCs/>
                <w:color w:val="auto"/>
                <w:kern w:val="44"/>
                <w:sz w:val="24"/>
                <w:szCs w:val="24"/>
                <w:highlight w:val="none"/>
                <w:lang w:val="en-US" w:eastAsia="zh-CN" w:bidi="ar-SA"/>
              </w:rPr>
            </w:pPr>
          </w:p>
          <w:p w14:paraId="7C8D601F">
            <w:pPr>
              <w:pStyle w:val="63"/>
              <w:bidi w:val="0"/>
              <w:jc w:val="center"/>
              <w:rPr>
                <w:rFonts w:hint="default" w:ascii="Times New Roman" w:hAnsi="Times New Roman" w:eastAsia="黑体" w:cs="Times New Roman"/>
                <w:b w:val="0"/>
                <w:bCs/>
                <w:color w:val="auto"/>
                <w:kern w:val="44"/>
                <w:sz w:val="24"/>
                <w:szCs w:val="24"/>
                <w:highlight w:val="none"/>
                <w:lang w:val="en-US" w:eastAsia="zh-CN" w:bidi="ar-SA"/>
              </w:rPr>
            </w:pPr>
          </w:p>
          <w:p w14:paraId="118D2A3F">
            <w:pPr>
              <w:pStyle w:val="63"/>
              <w:bidi w:val="0"/>
              <w:jc w:val="center"/>
              <w:rPr>
                <w:rFonts w:hint="default" w:ascii="Times New Roman" w:hAnsi="Times New Roman" w:eastAsia="黑体" w:cs="Times New Roman"/>
                <w:b w:val="0"/>
                <w:bCs/>
                <w:color w:val="auto"/>
                <w:kern w:val="44"/>
                <w:sz w:val="24"/>
                <w:szCs w:val="24"/>
                <w:highlight w:val="none"/>
                <w:lang w:val="en-US" w:eastAsia="zh-CN" w:bidi="ar-SA"/>
              </w:rPr>
            </w:pPr>
          </w:p>
          <w:p w14:paraId="4BFA1126">
            <w:pPr>
              <w:pStyle w:val="63"/>
              <w:bidi w:val="0"/>
              <w:jc w:val="center"/>
              <w:rPr>
                <w:rFonts w:hint="default" w:ascii="Times New Roman" w:hAnsi="Times New Roman" w:eastAsia="黑体" w:cs="Times New Roman"/>
                <w:b w:val="0"/>
                <w:bCs/>
                <w:color w:val="auto"/>
                <w:kern w:val="44"/>
                <w:sz w:val="24"/>
                <w:szCs w:val="24"/>
                <w:highlight w:val="none"/>
                <w:lang w:val="en-US" w:eastAsia="zh-CN" w:bidi="ar-SA"/>
              </w:rPr>
            </w:pPr>
          </w:p>
          <w:p w14:paraId="6B9CC5EF">
            <w:pPr>
              <w:pStyle w:val="63"/>
              <w:bidi w:val="0"/>
              <w:jc w:val="center"/>
              <w:rPr>
                <w:rFonts w:hint="default" w:ascii="Times New Roman" w:hAnsi="Times New Roman" w:eastAsia="黑体" w:cs="Times New Roman"/>
                <w:b w:val="0"/>
                <w:bCs/>
                <w:color w:val="auto"/>
                <w:kern w:val="44"/>
                <w:sz w:val="24"/>
                <w:szCs w:val="24"/>
                <w:highlight w:val="none"/>
                <w:lang w:val="en-US" w:eastAsia="zh-CN" w:bidi="ar-SA"/>
              </w:rPr>
            </w:pPr>
          </w:p>
          <w:p w14:paraId="45799C20">
            <w:pPr>
              <w:pStyle w:val="63"/>
              <w:bidi w:val="0"/>
              <w:jc w:val="center"/>
              <w:rPr>
                <w:rFonts w:hint="default" w:ascii="Times New Roman" w:hAnsi="Times New Roman" w:eastAsia="黑体" w:cs="Times New Roman"/>
                <w:b w:val="0"/>
                <w:bCs/>
                <w:color w:val="auto"/>
                <w:kern w:val="44"/>
                <w:sz w:val="24"/>
                <w:szCs w:val="24"/>
                <w:highlight w:val="none"/>
                <w:lang w:val="en-US" w:eastAsia="zh-CN" w:bidi="ar-SA"/>
              </w:rPr>
            </w:pPr>
          </w:p>
          <w:p w14:paraId="7C3E575D">
            <w:pPr>
              <w:pStyle w:val="63"/>
              <w:bidi w:val="0"/>
              <w:jc w:val="center"/>
              <w:rPr>
                <w:rFonts w:hint="default" w:ascii="Times New Roman" w:hAnsi="Times New Roman" w:eastAsia="黑体" w:cs="Times New Roman"/>
                <w:b w:val="0"/>
                <w:bCs/>
                <w:color w:val="auto"/>
                <w:kern w:val="44"/>
                <w:sz w:val="24"/>
                <w:szCs w:val="24"/>
                <w:highlight w:val="none"/>
                <w:lang w:val="en-US" w:eastAsia="zh-CN" w:bidi="ar-SA"/>
              </w:rPr>
            </w:pPr>
          </w:p>
          <w:p w14:paraId="6AD37B34">
            <w:pPr>
              <w:pStyle w:val="63"/>
              <w:bidi w:val="0"/>
              <w:jc w:val="center"/>
              <w:rPr>
                <w:rFonts w:hint="default" w:ascii="Times New Roman" w:hAnsi="Times New Roman" w:eastAsia="黑体" w:cs="Times New Roman"/>
                <w:b w:val="0"/>
                <w:bCs/>
                <w:color w:val="auto"/>
                <w:kern w:val="44"/>
                <w:sz w:val="24"/>
                <w:szCs w:val="24"/>
                <w:highlight w:val="none"/>
                <w:lang w:val="en-US" w:eastAsia="zh-CN" w:bidi="ar-SA"/>
              </w:rPr>
            </w:pPr>
          </w:p>
          <w:p w14:paraId="29143374">
            <w:pPr>
              <w:pStyle w:val="63"/>
              <w:bidi w:val="0"/>
              <w:jc w:val="center"/>
              <w:rPr>
                <w:rFonts w:hint="default" w:ascii="Times New Roman" w:hAnsi="Times New Roman" w:eastAsia="黑体" w:cs="Times New Roman"/>
                <w:b w:val="0"/>
                <w:bCs/>
                <w:color w:val="auto"/>
                <w:kern w:val="44"/>
                <w:sz w:val="24"/>
                <w:szCs w:val="24"/>
                <w:highlight w:val="none"/>
                <w:lang w:val="en-US" w:eastAsia="zh-CN" w:bidi="ar-SA"/>
              </w:rPr>
            </w:pPr>
          </w:p>
          <w:p w14:paraId="6DDE3C40">
            <w:pPr>
              <w:pStyle w:val="63"/>
              <w:bidi w:val="0"/>
              <w:jc w:val="center"/>
              <w:rPr>
                <w:rFonts w:hint="default" w:ascii="Times New Roman" w:hAnsi="Times New Roman" w:eastAsia="黑体" w:cs="Times New Roman"/>
                <w:b w:val="0"/>
                <w:bCs/>
                <w:color w:val="auto"/>
                <w:kern w:val="44"/>
                <w:sz w:val="24"/>
                <w:szCs w:val="24"/>
                <w:highlight w:val="none"/>
                <w:lang w:val="en-US" w:eastAsia="zh-CN" w:bidi="ar-SA"/>
              </w:rPr>
            </w:pPr>
          </w:p>
          <w:p w14:paraId="5BA6AD4F">
            <w:pPr>
              <w:pStyle w:val="63"/>
              <w:bidi w:val="0"/>
              <w:jc w:val="center"/>
              <w:rPr>
                <w:rFonts w:hint="default" w:ascii="Times New Roman" w:hAnsi="Times New Roman" w:eastAsia="黑体" w:cs="Times New Roman"/>
                <w:b w:val="0"/>
                <w:bCs/>
                <w:color w:val="auto"/>
                <w:kern w:val="44"/>
                <w:sz w:val="24"/>
                <w:szCs w:val="24"/>
                <w:highlight w:val="none"/>
                <w:lang w:val="en-US" w:eastAsia="zh-CN" w:bidi="ar-SA"/>
              </w:rPr>
            </w:pPr>
          </w:p>
          <w:p w14:paraId="1B568EF0">
            <w:pPr>
              <w:pStyle w:val="63"/>
              <w:bidi w:val="0"/>
              <w:jc w:val="center"/>
              <w:rPr>
                <w:rFonts w:hint="default" w:ascii="Times New Roman" w:hAnsi="Times New Roman" w:eastAsia="黑体" w:cs="Times New Roman"/>
                <w:b w:val="0"/>
                <w:bCs/>
                <w:color w:val="auto"/>
                <w:kern w:val="44"/>
                <w:sz w:val="24"/>
                <w:szCs w:val="24"/>
                <w:highlight w:val="none"/>
                <w:lang w:val="en-US" w:eastAsia="zh-CN" w:bidi="ar-SA"/>
              </w:rPr>
            </w:pPr>
          </w:p>
          <w:p w14:paraId="6FB1B08F">
            <w:pPr>
              <w:pStyle w:val="63"/>
              <w:bidi w:val="0"/>
              <w:jc w:val="center"/>
              <w:rPr>
                <w:rFonts w:hint="default" w:ascii="Times New Roman" w:hAnsi="Times New Roman" w:eastAsia="黑体" w:cs="Times New Roman"/>
                <w:b w:val="0"/>
                <w:bCs/>
                <w:color w:val="auto"/>
                <w:kern w:val="44"/>
                <w:sz w:val="24"/>
                <w:szCs w:val="24"/>
                <w:highlight w:val="none"/>
                <w:lang w:val="en-US" w:eastAsia="zh-CN" w:bidi="ar-SA"/>
              </w:rPr>
            </w:pPr>
          </w:p>
          <w:p w14:paraId="2EF51072">
            <w:pPr>
              <w:pStyle w:val="63"/>
              <w:bidi w:val="0"/>
              <w:jc w:val="center"/>
              <w:rPr>
                <w:rFonts w:hint="default" w:ascii="Times New Roman" w:hAnsi="Times New Roman" w:eastAsia="黑体" w:cs="Times New Roman"/>
                <w:b w:val="0"/>
                <w:bCs/>
                <w:color w:val="auto"/>
                <w:kern w:val="44"/>
                <w:sz w:val="24"/>
                <w:szCs w:val="24"/>
                <w:highlight w:val="none"/>
                <w:lang w:val="en-US" w:eastAsia="zh-CN" w:bidi="ar-SA"/>
              </w:rPr>
            </w:pPr>
          </w:p>
          <w:p w14:paraId="2C78232A">
            <w:pPr>
              <w:pStyle w:val="63"/>
              <w:bidi w:val="0"/>
              <w:jc w:val="center"/>
              <w:rPr>
                <w:rFonts w:hint="default" w:ascii="Times New Roman" w:hAnsi="Times New Roman" w:eastAsia="黑体" w:cs="Times New Roman"/>
                <w:b w:val="0"/>
                <w:bCs/>
                <w:color w:val="auto"/>
                <w:kern w:val="44"/>
                <w:sz w:val="24"/>
                <w:szCs w:val="24"/>
                <w:highlight w:val="none"/>
                <w:lang w:val="en-US" w:eastAsia="zh-CN" w:bidi="ar-SA"/>
              </w:rPr>
            </w:pPr>
          </w:p>
          <w:p w14:paraId="488F5DAF">
            <w:pPr>
              <w:pStyle w:val="63"/>
              <w:bidi w:val="0"/>
              <w:jc w:val="center"/>
              <w:rPr>
                <w:rFonts w:hint="default" w:ascii="Times New Roman" w:hAnsi="Times New Roman" w:eastAsia="黑体" w:cs="Times New Roman"/>
                <w:b w:val="0"/>
                <w:bCs/>
                <w:color w:val="auto"/>
                <w:kern w:val="44"/>
                <w:sz w:val="24"/>
                <w:szCs w:val="24"/>
                <w:highlight w:val="none"/>
                <w:lang w:val="en-US" w:eastAsia="zh-CN" w:bidi="ar-SA"/>
              </w:rPr>
            </w:pPr>
          </w:p>
          <w:p w14:paraId="11E0E017">
            <w:pPr>
              <w:pStyle w:val="63"/>
              <w:bidi w:val="0"/>
              <w:jc w:val="center"/>
              <w:rPr>
                <w:rFonts w:hint="default" w:ascii="Times New Roman" w:hAnsi="Times New Roman" w:eastAsia="黑体" w:cs="Times New Roman"/>
                <w:b w:val="0"/>
                <w:bCs/>
                <w:color w:val="auto"/>
                <w:kern w:val="44"/>
                <w:sz w:val="24"/>
                <w:szCs w:val="24"/>
                <w:highlight w:val="none"/>
                <w:lang w:val="en-US" w:eastAsia="zh-CN" w:bidi="ar-SA"/>
              </w:rPr>
            </w:pPr>
          </w:p>
          <w:p w14:paraId="73FCD371">
            <w:pPr>
              <w:pStyle w:val="63"/>
              <w:bidi w:val="0"/>
              <w:jc w:val="center"/>
              <w:rPr>
                <w:rFonts w:hint="default" w:ascii="Times New Roman" w:hAnsi="Times New Roman" w:eastAsia="黑体" w:cs="Times New Roman"/>
                <w:b w:val="0"/>
                <w:bCs/>
                <w:color w:val="auto"/>
                <w:kern w:val="44"/>
                <w:sz w:val="24"/>
                <w:szCs w:val="24"/>
                <w:highlight w:val="none"/>
                <w:lang w:val="en-US" w:eastAsia="zh-CN" w:bidi="ar-SA"/>
              </w:rPr>
            </w:pPr>
          </w:p>
          <w:p w14:paraId="74708BAE">
            <w:pPr>
              <w:pStyle w:val="63"/>
              <w:bidi w:val="0"/>
              <w:jc w:val="center"/>
              <w:rPr>
                <w:rFonts w:hint="default" w:ascii="Times New Roman" w:hAnsi="Times New Roman" w:eastAsia="黑体" w:cs="Times New Roman"/>
                <w:b w:val="0"/>
                <w:bCs/>
                <w:color w:val="auto"/>
                <w:kern w:val="44"/>
                <w:sz w:val="24"/>
                <w:szCs w:val="24"/>
                <w:highlight w:val="none"/>
                <w:lang w:val="en-US" w:eastAsia="zh-CN" w:bidi="ar-SA"/>
              </w:rPr>
            </w:pPr>
          </w:p>
          <w:p w14:paraId="113B34BF">
            <w:pPr>
              <w:pStyle w:val="63"/>
              <w:bidi w:val="0"/>
              <w:jc w:val="center"/>
              <w:rPr>
                <w:rFonts w:hint="default" w:ascii="Times New Roman" w:hAnsi="Times New Roman" w:eastAsia="黑体" w:cs="Times New Roman"/>
                <w:b w:val="0"/>
                <w:bCs/>
                <w:color w:val="auto"/>
                <w:kern w:val="44"/>
                <w:sz w:val="24"/>
                <w:szCs w:val="24"/>
                <w:highlight w:val="none"/>
                <w:lang w:val="en-US" w:eastAsia="zh-CN" w:bidi="ar-SA"/>
              </w:rPr>
            </w:pPr>
          </w:p>
          <w:p w14:paraId="7684208A">
            <w:pPr>
              <w:pStyle w:val="63"/>
              <w:bidi w:val="0"/>
              <w:jc w:val="center"/>
              <w:rPr>
                <w:rFonts w:hint="default" w:ascii="Times New Roman" w:hAnsi="Times New Roman" w:eastAsia="黑体" w:cs="Times New Roman"/>
                <w:b w:val="0"/>
                <w:bCs/>
                <w:color w:val="auto"/>
                <w:kern w:val="44"/>
                <w:sz w:val="24"/>
                <w:szCs w:val="24"/>
                <w:highlight w:val="none"/>
                <w:lang w:val="en-US" w:eastAsia="zh-CN" w:bidi="ar-SA"/>
              </w:rPr>
            </w:pPr>
          </w:p>
          <w:p w14:paraId="37906BDC">
            <w:pPr>
              <w:pStyle w:val="63"/>
              <w:bidi w:val="0"/>
              <w:jc w:val="center"/>
              <w:rPr>
                <w:rFonts w:hint="default" w:ascii="Times New Roman" w:hAnsi="Times New Roman" w:eastAsia="黑体" w:cs="Times New Roman"/>
                <w:b w:val="0"/>
                <w:bCs/>
                <w:color w:val="auto"/>
                <w:kern w:val="44"/>
                <w:sz w:val="24"/>
                <w:szCs w:val="24"/>
                <w:highlight w:val="none"/>
                <w:lang w:val="en-US" w:eastAsia="zh-CN" w:bidi="ar-SA"/>
              </w:rPr>
            </w:pPr>
          </w:p>
          <w:p w14:paraId="21214D41">
            <w:pPr>
              <w:pStyle w:val="63"/>
              <w:bidi w:val="0"/>
              <w:jc w:val="center"/>
              <w:rPr>
                <w:rFonts w:hint="default" w:ascii="Times New Roman" w:hAnsi="Times New Roman" w:eastAsia="黑体" w:cs="Times New Roman"/>
                <w:b w:val="0"/>
                <w:bCs/>
                <w:color w:val="auto"/>
                <w:kern w:val="44"/>
                <w:sz w:val="24"/>
                <w:szCs w:val="24"/>
                <w:highlight w:val="none"/>
                <w:lang w:val="en-US" w:eastAsia="zh-CN" w:bidi="ar-SA"/>
              </w:rPr>
            </w:pPr>
          </w:p>
          <w:p w14:paraId="1551F03A">
            <w:pPr>
              <w:pStyle w:val="63"/>
              <w:bidi w:val="0"/>
              <w:jc w:val="center"/>
              <w:rPr>
                <w:rFonts w:hint="default" w:ascii="Times New Roman" w:hAnsi="Times New Roman" w:eastAsia="黑体" w:cs="Times New Roman"/>
                <w:b w:val="0"/>
                <w:bCs/>
                <w:color w:val="auto"/>
                <w:kern w:val="44"/>
                <w:sz w:val="24"/>
                <w:szCs w:val="24"/>
                <w:highlight w:val="none"/>
                <w:lang w:val="en-US" w:eastAsia="zh-CN" w:bidi="ar-SA"/>
              </w:rPr>
            </w:pPr>
          </w:p>
          <w:p w14:paraId="62AE9062">
            <w:pPr>
              <w:pStyle w:val="63"/>
              <w:bidi w:val="0"/>
              <w:jc w:val="center"/>
              <w:rPr>
                <w:rFonts w:hint="default" w:ascii="Times New Roman" w:hAnsi="Times New Roman" w:eastAsia="黑体" w:cs="Times New Roman"/>
                <w:b w:val="0"/>
                <w:bCs/>
                <w:color w:val="auto"/>
                <w:kern w:val="44"/>
                <w:sz w:val="24"/>
                <w:szCs w:val="24"/>
                <w:highlight w:val="none"/>
                <w:lang w:val="en-US" w:eastAsia="zh-CN" w:bidi="ar-SA"/>
              </w:rPr>
            </w:pPr>
          </w:p>
          <w:p w14:paraId="6170EAC3">
            <w:pPr>
              <w:pStyle w:val="63"/>
              <w:bidi w:val="0"/>
              <w:jc w:val="center"/>
              <w:rPr>
                <w:rFonts w:hint="default" w:ascii="Times New Roman" w:hAnsi="Times New Roman" w:eastAsia="黑体" w:cs="Times New Roman"/>
                <w:b w:val="0"/>
                <w:bCs/>
                <w:color w:val="auto"/>
                <w:kern w:val="44"/>
                <w:sz w:val="24"/>
                <w:szCs w:val="24"/>
                <w:highlight w:val="none"/>
                <w:lang w:val="en-US" w:eastAsia="zh-CN" w:bidi="ar-SA"/>
              </w:rPr>
            </w:pPr>
          </w:p>
          <w:p w14:paraId="203C1D28">
            <w:pPr>
              <w:pStyle w:val="63"/>
              <w:bidi w:val="0"/>
              <w:jc w:val="center"/>
              <w:rPr>
                <w:rFonts w:hint="default" w:ascii="Times New Roman" w:hAnsi="Times New Roman" w:eastAsia="黑体" w:cs="Times New Roman"/>
                <w:b w:val="0"/>
                <w:bCs/>
                <w:color w:val="auto"/>
                <w:kern w:val="44"/>
                <w:sz w:val="24"/>
                <w:szCs w:val="24"/>
                <w:highlight w:val="none"/>
                <w:lang w:val="en-US" w:eastAsia="zh-CN" w:bidi="ar-SA"/>
              </w:rPr>
            </w:pPr>
          </w:p>
          <w:p w14:paraId="318B8DFA">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仿宋_GB2312" w:cs="Times New Roman"/>
                <w:bCs/>
                <w:color w:val="auto"/>
                <w:spacing w:val="-10"/>
                <w:sz w:val="24"/>
                <w:highlight w:val="none"/>
              </w:rPr>
            </w:pPr>
          </w:p>
        </w:tc>
      </w:tr>
    </w:tbl>
    <w:p w14:paraId="648E9D81">
      <w:pPr>
        <w:adjustRightInd w:val="0"/>
        <w:snapToGrid w:val="0"/>
        <w:spacing w:line="360" w:lineRule="auto"/>
        <w:rPr>
          <w:rFonts w:hint="default" w:ascii="Times New Roman" w:hAnsi="Times New Roman" w:cs="Times New Roman"/>
          <w:b/>
          <w:color w:val="auto"/>
          <w:kern w:val="0"/>
          <w:sz w:val="28"/>
          <w:szCs w:val="28"/>
          <w:highlight w:val="none"/>
        </w:rPr>
        <w:sectPr>
          <w:pgSz w:w="11907" w:h="16840"/>
          <w:pgMar w:top="1701" w:right="1417" w:bottom="1701" w:left="1417" w:header="851" w:footer="851" w:gutter="0"/>
          <w:pgBorders>
            <w:top w:val="none" w:sz="0" w:space="0"/>
            <w:left w:val="none" w:sz="0" w:space="0"/>
            <w:bottom w:val="none" w:sz="0" w:space="0"/>
            <w:right w:val="none" w:sz="0" w:space="0"/>
          </w:pgBorders>
          <w:pgNumType w:fmt="numberInDash"/>
          <w:cols w:space="720" w:num="1"/>
          <w:docGrid w:linePitch="312" w:charSpace="0"/>
        </w:sectPr>
      </w:pPr>
    </w:p>
    <w:p w14:paraId="79AC44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六、生态环境保护措施监督检查清单</w:t>
      </w:r>
    </w:p>
    <w:tbl>
      <w:tblPr>
        <w:tblStyle w:val="26"/>
        <w:tblW w:w="144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4526"/>
        <w:gridCol w:w="3173"/>
        <w:gridCol w:w="3291"/>
        <w:gridCol w:w="2270"/>
      </w:tblGrid>
      <w:tr w14:paraId="337D5A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197" w:type="dxa"/>
            <w:vMerge w:val="restart"/>
            <w:tcBorders>
              <w:tl2br w:val="nil"/>
              <w:tr2bl w:val="nil"/>
            </w:tcBorders>
            <w:noWrap w:val="0"/>
            <w:vAlign w:val="center"/>
          </w:tcPr>
          <w:p w14:paraId="4125138B">
            <w:pPr>
              <w:pStyle w:val="38"/>
              <w:keepNext w:val="0"/>
              <w:keepLines w:val="0"/>
              <w:pageBreakBefore w:val="0"/>
              <w:widowControl w:val="0"/>
              <w:kinsoku/>
              <w:wordWrap/>
              <w:overflowPunct/>
              <w:topLinePunct w:val="0"/>
              <w:autoSpaceDE/>
              <w:autoSpaceDN/>
              <w:bidi w:val="0"/>
              <w:spacing w:line="240" w:lineRule="exact"/>
              <w:jc w:val="right"/>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内容</w:t>
            </w:r>
          </w:p>
          <w:p w14:paraId="3EA86C6A">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both"/>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要素</w:t>
            </w:r>
          </w:p>
        </w:tc>
        <w:tc>
          <w:tcPr>
            <w:tcW w:w="7699" w:type="dxa"/>
            <w:gridSpan w:val="2"/>
            <w:tcBorders>
              <w:tl2br w:val="nil"/>
              <w:tr2bl w:val="nil"/>
            </w:tcBorders>
            <w:noWrap w:val="0"/>
            <w:vAlign w:val="center"/>
          </w:tcPr>
          <w:p w14:paraId="0AEB49F7">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施工期</w:t>
            </w:r>
          </w:p>
        </w:tc>
        <w:tc>
          <w:tcPr>
            <w:tcW w:w="5561" w:type="dxa"/>
            <w:gridSpan w:val="2"/>
            <w:tcBorders>
              <w:tl2br w:val="nil"/>
              <w:tr2bl w:val="nil"/>
            </w:tcBorders>
            <w:noWrap w:val="0"/>
            <w:vAlign w:val="center"/>
          </w:tcPr>
          <w:p w14:paraId="0E8190A0">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运营期</w:t>
            </w:r>
          </w:p>
        </w:tc>
      </w:tr>
      <w:tr w14:paraId="6F4FB9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197" w:type="dxa"/>
            <w:vMerge w:val="continue"/>
            <w:tcBorders>
              <w:tl2br w:val="nil"/>
              <w:tr2bl w:val="nil"/>
            </w:tcBorders>
            <w:noWrap w:val="0"/>
            <w:vAlign w:val="center"/>
          </w:tcPr>
          <w:p w14:paraId="35310B98">
            <w:pPr>
              <w:pStyle w:val="38"/>
              <w:keepNext w:val="0"/>
              <w:keepLines w:val="0"/>
              <w:pageBreakBefore w:val="0"/>
              <w:widowControl w:val="0"/>
              <w:kinsoku/>
              <w:wordWrap/>
              <w:overflowPunct/>
              <w:topLinePunct w:val="0"/>
              <w:autoSpaceDE/>
              <w:autoSpaceDN/>
              <w:bidi w:val="0"/>
              <w:spacing w:line="240" w:lineRule="exact"/>
              <w:textAlignment w:val="auto"/>
              <w:rPr>
                <w:rFonts w:hint="default" w:ascii="Times New Roman" w:hAnsi="Times New Roman" w:cs="Times New Roman"/>
                <w:b/>
                <w:bCs/>
                <w:color w:val="auto"/>
                <w:sz w:val="21"/>
                <w:szCs w:val="21"/>
                <w:highlight w:val="none"/>
              </w:rPr>
            </w:pPr>
          </w:p>
        </w:tc>
        <w:tc>
          <w:tcPr>
            <w:tcW w:w="4526" w:type="dxa"/>
            <w:tcBorders>
              <w:tl2br w:val="nil"/>
              <w:tr2bl w:val="nil"/>
            </w:tcBorders>
            <w:noWrap w:val="0"/>
            <w:vAlign w:val="center"/>
          </w:tcPr>
          <w:p w14:paraId="68697049">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环境保护措施</w:t>
            </w:r>
          </w:p>
        </w:tc>
        <w:tc>
          <w:tcPr>
            <w:tcW w:w="3173" w:type="dxa"/>
            <w:tcBorders>
              <w:tl2br w:val="nil"/>
              <w:tr2bl w:val="nil"/>
            </w:tcBorders>
            <w:noWrap w:val="0"/>
            <w:vAlign w:val="center"/>
          </w:tcPr>
          <w:p w14:paraId="68D5601E">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验收要求</w:t>
            </w:r>
          </w:p>
        </w:tc>
        <w:tc>
          <w:tcPr>
            <w:tcW w:w="3291" w:type="dxa"/>
            <w:tcBorders>
              <w:tl2br w:val="nil"/>
              <w:tr2bl w:val="nil"/>
            </w:tcBorders>
            <w:noWrap w:val="0"/>
            <w:vAlign w:val="center"/>
          </w:tcPr>
          <w:p w14:paraId="45A1741A">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环境保护措施</w:t>
            </w:r>
          </w:p>
        </w:tc>
        <w:tc>
          <w:tcPr>
            <w:tcW w:w="2270" w:type="dxa"/>
            <w:tcBorders>
              <w:tl2br w:val="nil"/>
              <w:tr2bl w:val="nil"/>
            </w:tcBorders>
            <w:noWrap w:val="0"/>
            <w:vAlign w:val="center"/>
          </w:tcPr>
          <w:p w14:paraId="61E1E761">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验收要求</w:t>
            </w:r>
          </w:p>
        </w:tc>
      </w:tr>
      <w:tr w14:paraId="1F8551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1" w:hRule="atLeast"/>
          <w:jc w:val="center"/>
        </w:trPr>
        <w:tc>
          <w:tcPr>
            <w:tcW w:w="1197" w:type="dxa"/>
            <w:tcBorders>
              <w:tl2br w:val="nil"/>
              <w:tr2bl w:val="nil"/>
            </w:tcBorders>
            <w:noWrap w:val="0"/>
            <w:vAlign w:val="center"/>
          </w:tcPr>
          <w:p w14:paraId="387BA4F1">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陆生生态</w:t>
            </w:r>
          </w:p>
        </w:tc>
        <w:tc>
          <w:tcPr>
            <w:tcW w:w="4526" w:type="dxa"/>
            <w:tcBorders>
              <w:tl2br w:val="nil"/>
              <w:tr2bl w:val="nil"/>
            </w:tcBorders>
            <w:noWrap w:val="0"/>
            <w:vAlign w:val="center"/>
          </w:tcPr>
          <w:p w14:paraId="274ADFFA">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①加强对施工人员的环境保护意识教育，要求文明施工，不得</w:t>
            </w:r>
            <w:r>
              <w:rPr>
                <w:rFonts w:hint="eastAsia" w:ascii="Times New Roman" w:cs="Times New Roman"/>
                <w:b w:val="0"/>
                <w:bCs w:val="0"/>
                <w:color w:val="auto"/>
                <w:sz w:val="21"/>
                <w:szCs w:val="21"/>
                <w:highlight w:val="none"/>
                <w:lang w:val="en-US" w:eastAsia="zh-CN"/>
              </w:rPr>
              <w:t>乱采</w:t>
            </w:r>
            <w:r>
              <w:rPr>
                <w:rFonts w:hint="default" w:ascii="Times New Roman" w:hAnsi="Times New Roman" w:eastAsia="宋体" w:cs="Times New Roman"/>
                <w:b w:val="0"/>
                <w:bCs w:val="0"/>
                <w:color w:val="auto"/>
                <w:sz w:val="21"/>
                <w:szCs w:val="21"/>
                <w:highlight w:val="none"/>
                <w:lang w:val="en-US" w:eastAsia="zh-CN"/>
              </w:rPr>
              <w:t>滥挖滥伐等。</w:t>
            </w:r>
          </w:p>
          <w:p w14:paraId="58FFC229">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②根据项目施工点位，划定施工范围，禁止随意扩展施工范围。</w:t>
            </w:r>
          </w:p>
          <w:p w14:paraId="48EE9670">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③合理安排工期，避免大风及暴雨天气施工，提高施工效率，缩短施工时间，减少生态影响；可根据天气情况及时调整施工工序，工序布设紧凑合理，避免因工序安排不当而造成大面积地表裸露，将水土流失控制在最小程度。</w:t>
            </w:r>
          </w:p>
          <w:p w14:paraId="1DEF5284">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④加强施工人员管理，禁止打猎、捡拾鸟卵。</w:t>
            </w:r>
          </w:p>
          <w:p w14:paraId="58D4B670">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⑤施工时，污染物排放不得超过国家和地方规定的污染物排放标准，定期安排人员收集垃圾和废污水，禁止向水域排放废污水、扔垃圾等。施工现场使用带油料的机械器具，应采取措施防止油料跑、冒、滴、漏，防止对土壤和水体造成污染。</w:t>
            </w:r>
          </w:p>
          <w:p w14:paraId="249DCEAA">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⑥项目施工应当尽量减少破坏植被；临时占地施工结束后应恢复原地貌和植被。</w:t>
            </w:r>
          </w:p>
        </w:tc>
        <w:tc>
          <w:tcPr>
            <w:tcW w:w="3173" w:type="dxa"/>
            <w:tcBorders>
              <w:tl2br w:val="nil"/>
              <w:tr2bl w:val="nil"/>
            </w:tcBorders>
            <w:noWrap w:val="0"/>
            <w:vAlign w:val="center"/>
          </w:tcPr>
          <w:p w14:paraId="4C5FCA8D">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严格落实陆生生态保护措施，不得对施工区域以外的环境造成破坏，落实施工期生态恢复措施及生态环境保护措施。施工废气、噪声均达标排放；施工废水、固废有效收集及合理处置。</w:t>
            </w:r>
          </w:p>
        </w:tc>
        <w:tc>
          <w:tcPr>
            <w:tcW w:w="3291" w:type="dxa"/>
            <w:tcBorders>
              <w:tl2br w:val="nil"/>
              <w:tr2bl w:val="nil"/>
            </w:tcBorders>
            <w:noWrap w:val="0"/>
            <w:vAlign w:val="center"/>
          </w:tcPr>
          <w:p w14:paraId="79D02449">
            <w:pPr>
              <w:pStyle w:val="38"/>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检查施工扰动区域的土地恢复情况</w:t>
            </w:r>
          </w:p>
        </w:tc>
        <w:tc>
          <w:tcPr>
            <w:tcW w:w="2270" w:type="dxa"/>
            <w:tcBorders>
              <w:tl2br w:val="nil"/>
              <w:tr2bl w:val="nil"/>
            </w:tcBorders>
            <w:noWrap w:val="0"/>
            <w:vAlign w:val="center"/>
          </w:tcPr>
          <w:p w14:paraId="14CD81DE">
            <w:pPr>
              <w:pStyle w:val="38"/>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落实环评提出的生态保护措施</w:t>
            </w:r>
          </w:p>
        </w:tc>
      </w:tr>
      <w:tr w14:paraId="1F2640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7" w:type="dxa"/>
            <w:tcBorders>
              <w:tl2br w:val="nil"/>
              <w:tr2bl w:val="nil"/>
            </w:tcBorders>
            <w:noWrap w:val="0"/>
            <w:vAlign w:val="center"/>
          </w:tcPr>
          <w:p w14:paraId="10596A80">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水生生态</w:t>
            </w:r>
          </w:p>
        </w:tc>
        <w:tc>
          <w:tcPr>
            <w:tcW w:w="4526" w:type="dxa"/>
            <w:tcBorders>
              <w:tl2br w:val="nil"/>
              <w:tr2bl w:val="nil"/>
            </w:tcBorders>
            <w:noWrap w:val="0"/>
            <w:vAlign w:val="center"/>
          </w:tcPr>
          <w:p w14:paraId="4FEC7EA7">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①要求合理安排施工时间，应选在枯水期，避开水生植物及动物生产期；②严格控制施工边界，减少对水生生态系统的破坏和占用。</w:t>
            </w:r>
          </w:p>
        </w:tc>
        <w:tc>
          <w:tcPr>
            <w:tcW w:w="3173" w:type="dxa"/>
            <w:tcBorders>
              <w:tl2br w:val="nil"/>
              <w:tr2bl w:val="nil"/>
            </w:tcBorders>
            <w:noWrap w:val="0"/>
            <w:vAlign w:val="center"/>
          </w:tcPr>
          <w:p w14:paraId="6BDFBBA7">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严格落实生态保护措施，不得对施工区域以外的环境造成破坏。</w:t>
            </w:r>
          </w:p>
        </w:tc>
        <w:tc>
          <w:tcPr>
            <w:tcW w:w="3291" w:type="dxa"/>
            <w:tcBorders>
              <w:tl2br w:val="nil"/>
              <w:tr2bl w:val="nil"/>
            </w:tcBorders>
            <w:noWrap w:val="0"/>
            <w:vAlign w:val="center"/>
          </w:tcPr>
          <w:p w14:paraId="6731C24A">
            <w:pPr>
              <w:pStyle w:val="38"/>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2270" w:type="dxa"/>
            <w:tcBorders>
              <w:tl2br w:val="nil"/>
              <w:tr2bl w:val="nil"/>
            </w:tcBorders>
            <w:noWrap w:val="0"/>
            <w:vAlign w:val="center"/>
          </w:tcPr>
          <w:p w14:paraId="0DC881EC">
            <w:pPr>
              <w:pStyle w:val="38"/>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1675BC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7" w:type="dxa"/>
            <w:tcBorders>
              <w:tl2br w:val="nil"/>
              <w:tr2bl w:val="nil"/>
            </w:tcBorders>
            <w:noWrap w:val="0"/>
            <w:vAlign w:val="center"/>
          </w:tcPr>
          <w:p w14:paraId="56835EA3">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地表水环境</w:t>
            </w:r>
          </w:p>
        </w:tc>
        <w:tc>
          <w:tcPr>
            <w:tcW w:w="4526" w:type="dxa"/>
            <w:tcBorders>
              <w:tl2br w:val="nil"/>
              <w:tr2bl w:val="nil"/>
            </w:tcBorders>
            <w:noWrap w:val="0"/>
            <w:vAlign w:val="center"/>
          </w:tcPr>
          <w:p w14:paraId="03F3AF34">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生活污水经配套设置的临时化粪池处理后由粪污车拉运至距离较近的乡镇生活污水处理设施处理。</w:t>
            </w:r>
            <w:r>
              <w:rPr>
                <w:rFonts w:hint="default" w:ascii="Times New Roman" w:hAnsi="Times New Roman" w:cs="Times New Roman"/>
                <w:b w:val="0"/>
                <w:bCs w:val="0"/>
                <w:color w:val="auto"/>
                <w:sz w:val="21"/>
                <w:szCs w:val="21"/>
                <w:highlight w:val="none"/>
                <w:lang w:val="en-US" w:eastAsia="zh-CN"/>
              </w:rPr>
              <w:t>施工</w:t>
            </w:r>
            <w:r>
              <w:rPr>
                <w:rFonts w:hint="default" w:ascii="Times New Roman" w:hAnsi="Times New Roman" w:eastAsia="宋体" w:cs="Times New Roman"/>
                <w:b w:val="0"/>
                <w:bCs w:val="0"/>
                <w:color w:val="auto"/>
                <w:sz w:val="21"/>
                <w:szCs w:val="21"/>
                <w:highlight w:val="none"/>
                <w:lang w:val="en-US" w:eastAsia="zh-CN"/>
              </w:rPr>
              <w:t>废水经施工现场配套沉淀池沉淀处理后回用于施工现场洒水抑尘，不外排</w:t>
            </w:r>
            <w:r>
              <w:rPr>
                <w:rFonts w:hint="default" w:ascii="Times New Roman" w:hAnsi="Times New Roman" w:cs="Times New Roman"/>
                <w:b w:val="0"/>
                <w:bCs w:val="0"/>
                <w:color w:val="auto"/>
                <w:sz w:val="21"/>
                <w:szCs w:val="21"/>
                <w:highlight w:val="none"/>
                <w:lang w:val="en-US" w:eastAsia="zh-CN"/>
              </w:rPr>
              <w:t>。</w:t>
            </w:r>
          </w:p>
        </w:tc>
        <w:tc>
          <w:tcPr>
            <w:tcW w:w="3173" w:type="dxa"/>
            <w:tcBorders>
              <w:tl2br w:val="nil"/>
              <w:tr2bl w:val="nil"/>
            </w:tcBorders>
            <w:noWrap w:val="0"/>
            <w:vAlign w:val="center"/>
          </w:tcPr>
          <w:p w14:paraId="437993F7">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废水不外排，不对地表水环境造成影响。</w:t>
            </w:r>
          </w:p>
        </w:tc>
        <w:tc>
          <w:tcPr>
            <w:tcW w:w="3291" w:type="dxa"/>
            <w:tcBorders>
              <w:tl2br w:val="nil"/>
              <w:tr2bl w:val="nil"/>
            </w:tcBorders>
            <w:noWrap w:val="0"/>
            <w:vAlign w:val="center"/>
          </w:tcPr>
          <w:p w14:paraId="591BA5FB">
            <w:pPr>
              <w:pStyle w:val="38"/>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2270" w:type="dxa"/>
            <w:tcBorders>
              <w:tl2br w:val="nil"/>
              <w:tr2bl w:val="nil"/>
            </w:tcBorders>
            <w:noWrap w:val="0"/>
            <w:vAlign w:val="center"/>
          </w:tcPr>
          <w:p w14:paraId="47B3F7CC">
            <w:pPr>
              <w:pStyle w:val="38"/>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270A75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7" w:type="dxa"/>
            <w:tcBorders>
              <w:tl2br w:val="nil"/>
              <w:tr2bl w:val="nil"/>
            </w:tcBorders>
            <w:noWrap w:val="0"/>
            <w:vAlign w:val="center"/>
          </w:tcPr>
          <w:p w14:paraId="2BDBD2BD">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地下水及土壤环境</w:t>
            </w:r>
          </w:p>
        </w:tc>
        <w:tc>
          <w:tcPr>
            <w:tcW w:w="4526" w:type="dxa"/>
            <w:tcBorders>
              <w:tl2br w:val="nil"/>
              <w:tr2bl w:val="nil"/>
            </w:tcBorders>
            <w:noWrap w:val="0"/>
            <w:vAlign w:val="center"/>
          </w:tcPr>
          <w:p w14:paraId="416D47EC">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3173" w:type="dxa"/>
            <w:tcBorders>
              <w:tl2br w:val="nil"/>
              <w:tr2bl w:val="nil"/>
            </w:tcBorders>
            <w:noWrap w:val="0"/>
            <w:vAlign w:val="center"/>
          </w:tcPr>
          <w:p w14:paraId="4D36B33A">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3291" w:type="dxa"/>
            <w:tcBorders>
              <w:tl2br w:val="nil"/>
              <w:tr2bl w:val="nil"/>
            </w:tcBorders>
            <w:noWrap w:val="0"/>
            <w:vAlign w:val="center"/>
          </w:tcPr>
          <w:p w14:paraId="6BCB3764">
            <w:pPr>
              <w:pStyle w:val="38"/>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2270" w:type="dxa"/>
            <w:tcBorders>
              <w:tl2br w:val="nil"/>
              <w:tr2bl w:val="nil"/>
            </w:tcBorders>
            <w:noWrap w:val="0"/>
            <w:vAlign w:val="center"/>
          </w:tcPr>
          <w:p w14:paraId="09F025EE">
            <w:pPr>
              <w:pStyle w:val="38"/>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76FC2B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1197" w:type="dxa"/>
            <w:tcBorders>
              <w:tl2br w:val="nil"/>
              <w:tr2bl w:val="nil"/>
            </w:tcBorders>
            <w:noWrap w:val="0"/>
            <w:vAlign w:val="center"/>
          </w:tcPr>
          <w:p w14:paraId="18371CA1">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声环境</w:t>
            </w:r>
          </w:p>
        </w:tc>
        <w:tc>
          <w:tcPr>
            <w:tcW w:w="4526" w:type="dxa"/>
            <w:tcBorders>
              <w:tl2br w:val="nil"/>
              <w:tr2bl w:val="nil"/>
            </w:tcBorders>
            <w:noWrap w:val="0"/>
            <w:vAlign w:val="center"/>
          </w:tcPr>
          <w:p w14:paraId="05343064">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①施工前，对所使用机械设备进行了保养，施工过程中有专人维护。</w:t>
            </w:r>
          </w:p>
          <w:p w14:paraId="32C20332">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②降低施工设备噪声。</w:t>
            </w:r>
          </w:p>
          <w:p w14:paraId="0E71F3D2">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both"/>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③降低人为噪声</w:t>
            </w:r>
          </w:p>
        </w:tc>
        <w:tc>
          <w:tcPr>
            <w:tcW w:w="3173" w:type="dxa"/>
            <w:tcBorders>
              <w:tl2br w:val="nil"/>
              <w:tr2bl w:val="nil"/>
            </w:tcBorders>
            <w:noWrap w:val="0"/>
            <w:vAlign w:val="center"/>
          </w:tcPr>
          <w:p w14:paraId="5499149B">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cs="Times New Roman"/>
                <w:color w:val="auto"/>
                <w:szCs w:val="21"/>
                <w:highlight w:val="none"/>
                <w:lang w:val="en-US" w:eastAsia="zh-CN"/>
              </w:rPr>
              <w:t>《建筑施工噪声排放标准》（GB12523-2025）</w:t>
            </w:r>
          </w:p>
        </w:tc>
        <w:tc>
          <w:tcPr>
            <w:tcW w:w="3291" w:type="dxa"/>
            <w:tcBorders>
              <w:tl2br w:val="nil"/>
              <w:tr2bl w:val="nil"/>
            </w:tcBorders>
            <w:noWrap w:val="0"/>
            <w:vAlign w:val="center"/>
          </w:tcPr>
          <w:p w14:paraId="466AA180">
            <w:pPr>
              <w:pStyle w:val="38"/>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w:t>
            </w:r>
          </w:p>
        </w:tc>
        <w:tc>
          <w:tcPr>
            <w:tcW w:w="2270" w:type="dxa"/>
            <w:tcBorders>
              <w:tl2br w:val="nil"/>
              <w:tr2bl w:val="nil"/>
            </w:tcBorders>
            <w:noWrap w:val="0"/>
            <w:vAlign w:val="center"/>
          </w:tcPr>
          <w:p w14:paraId="5BDF0507">
            <w:pPr>
              <w:pStyle w:val="38"/>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w:t>
            </w:r>
          </w:p>
        </w:tc>
      </w:tr>
      <w:tr w14:paraId="4ADAE8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197" w:type="dxa"/>
            <w:tcBorders>
              <w:tl2br w:val="nil"/>
              <w:tr2bl w:val="nil"/>
            </w:tcBorders>
            <w:noWrap w:val="0"/>
            <w:vAlign w:val="center"/>
          </w:tcPr>
          <w:p w14:paraId="5DDAEB53">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振动</w:t>
            </w:r>
          </w:p>
        </w:tc>
        <w:tc>
          <w:tcPr>
            <w:tcW w:w="4526" w:type="dxa"/>
            <w:tcBorders>
              <w:tl2br w:val="nil"/>
              <w:tr2bl w:val="nil"/>
            </w:tcBorders>
            <w:noWrap w:val="0"/>
            <w:vAlign w:val="center"/>
          </w:tcPr>
          <w:p w14:paraId="75CCA1AD">
            <w:pPr>
              <w:pStyle w:val="38"/>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3173" w:type="dxa"/>
            <w:tcBorders>
              <w:tl2br w:val="nil"/>
              <w:tr2bl w:val="nil"/>
            </w:tcBorders>
            <w:noWrap w:val="0"/>
            <w:vAlign w:val="center"/>
          </w:tcPr>
          <w:p w14:paraId="0F598BD4">
            <w:pPr>
              <w:pStyle w:val="38"/>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3291" w:type="dxa"/>
            <w:tcBorders>
              <w:tl2br w:val="nil"/>
              <w:tr2bl w:val="nil"/>
            </w:tcBorders>
            <w:noWrap w:val="0"/>
            <w:vAlign w:val="center"/>
          </w:tcPr>
          <w:p w14:paraId="6E1695E5">
            <w:pPr>
              <w:pStyle w:val="38"/>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2270" w:type="dxa"/>
            <w:tcBorders>
              <w:tl2br w:val="nil"/>
              <w:tr2bl w:val="nil"/>
            </w:tcBorders>
            <w:noWrap w:val="0"/>
            <w:vAlign w:val="center"/>
          </w:tcPr>
          <w:p w14:paraId="4DEE76AA">
            <w:pPr>
              <w:pStyle w:val="38"/>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2932D4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7" w:type="dxa"/>
            <w:tcBorders>
              <w:tl2br w:val="nil"/>
              <w:tr2bl w:val="nil"/>
            </w:tcBorders>
            <w:noWrap w:val="0"/>
            <w:vAlign w:val="center"/>
          </w:tcPr>
          <w:p w14:paraId="05E610C3">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大气环境</w:t>
            </w:r>
          </w:p>
        </w:tc>
        <w:tc>
          <w:tcPr>
            <w:tcW w:w="4526" w:type="dxa"/>
            <w:tcBorders>
              <w:tl2br w:val="nil"/>
              <w:tr2bl w:val="nil"/>
            </w:tcBorders>
            <w:noWrap w:val="0"/>
            <w:vAlign w:val="center"/>
          </w:tcPr>
          <w:p w14:paraId="1802FE2F">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fldChar w:fldCharType="begin"/>
            </w:r>
            <w:r>
              <w:rPr>
                <w:rFonts w:hint="default" w:ascii="Times New Roman" w:hAnsi="Times New Roman" w:eastAsia="宋体" w:cs="Times New Roman"/>
                <w:b w:val="0"/>
                <w:bCs w:val="0"/>
                <w:color w:val="auto"/>
                <w:sz w:val="21"/>
                <w:szCs w:val="21"/>
                <w:highlight w:val="none"/>
                <w:lang w:val="en-US" w:eastAsia="zh-CN"/>
              </w:rPr>
              <w:instrText xml:space="preserve"> = 1 \* GB2 \* MERGEFORMAT </w:instrText>
            </w:r>
            <w:r>
              <w:rPr>
                <w:rFonts w:hint="default" w:ascii="Times New Roman" w:hAnsi="Times New Roman" w:eastAsia="宋体" w:cs="Times New Roman"/>
                <w:b w:val="0"/>
                <w:bCs w:val="0"/>
                <w:color w:val="auto"/>
                <w:sz w:val="21"/>
                <w:szCs w:val="21"/>
                <w:highlight w:val="none"/>
                <w:lang w:val="en-US" w:eastAsia="zh-CN"/>
              </w:rPr>
              <w:fldChar w:fldCharType="separate"/>
            </w:r>
            <w:r>
              <w:rPr>
                <w:rFonts w:hint="default" w:ascii="Times New Roman" w:hAnsi="Times New Roman" w:eastAsia="宋体" w:cs="Times New Roman"/>
                <w:b w:val="0"/>
                <w:bCs w:val="0"/>
                <w:color w:val="auto"/>
                <w:sz w:val="21"/>
                <w:szCs w:val="21"/>
                <w:highlight w:val="none"/>
                <w:lang w:val="en-US" w:eastAsia="zh-CN"/>
              </w:rPr>
              <w:t>⑴</w:t>
            </w:r>
            <w:r>
              <w:rPr>
                <w:rFonts w:hint="default" w:ascii="Times New Roman" w:hAnsi="Times New Roman" w:eastAsia="宋体" w:cs="Times New Roman"/>
                <w:b w:val="0"/>
                <w:bCs w:val="0"/>
                <w:color w:val="auto"/>
                <w:sz w:val="21"/>
                <w:szCs w:val="21"/>
                <w:highlight w:val="none"/>
                <w:lang w:val="en-US" w:eastAsia="zh-CN"/>
              </w:rPr>
              <w:fldChar w:fldCharType="end"/>
            </w:r>
            <w:r>
              <w:rPr>
                <w:rFonts w:hint="default" w:ascii="Times New Roman" w:hAnsi="Times New Roman" w:eastAsia="宋体" w:cs="Times New Roman"/>
                <w:b w:val="0"/>
                <w:bCs w:val="0"/>
                <w:color w:val="auto"/>
                <w:sz w:val="21"/>
                <w:szCs w:val="21"/>
                <w:highlight w:val="none"/>
                <w:lang w:val="en-US" w:eastAsia="zh-CN"/>
              </w:rPr>
              <w:t>避免在大风日以及夏季暴雨时节施工，尽可能缩短施工时间，提高施工效率，减少地表裸露的时间，遇有大风天气时，避免进行挖掘、回填等大土方量作业或采取洒水抑尘措施。</w:t>
            </w:r>
          </w:p>
          <w:p w14:paraId="77AD3010">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fldChar w:fldCharType="begin"/>
            </w:r>
            <w:r>
              <w:rPr>
                <w:rFonts w:hint="default" w:ascii="Times New Roman" w:hAnsi="Times New Roman" w:eastAsia="宋体" w:cs="Times New Roman"/>
                <w:b w:val="0"/>
                <w:bCs w:val="0"/>
                <w:color w:val="auto"/>
                <w:sz w:val="21"/>
                <w:szCs w:val="21"/>
                <w:highlight w:val="none"/>
                <w:lang w:val="en-US" w:eastAsia="zh-CN"/>
              </w:rPr>
              <w:instrText xml:space="preserve"> = 2 \* GB2 \* MERGEFORMAT </w:instrText>
            </w:r>
            <w:r>
              <w:rPr>
                <w:rFonts w:hint="default" w:ascii="Times New Roman" w:hAnsi="Times New Roman" w:eastAsia="宋体" w:cs="Times New Roman"/>
                <w:b w:val="0"/>
                <w:bCs w:val="0"/>
                <w:color w:val="auto"/>
                <w:sz w:val="21"/>
                <w:szCs w:val="21"/>
                <w:highlight w:val="none"/>
                <w:lang w:val="en-US" w:eastAsia="zh-CN"/>
              </w:rPr>
              <w:fldChar w:fldCharType="separate"/>
            </w:r>
            <w:r>
              <w:rPr>
                <w:rFonts w:hint="default" w:ascii="Times New Roman" w:hAnsi="Times New Roman" w:eastAsia="宋体" w:cs="Times New Roman"/>
                <w:b w:val="0"/>
                <w:bCs w:val="0"/>
                <w:color w:val="auto"/>
                <w:sz w:val="21"/>
                <w:szCs w:val="21"/>
                <w:highlight w:val="none"/>
                <w:lang w:val="en-US" w:eastAsia="zh-CN"/>
              </w:rPr>
              <w:t>⑵</w:t>
            </w:r>
            <w:r>
              <w:rPr>
                <w:rFonts w:hint="default" w:ascii="Times New Roman" w:hAnsi="Times New Roman" w:eastAsia="宋体" w:cs="Times New Roman"/>
                <w:b w:val="0"/>
                <w:bCs w:val="0"/>
                <w:color w:val="auto"/>
                <w:sz w:val="21"/>
                <w:szCs w:val="21"/>
                <w:highlight w:val="none"/>
                <w:lang w:val="en-US" w:eastAsia="zh-CN"/>
              </w:rPr>
              <w:fldChar w:fldCharType="end"/>
            </w:r>
            <w:r>
              <w:rPr>
                <w:rFonts w:hint="default" w:ascii="Times New Roman" w:hAnsi="Times New Roman" w:eastAsia="宋体" w:cs="Times New Roman"/>
                <w:b w:val="0"/>
                <w:bCs w:val="0"/>
                <w:color w:val="auto"/>
                <w:sz w:val="21"/>
                <w:szCs w:val="21"/>
                <w:highlight w:val="none"/>
                <w:lang w:val="en-US" w:eastAsia="zh-CN"/>
              </w:rPr>
              <w:t>施工单位必须加强施工区的规划管理。</w:t>
            </w:r>
          </w:p>
          <w:p w14:paraId="43D673AA">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fldChar w:fldCharType="begin"/>
            </w:r>
            <w:r>
              <w:rPr>
                <w:rFonts w:hint="default" w:ascii="Times New Roman" w:hAnsi="Times New Roman" w:eastAsia="宋体" w:cs="Times New Roman"/>
                <w:b w:val="0"/>
                <w:bCs w:val="0"/>
                <w:color w:val="auto"/>
                <w:sz w:val="21"/>
                <w:szCs w:val="21"/>
                <w:highlight w:val="none"/>
                <w:lang w:val="en-US" w:eastAsia="zh-CN"/>
              </w:rPr>
              <w:instrText xml:space="preserve"> = 3 \* GB2 \* MERGEFORMAT </w:instrText>
            </w:r>
            <w:r>
              <w:rPr>
                <w:rFonts w:hint="default" w:ascii="Times New Roman" w:hAnsi="Times New Roman" w:eastAsia="宋体" w:cs="Times New Roman"/>
                <w:b w:val="0"/>
                <w:bCs w:val="0"/>
                <w:color w:val="auto"/>
                <w:sz w:val="21"/>
                <w:szCs w:val="21"/>
                <w:highlight w:val="none"/>
                <w:lang w:val="en-US" w:eastAsia="zh-CN"/>
              </w:rPr>
              <w:fldChar w:fldCharType="separate"/>
            </w:r>
            <w:r>
              <w:rPr>
                <w:rFonts w:hint="default" w:ascii="Times New Roman" w:hAnsi="Times New Roman" w:eastAsia="宋体" w:cs="Times New Roman"/>
                <w:b w:val="0"/>
                <w:bCs w:val="0"/>
                <w:color w:val="auto"/>
                <w:sz w:val="21"/>
                <w:szCs w:val="21"/>
                <w:highlight w:val="none"/>
                <w:lang w:val="en-US" w:eastAsia="zh-CN"/>
              </w:rPr>
              <w:t>⑶</w:t>
            </w:r>
            <w:r>
              <w:rPr>
                <w:rFonts w:hint="default" w:ascii="Times New Roman" w:hAnsi="Times New Roman" w:eastAsia="宋体" w:cs="Times New Roman"/>
                <w:b w:val="0"/>
                <w:bCs w:val="0"/>
                <w:color w:val="auto"/>
                <w:sz w:val="21"/>
                <w:szCs w:val="21"/>
                <w:highlight w:val="none"/>
                <w:lang w:val="en-US" w:eastAsia="zh-CN"/>
              </w:rPr>
              <w:fldChar w:fldCharType="end"/>
            </w:r>
            <w:r>
              <w:rPr>
                <w:rFonts w:hint="default" w:ascii="Times New Roman" w:hAnsi="Times New Roman" w:eastAsia="宋体" w:cs="Times New Roman"/>
                <w:b w:val="0"/>
                <w:bCs w:val="0"/>
                <w:color w:val="auto"/>
                <w:sz w:val="21"/>
                <w:szCs w:val="21"/>
                <w:highlight w:val="none"/>
                <w:lang w:val="en-US" w:eastAsia="zh-CN"/>
              </w:rPr>
              <w:t>用汽车运输易起尘的物料时，要加盖</w:t>
            </w:r>
            <w:r>
              <w:rPr>
                <w:rFonts w:hint="default" w:ascii="Times New Roman" w:hAnsi="Times New Roman" w:cs="Times New Roman"/>
                <w:b w:val="0"/>
                <w:bCs w:val="0"/>
                <w:color w:val="auto"/>
                <w:sz w:val="21"/>
                <w:szCs w:val="21"/>
                <w:highlight w:val="none"/>
                <w:lang w:val="en-US" w:eastAsia="zh-CN"/>
              </w:rPr>
              <w:t>篷布</w:t>
            </w:r>
            <w:r>
              <w:rPr>
                <w:rFonts w:hint="default" w:ascii="Times New Roman" w:hAnsi="Times New Roman" w:eastAsia="宋体" w:cs="Times New Roman"/>
                <w:b w:val="0"/>
                <w:bCs w:val="0"/>
                <w:color w:val="auto"/>
                <w:sz w:val="21"/>
                <w:szCs w:val="21"/>
                <w:highlight w:val="none"/>
                <w:lang w:val="en-US" w:eastAsia="zh-CN"/>
              </w:rPr>
              <w:t>、控制车速，防止物料洒落和产生扬尘；卸车时应尽量减少落差，减少扬尘；运输车辆进出的主干道应定期洒水清扫，保持车辆出入口路面清洁、润湿，并尽量要求运输车辆放慢行车速度，以减少地面扬尘污染。</w:t>
            </w:r>
          </w:p>
          <w:p w14:paraId="386556AC">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fldChar w:fldCharType="begin"/>
            </w:r>
            <w:r>
              <w:rPr>
                <w:rFonts w:hint="default" w:ascii="Times New Roman" w:hAnsi="Times New Roman" w:eastAsia="宋体" w:cs="Times New Roman"/>
                <w:b w:val="0"/>
                <w:bCs w:val="0"/>
                <w:color w:val="auto"/>
                <w:sz w:val="21"/>
                <w:szCs w:val="21"/>
                <w:highlight w:val="none"/>
                <w:lang w:val="en-US" w:eastAsia="zh-CN"/>
              </w:rPr>
              <w:instrText xml:space="preserve"> = 4 \* GB2 \* MERGEFORMAT </w:instrText>
            </w:r>
            <w:r>
              <w:rPr>
                <w:rFonts w:hint="default" w:ascii="Times New Roman" w:hAnsi="Times New Roman" w:eastAsia="宋体" w:cs="Times New Roman"/>
                <w:b w:val="0"/>
                <w:bCs w:val="0"/>
                <w:color w:val="auto"/>
                <w:sz w:val="21"/>
                <w:szCs w:val="21"/>
                <w:highlight w:val="none"/>
                <w:lang w:val="en-US" w:eastAsia="zh-CN"/>
              </w:rPr>
              <w:fldChar w:fldCharType="separate"/>
            </w:r>
            <w:r>
              <w:rPr>
                <w:rFonts w:hint="default" w:ascii="Times New Roman" w:hAnsi="Times New Roman" w:eastAsia="宋体" w:cs="Times New Roman"/>
                <w:b w:val="0"/>
                <w:bCs w:val="0"/>
                <w:color w:val="auto"/>
                <w:sz w:val="21"/>
                <w:szCs w:val="21"/>
                <w:highlight w:val="none"/>
                <w:lang w:val="en-US" w:eastAsia="zh-CN"/>
              </w:rPr>
              <w:t>⑷</w:t>
            </w:r>
            <w:r>
              <w:rPr>
                <w:rFonts w:hint="default" w:ascii="Times New Roman" w:hAnsi="Times New Roman" w:eastAsia="宋体" w:cs="Times New Roman"/>
                <w:b w:val="0"/>
                <w:bCs w:val="0"/>
                <w:color w:val="auto"/>
                <w:sz w:val="21"/>
                <w:szCs w:val="21"/>
                <w:highlight w:val="none"/>
                <w:lang w:val="en-US" w:eastAsia="zh-CN"/>
              </w:rPr>
              <w:fldChar w:fldCharType="end"/>
            </w:r>
            <w:r>
              <w:rPr>
                <w:rFonts w:hint="default" w:ascii="Times New Roman" w:hAnsi="Times New Roman" w:eastAsia="宋体" w:cs="Times New Roman"/>
                <w:b w:val="0"/>
                <w:bCs w:val="0"/>
                <w:color w:val="auto"/>
                <w:sz w:val="21"/>
                <w:szCs w:val="21"/>
                <w:highlight w:val="none"/>
                <w:lang w:val="en-US" w:eastAsia="zh-CN"/>
              </w:rPr>
              <w:t>加强对施工机械、车辆的维修保养。</w:t>
            </w:r>
          </w:p>
          <w:p w14:paraId="7270D877">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fldChar w:fldCharType="begin"/>
            </w:r>
            <w:r>
              <w:rPr>
                <w:rFonts w:hint="default" w:ascii="Times New Roman" w:hAnsi="Times New Roman" w:eastAsia="宋体" w:cs="Times New Roman"/>
                <w:b w:val="0"/>
                <w:bCs w:val="0"/>
                <w:color w:val="auto"/>
                <w:sz w:val="21"/>
                <w:szCs w:val="21"/>
                <w:highlight w:val="none"/>
                <w:lang w:val="en-US" w:eastAsia="zh-CN"/>
              </w:rPr>
              <w:instrText xml:space="preserve"> = 5 \* GB2 \* MERGEFORMAT </w:instrText>
            </w:r>
            <w:r>
              <w:rPr>
                <w:rFonts w:hint="default" w:ascii="Times New Roman" w:hAnsi="Times New Roman" w:eastAsia="宋体" w:cs="Times New Roman"/>
                <w:b w:val="0"/>
                <w:bCs w:val="0"/>
                <w:color w:val="auto"/>
                <w:sz w:val="21"/>
                <w:szCs w:val="21"/>
                <w:highlight w:val="none"/>
                <w:lang w:val="en-US" w:eastAsia="zh-CN"/>
              </w:rPr>
              <w:fldChar w:fldCharType="separate"/>
            </w:r>
            <w:r>
              <w:rPr>
                <w:rFonts w:hint="default" w:ascii="Times New Roman" w:hAnsi="Times New Roman" w:eastAsia="宋体" w:cs="Times New Roman"/>
                <w:b w:val="0"/>
                <w:bCs w:val="0"/>
                <w:color w:val="auto"/>
                <w:sz w:val="21"/>
                <w:szCs w:val="21"/>
                <w:highlight w:val="none"/>
                <w:lang w:val="en-US" w:eastAsia="zh-CN"/>
              </w:rPr>
              <w:t>⑸</w:t>
            </w:r>
            <w:r>
              <w:rPr>
                <w:rFonts w:hint="default" w:ascii="Times New Roman" w:hAnsi="Times New Roman" w:eastAsia="宋体" w:cs="Times New Roman"/>
                <w:b w:val="0"/>
                <w:bCs w:val="0"/>
                <w:color w:val="auto"/>
                <w:sz w:val="21"/>
                <w:szCs w:val="21"/>
                <w:highlight w:val="none"/>
                <w:lang w:val="en-US" w:eastAsia="zh-CN"/>
              </w:rPr>
              <w:fldChar w:fldCharType="end"/>
            </w:r>
            <w:r>
              <w:rPr>
                <w:rFonts w:hint="default" w:ascii="Times New Roman" w:hAnsi="Times New Roman" w:eastAsia="宋体" w:cs="Times New Roman"/>
                <w:b w:val="0"/>
                <w:bCs w:val="0"/>
                <w:color w:val="auto"/>
                <w:sz w:val="21"/>
                <w:szCs w:val="21"/>
                <w:highlight w:val="none"/>
                <w:lang w:val="en-US" w:eastAsia="zh-CN"/>
              </w:rPr>
              <w:t>汽车进入施工区内应限速行驶。</w:t>
            </w:r>
          </w:p>
        </w:tc>
        <w:tc>
          <w:tcPr>
            <w:tcW w:w="3173" w:type="dxa"/>
            <w:tcBorders>
              <w:tl2br w:val="nil"/>
              <w:tr2bl w:val="nil"/>
            </w:tcBorders>
            <w:noWrap w:val="0"/>
            <w:vAlign w:val="center"/>
          </w:tcPr>
          <w:p w14:paraId="5D5044BA">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严格落实施工期大气环境污染防治措施，不得对周边环境空气造成不利影响。</w:t>
            </w:r>
          </w:p>
        </w:tc>
        <w:tc>
          <w:tcPr>
            <w:tcW w:w="3291" w:type="dxa"/>
            <w:tcBorders>
              <w:tl2br w:val="nil"/>
              <w:tr2bl w:val="nil"/>
            </w:tcBorders>
            <w:noWrap w:val="0"/>
            <w:vAlign w:val="center"/>
          </w:tcPr>
          <w:p w14:paraId="73716729">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w:t>
            </w:r>
          </w:p>
        </w:tc>
        <w:tc>
          <w:tcPr>
            <w:tcW w:w="2270" w:type="dxa"/>
            <w:tcBorders>
              <w:tl2br w:val="nil"/>
              <w:tr2bl w:val="nil"/>
            </w:tcBorders>
            <w:noWrap w:val="0"/>
            <w:vAlign w:val="center"/>
          </w:tcPr>
          <w:p w14:paraId="2FFB0D71">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r>
      <w:tr w14:paraId="507F1A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7" w:type="dxa"/>
            <w:tcBorders>
              <w:tl2br w:val="nil"/>
              <w:tr2bl w:val="nil"/>
            </w:tcBorders>
            <w:noWrap w:val="0"/>
            <w:vAlign w:val="center"/>
          </w:tcPr>
          <w:p w14:paraId="388B8F65">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固体废物</w:t>
            </w:r>
          </w:p>
        </w:tc>
        <w:tc>
          <w:tcPr>
            <w:tcW w:w="4526" w:type="dxa"/>
            <w:tcBorders>
              <w:tl2br w:val="nil"/>
              <w:tr2bl w:val="nil"/>
            </w:tcBorders>
            <w:noWrap w:val="0"/>
            <w:vAlign w:val="center"/>
          </w:tcPr>
          <w:p w14:paraId="1B9D78B9">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eastAsia" w:ascii="Times New Roman" w:cs="Times New Roman"/>
                <w:b w:val="0"/>
                <w:bCs w:val="0"/>
                <w:color w:val="auto"/>
                <w:sz w:val="21"/>
                <w:szCs w:val="21"/>
                <w:highlight w:val="none"/>
                <w:lang w:eastAsia="zh-CN"/>
              </w:rPr>
              <w:t>施工期开挖土方绝大部分回填，剩余部分</w:t>
            </w:r>
            <w:r>
              <w:rPr>
                <w:rFonts w:hint="eastAsia" w:cs="Times New Roman"/>
                <w:color w:val="auto"/>
                <w:kern w:val="0"/>
                <w:sz w:val="21"/>
                <w:szCs w:val="21"/>
                <w:highlight w:val="none"/>
                <w:lang w:val="en-US" w:eastAsia="zh-CN"/>
              </w:rPr>
              <w:t>与晾干后的淤泥一并</w:t>
            </w:r>
            <w:r>
              <w:rPr>
                <w:rFonts w:hint="default" w:ascii="Times New Roman" w:hAnsi="Times New Roman" w:cs="Times New Roman"/>
                <w:color w:val="auto"/>
                <w:kern w:val="0"/>
                <w:sz w:val="21"/>
                <w:szCs w:val="21"/>
                <w:highlight w:val="none"/>
              </w:rPr>
              <w:t>拉运至项目修建巡护道路基础填筑综合利用</w:t>
            </w:r>
            <w:r>
              <w:rPr>
                <w:rFonts w:hint="eastAsia" w:ascii="Times New Roman" w:cs="Times New Roman"/>
                <w:b w:val="0"/>
                <w:bCs w:val="0"/>
                <w:color w:val="auto"/>
                <w:sz w:val="21"/>
                <w:szCs w:val="21"/>
                <w:highlight w:val="none"/>
                <w:lang w:eastAsia="zh-CN"/>
              </w:rPr>
              <w:t>，清淤淤泥晒干</w:t>
            </w:r>
            <w:r>
              <w:rPr>
                <w:rFonts w:hint="eastAsia" w:cs="Times New Roman"/>
                <w:color w:val="auto"/>
                <w:kern w:val="0"/>
                <w:sz w:val="21"/>
                <w:szCs w:val="21"/>
                <w:highlight w:val="none"/>
                <w:lang w:val="en-US" w:eastAsia="zh-CN"/>
              </w:rPr>
              <w:t>与砌护工程产生的多余土方一并</w:t>
            </w:r>
            <w:r>
              <w:rPr>
                <w:rFonts w:hint="default" w:ascii="Times New Roman" w:hAnsi="Times New Roman" w:cs="Times New Roman"/>
                <w:color w:val="auto"/>
                <w:kern w:val="0"/>
                <w:sz w:val="21"/>
                <w:szCs w:val="21"/>
                <w:highlight w:val="none"/>
              </w:rPr>
              <w:t>拉运至项目修建巡护道路基础填筑综合利用</w:t>
            </w:r>
            <w:r>
              <w:rPr>
                <w:rFonts w:hint="eastAsia" w:ascii="Times New Roman"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eastAsia="zh-CN"/>
              </w:rPr>
              <w:t>建筑垃圾运至当地政府指定地点堆放，施工人员生活垃圾收集后交由环卫部门清运处置。</w:t>
            </w:r>
          </w:p>
        </w:tc>
        <w:tc>
          <w:tcPr>
            <w:tcW w:w="3173" w:type="dxa"/>
            <w:tcBorders>
              <w:tl2br w:val="nil"/>
              <w:tr2bl w:val="nil"/>
            </w:tcBorders>
            <w:noWrap w:val="0"/>
            <w:vAlign w:val="center"/>
          </w:tcPr>
          <w:p w14:paraId="0B83D4A8">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施工期结束后不得在施工现场遗留建筑垃圾、生活垃圾</w:t>
            </w:r>
            <w:r>
              <w:rPr>
                <w:rFonts w:hint="eastAsia" w:ascii="Times New Roman" w:cs="Times New Roman"/>
                <w:b w:val="0"/>
                <w:bCs w:val="0"/>
                <w:color w:val="auto"/>
                <w:sz w:val="21"/>
                <w:szCs w:val="21"/>
                <w:highlight w:val="none"/>
                <w:lang w:eastAsia="zh-CN"/>
              </w:rPr>
              <w:t>，</w:t>
            </w:r>
            <w:r>
              <w:rPr>
                <w:rFonts w:hint="eastAsia" w:ascii="Times New Roman" w:cs="Times New Roman"/>
                <w:b w:val="0"/>
                <w:bCs w:val="0"/>
                <w:color w:val="auto"/>
                <w:sz w:val="21"/>
                <w:szCs w:val="21"/>
                <w:highlight w:val="none"/>
                <w:lang w:val="en-US" w:eastAsia="zh-CN"/>
              </w:rPr>
              <w:t>淤泥及剩余土方均得到妥善处置或综合利用</w:t>
            </w:r>
            <w:r>
              <w:rPr>
                <w:rFonts w:hint="default" w:ascii="Times New Roman" w:hAnsi="Times New Roman" w:eastAsia="宋体" w:cs="Times New Roman"/>
                <w:b w:val="0"/>
                <w:bCs w:val="0"/>
                <w:color w:val="auto"/>
                <w:sz w:val="21"/>
                <w:szCs w:val="21"/>
                <w:highlight w:val="none"/>
                <w:lang w:eastAsia="zh-CN"/>
              </w:rPr>
              <w:t>。</w:t>
            </w:r>
          </w:p>
        </w:tc>
        <w:tc>
          <w:tcPr>
            <w:tcW w:w="3291" w:type="dxa"/>
            <w:tcBorders>
              <w:tl2br w:val="nil"/>
              <w:tr2bl w:val="nil"/>
            </w:tcBorders>
            <w:noWrap w:val="0"/>
            <w:vAlign w:val="center"/>
          </w:tcPr>
          <w:p w14:paraId="1EEFB150">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w:t>
            </w:r>
          </w:p>
        </w:tc>
        <w:tc>
          <w:tcPr>
            <w:tcW w:w="2270" w:type="dxa"/>
            <w:tcBorders>
              <w:tl2br w:val="nil"/>
              <w:tr2bl w:val="nil"/>
            </w:tcBorders>
            <w:noWrap w:val="0"/>
            <w:vAlign w:val="center"/>
          </w:tcPr>
          <w:p w14:paraId="3A20044D">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r>
      <w:tr w14:paraId="6B257B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7" w:type="dxa"/>
            <w:tcBorders>
              <w:tl2br w:val="nil"/>
              <w:tr2bl w:val="nil"/>
            </w:tcBorders>
            <w:noWrap w:val="0"/>
            <w:vAlign w:val="center"/>
          </w:tcPr>
          <w:p w14:paraId="1F5D4CFC">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电磁环境</w:t>
            </w:r>
          </w:p>
        </w:tc>
        <w:tc>
          <w:tcPr>
            <w:tcW w:w="4526" w:type="dxa"/>
            <w:tcBorders>
              <w:tl2br w:val="nil"/>
              <w:tr2bl w:val="nil"/>
            </w:tcBorders>
            <w:noWrap w:val="0"/>
            <w:vAlign w:val="center"/>
          </w:tcPr>
          <w:p w14:paraId="20A295F8">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w:t>
            </w:r>
          </w:p>
        </w:tc>
        <w:tc>
          <w:tcPr>
            <w:tcW w:w="3173" w:type="dxa"/>
            <w:tcBorders>
              <w:tl2br w:val="nil"/>
              <w:tr2bl w:val="nil"/>
            </w:tcBorders>
            <w:noWrap w:val="0"/>
            <w:vAlign w:val="center"/>
          </w:tcPr>
          <w:p w14:paraId="2CE053FC">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w:t>
            </w:r>
          </w:p>
        </w:tc>
        <w:tc>
          <w:tcPr>
            <w:tcW w:w="3291" w:type="dxa"/>
            <w:tcBorders>
              <w:tl2br w:val="nil"/>
              <w:tr2bl w:val="nil"/>
            </w:tcBorders>
            <w:noWrap w:val="0"/>
            <w:vAlign w:val="center"/>
          </w:tcPr>
          <w:p w14:paraId="07964E8D">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w:t>
            </w:r>
          </w:p>
        </w:tc>
        <w:tc>
          <w:tcPr>
            <w:tcW w:w="2270" w:type="dxa"/>
            <w:tcBorders>
              <w:tl2br w:val="nil"/>
              <w:tr2bl w:val="nil"/>
            </w:tcBorders>
            <w:noWrap w:val="0"/>
            <w:vAlign w:val="center"/>
          </w:tcPr>
          <w:p w14:paraId="46571961">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w:t>
            </w:r>
          </w:p>
        </w:tc>
      </w:tr>
      <w:tr w14:paraId="7F32BA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7" w:type="dxa"/>
            <w:tcBorders>
              <w:tl2br w:val="nil"/>
              <w:tr2bl w:val="nil"/>
            </w:tcBorders>
            <w:noWrap w:val="0"/>
            <w:vAlign w:val="center"/>
          </w:tcPr>
          <w:p w14:paraId="5D818D92">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环境风险</w:t>
            </w:r>
          </w:p>
        </w:tc>
        <w:tc>
          <w:tcPr>
            <w:tcW w:w="4526" w:type="dxa"/>
            <w:tcBorders>
              <w:tl2br w:val="nil"/>
              <w:tr2bl w:val="nil"/>
            </w:tcBorders>
            <w:noWrap w:val="0"/>
            <w:vAlign w:val="center"/>
          </w:tcPr>
          <w:p w14:paraId="6D8841E3">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w:t>
            </w:r>
          </w:p>
        </w:tc>
        <w:tc>
          <w:tcPr>
            <w:tcW w:w="3173" w:type="dxa"/>
            <w:tcBorders>
              <w:tl2br w:val="nil"/>
              <w:tr2bl w:val="nil"/>
            </w:tcBorders>
            <w:noWrap w:val="0"/>
            <w:vAlign w:val="center"/>
          </w:tcPr>
          <w:p w14:paraId="09E537AD">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w:t>
            </w:r>
          </w:p>
        </w:tc>
        <w:tc>
          <w:tcPr>
            <w:tcW w:w="3291" w:type="dxa"/>
            <w:tcBorders>
              <w:tl2br w:val="nil"/>
              <w:tr2bl w:val="nil"/>
            </w:tcBorders>
            <w:noWrap w:val="0"/>
            <w:vAlign w:val="center"/>
          </w:tcPr>
          <w:p w14:paraId="0C2F47A2">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w:t>
            </w:r>
          </w:p>
        </w:tc>
        <w:tc>
          <w:tcPr>
            <w:tcW w:w="2270" w:type="dxa"/>
            <w:tcBorders>
              <w:tl2br w:val="nil"/>
              <w:tr2bl w:val="nil"/>
            </w:tcBorders>
            <w:noWrap w:val="0"/>
            <w:vAlign w:val="center"/>
          </w:tcPr>
          <w:p w14:paraId="7FB6B9AF">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w:t>
            </w:r>
          </w:p>
        </w:tc>
      </w:tr>
      <w:tr w14:paraId="3F5115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7" w:type="dxa"/>
            <w:tcBorders>
              <w:tl2br w:val="nil"/>
              <w:tr2bl w:val="nil"/>
            </w:tcBorders>
            <w:noWrap w:val="0"/>
            <w:vAlign w:val="center"/>
          </w:tcPr>
          <w:p w14:paraId="604F539F">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环境监测</w:t>
            </w:r>
          </w:p>
        </w:tc>
        <w:tc>
          <w:tcPr>
            <w:tcW w:w="4526" w:type="dxa"/>
            <w:tcBorders>
              <w:tl2br w:val="nil"/>
              <w:tr2bl w:val="nil"/>
            </w:tcBorders>
            <w:noWrap w:val="0"/>
            <w:vAlign w:val="center"/>
          </w:tcPr>
          <w:p w14:paraId="153107CD">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对施工区边界开展声环境和大气环境质量监测</w:t>
            </w:r>
          </w:p>
        </w:tc>
        <w:tc>
          <w:tcPr>
            <w:tcW w:w="3173" w:type="dxa"/>
            <w:tcBorders>
              <w:tl2br w:val="nil"/>
              <w:tr2bl w:val="nil"/>
            </w:tcBorders>
            <w:noWrap w:val="0"/>
            <w:vAlign w:val="center"/>
          </w:tcPr>
          <w:p w14:paraId="4CD62B13">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Cs w:val="21"/>
                <w:highlight w:val="none"/>
                <w:lang w:val="en-US" w:eastAsia="zh-CN"/>
              </w:rPr>
              <w:t>《建筑施工噪声排放标准》（GB12523-2025）</w:t>
            </w:r>
          </w:p>
        </w:tc>
        <w:tc>
          <w:tcPr>
            <w:tcW w:w="3291" w:type="dxa"/>
            <w:tcBorders>
              <w:tl2br w:val="nil"/>
              <w:tr2bl w:val="nil"/>
            </w:tcBorders>
            <w:noWrap w:val="0"/>
            <w:vAlign w:val="center"/>
          </w:tcPr>
          <w:p w14:paraId="48780703">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对各施工临时占地</w:t>
            </w:r>
            <w:r>
              <w:rPr>
                <w:rFonts w:hint="default" w:ascii="Times New Roman" w:hAnsi="Times New Roman" w:cs="Times New Roman"/>
                <w:b w:val="0"/>
                <w:bCs w:val="0"/>
                <w:color w:val="auto"/>
                <w:sz w:val="21"/>
                <w:szCs w:val="21"/>
                <w:highlight w:val="none"/>
                <w:lang w:val="en-US" w:eastAsia="zh-CN"/>
              </w:rPr>
              <w:t>进行恢复，恢复到原有状态</w:t>
            </w:r>
            <w:r>
              <w:rPr>
                <w:rFonts w:hint="default" w:ascii="Times New Roman" w:hAnsi="Times New Roman" w:eastAsia="宋体" w:cs="Times New Roman"/>
                <w:b w:val="0"/>
                <w:bCs w:val="0"/>
                <w:color w:val="auto"/>
                <w:sz w:val="21"/>
                <w:szCs w:val="21"/>
                <w:highlight w:val="none"/>
                <w:lang w:val="en-US" w:eastAsia="zh-CN"/>
              </w:rPr>
              <w:t>。</w:t>
            </w:r>
          </w:p>
        </w:tc>
        <w:tc>
          <w:tcPr>
            <w:tcW w:w="2270" w:type="dxa"/>
            <w:tcBorders>
              <w:tl2br w:val="nil"/>
              <w:tr2bl w:val="nil"/>
            </w:tcBorders>
            <w:noWrap w:val="0"/>
            <w:vAlign w:val="center"/>
          </w:tcPr>
          <w:p w14:paraId="5432B3A2">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确保各类占地恢复到施工前类型及功能</w:t>
            </w:r>
          </w:p>
        </w:tc>
      </w:tr>
      <w:tr w14:paraId="203999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7" w:type="dxa"/>
            <w:tcBorders>
              <w:tl2br w:val="nil"/>
              <w:tr2bl w:val="nil"/>
            </w:tcBorders>
            <w:noWrap w:val="0"/>
            <w:vAlign w:val="center"/>
          </w:tcPr>
          <w:p w14:paraId="4B798F82">
            <w:pPr>
              <w:pStyle w:val="38"/>
              <w:keepNext w:val="0"/>
              <w:keepLines w:val="0"/>
              <w:pageBreakBefore w:val="0"/>
              <w:widowControl w:val="0"/>
              <w:kinsoku/>
              <w:wordWrap/>
              <w:overflowPunct/>
              <w:topLinePunct w:val="0"/>
              <w:autoSpaceDE/>
              <w:autoSpaceDN/>
              <w:bidi w:val="0"/>
              <w:spacing w:line="240" w:lineRule="exact"/>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其他</w:t>
            </w:r>
          </w:p>
        </w:tc>
        <w:tc>
          <w:tcPr>
            <w:tcW w:w="4526" w:type="dxa"/>
            <w:tcBorders>
              <w:tl2br w:val="nil"/>
              <w:tr2bl w:val="nil"/>
            </w:tcBorders>
            <w:noWrap w:val="0"/>
            <w:vAlign w:val="center"/>
          </w:tcPr>
          <w:p w14:paraId="194F84C6">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173" w:type="dxa"/>
            <w:tcBorders>
              <w:tl2br w:val="nil"/>
              <w:tr2bl w:val="nil"/>
            </w:tcBorders>
            <w:noWrap w:val="0"/>
            <w:vAlign w:val="center"/>
          </w:tcPr>
          <w:p w14:paraId="5856EF0A">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291" w:type="dxa"/>
            <w:tcBorders>
              <w:tl2br w:val="nil"/>
              <w:tr2bl w:val="nil"/>
            </w:tcBorders>
            <w:noWrap w:val="0"/>
            <w:vAlign w:val="center"/>
          </w:tcPr>
          <w:p w14:paraId="00E180D5">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2270" w:type="dxa"/>
            <w:tcBorders>
              <w:tl2br w:val="nil"/>
              <w:tr2bl w:val="nil"/>
            </w:tcBorders>
            <w:noWrap w:val="0"/>
            <w:vAlign w:val="center"/>
          </w:tcPr>
          <w:p w14:paraId="1F7A5B47">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r>
    </w:tbl>
    <w:p w14:paraId="5EA247BE">
      <w:pPr>
        <w:pStyle w:val="22"/>
        <w:jc w:val="center"/>
        <w:outlineLvl w:val="0"/>
        <w:rPr>
          <w:rFonts w:hint="default" w:ascii="Times New Roman" w:hAnsi="Times New Roman" w:eastAsia="黑体" w:cs="Times New Roman"/>
          <w:snapToGrid w:val="0"/>
          <w:color w:val="auto"/>
          <w:sz w:val="30"/>
          <w:szCs w:val="30"/>
          <w:highlight w:val="none"/>
          <w:lang w:eastAsia="zh-CN"/>
        </w:rPr>
        <w:sectPr>
          <w:pgSz w:w="16838" w:h="11906" w:orient="landscape"/>
          <w:pgMar w:top="1417" w:right="1701" w:bottom="1417" w:left="1701" w:header="851" w:footer="851" w:gutter="0"/>
          <w:pgBorders>
            <w:top w:val="none" w:sz="0" w:space="0"/>
            <w:left w:val="none" w:sz="0" w:space="0"/>
            <w:bottom w:val="none" w:sz="0" w:space="0"/>
            <w:right w:val="none" w:sz="0" w:space="0"/>
          </w:pgBorders>
          <w:pgNumType w:fmt="numberInDash"/>
          <w:cols w:space="720" w:num="1"/>
          <w:docGrid w:linePitch="312" w:charSpace="0"/>
        </w:sectPr>
      </w:pPr>
    </w:p>
    <w:p w14:paraId="658EEE13">
      <w:pPr>
        <w:pStyle w:val="22"/>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lang w:eastAsia="zh-CN"/>
        </w:rPr>
        <w:t>七</w:t>
      </w:r>
      <w:r>
        <w:rPr>
          <w:rFonts w:hint="default" w:ascii="Times New Roman" w:hAnsi="Times New Roman" w:eastAsia="黑体" w:cs="Times New Roman"/>
          <w:snapToGrid w:val="0"/>
          <w:color w:val="auto"/>
          <w:sz w:val="30"/>
          <w:szCs w:val="30"/>
          <w:highlight w:val="none"/>
        </w:rPr>
        <w:t>、结论</w:t>
      </w: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1AC2BB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Borders>
              <w:tl2br w:val="nil"/>
              <w:tr2bl w:val="nil"/>
            </w:tcBorders>
            <w:vAlign w:val="center"/>
          </w:tcPr>
          <w:p w14:paraId="2223F90D">
            <w:pPr>
              <w:spacing w:line="360" w:lineRule="auto"/>
              <w:ind w:firstLine="480" w:firstLineChars="200"/>
              <w:jc w:val="center"/>
              <w:rPr>
                <w:rFonts w:hint="default" w:ascii="Times New Roman" w:hAnsi="Times New Roman" w:eastAsia="仿宋_GB2312" w:cs="Times New Roman"/>
                <w:color w:val="auto"/>
                <w:sz w:val="24"/>
                <w:highlight w:val="none"/>
              </w:rPr>
            </w:pPr>
            <w:r>
              <w:rPr>
                <w:rFonts w:hint="default" w:ascii="Times New Roman" w:hAnsi="Times New Roman" w:cs="Times New Roman"/>
                <w:color w:val="auto"/>
                <w:sz w:val="24"/>
                <w:highlight w:val="none"/>
              </w:rPr>
              <w:t>因此，从环境保护的角度考虑，本项目的建设是可行的。</w:t>
            </w:r>
          </w:p>
        </w:tc>
      </w:tr>
    </w:tbl>
    <w:p w14:paraId="7FCEC1AD">
      <w:pPr>
        <w:rPr>
          <w:rFonts w:hint="default" w:ascii="Times New Roman" w:hAnsi="Times New Roman" w:eastAsia="黑体" w:cs="Times New Roman"/>
          <w:color w:val="auto"/>
          <w:highlight w:val="none"/>
        </w:rPr>
      </w:pPr>
    </w:p>
    <w:sectPr>
      <w:footerReference r:id="rId7" w:type="default"/>
      <w:pgSz w:w="11906" w:h="16838"/>
      <w:pgMar w:top="1701" w:right="1531" w:bottom="1701" w:left="1531" w:header="851" w:footer="851" w:gutter="0"/>
      <w:pgBorders>
        <w:top w:val="none" w:sz="0" w:space="0"/>
        <w:left w:val="none" w:sz="0" w:space="0"/>
        <w:bottom w:val="none" w:sz="0" w:space="0"/>
        <w:right w:val="none" w:sz="0" w:space="0"/>
      </w:pgBorders>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MingLiU">
    <w:panose1 w:val="02020509000000000000"/>
    <w:charset w:val="88"/>
    <w:family w:val="modern"/>
    <w:pitch w:val="default"/>
    <w:sig w:usb0="A00002FF" w:usb1="28CFFCFA" w:usb2="00000016" w:usb3="00000000" w:csb0="00100001" w:csb1="00000000"/>
  </w:font>
  <w:font w:name="Arial Black">
    <w:panose1 w:val="020B0A04020102020204"/>
    <w:charset w:val="00"/>
    <w:family w:val="swiss"/>
    <w:pitch w:val="default"/>
    <w:sig w:usb0="00000287" w:usb1="00000000" w:usb2="00000000" w:usb3="00000000" w:csb0="2000009F" w:csb1="DFD70000"/>
  </w:font>
  <w:font w:name="方正小标宋_GBK">
    <w:panose1 w:val="03000509000000000000"/>
    <w:charset w:val="86"/>
    <w:family w:val="script"/>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5BA44">
    <w:pPr>
      <w:pStyle w:val="1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7F426">
    <w:pPr>
      <w:pStyle w:val="15"/>
      <w:framePr w:wrap="around" w:vAnchor="text" w:hAnchor="margin" w:xAlign="center" w:y="1"/>
      <w:rPr>
        <w:rStyle w:val="30"/>
      </w:rPr>
    </w:pPr>
    <w:r>
      <w:fldChar w:fldCharType="begin"/>
    </w:r>
    <w:r>
      <w:rPr>
        <w:rStyle w:val="30"/>
      </w:rPr>
      <w:instrText xml:space="preserve">PAGE  </w:instrText>
    </w:r>
    <w:r>
      <w:fldChar w:fldCharType="end"/>
    </w:r>
  </w:p>
  <w:p w14:paraId="1711B281">
    <w:pPr>
      <w:pStyle w:val="1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662D2">
    <w:pPr>
      <w:pStyle w:val="15"/>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F21327">
                          <w:pPr>
                            <w:pStyle w:val="15"/>
                          </w:pPr>
                          <w:r>
                            <w:rPr>
                              <w:rFonts w:hint="eastAsia"/>
                            </w:rPr>
                            <w:fldChar w:fldCharType="begin"/>
                          </w:r>
                          <w:r>
                            <w:rPr>
                              <w:rFonts w:hint="eastAsia"/>
                            </w:rPr>
                            <w:instrText xml:space="preserve"> PAGE  \* MERGEFORMAT </w:instrText>
                          </w:r>
                          <w:r>
                            <w:rPr>
                              <w:rFonts w:hint="eastAsia"/>
                            </w:rPr>
                            <w:fldChar w:fldCharType="separate"/>
                          </w:r>
                          <w:r>
                            <w:t>- 23 -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7EF21327">
                    <w:pPr>
                      <w:pStyle w:val="15"/>
                    </w:pPr>
                    <w:r>
                      <w:rPr>
                        <w:rFonts w:hint="eastAsia"/>
                      </w:rPr>
                      <w:fldChar w:fldCharType="begin"/>
                    </w:r>
                    <w:r>
                      <w:rPr>
                        <w:rFonts w:hint="eastAsia"/>
                      </w:rPr>
                      <w:instrText xml:space="preserve"> PAGE  \* MERGEFORMAT </w:instrText>
                    </w:r>
                    <w:r>
                      <w:rPr>
                        <w:rFonts w:hint="eastAsia"/>
                      </w:rPr>
                      <w:fldChar w:fldCharType="separate"/>
                    </w:r>
                    <w:r>
                      <w:t>- 23 -</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3323A">
    <w:pPr>
      <w:pStyle w:val="15"/>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CFE1AF">
    <w:pPr>
      <w:pStyle w:val="1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86B666"/>
    <w:multiLevelType w:val="singleLevel"/>
    <w:tmpl w:val="AA86B666"/>
    <w:lvl w:ilvl="0" w:tentative="0">
      <w:start w:val="1"/>
      <w:numFmt w:val="decimal"/>
      <w:suff w:val="space"/>
      <w:lvlText w:val="%1."/>
      <w:lvlJc w:val="left"/>
    </w:lvl>
  </w:abstractNum>
  <w:abstractNum w:abstractNumId="1">
    <w:nsid w:val="B4CD8A9A"/>
    <w:multiLevelType w:val="singleLevel"/>
    <w:tmpl w:val="B4CD8A9A"/>
    <w:lvl w:ilvl="0" w:tentative="0">
      <w:start w:val="2"/>
      <w:numFmt w:val="decimal"/>
      <w:suff w:val="nothing"/>
      <w:lvlText w:val="（%1）"/>
      <w:lvlJc w:val="left"/>
    </w:lvl>
  </w:abstractNum>
  <w:abstractNum w:abstractNumId="2">
    <w:nsid w:val="66F83211"/>
    <w:multiLevelType w:val="singleLevel"/>
    <w:tmpl w:val="66F83211"/>
    <w:lvl w:ilvl="0" w:tentative="0">
      <w:start w:val="1"/>
      <w:numFmt w:val="decimal"/>
      <w:suff w:val="space"/>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VjZDhlZjA1NDQzNGZkNDNlOTVmYzFhMjEyNjViODYifQ=="/>
  </w:docVars>
  <w:rsids>
    <w:rsidRoot w:val="00172A27"/>
    <w:rsid w:val="000060B3"/>
    <w:rsid w:val="000276DA"/>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0E546E"/>
    <w:rsid w:val="00131F42"/>
    <w:rsid w:val="001357F1"/>
    <w:rsid w:val="00140FA8"/>
    <w:rsid w:val="00142FEB"/>
    <w:rsid w:val="00143A2D"/>
    <w:rsid w:val="00145A41"/>
    <w:rsid w:val="00151675"/>
    <w:rsid w:val="00157435"/>
    <w:rsid w:val="00172A27"/>
    <w:rsid w:val="0017504D"/>
    <w:rsid w:val="0017671A"/>
    <w:rsid w:val="00177422"/>
    <w:rsid w:val="00184590"/>
    <w:rsid w:val="001870D1"/>
    <w:rsid w:val="0018781E"/>
    <w:rsid w:val="0019262D"/>
    <w:rsid w:val="001967C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52A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19E0"/>
    <w:rsid w:val="002C2B17"/>
    <w:rsid w:val="002D3DD0"/>
    <w:rsid w:val="002E1F3A"/>
    <w:rsid w:val="002E298A"/>
    <w:rsid w:val="00301978"/>
    <w:rsid w:val="0030332C"/>
    <w:rsid w:val="003051C2"/>
    <w:rsid w:val="00312296"/>
    <w:rsid w:val="00314F0E"/>
    <w:rsid w:val="00321D8E"/>
    <w:rsid w:val="00325094"/>
    <w:rsid w:val="00325928"/>
    <w:rsid w:val="00332863"/>
    <w:rsid w:val="0033684D"/>
    <w:rsid w:val="00337B42"/>
    <w:rsid w:val="00340BB7"/>
    <w:rsid w:val="00341B42"/>
    <w:rsid w:val="0034348F"/>
    <w:rsid w:val="00356653"/>
    <w:rsid w:val="0035680E"/>
    <w:rsid w:val="0035743F"/>
    <w:rsid w:val="00357BE2"/>
    <w:rsid w:val="0036170C"/>
    <w:rsid w:val="00366E0F"/>
    <w:rsid w:val="00381A72"/>
    <w:rsid w:val="00384676"/>
    <w:rsid w:val="00385155"/>
    <w:rsid w:val="00390857"/>
    <w:rsid w:val="003918F2"/>
    <w:rsid w:val="003A4BF3"/>
    <w:rsid w:val="003B420D"/>
    <w:rsid w:val="003C6C16"/>
    <w:rsid w:val="003D794D"/>
    <w:rsid w:val="003E3058"/>
    <w:rsid w:val="003E76A9"/>
    <w:rsid w:val="003F03C3"/>
    <w:rsid w:val="003F0809"/>
    <w:rsid w:val="003F6A8C"/>
    <w:rsid w:val="003F755C"/>
    <w:rsid w:val="00406F01"/>
    <w:rsid w:val="00416D50"/>
    <w:rsid w:val="00416FD5"/>
    <w:rsid w:val="00417772"/>
    <w:rsid w:val="00420E6A"/>
    <w:rsid w:val="00425A9E"/>
    <w:rsid w:val="00426D6B"/>
    <w:rsid w:val="00431E6C"/>
    <w:rsid w:val="00433CE7"/>
    <w:rsid w:val="00443D14"/>
    <w:rsid w:val="0044415B"/>
    <w:rsid w:val="00452738"/>
    <w:rsid w:val="00456091"/>
    <w:rsid w:val="00466321"/>
    <w:rsid w:val="0047303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30A7E"/>
    <w:rsid w:val="005401AE"/>
    <w:rsid w:val="00542E07"/>
    <w:rsid w:val="00545424"/>
    <w:rsid w:val="00554A7B"/>
    <w:rsid w:val="0055572C"/>
    <w:rsid w:val="0056106A"/>
    <w:rsid w:val="005720AE"/>
    <w:rsid w:val="00594D77"/>
    <w:rsid w:val="005969E4"/>
    <w:rsid w:val="005A06B7"/>
    <w:rsid w:val="005A1759"/>
    <w:rsid w:val="005A64C9"/>
    <w:rsid w:val="005A68A7"/>
    <w:rsid w:val="005B5FC5"/>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C717F"/>
    <w:rsid w:val="007E4BD2"/>
    <w:rsid w:val="00801393"/>
    <w:rsid w:val="00802F88"/>
    <w:rsid w:val="0081293E"/>
    <w:rsid w:val="00815465"/>
    <w:rsid w:val="00817E9A"/>
    <w:rsid w:val="008306BD"/>
    <w:rsid w:val="00831A80"/>
    <w:rsid w:val="00832C97"/>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5CE6"/>
    <w:rsid w:val="008F60D8"/>
    <w:rsid w:val="00902727"/>
    <w:rsid w:val="0090312B"/>
    <w:rsid w:val="0091736D"/>
    <w:rsid w:val="0093037A"/>
    <w:rsid w:val="0094154D"/>
    <w:rsid w:val="00947AAF"/>
    <w:rsid w:val="0095155F"/>
    <w:rsid w:val="00954429"/>
    <w:rsid w:val="009563CE"/>
    <w:rsid w:val="0097629E"/>
    <w:rsid w:val="00976328"/>
    <w:rsid w:val="0097680D"/>
    <w:rsid w:val="00982438"/>
    <w:rsid w:val="0098404C"/>
    <w:rsid w:val="00985283"/>
    <w:rsid w:val="00995992"/>
    <w:rsid w:val="00996A00"/>
    <w:rsid w:val="009A03E5"/>
    <w:rsid w:val="009A0F3B"/>
    <w:rsid w:val="009A1BB4"/>
    <w:rsid w:val="009A2628"/>
    <w:rsid w:val="009A3200"/>
    <w:rsid w:val="009B0897"/>
    <w:rsid w:val="009B7BD9"/>
    <w:rsid w:val="009C2C7F"/>
    <w:rsid w:val="009C7DD5"/>
    <w:rsid w:val="009E227D"/>
    <w:rsid w:val="009E5019"/>
    <w:rsid w:val="00A04F1B"/>
    <w:rsid w:val="00A0501B"/>
    <w:rsid w:val="00A14947"/>
    <w:rsid w:val="00A32A83"/>
    <w:rsid w:val="00A368DB"/>
    <w:rsid w:val="00A423AA"/>
    <w:rsid w:val="00A53EC6"/>
    <w:rsid w:val="00A55C0F"/>
    <w:rsid w:val="00A73A39"/>
    <w:rsid w:val="00A74CF7"/>
    <w:rsid w:val="00A8713F"/>
    <w:rsid w:val="00A90BA1"/>
    <w:rsid w:val="00A97A9A"/>
    <w:rsid w:val="00AA0671"/>
    <w:rsid w:val="00AA2531"/>
    <w:rsid w:val="00AA5870"/>
    <w:rsid w:val="00AB1E09"/>
    <w:rsid w:val="00AB5330"/>
    <w:rsid w:val="00AB7747"/>
    <w:rsid w:val="00AC14CE"/>
    <w:rsid w:val="00AC2A56"/>
    <w:rsid w:val="00AD055E"/>
    <w:rsid w:val="00AD47A7"/>
    <w:rsid w:val="00AF0CBF"/>
    <w:rsid w:val="00AF257F"/>
    <w:rsid w:val="00AF33CF"/>
    <w:rsid w:val="00AF4D50"/>
    <w:rsid w:val="00AF6179"/>
    <w:rsid w:val="00B073B0"/>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C7EBC"/>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8718B"/>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0C67"/>
    <w:rsid w:val="00E412D0"/>
    <w:rsid w:val="00E56322"/>
    <w:rsid w:val="00E60982"/>
    <w:rsid w:val="00E610FC"/>
    <w:rsid w:val="00E62C62"/>
    <w:rsid w:val="00E654C1"/>
    <w:rsid w:val="00E65D97"/>
    <w:rsid w:val="00E72A5A"/>
    <w:rsid w:val="00E73354"/>
    <w:rsid w:val="00E75F6B"/>
    <w:rsid w:val="00E9242D"/>
    <w:rsid w:val="00EA7B87"/>
    <w:rsid w:val="00EB2B85"/>
    <w:rsid w:val="00EB5255"/>
    <w:rsid w:val="00EB5C47"/>
    <w:rsid w:val="00EC599E"/>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0FF4C6E"/>
    <w:rsid w:val="01290F7E"/>
    <w:rsid w:val="015D1E09"/>
    <w:rsid w:val="01FC1B85"/>
    <w:rsid w:val="0210576C"/>
    <w:rsid w:val="02697903"/>
    <w:rsid w:val="028551FB"/>
    <w:rsid w:val="02EF2D80"/>
    <w:rsid w:val="02F96569"/>
    <w:rsid w:val="031D4E24"/>
    <w:rsid w:val="03EA7B21"/>
    <w:rsid w:val="047346B0"/>
    <w:rsid w:val="04740D77"/>
    <w:rsid w:val="048E79EB"/>
    <w:rsid w:val="049F436D"/>
    <w:rsid w:val="05CF17C3"/>
    <w:rsid w:val="05F83EAE"/>
    <w:rsid w:val="05F92040"/>
    <w:rsid w:val="062E0F1B"/>
    <w:rsid w:val="063E7D85"/>
    <w:rsid w:val="067051E3"/>
    <w:rsid w:val="067D08E8"/>
    <w:rsid w:val="06EC65D1"/>
    <w:rsid w:val="06F04422"/>
    <w:rsid w:val="071A61A6"/>
    <w:rsid w:val="07293586"/>
    <w:rsid w:val="07295285"/>
    <w:rsid w:val="0746370A"/>
    <w:rsid w:val="07636392"/>
    <w:rsid w:val="07737303"/>
    <w:rsid w:val="07770C56"/>
    <w:rsid w:val="07C42C0F"/>
    <w:rsid w:val="08F1233F"/>
    <w:rsid w:val="09054F2A"/>
    <w:rsid w:val="092217DD"/>
    <w:rsid w:val="093A1161"/>
    <w:rsid w:val="093A7294"/>
    <w:rsid w:val="0964525F"/>
    <w:rsid w:val="0A263993"/>
    <w:rsid w:val="0A2D3AC2"/>
    <w:rsid w:val="0A410EC9"/>
    <w:rsid w:val="0A4F48B5"/>
    <w:rsid w:val="0AA755DF"/>
    <w:rsid w:val="0AFE3D2C"/>
    <w:rsid w:val="0B120D44"/>
    <w:rsid w:val="0B6C2585"/>
    <w:rsid w:val="0BD27BF6"/>
    <w:rsid w:val="0C3B3C7D"/>
    <w:rsid w:val="0C4E5FAF"/>
    <w:rsid w:val="0CAB2EAE"/>
    <w:rsid w:val="0CE20369"/>
    <w:rsid w:val="0D441024"/>
    <w:rsid w:val="0D454021"/>
    <w:rsid w:val="0D621C7D"/>
    <w:rsid w:val="0D882741"/>
    <w:rsid w:val="0D8E229F"/>
    <w:rsid w:val="0E211365"/>
    <w:rsid w:val="0E245572"/>
    <w:rsid w:val="0E73034D"/>
    <w:rsid w:val="0F13775A"/>
    <w:rsid w:val="0F5F45FE"/>
    <w:rsid w:val="0F841BAC"/>
    <w:rsid w:val="0F9A112B"/>
    <w:rsid w:val="0FA17A7C"/>
    <w:rsid w:val="0FC4601C"/>
    <w:rsid w:val="0FE15C54"/>
    <w:rsid w:val="10356DBE"/>
    <w:rsid w:val="10376C1E"/>
    <w:rsid w:val="103C4234"/>
    <w:rsid w:val="103D28B6"/>
    <w:rsid w:val="106D2F64"/>
    <w:rsid w:val="107047F4"/>
    <w:rsid w:val="10B63710"/>
    <w:rsid w:val="10F10820"/>
    <w:rsid w:val="111C2F7A"/>
    <w:rsid w:val="115468F5"/>
    <w:rsid w:val="11665CA1"/>
    <w:rsid w:val="11CE391D"/>
    <w:rsid w:val="11FF157A"/>
    <w:rsid w:val="127009F7"/>
    <w:rsid w:val="1279748D"/>
    <w:rsid w:val="12C4307C"/>
    <w:rsid w:val="13486002"/>
    <w:rsid w:val="13691DD8"/>
    <w:rsid w:val="13951726"/>
    <w:rsid w:val="14396509"/>
    <w:rsid w:val="14535FF1"/>
    <w:rsid w:val="14DD2C3C"/>
    <w:rsid w:val="15F76B45"/>
    <w:rsid w:val="16087E1D"/>
    <w:rsid w:val="16163164"/>
    <w:rsid w:val="16BF5AEC"/>
    <w:rsid w:val="17701D14"/>
    <w:rsid w:val="17735226"/>
    <w:rsid w:val="17935ADC"/>
    <w:rsid w:val="17FA594C"/>
    <w:rsid w:val="18746085"/>
    <w:rsid w:val="189659FF"/>
    <w:rsid w:val="189F624C"/>
    <w:rsid w:val="195F43B9"/>
    <w:rsid w:val="197B7B7C"/>
    <w:rsid w:val="1A1C66C0"/>
    <w:rsid w:val="1A3D1800"/>
    <w:rsid w:val="1A42393B"/>
    <w:rsid w:val="1A655CA1"/>
    <w:rsid w:val="1AAD45DE"/>
    <w:rsid w:val="1B046F80"/>
    <w:rsid w:val="1B174E3A"/>
    <w:rsid w:val="1B3267B5"/>
    <w:rsid w:val="1B40161D"/>
    <w:rsid w:val="1B441859"/>
    <w:rsid w:val="1B484B32"/>
    <w:rsid w:val="1B6606B1"/>
    <w:rsid w:val="1B964E9C"/>
    <w:rsid w:val="1B9C202B"/>
    <w:rsid w:val="1BA063CD"/>
    <w:rsid w:val="1C5E7925"/>
    <w:rsid w:val="1CFD070F"/>
    <w:rsid w:val="1D1328C8"/>
    <w:rsid w:val="1D5F6196"/>
    <w:rsid w:val="1D6132A5"/>
    <w:rsid w:val="1D8E56D5"/>
    <w:rsid w:val="1DCC1A4F"/>
    <w:rsid w:val="1DE7541A"/>
    <w:rsid w:val="1E3E561C"/>
    <w:rsid w:val="1E5D0C2F"/>
    <w:rsid w:val="1E7A43DA"/>
    <w:rsid w:val="1FDB5AA2"/>
    <w:rsid w:val="1FE7539E"/>
    <w:rsid w:val="20671BE0"/>
    <w:rsid w:val="20963CB8"/>
    <w:rsid w:val="20A81A1B"/>
    <w:rsid w:val="20B07FB6"/>
    <w:rsid w:val="20B646FB"/>
    <w:rsid w:val="213B74B1"/>
    <w:rsid w:val="21537630"/>
    <w:rsid w:val="215A2310"/>
    <w:rsid w:val="21DE318A"/>
    <w:rsid w:val="21EF5B80"/>
    <w:rsid w:val="22017822"/>
    <w:rsid w:val="22576990"/>
    <w:rsid w:val="22D8597A"/>
    <w:rsid w:val="22F47480"/>
    <w:rsid w:val="23774748"/>
    <w:rsid w:val="23C54BB2"/>
    <w:rsid w:val="23DE1C48"/>
    <w:rsid w:val="240210CD"/>
    <w:rsid w:val="245A73D8"/>
    <w:rsid w:val="246D27B7"/>
    <w:rsid w:val="24BF09F7"/>
    <w:rsid w:val="251100F1"/>
    <w:rsid w:val="252D53FE"/>
    <w:rsid w:val="25EC2D81"/>
    <w:rsid w:val="262B46D7"/>
    <w:rsid w:val="262D1B51"/>
    <w:rsid w:val="26C16960"/>
    <w:rsid w:val="26D7601D"/>
    <w:rsid w:val="26EC646C"/>
    <w:rsid w:val="277057A2"/>
    <w:rsid w:val="27BC5E55"/>
    <w:rsid w:val="290A7A66"/>
    <w:rsid w:val="290E1520"/>
    <w:rsid w:val="29206EB8"/>
    <w:rsid w:val="292C3AE1"/>
    <w:rsid w:val="29595666"/>
    <w:rsid w:val="295D1A83"/>
    <w:rsid w:val="296D037D"/>
    <w:rsid w:val="29874881"/>
    <w:rsid w:val="29E325E0"/>
    <w:rsid w:val="29E37E6D"/>
    <w:rsid w:val="2A452503"/>
    <w:rsid w:val="2AAA65EC"/>
    <w:rsid w:val="2AFD15CC"/>
    <w:rsid w:val="2B404D34"/>
    <w:rsid w:val="2BA936A8"/>
    <w:rsid w:val="2BDA3485"/>
    <w:rsid w:val="2BEB0073"/>
    <w:rsid w:val="2C315A5A"/>
    <w:rsid w:val="2C4B1C25"/>
    <w:rsid w:val="2C8851AD"/>
    <w:rsid w:val="2C8C19A5"/>
    <w:rsid w:val="2CAB4A8D"/>
    <w:rsid w:val="2D68116A"/>
    <w:rsid w:val="2D9E56F5"/>
    <w:rsid w:val="2DA510B5"/>
    <w:rsid w:val="2DA5538E"/>
    <w:rsid w:val="2DFC247D"/>
    <w:rsid w:val="2E667F96"/>
    <w:rsid w:val="2E8226AB"/>
    <w:rsid w:val="2FD065E6"/>
    <w:rsid w:val="2FD96870"/>
    <w:rsid w:val="30580BC9"/>
    <w:rsid w:val="3069765E"/>
    <w:rsid w:val="30A25EDE"/>
    <w:rsid w:val="30CF406E"/>
    <w:rsid w:val="30E65DCB"/>
    <w:rsid w:val="30F77FD8"/>
    <w:rsid w:val="311E2ED7"/>
    <w:rsid w:val="315619EE"/>
    <w:rsid w:val="315C449C"/>
    <w:rsid w:val="316916AD"/>
    <w:rsid w:val="31B21721"/>
    <w:rsid w:val="31B82709"/>
    <w:rsid w:val="31D05482"/>
    <w:rsid w:val="32400B34"/>
    <w:rsid w:val="329E6876"/>
    <w:rsid w:val="333015F2"/>
    <w:rsid w:val="3344279D"/>
    <w:rsid w:val="334B6320"/>
    <w:rsid w:val="335E1A00"/>
    <w:rsid w:val="33C922B7"/>
    <w:rsid w:val="33D934D4"/>
    <w:rsid w:val="33FE2F6A"/>
    <w:rsid w:val="340E07E5"/>
    <w:rsid w:val="34235BF7"/>
    <w:rsid w:val="34825CF4"/>
    <w:rsid w:val="34EB24D6"/>
    <w:rsid w:val="352C6C95"/>
    <w:rsid w:val="358C5FA8"/>
    <w:rsid w:val="35C15DF1"/>
    <w:rsid w:val="36074A7F"/>
    <w:rsid w:val="367407A3"/>
    <w:rsid w:val="36923549"/>
    <w:rsid w:val="36B75FBF"/>
    <w:rsid w:val="36BD0C45"/>
    <w:rsid w:val="36C246CA"/>
    <w:rsid w:val="36F73467"/>
    <w:rsid w:val="372E7105"/>
    <w:rsid w:val="37935446"/>
    <w:rsid w:val="37E00298"/>
    <w:rsid w:val="38043ABB"/>
    <w:rsid w:val="38B302F9"/>
    <w:rsid w:val="38F12CD3"/>
    <w:rsid w:val="38F94775"/>
    <w:rsid w:val="392971ED"/>
    <w:rsid w:val="39325651"/>
    <w:rsid w:val="39343F1A"/>
    <w:rsid w:val="3959541C"/>
    <w:rsid w:val="39763EB5"/>
    <w:rsid w:val="39CD3503"/>
    <w:rsid w:val="3A872856"/>
    <w:rsid w:val="3A9A29C2"/>
    <w:rsid w:val="3AC57421"/>
    <w:rsid w:val="3AE20944"/>
    <w:rsid w:val="3B1301F3"/>
    <w:rsid w:val="3B3763D1"/>
    <w:rsid w:val="3B3907C2"/>
    <w:rsid w:val="3C0841C8"/>
    <w:rsid w:val="3C1A4B4A"/>
    <w:rsid w:val="3C2951CF"/>
    <w:rsid w:val="3C2F6E1E"/>
    <w:rsid w:val="3C4F64BA"/>
    <w:rsid w:val="3CDA245A"/>
    <w:rsid w:val="3D1E06B7"/>
    <w:rsid w:val="3E1C58D1"/>
    <w:rsid w:val="3EAB6156"/>
    <w:rsid w:val="3EDA0523"/>
    <w:rsid w:val="3FD10EA2"/>
    <w:rsid w:val="40776F9C"/>
    <w:rsid w:val="407A6407"/>
    <w:rsid w:val="41151A49"/>
    <w:rsid w:val="41360801"/>
    <w:rsid w:val="41662610"/>
    <w:rsid w:val="41887094"/>
    <w:rsid w:val="4200449D"/>
    <w:rsid w:val="423A3BCC"/>
    <w:rsid w:val="424E57D2"/>
    <w:rsid w:val="42B26C49"/>
    <w:rsid w:val="43030CEF"/>
    <w:rsid w:val="433A6FE6"/>
    <w:rsid w:val="43480868"/>
    <w:rsid w:val="4350713C"/>
    <w:rsid w:val="436653E0"/>
    <w:rsid w:val="43C4431A"/>
    <w:rsid w:val="446C128A"/>
    <w:rsid w:val="44B951CC"/>
    <w:rsid w:val="44CC6061"/>
    <w:rsid w:val="44CD14E0"/>
    <w:rsid w:val="44E534AB"/>
    <w:rsid w:val="44F20B0B"/>
    <w:rsid w:val="452731C1"/>
    <w:rsid w:val="452E5F4C"/>
    <w:rsid w:val="45612018"/>
    <w:rsid w:val="456F4F8B"/>
    <w:rsid w:val="458946E9"/>
    <w:rsid w:val="45A47C0E"/>
    <w:rsid w:val="46002E19"/>
    <w:rsid w:val="46577FD6"/>
    <w:rsid w:val="468758F4"/>
    <w:rsid w:val="468A4110"/>
    <w:rsid w:val="46BA28B8"/>
    <w:rsid w:val="46D955A7"/>
    <w:rsid w:val="46F87F14"/>
    <w:rsid w:val="46FB735A"/>
    <w:rsid w:val="47133957"/>
    <w:rsid w:val="476953E6"/>
    <w:rsid w:val="47A07E0C"/>
    <w:rsid w:val="47FC7D62"/>
    <w:rsid w:val="48327896"/>
    <w:rsid w:val="48566B3C"/>
    <w:rsid w:val="4870272E"/>
    <w:rsid w:val="497D5286"/>
    <w:rsid w:val="49D1732F"/>
    <w:rsid w:val="49DC7715"/>
    <w:rsid w:val="49F2096D"/>
    <w:rsid w:val="4A023139"/>
    <w:rsid w:val="4A11580F"/>
    <w:rsid w:val="4A7B576F"/>
    <w:rsid w:val="4A827CA8"/>
    <w:rsid w:val="4ABE4879"/>
    <w:rsid w:val="4AF561A9"/>
    <w:rsid w:val="4B0616EB"/>
    <w:rsid w:val="4B1C6700"/>
    <w:rsid w:val="4BAB4546"/>
    <w:rsid w:val="4C4A0649"/>
    <w:rsid w:val="4C7E5ECA"/>
    <w:rsid w:val="4C803BDC"/>
    <w:rsid w:val="4C876AA5"/>
    <w:rsid w:val="4CC36B68"/>
    <w:rsid w:val="4D0E00FB"/>
    <w:rsid w:val="4D176606"/>
    <w:rsid w:val="4D4D12C8"/>
    <w:rsid w:val="4DEC4FB0"/>
    <w:rsid w:val="4E075D8A"/>
    <w:rsid w:val="4E9C4EF1"/>
    <w:rsid w:val="4EC00FAD"/>
    <w:rsid w:val="4EF5557C"/>
    <w:rsid w:val="4F5F2ED9"/>
    <w:rsid w:val="4F9843DC"/>
    <w:rsid w:val="4FC62A8C"/>
    <w:rsid w:val="4FE20F0D"/>
    <w:rsid w:val="4FE51552"/>
    <w:rsid w:val="50504C4B"/>
    <w:rsid w:val="506912B6"/>
    <w:rsid w:val="509C6E7C"/>
    <w:rsid w:val="50BB0F4B"/>
    <w:rsid w:val="512D7063"/>
    <w:rsid w:val="513C510C"/>
    <w:rsid w:val="5162104E"/>
    <w:rsid w:val="5162265C"/>
    <w:rsid w:val="51F55A16"/>
    <w:rsid w:val="52D5782C"/>
    <w:rsid w:val="532C52C8"/>
    <w:rsid w:val="536665A1"/>
    <w:rsid w:val="53A039CC"/>
    <w:rsid w:val="53A1505A"/>
    <w:rsid w:val="540168F4"/>
    <w:rsid w:val="54063E08"/>
    <w:rsid w:val="543437E8"/>
    <w:rsid w:val="54D1675D"/>
    <w:rsid w:val="54F73313"/>
    <w:rsid w:val="54F80955"/>
    <w:rsid w:val="55093F37"/>
    <w:rsid w:val="555170A7"/>
    <w:rsid w:val="5587536D"/>
    <w:rsid w:val="559B174B"/>
    <w:rsid w:val="55CA3B75"/>
    <w:rsid w:val="55CE0CF4"/>
    <w:rsid w:val="569D7AB8"/>
    <w:rsid w:val="56B22A9C"/>
    <w:rsid w:val="57642BC7"/>
    <w:rsid w:val="57B72A76"/>
    <w:rsid w:val="57C3426C"/>
    <w:rsid w:val="57CE1F93"/>
    <w:rsid w:val="58157A78"/>
    <w:rsid w:val="588743D1"/>
    <w:rsid w:val="5887701A"/>
    <w:rsid w:val="58D82921"/>
    <w:rsid w:val="59060411"/>
    <w:rsid w:val="593E37DC"/>
    <w:rsid w:val="59852DB2"/>
    <w:rsid w:val="599B1326"/>
    <w:rsid w:val="59A05377"/>
    <w:rsid w:val="59C0439F"/>
    <w:rsid w:val="59C452AF"/>
    <w:rsid w:val="5ABC6740"/>
    <w:rsid w:val="5ABE2233"/>
    <w:rsid w:val="5B907600"/>
    <w:rsid w:val="5BDF5D95"/>
    <w:rsid w:val="5BFE7528"/>
    <w:rsid w:val="5C743E1E"/>
    <w:rsid w:val="5CCC33F6"/>
    <w:rsid w:val="5CFD058C"/>
    <w:rsid w:val="5D1E7743"/>
    <w:rsid w:val="5E2467F1"/>
    <w:rsid w:val="5F106403"/>
    <w:rsid w:val="5F1A2B43"/>
    <w:rsid w:val="5F1C0A86"/>
    <w:rsid w:val="5F2D401F"/>
    <w:rsid w:val="5FB837BB"/>
    <w:rsid w:val="5FE50B84"/>
    <w:rsid w:val="60146B05"/>
    <w:rsid w:val="608B165E"/>
    <w:rsid w:val="60CC405A"/>
    <w:rsid w:val="616A1AA2"/>
    <w:rsid w:val="61D45648"/>
    <w:rsid w:val="61E215D8"/>
    <w:rsid w:val="620C6E20"/>
    <w:rsid w:val="621B3775"/>
    <w:rsid w:val="62364782"/>
    <w:rsid w:val="62600C89"/>
    <w:rsid w:val="631849D2"/>
    <w:rsid w:val="6394356A"/>
    <w:rsid w:val="63C61B2C"/>
    <w:rsid w:val="63D40BE9"/>
    <w:rsid w:val="64102431"/>
    <w:rsid w:val="64A5243A"/>
    <w:rsid w:val="64F531DE"/>
    <w:rsid w:val="65241792"/>
    <w:rsid w:val="653044FF"/>
    <w:rsid w:val="65373578"/>
    <w:rsid w:val="6607271F"/>
    <w:rsid w:val="665326D6"/>
    <w:rsid w:val="666B7686"/>
    <w:rsid w:val="667E2026"/>
    <w:rsid w:val="671F124A"/>
    <w:rsid w:val="677A33C6"/>
    <w:rsid w:val="681F6961"/>
    <w:rsid w:val="682A3523"/>
    <w:rsid w:val="68367636"/>
    <w:rsid w:val="6860083B"/>
    <w:rsid w:val="68610A2F"/>
    <w:rsid w:val="686D2352"/>
    <w:rsid w:val="68805514"/>
    <w:rsid w:val="69083302"/>
    <w:rsid w:val="690C653C"/>
    <w:rsid w:val="69123A30"/>
    <w:rsid w:val="69316E2F"/>
    <w:rsid w:val="694B27E6"/>
    <w:rsid w:val="694E2071"/>
    <w:rsid w:val="69766163"/>
    <w:rsid w:val="697A3B33"/>
    <w:rsid w:val="69D44760"/>
    <w:rsid w:val="6A520EC7"/>
    <w:rsid w:val="6AF87E20"/>
    <w:rsid w:val="6B322639"/>
    <w:rsid w:val="6C636C38"/>
    <w:rsid w:val="6CD5531A"/>
    <w:rsid w:val="6CF54B44"/>
    <w:rsid w:val="6D1B03E5"/>
    <w:rsid w:val="6D89168F"/>
    <w:rsid w:val="6DA22A9E"/>
    <w:rsid w:val="6DB34098"/>
    <w:rsid w:val="6DB545B6"/>
    <w:rsid w:val="6DE02FB4"/>
    <w:rsid w:val="6E514CED"/>
    <w:rsid w:val="6E700D19"/>
    <w:rsid w:val="6EA34C0D"/>
    <w:rsid w:val="6EA746DE"/>
    <w:rsid w:val="6EB563D5"/>
    <w:rsid w:val="6ED92677"/>
    <w:rsid w:val="6F225983"/>
    <w:rsid w:val="6F2B776F"/>
    <w:rsid w:val="6F8714CD"/>
    <w:rsid w:val="6FDC49B2"/>
    <w:rsid w:val="6FFC5590"/>
    <w:rsid w:val="706D1DD0"/>
    <w:rsid w:val="70856B87"/>
    <w:rsid w:val="70D13CB9"/>
    <w:rsid w:val="70D527EE"/>
    <w:rsid w:val="715B5300"/>
    <w:rsid w:val="71D27F8A"/>
    <w:rsid w:val="72553024"/>
    <w:rsid w:val="72921A0A"/>
    <w:rsid w:val="729E5DF6"/>
    <w:rsid w:val="72B94560"/>
    <w:rsid w:val="73122968"/>
    <w:rsid w:val="731F5D5E"/>
    <w:rsid w:val="736B56E0"/>
    <w:rsid w:val="73743F33"/>
    <w:rsid w:val="73843B37"/>
    <w:rsid w:val="73C51AD5"/>
    <w:rsid w:val="74062323"/>
    <w:rsid w:val="741E793C"/>
    <w:rsid w:val="745E3944"/>
    <w:rsid w:val="74D50CA0"/>
    <w:rsid w:val="74E61BA3"/>
    <w:rsid w:val="754712F5"/>
    <w:rsid w:val="75824A41"/>
    <w:rsid w:val="7635099D"/>
    <w:rsid w:val="76DF30F6"/>
    <w:rsid w:val="77594F11"/>
    <w:rsid w:val="77762421"/>
    <w:rsid w:val="778B33D6"/>
    <w:rsid w:val="77B56B1F"/>
    <w:rsid w:val="77C622D7"/>
    <w:rsid w:val="780F09F4"/>
    <w:rsid w:val="7827252A"/>
    <w:rsid w:val="788E1C98"/>
    <w:rsid w:val="78A90480"/>
    <w:rsid w:val="78B10F61"/>
    <w:rsid w:val="7909605B"/>
    <w:rsid w:val="79D71005"/>
    <w:rsid w:val="7A364017"/>
    <w:rsid w:val="7A4D5DDD"/>
    <w:rsid w:val="7A8265E1"/>
    <w:rsid w:val="7AE55D78"/>
    <w:rsid w:val="7AFE4D0F"/>
    <w:rsid w:val="7B166C90"/>
    <w:rsid w:val="7B686D42"/>
    <w:rsid w:val="7B841746"/>
    <w:rsid w:val="7B9410AA"/>
    <w:rsid w:val="7BD55A85"/>
    <w:rsid w:val="7C6946B4"/>
    <w:rsid w:val="7C6C5AC7"/>
    <w:rsid w:val="7CC6544B"/>
    <w:rsid w:val="7D0239FF"/>
    <w:rsid w:val="7D5E40CD"/>
    <w:rsid w:val="7DCD56F2"/>
    <w:rsid w:val="7E1162DD"/>
    <w:rsid w:val="7F001CE7"/>
    <w:rsid w:val="7F200254"/>
    <w:rsid w:val="7FC84175"/>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99"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99"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iPriority="99"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locked/>
    <w:uiPriority w:val="0"/>
    <w:pPr>
      <w:keepNext/>
      <w:keepLines/>
      <w:spacing w:before="260" w:beforeLines="0" w:after="260" w:afterLines="0" w:line="415" w:lineRule="auto"/>
      <w:outlineLvl w:val="1"/>
    </w:pPr>
    <w:rPr>
      <w:rFonts w:ascii="Arial" w:hAnsi="Arial" w:eastAsia="黑体"/>
      <w:b/>
      <w:bCs/>
      <w:sz w:val="32"/>
      <w:szCs w:val="32"/>
    </w:rPr>
  </w:style>
  <w:style w:type="paragraph" w:styleId="4">
    <w:name w:val="heading 3"/>
    <w:basedOn w:val="1"/>
    <w:next w:val="1"/>
    <w:qFormat/>
    <w:locked/>
    <w:uiPriority w:val="0"/>
    <w:pPr>
      <w:outlineLvl w:val="2"/>
    </w:pPr>
    <w:rPr>
      <w:rFonts w:ascii="宋体" w:hAnsi="宋体" w:eastAsia="宋体" w:cs="宋体"/>
      <w:b/>
      <w:bCs/>
      <w:sz w:val="24"/>
      <w:szCs w:val="24"/>
      <w:lang w:val="zh-CN" w:eastAsia="zh-CN" w:bidi="zh-CN"/>
    </w:rPr>
  </w:style>
  <w:style w:type="paragraph" w:styleId="5">
    <w:name w:val="heading 4"/>
    <w:basedOn w:val="1"/>
    <w:next w:val="1"/>
    <w:qFormat/>
    <w:locked/>
    <w:uiPriority w:val="0"/>
    <w:pPr>
      <w:keepNext/>
      <w:keepLines/>
      <w:spacing w:before="280" w:after="290" w:line="376" w:lineRule="auto"/>
      <w:outlineLvl w:val="3"/>
    </w:pPr>
    <w:rPr>
      <w:rFonts w:ascii="Arial" w:hAnsi="Arial" w:eastAsia="黑体"/>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7"/>
    <w:qFormat/>
    <w:locked/>
    <w:uiPriority w:val="0"/>
    <w:pPr>
      <w:ind w:firstLine="420" w:firstLineChars="200"/>
    </w:pPr>
  </w:style>
  <w:style w:type="paragraph" w:customStyle="1" w:styleId="7">
    <w:name w:val="表头"/>
    <w:basedOn w:val="8"/>
    <w:link w:val="88"/>
    <w:qFormat/>
    <w:uiPriority w:val="0"/>
    <w:pPr>
      <w:snapToGrid w:val="0"/>
      <w:spacing w:before="60" w:beforeLines="25"/>
    </w:pPr>
    <w:rPr>
      <w:rFonts w:hAnsi="宋体" w:eastAsia="仿宋_GB2312"/>
      <w:b/>
      <w:sz w:val="28"/>
      <w:szCs w:val="28"/>
    </w:rPr>
  </w:style>
  <w:style w:type="paragraph" w:styleId="8">
    <w:name w:val="Plain Text"/>
    <w:basedOn w:val="1"/>
    <w:qFormat/>
    <w:locked/>
    <w:uiPriority w:val="0"/>
    <w:rPr>
      <w:rFonts w:ascii="宋体" w:hAnsi="Courier New"/>
    </w:rPr>
  </w:style>
  <w:style w:type="paragraph" w:styleId="9">
    <w:name w:val="caption"/>
    <w:basedOn w:val="1"/>
    <w:next w:val="1"/>
    <w:qFormat/>
    <w:locked/>
    <w:uiPriority w:val="0"/>
    <w:pPr>
      <w:jc w:val="center"/>
    </w:pPr>
    <w:rPr>
      <w:rFonts w:eastAsia="黑体"/>
      <w:szCs w:val="21"/>
    </w:rPr>
  </w:style>
  <w:style w:type="paragraph" w:styleId="10">
    <w:name w:val="annotation text"/>
    <w:basedOn w:val="1"/>
    <w:link w:val="45"/>
    <w:semiHidden/>
    <w:qFormat/>
    <w:uiPriority w:val="0"/>
    <w:pPr>
      <w:jc w:val="left"/>
    </w:pPr>
    <w:rPr>
      <w:kern w:val="0"/>
      <w:sz w:val="24"/>
      <w:szCs w:val="20"/>
    </w:rPr>
  </w:style>
  <w:style w:type="paragraph" w:styleId="11">
    <w:name w:val="Body Text"/>
    <w:basedOn w:val="1"/>
    <w:link w:val="43"/>
    <w:qFormat/>
    <w:uiPriority w:val="0"/>
    <w:pPr>
      <w:widowControl/>
      <w:snapToGrid w:val="0"/>
      <w:spacing w:before="60" w:after="160" w:line="259" w:lineRule="auto"/>
      <w:ind w:right="113"/>
    </w:pPr>
    <w:rPr>
      <w:kern w:val="0"/>
      <w:sz w:val="18"/>
      <w:szCs w:val="20"/>
    </w:rPr>
  </w:style>
  <w:style w:type="paragraph" w:styleId="12">
    <w:name w:val="Body Text Indent"/>
    <w:basedOn w:val="1"/>
    <w:next w:val="1"/>
    <w:link w:val="46"/>
    <w:qFormat/>
    <w:uiPriority w:val="0"/>
    <w:pPr>
      <w:spacing w:after="120"/>
      <w:ind w:left="420" w:leftChars="200"/>
    </w:pPr>
    <w:rPr>
      <w:kern w:val="0"/>
      <w:sz w:val="24"/>
      <w:szCs w:val="20"/>
    </w:rPr>
  </w:style>
  <w:style w:type="paragraph" w:styleId="13">
    <w:name w:val="Date"/>
    <w:basedOn w:val="1"/>
    <w:next w:val="1"/>
    <w:link w:val="52"/>
    <w:qFormat/>
    <w:uiPriority w:val="0"/>
    <w:pPr>
      <w:ind w:left="100" w:leftChars="2500"/>
    </w:pPr>
    <w:rPr>
      <w:kern w:val="0"/>
      <w:sz w:val="24"/>
      <w:szCs w:val="20"/>
    </w:rPr>
  </w:style>
  <w:style w:type="paragraph" w:styleId="14">
    <w:name w:val="Balloon Text"/>
    <w:basedOn w:val="1"/>
    <w:link w:val="51"/>
    <w:semiHidden/>
    <w:qFormat/>
    <w:uiPriority w:val="0"/>
    <w:rPr>
      <w:kern w:val="0"/>
      <w:sz w:val="18"/>
      <w:szCs w:val="20"/>
    </w:rPr>
  </w:style>
  <w:style w:type="paragraph" w:styleId="15">
    <w:name w:val="footer"/>
    <w:basedOn w:val="1"/>
    <w:next w:val="1"/>
    <w:link w:val="48"/>
    <w:qFormat/>
    <w:uiPriority w:val="99"/>
    <w:pPr>
      <w:tabs>
        <w:tab w:val="center" w:pos="4153"/>
        <w:tab w:val="right" w:pos="8306"/>
      </w:tabs>
      <w:snapToGrid w:val="0"/>
      <w:jc w:val="left"/>
    </w:pPr>
    <w:rPr>
      <w:kern w:val="0"/>
      <w:sz w:val="18"/>
      <w:szCs w:val="20"/>
    </w:rPr>
  </w:style>
  <w:style w:type="paragraph" w:styleId="16">
    <w:name w:val="header"/>
    <w:basedOn w:val="1"/>
    <w:link w:val="41"/>
    <w:qFormat/>
    <w:uiPriority w:val="0"/>
    <w:pPr>
      <w:pBdr>
        <w:bottom w:val="single" w:color="auto" w:sz="6" w:space="1"/>
      </w:pBdr>
      <w:tabs>
        <w:tab w:val="center" w:pos="4153"/>
        <w:tab w:val="right" w:pos="8306"/>
      </w:tabs>
      <w:snapToGrid w:val="0"/>
      <w:jc w:val="center"/>
    </w:pPr>
    <w:rPr>
      <w:kern w:val="0"/>
      <w:sz w:val="18"/>
      <w:szCs w:val="20"/>
    </w:rPr>
  </w:style>
  <w:style w:type="paragraph" w:styleId="17">
    <w:name w:val="toc 1"/>
    <w:basedOn w:val="1"/>
    <w:next w:val="1"/>
    <w:qFormat/>
    <w:locked/>
    <w:uiPriority w:val="0"/>
  </w:style>
  <w:style w:type="paragraph" w:styleId="18">
    <w:name w:val="index heading"/>
    <w:basedOn w:val="1"/>
    <w:next w:val="19"/>
    <w:qFormat/>
    <w:locked/>
    <w:uiPriority w:val="99"/>
    <w:rPr>
      <w:rFonts w:ascii="Arial" w:hAnsi="Arial"/>
      <w:b/>
    </w:rPr>
  </w:style>
  <w:style w:type="paragraph" w:styleId="19">
    <w:name w:val="index 1"/>
    <w:basedOn w:val="1"/>
    <w:next w:val="1"/>
    <w:qFormat/>
    <w:locked/>
    <w:uiPriority w:val="99"/>
  </w:style>
  <w:style w:type="paragraph" w:styleId="20">
    <w:name w:val="List"/>
    <w:basedOn w:val="1"/>
    <w:link w:val="89"/>
    <w:qFormat/>
    <w:locked/>
    <w:uiPriority w:val="0"/>
    <w:pPr>
      <w:ind w:left="200" w:hanging="200" w:hangingChars="200"/>
    </w:pPr>
  </w:style>
  <w:style w:type="paragraph" w:styleId="21">
    <w:name w:val="Body Text 2"/>
    <w:basedOn w:val="1"/>
    <w:qFormat/>
    <w:locked/>
    <w:uiPriority w:val="0"/>
    <w:pPr>
      <w:spacing w:after="120" w:line="480" w:lineRule="auto"/>
    </w:pPr>
  </w:style>
  <w:style w:type="paragraph" w:styleId="22">
    <w:name w:val="Normal (Web)"/>
    <w:basedOn w:val="1"/>
    <w:link w:val="44"/>
    <w:qFormat/>
    <w:uiPriority w:val="0"/>
    <w:pPr>
      <w:widowControl/>
      <w:spacing w:before="100" w:beforeAutospacing="1" w:after="100" w:afterAutospacing="1"/>
      <w:jc w:val="left"/>
    </w:pPr>
    <w:rPr>
      <w:rFonts w:ascii="宋体" w:hAnsi="宋体"/>
      <w:kern w:val="0"/>
      <w:sz w:val="24"/>
      <w:szCs w:val="20"/>
    </w:rPr>
  </w:style>
  <w:style w:type="paragraph" w:styleId="23">
    <w:name w:val="annotation subject"/>
    <w:basedOn w:val="10"/>
    <w:next w:val="10"/>
    <w:link w:val="49"/>
    <w:semiHidden/>
    <w:qFormat/>
    <w:uiPriority w:val="0"/>
    <w:rPr>
      <w:b/>
    </w:rPr>
  </w:style>
  <w:style w:type="paragraph" w:styleId="24">
    <w:name w:val="Body Text First Indent"/>
    <w:basedOn w:val="1"/>
    <w:unhideWhenUsed/>
    <w:qFormat/>
    <w:locked/>
    <w:uiPriority w:val="99"/>
    <w:pPr>
      <w:ind w:firstLine="420" w:firstLineChars="100"/>
    </w:pPr>
  </w:style>
  <w:style w:type="paragraph" w:styleId="25">
    <w:name w:val="Body Text First Indent 2"/>
    <w:basedOn w:val="12"/>
    <w:next w:val="1"/>
    <w:qFormat/>
    <w:locked/>
    <w:uiPriority w:val="0"/>
    <w:pPr>
      <w:ind w:firstLine="420"/>
    </w:pPr>
    <w:rPr>
      <w:kern w:val="2"/>
      <w:sz w:val="21"/>
      <w:szCs w:val="24"/>
    </w:rPr>
  </w:style>
  <w:style w:type="table" w:styleId="27">
    <w:name w:val="Table Grid"/>
    <w:basedOn w:val="2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qFormat/>
    <w:locked/>
    <w:uiPriority w:val="0"/>
    <w:rPr>
      <w:b/>
    </w:rPr>
  </w:style>
  <w:style w:type="character" w:styleId="30">
    <w:name w:val="page number"/>
    <w:basedOn w:val="28"/>
    <w:qFormat/>
    <w:locked/>
    <w:uiPriority w:val="0"/>
  </w:style>
  <w:style w:type="character" w:styleId="31">
    <w:name w:val="Hyperlink"/>
    <w:basedOn w:val="28"/>
    <w:qFormat/>
    <w:locked/>
    <w:uiPriority w:val="0"/>
    <w:rPr>
      <w:color w:val="0000FF"/>
      <w:u w:val="single"/>
    </w:rPr>
  </w:style>
  <w:style w:type="character" w:styleId="32">
    <w:name w:val="annotation reference"/>
    <w:semiHidden/>
    <w:qFormat/>
    <w:uiPriority w:val="0"/>
    <w:rPr>
      <w:sz w:val="21"/>
    </w:rPr>
  </w:style>
  <w:style w:type="paragraph" w:customStyle="1" w:styleId="33">
    <w:name w:val="Date1"/>
    <w:basedOn w:val="1"/>
    <w:next w:val="1"/>
    <w:qFormat/>
    <w:uiPriority w:val="0"/>
    <w:pPr>
      <w:adjustRightInd w:val="0"/>
      <w:jc w:val="left"/>
      <w:textAlignment w:val="baseline"/>
    </w:pPr>
    <w:rPr>
      <w:rFonts w:ascii="宋体" w:hAnsi="宋体"/>
      <w:sz w:val="28"/>
      <w:szCs w:val="20"/>
    </w:rPr>
  </w:style>
  <w:style w:type="paragraph" w:customStyle="1" w:styleId="34">
    <w:name w:val="正文（缩进）"/>
    <w:basedOn w:val="35"/>
    <w:next w:val="1"/>
    <w:qFormat/>
    <w:uiPriority w:val="99"/>
    <w:pPr>
      <w:spacing w:line="360" w:lineRule="auto"/>
      <w:ind w:firstLine="480" w:firstLineChars="200"/>
    </w:pPr>
    <w:rPr>
      <w:sz w:val="24"/>
    </w:rPr>
  </w:style>
  <w:style w:type="paragraph" w:customStyle="1" w:styleId="35">
    <w:name w:val="正文(首行缩进)"/>
    <w:basedOn w:val="1"/>
    <w:autoRedefine/>
    <w:qFormat/>
    <w:uiPriority w:val="0"/>
    <w:pPr>
      <w:widowControl w:val="0"/>
      <w:jc w:val="both"/>
    </w:pPr>
    <w:rPr>
      <w:rFonts w:ascii="Times New Roman" w:hAnsi="Times New Roman" w:cs="Times New Roman"/>
      <w:kern w:val="0"/>
      <w:sz w:val="24"/>
      <w:szCs w:val="24"/>
    </w:rPr>
  </w:style>
  <w:style w:type="paragraph" w:customStyle="1" w:styleId="36">
    <w:name w:val="Default"/>
    <w:next w:val="21"/>
    <w:qFormat/>
    <w:uiPriority w:val="0"/>
    <w:pPr>
      <w:widowControl w:val="0"/>
      <w:autoSpaceDE w:val="0"/>
      <w:autoSpaceDN w:val="0"/>
      <w:adjustRightInd w:val="0"/>
      <w:spacing w:after="200" w:line="276" w:lineRule="auto"/>
    </w:pPr>
    <w:rPr>
      <w:rFonts w:ascii="宋体" w:hAnsi="Calibri" w:eastAsia="宋体" w:cs="宋体"/>
      <w:color w:val="000000"/>
      <w:sz w:val="24"/>
      <w:szCs w:val="24"/>
      <w:lang w:val="en-US" w:eastAsia="zh-CN" w:bidi="ar-SA"/>
    </w:rPr>
  </w:style>
  <w:style w:type="paragraph" w:customStyle="1" w:styleId="37">
    <w:name w:val="正文（首行缩进两字）"/>
    <w:basedOn w:val="1"/>
    <w:qFormat/>
    <w:uiPriority w:val="0"/>
    <w:pPr>
      <w:ind w:firstLine="420" w:firstLineChars="200"/>
    </w:pPr>
    <w:rPr>
      <w:szCs w:val="21"/>
    </w:rPr>
  </w:style>
  <w:style w:type="paragraph" w:customStyle="1" w:styleId="38">
    <w:name w:val="表格"/>
    <w:basedOn w:val="6"/>
    <w:next w:val="1"/>
    <w:link w:val="47"/>
    <w:qFormat/>
    <w:uiPriority w:val="0"/>
    <w:pPr>
      <w:adjustRightInd w:val="0"/>
      <w:snapToGrid w:val="0"/>
      <w:spacing w:beforeLines="10" w:afterLines="10" w:line="259" w:lineRule="auto"/>
      <w:jc w:val="center"/>
    </w:pPr>
    <w:rPr>
      <w:rFonts w:ascii="宋体"/>
      <w:kern w:val="0"/>
      <w:szCs w:val="20"/>
    </w:rPr>
  </w:style>
  <w:style w:type="paragraph" w:customStyle="1" w:styleId="39">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0">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41">
    <w:name w:val="页眉 字符"/>
    <w:link w:val="16"/>
    <w:qFormat/>
    <w:locked/>
    <w:uiPriority w:val="0"/>
    <w:rPr>
      <w:sz w:val="18"/>
    </w:rPr>
  </w:style>
  <w:style w:type="character" w:customStyle="1" w:styleId="42">
    <w:name w:val="正文文本 字符1"/>
    <w:semiHidden/>
    <w:qFormat/>
    <w:uiPriority w:val="0"/>
    <w:rPr>
      <w:rFonts w:ascii="Times New Roman" w:hAnsi="Times New Roman" w:eastAsia="宋体"/>
      <w:sz w:val="24"/>
    </w:rPr>
  </w:style>
  <w:style w:type="character" w:customStyle="1" w:styleId="43">
    <w:name w:val="正文文本 字符"/>
    <w:link w:val="11"/>
    <w:qFormat/>
    <w:locked/>
    <w:uiPriority w:val="0"/>
    <w:rPr>
      <w:sz w:val="18"/>
    </w:rPr>
  </w:style>
  <w:style w:type="character" w:customStyle="1" w:styleId="44">
    <w:name w:val="普通(网站) 字符"/>
    <w:link w:val="22"/>
    <w:qFormat/>
    <w:locked/>
    <w:uiPriority w:val="0"/>
    <w:rPr>
      <w:rFonts w:ascii="宋体" w:hAnsi="宋体" w:eastAsia="宋体"/>
      <w:sz w:val="24"/>
    </w:rPr>
  </w:style>
  <w:style w:type="character" w:customStyle="1" w:styleId="45">
    <w:name w:val="批注文字 字符"/>
    <w:link w:val="10"/>
    <w:qFormat/>
    <w:locked/>
    <w:uiPriority w:val="0"/>
    <w:rPr>
      <w:rFonts w:ascii="Times New Roman" w:hAnsi="Times New Roman" w:eastAsia="宋体"/>
      <w:sz w:val="24"/>
    </w:rPr>
  </w:style>
  <w:style w:type="character" w:customStyle="1" w:styleId="46">
    <w:name w:val="正文文本缩进 字符"/>
    <w:link w:val="12"/>
    <w:semiHidden/>
    <w:qFormat/>
    <w:locked/>
    <w:uiPriority w:val="0"/>
    <w:rPr>
      <w:rFonts w:ascii="Times New Roman" w:hAnsi="Times New Roman" w:eastAsia="宋体"/>
      <w:sz w:val="24"/>
    </w:rPr>
  </w:style>
  <w:style w:type="character" w:customStyle="1" w:styleId="47">
    <w:name w:val="表格 Char"/>
    <w:link w:val="38"/>
    <w:qFormat/>
    <w:locked/>
    <w:uiPriority w:val="0"/>
    <w:rPr>
      <w:rFonts w:ascii="宋体"/>
      <w:sz w:val="21"/>
    </w:rPr>
  </w:style>
  <w:style w:type="character" w:customStyle="1" w:styleId="48">
    <w:name w:val="页脚 字符1"/>
    <w:link w:val="15"/>
    <w:qFormat/>
    <w:locked/>
    <w:uiPriority w:val="99"/>
    <w:rPr>
      <w:sz w:val="18"/>
    </w:rPr>
  </w:style>
  <w:style w:type="character" w:customStyle="1" w:styleId="49">
    <w:name w:val="批注主题 字符"/>
    <w:link w:val="23"/>
    <w:semiHidden/>
    <w:qFormat/>
    <w:locked/>
    <w:uiPriority w:val="0"/>
    <w:rPr>
      <w:rFonts w:ascii="Times New Roman" w:hAnsi="Times New Roman" w:eastAsia="宋体"/>
      <w:b/>
      <w:kern w:val="2"/>
      <w:sz w:val="24"/>
    </w:rPr>
  </w:style>
  <w:style w:type="character" w:customStyle="1" w:styleId="50">
    <w:name w:val="页脚 字符"/>
    <w:basedOn w:val="28"/>
    <w:qFormat/>
    <w:uiPriority w:val="99"/>
  </w:style>
  <w:style w:type="character" w:customStyle="1" w:styleId="51">
    <w:name w:val="批注框文本 字符"/>
    <w:link w:val="14"/>
    <w:semiHidden/>
    <w:qFormat/>
    <w:locked/>
    <w:uiPriority w:val="0"/>
    <w:rPr>
      <w:rFonts w:ascii="Times New Roman" w:hAnsi="Times New Roman" w:eastAsia="宋体"/>
      <w:sz w:val="18"/>
    </w:rPr>
  </w:style>
  <w:style w:type="character" w:customStyle="1" w:styleId="52">
    <w:name w:val="日期 字符1"/>
    <w:link w:val="13"/>
    <w:qFormat/>
    <w:locked/>
    <w:uiPriority w:val="0"/>
    <w:rPr>
      <w:rFonts w:ascii="Times New Roman" w:hAnsi="Times New Roman" w:eastAsia="宋体"/>
      <w:sz w:val="24"/>
    </w:rPr>
  </w:style>
  <w:style w:type="character" w:customStyle="1" w:styleId="53">
    <w:name w:val="批注文字 字符1"/>
    <w:semiHidden/>
    <w:qFormat/>
    <w:uiPriority w:val="0"/>
    <w:rPr>
      <w:rFonts w:ascii="Times New Roman" w:hAnsi="Times New Roman" w:eastAsia="宋体"/>
      <w:sz w:val="24"/>
    </w:rPr>
  </w:style>
  <w:style w:type="character" w:customStyle="1" w:styleId="54">
    <w:name w:val="日期 字符"/>
    <w:semiHidden/>
    <w:qFormat/>
    <w:uiPriority w:val="0"/>
    <w:rPr>
      <w:rFonts w:ascii="Times New Roman" w:hAnsi="Times New Roman" w:eastAsia="宋体"/>
      <w:sz w:val="24"/>
    </w:rPr>
  </w:style>
  <w:style w:type="paragraph" w:customStyle="1" w:styleId="55">
    <w:name w:val="正文缩近"/>
    <w:basedOn w:val="1"/>
    <w:qFormat/>
    <w:uiPriority w:val="0"/>
    <w:pPr>
      <w:spacing w:line="360" w:lineRule="auto"/>
      <w:ind w:firstLine="560" w:firstLineChars="200"/>
    </w:pPr>
    <w:rPr>
      <w:sz w:val="28"/>
    </w:rPr>
  </w:style>
  <w:style w:type="paragraph" w:customStyle="1" w:styleId="56">
    <w:name w:val="Table Paragraph"/>
    <w:basedOn w:val="1"/>
    <w:qFormat/>
    <w:uiPriority w:val="1"/>
    <w:pPr>
      <w:jc w:val="center"/>
    </w:pPr>
    <w:rPr>
      <w:rFonts w:eastAsia="Times New Roman"/>
      <w:lang w:val="zh-CN" w:bidi="zh-CN"/>
    </w:rPr>
  </w:style>
  <w:style w:type="paragraph" w:customStyle="1" w:styleId="57">
    <w:name w:val="表 正文"/>
    <w:basedOn w:val="1"/>
    <w:qFormat/>
    <w:uiPriority w:val="0"/>
    <w:pPr>
      <w:snapToGrid w:val="0"/>
      <w:spacing w:line="360" w:lineRule="auto"/>
      <w:ind w:firstLine="200" w:firstLineChars="200"/>
    </w:pPr>
    <w:rPr>
      <w:kern w:val="44"/>
      <w:sz w:val="24"/>
    </w:rPr>
  </w:style>
  <w:style w:type="paragraph" w:styleId="58">
    <w:name w:val="List Paragraph"/>
    <w:basedOn w:val="1"/>
    <w:unhideWhenUsed/>
    <w:qFormat/>
    <w:uiPriority w:val="99"/>
    <w:pPr>
      <w:ind w:firstLine="420" w:firstLineChars="200"/>
    </w:pPr>
  </w:style>
  <w:style w:type="paragraph" w:customStyle="1" w:styleId="59">
    <w:name w:val="正文文本 (2)1"/>
    <w:basedOn w:val="1"/>
    <w:qFormat/>
    <w:uiPriority w:val="0"/>
    <w:pPr>
      <w:shd w:val="clear" w:color="auto" w:fill="FFFFFF"/>
      <w:spacing w:line="374" w:lineRule="exact"/>
      <w:jc w:val="distribute"/>
    </w:pPr>
    <w:rPr>
      <w:rFonts w:ascii="MingLiU" w:eastAsia="MingLiU"/>
      <w:spacing w:val="-10"/>
      <w:sz w:val="20"/>
    </w:rPr>
  </w:style>
  <w:style w:type="character" w:customStyle="1" w:styleId="60">
    <w:name w:val="正文文本 (2) + 9 pt"/>
    <w:qFormat/>
    <w:uiPriority w:val="0"/>
    <w:rPr>
      <w:rFonts w:hint="eastAsia" w:ascii="MingLiU" w:hAnsi="MingLiU" w:eastAsia="MingLiU" w:cs="MingLiU"/>
      <w:color w:val="000000"/>
      <w:spacing w:val="10"/>
      <w:w w:val="100"/>
      <w:position w:val="0"/>
      <w:sz w:val="18"/>
      <w:szCs w:val="18"/>
      <w:lang w:val="zh-TW" w:eastAsia="zh-TW" w:bidi="zh-TW"/>
    </w:rPr>
  </w:style>
  <w:style w:type="paragraph" w:customStyle="1" w:styleId="61">
    <w:name w:val="表字1"/>
    <w:basedOn w:val="1"/>
    <w:qFormat/>
    <w:uiPriority w:val="0"/>
    <w:pPr>
      <w:adjustRightInd w:val="0"/>
      <w:spacing w:line="360" w:lineRule="auto"/>
      <w:jc w:val="center"/>
      <w:textAlignment w:val="baseline"/>
    </w:pPr>
    <w:rPr>
      <w:rFonts w:ascii="宋体"/>
      <w:kern w:val="0"/>
      <w:szCs w:val="20"/>
    </w:rPr>
  </w:style>
  <w:style w:type="paragraph" w:customStyle="1" w:styleId="62">
    <w:name w:val="书 正文"/>
    <w:basedOn w:val="1"/>
    <w:qFormat/>
    <w:uiPriority w:val="0"/>
    <w:pPr>
      <w:adjustRightInd w:val="0"/>
      <w:snapToGrid w:val="0"/>
      <w:spacing w:line="360" w:lineRule="auto"/>
      <w:ind w:firstLine="200" w:firstLineChars="200"/>
      <w:jc w:val="left"/>
    </w:pPr>
    <w:rPr>
      <w:rFonts w:ascii="Times New Roman" w:hAnsi="Times New Roman" w:eastAsia="仿宋_GB2312" w:cs="Times New Roman"/>
      <w:kern w:val="24"/>
      <w:sz w:val="24"/>
      <w:szCs w:val="24"/>
    </w:rPr>
  </w:style>
  <w:style w:type="paragraph" w:customStyle="1" w:styleId="63">
    <w:name w:val="小标题"/>
    <w:basedOn w:val="1"/>
    <w:qFormat/>
    <w:uiPriority w:val="0"/>
    <w:pPr>
      <w:spacing w:line="240" w:lineRule="auto"/>
      <w:ind w:firstLine="0" w:firstLineChars="0"/>
      <w:jc w:val="center"/>
    </w:pPr>
    <w:rPr>
      <w:rFonts w:hint="eastAsia" w:cs="Times New Roman"/>
      <w:b/>
      <w:sz w:val="21"/>
    </w:rPr>
  </w:style>
  <w:style w:type="paragraph" w:customStyle="1" w:styleId="64">
    <w:name w:val="表格文字"/>
    <w:basedOn w:val="8"/>
    <w:next w:val="1"/>
    <w:qFormat/>
    <w:uiPriority w:val="0"/>
    <w:pPr>
      <w:jc w:val="center"/>
    </w:pPr>
    <w:rPr>
      <w:rFonts w:ascii="仿宋_GB2312" w:hAnsi="Arial Black" w:eastAsia="仿宋_GB2312"/>
      <w:kern w:val="44"/>
    </w:rPr>
  </w:style>
  <w:style w:type="table" w:customStyle="1" w:styleId="65">
    <w:name w:val="表格主题1"/>
    <w:basedOn w:val="26"/>
    <w:qFormat/>
    <w:uiPriority w:val="0"/>
    <w:pPr>
      <w:widowControl w:val="0"/>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tblStylePr w:type="firstRow">
      <w:pPr>
        <w:wordWrap/>
        <w:spacing w:before="0" w:beforeLines="0" w:beforeAutospacing="0" w:after="0" w:afterLines="0" w:afterAutospacing="0"/>
        <w:ind w:left="0" w:leftChars="0" w:right="0" w:rightChars="0"/>
      </w:pPr>
      <w:rPr>
        <w:b/>
        <w:sz w:val="21"/>
      </w:rPr>
    </w:tblStylePr>
  </w:style>
  <w:style w:type="paragraph" w:customStyle="1" w:styleId="66">
    <w:name w:val="报告正文"/>
    <w:basedOn w:val="1"/>
    <w:qFormat/>
    <w:uiPriority w:val="0"/>
    <w:pPr>
      <w:spacing w:line="400" w:lineRule="exact"/>
    </w:pPr>
    <w:rPr>
      <w:sz w:val="24"/>
      <w:szCs w:val="20"/>
    </w:rPr>
  </w:style>
  <w:style w:type="paragraph" w:customStyle="1" w:styleId="67">
    <w:name w:val="报告表正文"/>
    <w:basedOn w:val="1"/>
    <w:qFormat/>
    <w:uiPriority w:val="0"/>
    <w:pPr>
      <w:overflowPunct w:val="0"/>
      <w:adjustRightInd w:val="0"/>
      <w:snapToGrid w:val="0"/>
      <w:spacing w:line="360" w:lineRule="auto"/>
      <w:ind w:firstLine="200" w:firstLineChars="200"/>
    </w:pPr>
    <w:rPr>
      <w:rFonts w:ascii="Times New Roman" w:hAnsi="Times New Roman" w:eastAsia="仿宋_GB2312"/>
      <w:color w:val="000000"/>
      <w:kern w:val="16"/>
      <w:sz w:val="24"/>
      <w:szCs w:val="24"/>
    </w:rPr>
  </w:style>
  <w:style w:type="paragraph" w:customStyle="1" w:styleId="68">
    <w:name w:val="正文1"/>
    <w:basedOn w:val="1"/>
    <w:next w:val="1"/>
    <w:semiHidden/>
    <w:qFormat/>
    <w:uiPriority w:val="0"/>
    <w:pPr>
      <w:widowControl w:val="0"/>
      <w:adjustRightInd w:val="0"/>
      <w:snapToGrid w:val="0"/>
      <w:spacing w:line="360" w:lineRule="auto"/>
    </w:pPr>
    <w:rPr>
      <w:kern w:val="0"/>
      <w:sz w:val="28"/>
      <w:szCs w:val="32"/>
    </w:rPr>
  </w:style>
  <w:style w:type="table" w:customStyle="1" w:styleId="69">
    <w:name w:val="Table Normal"/>
    <w:semiHidden/>
    <w:unhideWhenUsed/>
    <w:qFormat/>
    <w:uiPriority w:val="0"/>
    <w:tblPr>
      <w:tblCellMar>
        <w:top w:w="0" w:type="dxa"/>
        <w:left w:w="0" w:type="dxa"/>
        <w:bottom w:w="0" w:type="dxa"/>
        <w:right w:w="0" w:type="dxa"/>
      </w:tblCellMar>
    </w:tblPr>
  </w:style>
  <w:style w:type="paragraph" w:customStyle="1" w:styleId="70">
    <w:name w:val="表格1123"/>
    <w:basedOn w:val="24"/>
    <w:qFormat/>
    <w:uiPriority w:val="0"/>
    <w:pPr>
      <w:ind w:firstLine="0" w:firstLineChars="0"/>
      <w:jc w:val="center"/>
    </w:pPr>
    <w:rPr>
      <w:rFonts w:ascii="Times New Roman" w:hAnsi="Times New Roman" w:eastAsia="宋体"/>
      <w:sz w:val="18"/>
    </w:rPr>
  </w:style>
  <w:style w:type="paragraph" w:customStyle="1" w:styleId="71">
    <w:name w:val="报告表小标题"/>
    <w:basedOn w:val="1"/>
    <w:qFormat/>
    <w:uiPriority w:val="0"/>
    <w:pPr>
      <w:spacing w:line="360" w:lineRule="auto"/>
    </w:pPr>
    <w:rPr>
      <w:b/>
      <w:sz w:val="24"/>
    </w:rPr>
  </w:style>
  <w:style w:type="paragraph" w:customStyle="1" w:styleId="72">
    <w:name w:val="表一级标题"/>
    <w:basedOn w:val="1"/>
    <w:qFormat/>
    <w:uiPriority w:val="0"/>
    <w:pPr>
      <w:adjustRightInd w:val="0"/>
      <w:snapToGrid w:val="0"/>
      <w:spacing w:before="50" w:beforeLines="50" w:after="50" w:afterLines="50" w:line="240" w:lineRule="auto"/>
      <w:ind w:firstLine="0" w:firstLineChars="0"/>
      <w:jc w:val="left"/>
      <w:textAlignment w:val="baseline"/>
    </w:pPr>
    <w:rPr>
      <w:rFonts w:ascii="Times New Roman" w:hAnsi="Times New Roman" w:eastAsia="宋体"/>
      <w:b/>
      <w:sz w:val="24"/>
    </w:rPr>
  </w:style>
  <w:style w:type="paragraph" w:customStyle="1" w:styleId="73">
    <w:name w:val="表格内容"/>
    <w:basedOn w:val="74"/>
    <w:qFormat/>
    <w:uiPriority w:val="0"/>
    <w:pPr>
      <w:widowControl/>
    </w:pPr>
    <w:rPr>
      <w:rFonts w:hAnsi="宋体"/>
      <w:kern w:val="0"/>
      <w:sz w:val="21"/>
      <w:szCs w:val="21"/>
    </w:rPr>
  </w:style>
  <w:style w:type="paragraph" w:customStyle="1" w:styleId="74">
    <w:name w:val="表格表头"/>
    <w:basedOn w:val="75"/>
    <w:qFormat/>
    <w:uiPriority w:val="0"/>
    <w:pPr>
      <w:spacing w:beforeLines="50" w:line="240" w:lineRule="auto"/>
      <w:jc w:val="center"/>
      <w:outlineLvl w:val="9"/>
    </w:pPr>
    <w:rPr>
      <w:b/>
      <w:sz w:val="24"/>
    </w:rPr>
  </w:style>
  <w:style w:type="paragraph" w:customStyle="1" w:styleId="75">
    <w:name w:val="四级标题"/>
    <w:basedOn w:val="76"/>
    <w:qFormat/>
    <w:uiPriority w:val="0"/>
    <w:pPr>
      <w:outlineLvl w:val="3"/>
    </w:pPr>
    <w:rPr>
      <w:b w:val="0"/>
    </w:rPr>
  </w:style>
  <w:style w:type="paragraph" w:customStyle="1" w:styleId="76">
    <w:name w:val="三级标题"/>
    <w:basedOn w:val="77"/>
    <w:qFormat/>
    <w:uiPriority w:val="0"/>
    <w:pPr>
      <w:outlineLvl w:val="2"/>
    </w:pPr>
  </w:style>
  <w:style w:type="paragraph" w:customStyle="1" w:styleId="77">
    <w:name w:val="二级标题"/>
    <w:basedOn w:val="78"/>
    <w:qFormat/>
    <w:uiPriority w:val="0"/>
    <w:pPr>
      <w:ind w:firstLine="0" w:firstLineChars="0"/>
      <w:jc w:val="left"/>
      <w:outlineLvl w:val="1"/>
    </w:pPr>
    <w:rPr>
      <w:sz w:val="28"/>
    </w:rPr>
  </w:style>
  <w:style w:type="paragraph" w:customStyle="1" w:styleId="78">
    <w:name w:val="一级标题"/>
    <w:basedOn w:val="1"/>
    <w:qFormat/>
    <w:uiPriority w:val="0"/>
    <w:pPr>
      <w:jc w:val="center"/>
      <w:outlineLvl w:val="0"/>
    </w:pPr>
    <w:rPr>
      <w:b/>
      <w:sz w:val="30"/>
    </w:rPr>
  </w:style>
  <w:style w:type="paragraph" w:customStyle="1" w:styleId="79">
    <w:name w:val="正文(亮)"/>
    <w:qFormat/>
    <w:uiPriority w:val="0"/>
    <w:pPr>
      <w:spacing w:line="360" w:lineRule="auto"/>
      <w:ind w:firstLine="200" w:firstLineChars="200"/>
      <w:jc w:val="both"/>
    </w:pPr>
    <w:rPr>
      <w:rFonts w:ascii="Times New Roman" w:hAnsi="Times New Roman" w:eastAsia="宋体" w:cs="Times New Roman"/>
      <w:bCs/>
      <w:kern w:val="2"/>
      <w:sz w:val="24"/>
      <w:szCs w:val="32"/>
      <w:lang w:val="en-US" w:eastAsia="zh-CN" w:bidi="ar-SA"/>
    </w:rPr>
  </w:style>
  <w:style w:type="paragraph" w:customStyle="1" w:styleId="80">
    <w:name w:val="Table Text"/>
    <w:basedOn w:val="1"/>
    <w:qFormat/>
    <w:uiPriority w:val="0"/>
    <w:rPr>
      <w:rFonts w:ascii="宋体" w:hAnsi="宋体" w:eastAsia="宋体" w:cs="宋体"/>
      <w:sz w:val="18"/>
      <w:szCs w:val="18"/>
      <w:lang w:val="en-US" w:eastAsia="en-US" w:bidi="ar-SA"/>
    </w:rPr>
  </w:style>
  <w:style w:type="paragraph" w:customStyle="1" w:styleId="81">
    <w:name w:val="表格001"/>
    <w:basedOn w:val="1"/>
    <w:next w:val="82"/>
    <w:qFormat/>
    <w:uiPriority w:val="0"/>
    <w:pPr>
      <w:adjustRightInd w:val="0"/>
      <w:snapToGrid w:val="0"/>
      <w:jc w:val="center"/>
    </w:pPr>
    <w:rPr>
      <w:rFonts w:hint="eastAsia" w:cs="Times New Roman"/>
      <w:szCs w:val="21"/>
    </w:rPr>
  </w:style>
  <w:style w:type="paragraph" w:customStyle="1" w:styleId="82">
    <w:name w:val="正文001"/>
    <w:basedOn w:val="1"/>
    <w:qFormat/>
    <w:uiPriority w:val="0"/>
    <w:pPr>
      <w:adjustRightInd w:val="0"/>
      <w:snapToGrid w:val="0"/>
      <w:spacing w:line="360" w:lineRule="auto"/>
      <w:ind w:firstLine="720" w:firstLineChars="200"/>
    </w:pPr>
    <w:rPr>
      <w:rFonts w:hint="eastAsia"/>
      <w:sz w:val="24"/>
    </w:rPr>
  </w:style>
  <w:style w:type="paragraph" w:customStyle="1" w:styleId="83">
    <w:name w:val="【正文】"/>
    <w:basedOn w:val="1"/>
    <w:next w:val="1"/>
    <w:qFormat/>
    <w:uiPriority w:val="0"/>
    <w:pPr>
      <w:widowControl w:val="0"/>
      <w:spacing w:before="120" w:after="120" w:line="312" w:lineRule="auto"/>
      <w:jc w:val="both"/>
    </w:pPr>
    <w:rPr>
      <w:rFonts w:ascii="Times New Roman" w:hAnsi="Times New Roman" w:eastAsia="宋体" w:cs="Times New Roman"/>
      <w:kern w:val="2"/>
      <w:szCs w:val="20"/>
    </w:rPr>
  </w:style>
  <w:style w:type="character" w:customStyle="1" w:styleId="84">
    <w:name w:val="NormalCharacter"/>
    <w:qFormat/>
    <w:uiPriority w:val="0"/>
    <w:rPr>
      <w:rFonts w:ascii="Times New Roman" w:hAnsi="Times New Roman" w:eastAsia="宋体" w:cs="Times New Roman"/>
    </w:rPr>
  </w:style>
  <w:style w:type="paragraph" w:customStyle="1" w:styleId="85">
    <w:name w:val="环评正文"/>
    <w:basedOn w:val="1"/>
    <w:link w:val="86"/>
    <w:qFormat/>
    <w:uiPriority w:val="0"/>
    <w:pPr>
      <w:adjustRightInd w:val="0"/>
      <w:snapToGrid w:val="0"/>
      <w:spacing w:line="360" w:lineRule="auto"/>
      <w:ind w:firstLine="200" w:firstLineChars="200"/>
    </w:pPr>
    <w:rPr>
      <w:rFonts w:ascii="仿宋_GB2312" w:hAnsi="仿宋_GB2312" w:eastAsia="仿宋_GB2312"/>
      <w:kern w:val="0"/>
      <w:sz w:val="24"/>
      <w:szCs w:val="20"/>
    </w:rPr>
  </w:style>
  <w:style w:type="character" w:customStyle="1" w:styleId="86">
    <w:name w:val="环评正文 Char"/>
    <w:link w:val="85"/>
    <w:qFormat/>
    <w:uiPriority w:val="0"/>
    <w:rPr>
      <w:rFonts w:ascii="仿宋_GB2312" w:hAnsi="仿宋_GB2312" w:eastAsia="仿宋_GB2312"/>
      <w:kern w:val="0"/>
      <w:sz w:val="24"/>
      <w:szCs w:val="20"/>
    </w:rPr>
  </w:style>
  <w:style w:type="paragraph" w:customStyle="1" w:styleId="87">
    <w:name w:val="表号题注"/>
    <w:basedOn w:val="1"/>
    <w:qFormat/>
    <w:uiPriority w:val="0"/>
    <w:pPr>
      <w:adjustRightInd w:val="0"/>
      <w:snapToGrid w:val="0"/>
    </w:pPr>
    <w:rPr>
      <w:rFonts w:hAnsi="宋体"/>
      <w:color w:val="000000"/>
      <w:lang w:bidi="en-US"/>
    </w:rPr>
  </w:style>
  <w:style w:type="character" w:customStyle="1" w:styleId="88">
    <w:name w:val="表头 Char"/>
    <w:basedOn w:val="89"/>
    <w:link w:val="7"/>
    <w:qFormat/>
    <w:uiPriority w:val="0"/>
    <w:rPr>
      <w:rFonts w:hAnsi="宋体" w:eastAsia="仿宋_GB2312"/>
      <w:b/>
      <w:sz w:val="28"/>
      <w:szCs w:val="28"/>
    </w:rPr>
  </w:style>
  <w:style w:type="character" w:customStyle="1" w:styleId="89">
    <w:name w:val="列表 Char"/>
    <w:basedOn w:val="28"/>
    <w:link w:val="20"/>
    <w:qFormat/>
    <w:uiPriority w:val="0"/>
  </w:style>
  <w:style w:type="paragraph" w:customStyle="1" w:styleId="90">
    <w:name w:val="预测表格"/>
    <w:basedOn w:val="1"/>
    <w:qFormat/>
    <w:uiPriority w:val="0"/>
    <w:pPr>
      <w:adjustRightInd w:val="0"/>
      <w:snapToGrid w:val="0"/>
      <w:ind w:left="-15" w:leftChars="-15" w:right="-15" w:rightChars="-15"/>
      <w:jc w:val="center"/>
    </w:pPr>
    <w:rPr>
      <w:rFonts w:hAnsi="宋体"/>
      <w:spacing w:val="-5"/>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customXml" Target="../customXml/item3.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emf"/><Relationship Id="rId13" Type="http://schemas.openxmlformats.org/officeDocument/2006/relationships/oleObject" Target="embeddings/oleObject1.bin"/><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3.xml><?xml version="1.0" encoding="utf-8"?>
<contractReview xmlns="http://schemas.wps.cn/vas-ai-hub/contract-review">
  <reviewItems>
    <reviewItem>
      <errorID>8e0a4eca-7c66-4761-9dce-e3ac87bdcfdf</errorID>
      <errorWord>：</errorWord>
      <group>L1_Format</group>
      <groupName>格式问题</groupName>
      <ability>L2_HalfPunc_CN</ability>
      <abilityName/>
      <candidateList>
        <item>:</item>
      </candidateList>
      <explain>文本全半角错误。</explain>
      <paraID>34B52529</paraID>
      <start>1</start>
      <end>2</end>
      <status>ignored</status>
      <modifiedWord/>
      <trackRevisions>false</trackRevisions>
    </reviewItem>
    <reviewItem>
      <errorID>45134a61-20e4-4024-a8a8-0a48d731cab1</errorID>
      <errorWord>：</errorWord>
      <group>L1_Format</group>
      <groupName>格式问题</groupName>
      <ability>L2_HalfPunc_CN</ability>
      <abilityName/>
      <candidateList>
        <item>:</item>
      </candidateList>
      <explain>文本全半角错误。</explain>
      <paraID>5D72FBD2</paraID>
      <start>1</start>
      <end>2</end>
      <status>ignored</status>
      <modifiedWord/>
      <trackRevisions>false</trackRevisions>
    </reviewItem>
    <reviewItem>
      <errorID>b097279c-764f-48d3-b5b4-5cb35306cb44</errorID>
      <errorWord>：</errorWord>
      <group>L1_Format</group>
      <groupName>格式问题</groupName>
      <ability>L2_HalfPunc_CN</ability>
      <abilityName/>
      <candidateList>
        <item>:</item>
      </candidateList>
      <explain>文本全半角错误。</explain>
      <paraID>298BEC13</paraID>
      <start>1</start>
      <end>2</end>
      <status>ignored</status>
      <modifiedWord/>
      <trackRevisions>false</trackRevisions>
    </reviewItem>
    <reviewItem>
      <errorID>b01e9e95-624f-4a70-9e5f-2069d2db0330</errorID>
      <errorWord>：</errorWord>
      <group>L1_Format</group>
      <groupName>格式问题</groupName>
      <ability>L2_HalfPunc_CN</ability>
      <abilityName/>
      <candidateList>
        <item>:</item>
      </candidateList>
      <explain>文本全半角错误。</explain>
      <paraID>  8EBE2B</paraID>
      <start>1</start>
      <end>2</end>
      <status>ignored</status>
      <modifiedWord/>
      <trackRevisions>false</trackRevisions>
    </reviewItem>
    <reviewItem>
      <errorID>f874f719-ffd7-486c-829c-b12c41c87e47</errorID>
      <errorWord>：</errorWord>
      <group>L1_Format</group>
      <groupName>格式问题</groupName>
      <ability>L2_HalfPunc_CN</ability>
      <abilityName/>
      <candidateList>
        <item>:</item>
      </candidateList>
      <explain>文本全半角错误。</explain>
      <paraID>77CE60D5</paraID>
      <start>1</start>
      <end>2</end>
      <status>ignored</status>
      <modifiedWord/>
      <trackRevisions>false</trackRevisions>
    </reviewItem>
    <reviewItem>
      <errorID>d6792474-94d3-4df2-a055-8742b6cfdd1e</errorID>
      <errorWord>：</errorWord>
      <group>L1_Format</group>
      <groupName>格式问题</groupName>
      <ability>L2_HalfPunc_CN</ability>
      <abilityName/>
      <candidateList>
        <item>:</item>
      </candidateList>
      <explain>文本全半角错误。</explain>
      <paraID>4D2BCEC4</paraID>
      <start>1</start>
      <end>2</end>
      <status>ignored</status>
      <modifiedWord/>
      <trackRevisions>false</trackRevisions>
    </reviewItem>
    <reviewItem>
      <errorID>b460c0bc-9e2b-46bc-b999-bae05000ea80</errorID>
      <errorWord>：</errorWord>
      <group>L1_Format</group>
      <groupName>格式问题</groupName>
      <ability>L2_HalfPunc_CN</ability>
      <abilityName/>
      <candidateList>
        <item>:</item>
      </candidateList>
      <explain>文本全半角错误。</explain>
      <paraID>449F4933</paraID>
      <start>1</start>
      <end>2</end>
      <status>ignored</status>
      <modifiedWord/>
      <trackRevisions>false</trackRevisions>
    </reviewItem>
    <reviewItem>
      <errorID>6db841ce-6006-4727-8a21-aa9b69fd4284</errorID>
      <errorWord>：</errorWord>
      <group>L1_Format</group>
      <groupName>格式问题</groupName>
      <ability>L2_HalfPunc_CN</ability>
      <abilityName/>
      <candidateList>
        <item>:</item>
      </candidateList>
      <explain>文本全半角错误。</explain>
      <paraID>6D0FB65E</paraID>
      <start>1</start>
      <end>2</end>
      <status>ignored</status>
      <modifiedWord/>
      <trackRevisions>false</trackRevisions>
    </reviewItem>
    <reviewItem>
      <errorID>4e9026a3-8e82-43c9-98ec-665150e998e2</errorID>
      <errorWord>：</errorWord>
      <group>L1_Format</group>
      <groupName>格式问题</groupName>
      <ability>L2_HalfPunc_CN</ability>
      <abilityName/>
      <candidateList>
        <item>:</item>
      </candidateList>
      <explain>文本全半角错误。</explain>
      <paraID>7A91FBA9</paraID>
      <start>1</start>
      <end>2</end>
      <status>ignored</status>
      <modifiedWord/>
      <trackRevisions>false</trackRevisions>
    </reviewItem>
    <reviewItem>
      <errorID>7500df56-d5e1-4a96-ba32-428f98d259d6</errorID>
      <errorWord>：</errorWord>
      <group>L1_Format</group>
      <groupName>格式问题</groupName>
      <ability>L2_HalfPunc_CN</ability>
      <abilityName/>
      <candidateList>
        <item>:</item>
      </candidateList>
      <explain>文本全半角错误。</explain>
      <paraID>3FAB05A5</paraID>
      <start>1</start>
      <end>2</end>
      <status>ignored</status>
      <modifiedWord/>
      <trackRevisions>false</trackRevisions>
    </reviewItem>
    <reviewItem>
      <errorID>a63ca4c0-ea6f-4440-a0a9-2364d239cf02</errorID>
      <errorWord>：</errorWord>
      <group>L1_Format</group>
      <groupName>格式问题</groupName>
      <ability>L2_HalfPunc_CN</ability>
      <abilityName/>
      <candidateList>
        <item>:</item>
      </candidateList>
      <explain>文本全半角错误。</explain>
      <paraID>72CBEA9C</paraID>
      <start>1</start>
      <end>2</end>
      <status>ignored</status>
      <modifiedWord/>
      <trackRevisions>false</trackRevisions>
    </reviewItem>
    <reviewItem>
      <errorID>6e318449-2060-461e-b194-40934f45730f</errorID>
      <errorWord>：</errorWord>
      <group>L1_Format</group>
      <groupName>格式问题</groupName>
      <ability>L2_HalfPunc_CN</ability>
      <abilityName/>
      <candidateList>
        <item>:</item>
      </candidateList>
      <explain>文本全半角错误。</explain>
      <paraID>26CCFB60</paraID>
      <start>1</start>
      <end>2</end>
      <status>ignored</status>
      <modifiedWord/>
      <trackRevisions>false</trackRevisions>
    </reviewItem>
    <reviewItem>
      <errorID>25baa0d2-3c1c-4730-9932-327e99cd0d1e</errorID>
      <errorWord>（</errorWord>
      <group>L1_Format</group>
      <groupName>格式问题</groupName>
      <ability>L2_HalfPunc_CN</ability>
      <abilityName/>
      <candidateList>
        <item>(</item>
      </candidateList>
      <explain>文本全半角错误。</explain>
      <paraID>63A393B8</paraID>
      <start>0</start>
      <end>1</end>
      <status>ignored</status>
      <modifiedWord/>
      <trackRevisions>false</trackRevisions>
    </reviewItem>
    <reviewItem>
      <errorID>a60712b7-f15d-459d-9d8b-98c99bdc140a</errorID>
      <errorWord>）</errorWord>
      <group>L1_Format</group>
      <groupName>格式问题</groupName>
      <ability>L2_HalfPunc_CN</ability>
      <abilityName/>
      <candidateList>
        <item>)</item>
      </candidateList>
      <explain>文本全半角错误。</explain>
      <paraID>63A393B8</paraID>
      <start>116</start>
      <end>117</end>
      <status>ignored</status>
      <modifiedWord/>
      <trackRevisions>false</trackRevisions>
    </reviewItem>
    <reviewItem>
      <errorID>6f4b31bf-6421-4fdf-a4aa-451c0822efcf</errorID>
      <errorWord>：</errorWord>
      <group>L1_Format</group>
      <groupName>格式问题</groupName>
      <ability>L2_HalfPunc_CN</ability>
      <abilityName/>
      <candidateList>
        <item>:</item>
      </candidateList>
      <explain>文本全半角错误。</explain>
      <paraID>322F8821</paraID>
      <start>1</start>
      <end>2</end>
      <status>ignored</status>
      <modifiedWord/>
      <trackRevisions>false</trackRevisions>
    </reviewItem>
    <reviewItem>
      <errorID>f46d6998-cd18-40d5-988c-5f686c03544e</errorID>
      <errorWord>：</errorWord>
      <group>L1_Format</group>
      <groupName>格式问题</groupName>
      <ability>L2_HalfPunc_CN</ability>
      <abilityName/>
      <candidateList>
        <item>:</item>
      </candidateList>
      <explain>文本全半角错误。</explain>
      <paraID>5729E1ED</paraID>
      <start>1</start>
      <end>2</end>
      <status>ignored</status>
      <modifiedWord/>
      <trackRevisions>false</trackRevisions>
    </reviewItem>
    <reviewItem>
      <errorID>137133e2-3053-490e-a2a3-8c7e97ffe9dd</errorID>
      <errorWord>：</errorWord>
      <group>L1_Format</group>
      <groupName>格式问题</groupName>
      <ability>L2_HalfPunc_CN</ability>
      <abilityName/>
      <candidateList>
        <item>:</item>
      </candidateList>
      <explain>文本全半角错误。</explain>
      <paraID>61C0EFA6</paraID>
      <start>1</start>
      <end>2</end>
      <status>ignored</status>
      <modifiedWord/>
      <trackRevisions>false</trackRevisions>
    </reviewItem>
    <reviewItem>
      <errorID>d67b3807-df94-4432-9e7a-1da8ab19e32c</errorID>
      <errorWord>：</errorWord>
      <group>L1_Format</group>
      <groupName>格式问题</groupName>
      <ability>L2_HalfPunc_CN</ability>
      <abilityName/>
      <candidateList>
        <item>:</item>
      </candidateList>
      <explain>文本全半角错误。</explain>
      <paraID>1F7E0295</paraID>
      <start>1</start>
      <end>2</end>
      <status>ignored</status>
      <modifiedWord/>
      <trackRevisions>false</trackRevisions>
    </reviewItem>
    <reviewItem>
      <errorID>3208b63a-ec55-4aa0-87a4-a78a884414e7</errorID>
      <errorWord>（</errorWord>
      <group>L1_Format</group>
      <groupName>格式问题</groupName>
      <ability>L2_HalfPunc_CN</ability>
      <abilityName/>
      <candidateList>
        <item>(</item>
      </candidateList>
      <explain>文本全半角错误。</explain>
      <paraID>123DA250</paraID>
      <start>0</start>
      <end>1</end>
      <status>ignored</status>
      <modifiedWord/>
      <trackRevisions>false</trackRevisions>
    </reviewItem>
    <reviewItem>
      <errorID>dbe664db-aa1e-4b30-9fee-85ec43bea69e</errorID>
      <errorWord>）</errorWord>
      <group>L1_Format</group>
      <groupName>格式问题</groupName>
      <ability>L2_HalfPunc_CN</ability>
      <abilityName/>
      <candidateList>
        <item>)</item>
      </candidateList>
      <explain>文本全半角错误。</explain>
      <paraID>123DA250</paraID>
      <start>144</start>
      <end>145</end>
      <status>ignored</status>
      <modifiedWord/>
      <trackRevisions>false</trackRevisions>
    </reviewItem>
    <reviewItem>
      <errorID>6074db37-0863-4e20-87f2-abff2a81eb0a</errorID>
      <errorWord>：</errorWord>
      <group>L1_Format</group>
      <groupName>格式问题</groupName>
      <ability>L2_HalfPunc_CN</ability>
      <abilityName/>
      <candidateList>
        <item>:</item>
      </candidateList>
      <explain>文本全半角错误。</explain>
      <paraID>339D298A</paraID>
      <start>1</start>
      <end>2</end>
      <status>ignored</status>
      <modifiedWord/>
      <trackRevisions>false</trackRevisions>
    </reviewItem>
    <reviewItem>
      <errorID>54ac4e08-a958-4e45-9347-76302522e69d</errorID>
      <errorWord>：</errorWord>
      <group>L1_Format</group>
      <groupName>格式问题</groupName>
      <ability>L2_HalfPunc_CN</ability>
      <abilityName/>
      <candidateList>
        <item>:</item>
      </candidateList>
      <explain>文本全半角错误。</explain>
      <paraID>3917D3AD</paraID>
      <start>1</start>
      <end>2</end>
      <status>ignored</status>
      <modifiedWord/>
      <trackRevisions>false</trackRevisions>
    </reviewItem>
    <reviewItem>
      <errorID>eb86f490-f2ef-495f-8655-c484b6834034</errorID>
      <errorWord>：</errorWord>
      <group>L1_Format</group>
      <groupName>格式问题</groupName>
      <ability>L2_HalfPunc_CN</ability>
      <abilityName/>
      <candidateList>
        <item>:</item>
      </candidateList>
      <explain>文本全半角错误。</explain>
      <paraID>7CA6D6B5</paraID>
      <start>1</start>
      <end>2</end>
      <status>ignored</status>
      <modifiedWord/>
      <trackRevisions>false</trackRevisions>
    </reviewItem>
    <reviewItem>
      <errorID>895eb701-0adb-44eb-b000-aec0ef616a1d</errorID>
      <errorWord>：</errorWord>
      <group>L1_Format</group>
      <groupName>格式问题</groupName>
      <ability>L2_HalfPunc_CN</ability>
      <abilityName/>
      <candidateList>
        <item>:</item>
      </candidateList>
      <explain>文本全半角错误。</explain>
      <paraID>34FF7128</paraID>
      <start>1</start>
      <end>2</end>
      <status>ignored</status>
      <modifiedWord/>
      <trackRevisions>false</trackRevisions>
    </reviewItem>
    <reviewItem>
      <errorID>e0576c8f-84ed-457e-ab3c-a8cba7e5a628</errorID>
      <errorWord>：</errorWord>
      <group>L1_Format</group>
      <groupName>格式问题</groupName>
      <ability>L2_HalfPunc_CN</ability>
      <abilityName/>
      <candidateList>
        <item>:</item>
      </candidateList>
      <explain>文本全半角错误。</explain>
      <paraID>37C32375</paraID>
      <start>1</start>
      <end>2</end>
      <status>ignored</status>
      <modifiedWord/>
      <trackRevisions>false</trackRevisions>
    </reviewItem>
    <reviewItem>
      <errorID>44c0f9fc-d656-4f87-aee2-229fde27d40e</errorID>
      <errorWord>：</errorWord>
      <group>L1_Format</group>
      <groupName>格式问题</groupName>
      <ability>L2_HalfPunc_CN</ability>
      <abilityName/>
      <candidateList>
        <item>:</item>
      </candidateList>
      <explain>文本全半角错误。</explain>
      <paraID>556FE707</paraID>
      <start>1</start>
      <end>2</end>
      <status>ignored</status>
      <modifiedWord/>
      <trackRevisions>false</trackRevisions>
    </reviewItem>
    <reviewItem>
      <errorID>300061cf-ad03-4bc0-9f73-8659a65a4fc7</errorID>
      <errorWord>：</errorWord>
      <group>L1_Format</group>
      <groupName>格式问题</groupName>
      <ability>L2_HalfPunc_CN</ability>
      <abilityName/>
      <candidateList>
        <item>:</item>
      </candidateList>
      <explain>文本全半角错误。</explain>
      <paraID>4DAB2C46</paraID>
      <start>1</start>
      <end>2</end>
      <status>ignored</status>
      <modifiedWord/>
      <trackRevisions>false</trackRevisions>
    </reviewItem>
    <reviewItem>
      <errorID>46626b59-e4e1-40d6-8229-7c5addb0c759</errorID>
      <errorWord>：</errorWord>
      <group>L1_Format</group>
      <groupName>格式问题</groupName>
      <ability>L2_HalfPunc_CN</ability>
      <abilityName/>
      <candidateList>
        <item>:</item>
      </candidateList>
      <explain>文本全半角错误。</explain>
      <paraID>1C2BA076</paraID>
      <start>1</start>
      <end>2</end>
      <status>ignored</status>
      <modifiedWord/>
      <trackRevisions>false</trackRevisions>
    </reviewItem>
    <reviewItem>
      <errorID>242980fb-93c3-48f2-ba41-caef125a83b7</errorID>
      <errorWord>：</errorWord>
      <group>L1_Format</group>
      <groupName>格式问题</groupName>
      <ability>L2_HalfPunc_CN</ability>
      <abilityName/>
      <candidateList>
        <item>:</item>
      </candidateList>
      <explain>文本全半角错误。</explain>
      <paraID> 6AACB1A</paraID>
      <start>1</start>
      <end>2</end>
      <status>ignored</status>
      <modifiedWord/>
      <trackRevisions>false</trackRevisions>
    </reviewItem>
    <reviewItem>
      <errorID>1266655f-5060-432d-8abd-cc51a02e084b</errorID>
      <errorWord>，</errorWord>
      <group>L1_Format</group>
      <groupName>格式问题</groupName>
      <ability>L2_HalfPunc_CN</ability>
      <abilityName/>
      <candidateList>
        <item>, </item>
      </candidateList>
      <explain>文本全半角错误。</explain>
      <paraID> 6AACB1A</paraID>
      <start>16</start>
      <end>17</end>
      <status>ignored</status>
      <modifiedWord/>
      <trackRevisions>false</trackRevisions>
    </reviewItem>
    <reviewItem>
      <errorID>4233d760-329e-4462-ae7b-37b25e975cae</errorID>
      <errorWord>：</errorWord>
      <group>L1_Format</group>
      <groupName>格式问题</groupName>
      <ability>L2_HalfPunc_CN</ability>
      <abilityName/>
      <candidateList>
        <item>:</item>
      </candidateList>
      <explain>文本全半角错误。</explain>
      <paraID> 6AACB1A</paraID>
      <start>18</start>
      <end>19</end>
      <status>ignored</status>
      <modifiedWord/>
      <trackRevisions>false</trackRevisions>
    </reviewItem>
    <reviewItem>
      <errorID>c6951702-27b3-471c-9101-fe3a43d65b52</errorID>
      <errorWord>：</errorWord>
      <group>L1_Format</group>
      <groupName>格式问题</groupName>
      <ability>L2_HalfPunc_CN</ability>
      <abilityName/>
      <candidateList>
        <item>:</item>
      </candidateList>
      <explain>文本全半角错误。</explain>
      <paraID>4D703A09</paraID>
      <start>1</start>
      <end>2</end>
      <status>ignored</status>
      <modifiedWord/>
      <trackRevisions>false</trackRevisions>
    </reviewItem>
    <reviewItem>
      <errorID>f585b2c9-760c-4fe3-8d4e-57b242cbdafd</errorID>
      <errorWord>，</errorWord>
      <group>L1_Format</group>
      <groupName>格式问题</groupName>
      <ability>L2_HalfPunc_CN</ability>
      <abilityName/>
      <candidateList>
        <item>, </item>
      </candidateList>
      <explain>文本全半角错误。</explain>
      <paraID>4D703A09</paraID>
      <start>16</start>
      <end>17</end>
      <status>ignored</status>
      <modifiedWord/>
      <trackRevisions>false</trackRevisions>
    </reviewItem>
    <reviewItem>
      <errorID>9ac2a8ef-e2db-4b47-a341-ac3adf2e09f6</errorID>
      <errorWord>：</errorWord>
      <group>L1_Format</group>
      <groupName>格式问题</groupName>
      <ability>L2_HalfPunc_CN</ability>
      <abilityName/>
      <candidateList>
        <item>:</item>
      </candidateList>
      <explain>文本全半角错误。</explain>
      <paraID>4D703A09</paraID>
      <start>18</start>
      <end>19</end>
      <status>ignored</status>
      <modifiedWord/>
      <trackRevisions>false</trackRevisions>
    </reviewItem>
    <reviewItem>
      <errorID>60d43f00-9288-4fc3-9121-6fc1dfd49a01</errorID>
      <errorWord>：</errorWord>
      <group>L1_Format</group>
      <groupName>格式问题</groupName>
      <ability>L2_HalfPunc_CN</ability>
      <abilityName/>
      <candidateList>
        <item>:</item>
      </candidateList>
      <explain>文本全半角错误。</explain>
      <paraID>2DA4D384</paraID>
      <start>1</start>
      <end>2</end>
      <status>ignored</status>
      <modifiedWord/>
      <trackRevisions>false</trackRevisions>
    </reviewItem>
    <reviewItem>
      <errorID>3a6b4c99-030a-4eca-8eb7-8ece88a432aa</errorID>
      <errorWord>，</errorWord>
      <group>L1_Format</group>
      <groupName>格式问题</groupName>
      <ability>L2_HalfPunc_CN</ability>
      <abilityName/>
      <candidateList>
        <item>, </item>
      </candidateList>
      <explain>文本全半角错误。</explain>
      <paraID>2DA4D384</paraID>
      <start>16</start>
      <end>17</end>
      <status>ignored</status>
      <modifiedWord/>
      <trackRevisions>false</trackRevisions>
    </reviewItem>
    <reviewItem>
      <errorID>e3df8214-e08f-4db8-955c-763eae6346cc</errorID>
      <errorWord>：</errorWord>
      <group>L1_Format</group>
      <groupName>格式问题</groupName>
      <ability>L2_HalfPunc_CN</ability>
      <abilityName/>
      <candidateList>
        <item>:</item>
      </candidateList>
      <explain>文本全半角错误。</explain>
      <paraID>2DA4D384</paraID>
      <start>18</start>
      <end>19</end>
      <status>ignored</status>
      <modifiedWord/>
      <trackRevisions>false</trackRevisions>
    </reviewItem>
    <reviewItem>
      <errorID>b8ff5a48-a556-4b58-af98-25b01c969bee</errorID>
      <errorWord>：</errorWord>
      <group>L1_Format</group>
      <groupName>格式问题</groupName>
      <ability>L2_HalfPunc_CN</ability>
      <abilityName/>
      <candidateList>
        <item>:</item>
      </candidateList>
      <explain>文本全半角错误。</explain>
      <paraID>370BFB57</paraID>
      <start>1</start>
      <end>2</end>
      <status>ignored</status>
      <modifiedWord/>
      <trackRevisions>false</trackRevisions>
    </reviewItem>
    <reviewItem>
      <errorID>74057bef-904c-49e5-b110-abdaf1e2a7c5</errorID>
      <errorWord>，</errorWord>
      <group>L1_Format</group>
      <groupName>格式问题</groupName>
      <ability>L2_HalfPunc_CN</ability>
      <abilityName/>
      <candidateList>
        <item>, </item>
      </candidateList>
      <explain>文本全半角错误。</explain>
      <paraID>370BFB57</paraID>
      <start>16</start>
      <end>17</end>
      <status>ignored</status>
      <modifiedWord/>
      <trackRevisions>false</trackRevisions>
    </reviewItem>
    <reviewItem>
      <errorID>81bb42ac-d027-4f0c-9180-ef04fc9a4f9a</errorID>
      <errorWord>：</errorWord>
      <group>L1_Format</group>
      <groupName>格式问题</groupName>
      <ability>L2_HalfPunc_CN</ability>
      <abilityName/>
      <candidateList>
        <item>:</item>
      </candidateList>
      <explain>文本全半角错误。</explain>
      <paraID>370BFB57</paraID>
      <start>18</start>
      <end>19</end>
      <status>ignored</status>
      <modifiedWord/>
      <trackRevisions>false</trackRevisions>
    </reviewItem>
    <reviewItem>
      <errorID>46a61127-76c7-4466-8ccf-5e384d1331a7</errorID>
      <errorWord>：</errorWord>
      <group>L1_Format</group>
      <groupName>格式问题</groupName>
      <ability>L2_HalfPunc_CN</ability>
      <abilityName/>
      <candidateList>
        <item>:</item>
      </candidateList>
      <explain>文本全半角错误。</explain>
      <paraID>39AABC62</paraID>
      <start>1</start>
      <end>2</end>
      <status>ignored</status>
      <modifiedWord/>
      <trackRevisions>false</trackRevisions>
    </reviewItem>
    <reviewItem>
      <errorID>0d7529c5-c7bb-474c-9bba-9f9b3e6bd571</errorID>
      <errorWord>，</errorWord>
      <group>L1_Format</group>
      <groupName>格式问题</groupName>
      <ability>L2_HalfPunc_CN</ability>
      <abilityName/>
      <candidateList>
        <item>, </item>
      </candidateList>
      <explain>文本全半角错误。</explain>
      <paraID>39AABC62</paraID>
      <start>16</start>
      <end>17</end>
      <status>ignored</status>
      <modifiedWord/>
      <trackRevisions>false</trackRevisions>
    </reviewItem>
    <reviewItem>
      <errorID>a2ba41ee-d47b-4ee5-81cf-f8351d054d39</errorID>
      <errorWord>：</errorWord>
      <group>L1_Format</group>
      <groupName>格式问题</groupName>
      <ability>L2_HalfPunc_CN</ability>
      <abilityName/>
      <candidateList>
        <item>:</item>
      </candidateList>
      <explain>文本全半角错误。</explain>
      <paraID>39AABC62</paraID>
      <start>18</start>
      <end>19</end>
      <status>ignored</status>
      <modifiedWord/>
      <trackRevisions>false</trackRevisions>
    </reviewItem>
    <reviewItem>
      <errorID>c83eb695-c945-43d2-83af-522225961988</errorID>
      <errorWord>：</errorWord>
      <group>L1_Format</group>
      <groupName>格式问题</groupName>
      <ability>L2_HalfPunc_CN</ability>
      <abilityName/>
      <candidateList>
        <item>:</item>
      </candidateList>
      <explain>文本全半角错误。</explain>
      <paraID>5C4BF5B3</paraID>
      <start>1</start>
      <end>2</end>
      <status>ignored</status>
      <modifiedWord/>
      <trackRevisions>false</trackRevisions>
    </reviewItem>
    <reviewItem>
      <errorID>f1abb923-8b69-4860-8c3d-bd445ed21118</errorID>
      <errorWord>，</errorWord>
      <group>L1_Format</group>
      <groupName>格式问题</groupName>
      <ability>L2_HalfPunc_CN</ability>
      <abilityName/>
      <candidateList>
        <item>, </item>
      </candidateList>
      <explain>文本全半角错误。</explain>
      <paraID>5C4BF5B3</paraID>
      <start>16</start>
      <end>17</end>
      <status>ignored</status>
      <modifiedWord/>
      <trackRevisions>false</trackRevisions>
    </reviewItem>
    <reviewItem>
      <errorID>21010a34-a494-4fc3-bbff-22e8a97edaf2</errorID>
      <errorWord>：</errorWord>
      <group>L1_Format</group>
      <groupName>格式问题</groupName>
      <ability>L2_HalfPunc_CN</ability>
      <abilityName/>
      <candidateList>
        <item>:</item>
      </candidateList>
      <explain>文本全半角错误。</explain>
      <paraID>5C4BF5B3</paraID>
      <start>18</start>
      <end>19</end>
      <status>ignored</status>
      <modifiedWord/>
      <trackRevisions>false</trackRevisions>
    </reviewItem>
    <reviewItem>
      <errorID>f9e9ea58-4169-4169-9df9-3af977b6a78d</errorID>
      <errorWord>：</errorWord>
      <group>L1_Format</group>
      <groupName>格式问题</groupName>
      <ability>L2_HalfPunc_CN</ability>
      <abilityName/>
      <candidateList>
        <item>:</item>
      </candidateList>
      <explain>文本全半角错误。</explain>
      <paraID>41325A69</paraID>
      <start>1</start>
      <end>2</end>
      <status>ignored</status>
      <modifiedWord/>
      <trackRevisions>false</trackRevisions>
    </reviewItem>
    <reviewItem>
      <errorID>42834c7e-4898-4a68-b165-5b39df2e1f07</errorID>
      <errorWord>，</errorWord>
      <group>L1_Format</group>
      <groupName>格式问题</groupName>
      <ability>L2_HalfPunc_CN</ability>
      <abilityName/>
      <candidateList>
        <item>, </item>
      </candidateList>
      <explain>文本全半角错误。</explain>
      <paraID>41325A69</paraID>
      <start>16</start>
      <end>17</end>
      <status>ignored</status>
      <modifiedWord/>
      <trackRevisions>false</trackRevisions>
    </reviewItem>
    <reviewItem>
      <errorID>1509a497-3f7c-44ff-9de5-83cc4c7fba13</errorID>
      <errorWord>：</errorWord>
      <group>L1_Format</group>
      <groupName>格式问题</groupName>
      <ability>L2_HalfPunc_CN</ability>
      <abilityName/>
      <candidateList>
        <item>:</item>
      </candidateList>
      <explain>文本全半角错误。</explain>
      <paraID>41325A69</paraID>
      <start>18</start>
      <end>19</end>
      <status>ignored</status>
      <modifiedWord/>
      <trackRevisions>false</trackRevisions>
    </reviewItem>
    <reviewItem>
      <errorID>306b89c3-057d-4acc-8ecb-293646ad09fa</errorID>
      <errorWord>：</errorWord>
      <group>L1_Format</group>
      <groupName>格式问题</groupName>
      <ability>L2_HalfPunc_CN</ability>
      <abilityName/>
      <candidateList>
        <item>:</item>
      </candidateList>
      <explain>文本全半角错误。</explain>
      <paraID>74E8214E</paraID>
      <start>1</start>
      <end>2</end>
      <status>ignored</status>
      <modifiedWord/>
      <trackRevisions>false</trackRevisions>
    </reviewItem>
    <reviewItem>
      <errorID>9e2cbb2e-a841-4470-9bef-5c9a90c54710</errorID>
      <errorWord>，</errorWord>
      <group>L1_Format</group>
      <groupName>格式问题</groupName>
      <ability>L2_HalfPunc_CN</ability>
      <abilityName/>
      <candidateList>
        <item>, </item>
      </candidateList>
      <explain>文本全半角错误。</explain>
      <paraID>74E8214E</paraID>
      <start>16</start>
      <end>17</end>
      <status>ignored</status>
      <modifiedWord/>
      <trackRevisions>false</trackRevisions>
    </reviewItem>
    <reviewItem>
      <errorID>44f85b6c-6d94-4073-bae4-6dd151b6ff51</errorID>
      <errorWord>：</errorWord>
      <group>L1_Format</group>
      <groupName>格式问题</groupName>
      <ability>L2_HalfPunc_CN</ability>
      <abilityName/>
      <candidateList>
        <item>:</item>
      </candidateList>
      <explain>文本全半角错误。</explain>
      <paraID>74E8214E</paraID>
      <start>18</start>
      <end>19</end>
      <status>ignored</status>
      <modifiedWord/>
      <trackRevisions>false</trackRevisions>
    </reviewItem>
    <reviewItem>
      <errorID>080759f6-0431-4d55-aa17-5cdd9e7baf69</errorID>
      <errorWord>：</errorWord>
      <group>L1_Format</group>
      <groupName>格式问题</groupName>
      <ability>L2_HalfPunc_CN</ability>
      <abilityName/>
      <candidateList>
        <item>:</item>
      </candidateList>
      <explain>文本全半角错误。</explain>
      <paraID>5037CD99</paraID>
      <start>1</start>
      <end>2</end>
      <status>ignored</status>
      <modifiedWord/>
      <trackRevisions>false</trackRevisions>
    </reviewItem>
    <reviewItem>
      <errorID>e87e17f8-464d-4e68-a3f7-ecce980ff258</errorID>
      <errorWord>，</errorWord>
      <group>L1_Format</group>
      <groupName>格式问题</groupName>
      <ability>L2_HalfPunc_CN</ability>
      <abilityName/>
      <candidateList>
        <item>, </item>
      </candidateList>
      <explain>文本全半角错误。</explain>
      <paraID>5037CD99</paraID>
      <start>16</start>
      <end>17</end>
      <status>ignored</status>
      <modifiedWord/>
      <trackRevisions>false</trackRevisions>
    </reviewItem>
    <reviewItem>
      <errorID>932d3561-c9cb-49c2-ae85-20bb38353ca9</errorID>
      <errorWord>：</errorWord>
      <group>L1_Format</group>
      <groupName>格式问题</groupName>
      <ability>L2_HalfPunc_CN</ability>
      <abilityName/>
      <candidateList>
        <item>:</item>
      </candidateList>
      <explain>文本全半角错误。</explain>
      <paraID>5037CD99</paraID>
      <start>18</start>
      <end>19</end>
      <status>ignored</status>
      <modifiedWord/>
      <trackRevisions>false</trackRevisions>
    </reviewItem>
    <reviewItem>
      <errorID>696647fc-9582-450b-adc6-8b8b1b9e3157</errorID>
      <errorWord>：</errorWord>
      <group>L1_Format</group>
      <groupName>格式问题</groupName>
      <ability>L2_HalfPunc_CN</ability>
      <abilityName/>
      <candidateList>
        <item>:</item>
      </candidateList>
      <explain>文本全半角错误。</explain>
      <paraID>78557E79</paraID>
      <start>1</start>
      <end>2</end>
      <status>ignored</status>
      <modifiedWord/>
      <trackRevisions>false</trackRevisions>
    </reviewItem>
    <reviewItem>
      <errorID>2f166b9d-fb2f-4a26-aaa6-5cc581f00306</errorID>
      <errorWord>，</errorWord>
      <group>L1_Format</group>
      <groupName>格式问题</groupName>
      <ability>L2_HalfPunc_CN</ability>
      <abilityName/>
      <candidateList>
        <item>, </item>
      </candidateList>
      <explain>文本全半角错误。</explain>
      <paraID>78557E79</paraID>
      <start>16</start>
      <end>17</end>
      <status>ignored</status>
      <modifiedWord/>
      <trackRevisions>false</trackRevisions>
    </reviewItem>
    <reviewItem>
      <errorID>2ed9bc42-37fc-43e2-8a95-5d88377a3065</errorID>
      <errorWord>：</errorWord>
      <group>L1_Format</group>
      <groupName>格式问题</groupName>
      <ability>L2_HalfPunc_CN</ability>
      <abilityName/>
      <candidateList>
        <item>:</item>
      </candidateList>
      <explain>文本全半角错误。</explain>
      <paraID>78557E79</paraID>
      <start>18</start>
      <end>19</end>
      <status>ignored</status>
      <modifiedWord/>
      <trackRevisions>false</trackRevisions>
    </reviewItem>
    <reviewItem>
      <errorID>324667c4-bec0-4faa-94ed-32804bdc219e</errorID>
      <errorWord>：</errorWord>
      <group>L1_Format</group>
      <groupName>格式问题</groupName>
      <ability>L2_HalfPunc_CN</ability>
      <abilityName/>
      <candidateList>
        <item>:</item>
      </candidateList>
      <explain>文本全半角错误。</explain>
      <paraID>7544C72D</paraID>
      <start>1</start>
      <end>2</end>
      <status>ignored</status>
      <modifiedWord/>
      <trackRevisions>false</trackRevisions>
    </reviewItem>
    <reviewItem>
      <errorID>7338d739-0a35-4310-9710-4a26cd44c902</errorID>
      <errorWord>，</errorWord>
      <group>L1_Format</group>
      <groupName>格式问题</groupName>
      <ability>L2_HalfPunc_CN</ability>
      <abilityName/>
      <candidateList>
        <item>, </item>
      </candidateList>
      <explain>文本全半角错误。</explain>
      <paraID>7544C72D</paraID>
      <start>16</start>
      <end>17</end>
      <status>ignored</status>
      <modifiedWord/>
      <trackRevisions>false</trackRevisions>
    </reviewItem>
    <reviewItem>
      <errorID>81191b92-df47-4802-b2dd-da9a3b86898e</errorID>
      <errorWord>：</errorWord>
      <group>L1_Format</group>
      <groupName>格式问题</groupName>
      <ability>L2_HalfPunc_CN</ability>
      <abilityName/>
      <candidateList>
        <item>:</item>
      </candidateList>
      <explain>文本全半角错误。</explain>
      <paraID>7544C72D</paraID>
      <start>18</start>
      <end>19</end>
      <status>ignored</status>
      <modifiedWord/>
      <trackRevisions>false</trackRevisions>
    </reviewItem>
    <reviewItem>
      <errorID>e5d8e150-b2f2-41b4-94db-cd279e5128a0</errorID>
      <errorWord>：</errorWord>
      <group>L1_Format</group>
      <groupName>格式问题</groupName>
      <ability>L2_HalfPunc_CN</ability>
      <abilityName/>
      <candidateList>
        <item>:</item>
      </candidateList>
      <explain>文本全半角错误。</explain>
      <paraID>1B5EC024</paraID>
      <start>1</start>
      <end>2</end>
      <status>ignored</status>
      <modifiedWord/>
      <trackRevisions>false</trackRevisions>
    </reviewItem>
    <reviewItem>
      <errorID>74a945ce-7e2a-413e-9a6f-90f2e18aa7a8</errorID>
      <errorWord>，</errorWord>
      <group>L1_Format</group>
      <groupName>格式问题</groupName>
      <ability>L2_HalfPunc_CN</ability>
      <abilityName/>
      <candidateList>
        <item>, </item>
      </candidateList>
      <explain>文本全半角错误。</explain>
      <paraID>1B5EC024</paraID>
      <start>16</start>
      <end>17</end>
      <status>ignored</status>
      <modifiedWord/>
      <trackRevisions>false</trackRevisions>
    </reviewItem>
    <reviewItem>
      <errorID>977df8ad-0eb8-47c5-8481-9c387959e1d0</errorID>
      <errorWord>：</errorWord>
      <group>L1_Format</group>
      <groupName>格式问题</groupName>
      <ability>L2_HalfPunc_CN</ability>
      <abilityName/>
      <candidateList>
        <item>:</item>
      </candidateList>
      <explain>文本全半角错误。</explain>
      <paraID>1B5EC024</paraID>
      <start>18</start>
      <end>19</end>
      <status>ignored</status>
      <modifiedWord/>
      <trackRevisions>false</trackRevisions>
    </reviewItem>
    <reviewItem>
      <errorID>28d7addb-d8a6-4fdc-84c4-1b7d8e3b6e35</errorID>
      <errorWord>：</errorWord>
      <group>L1_Format</group>
      <groupName>格式问题</groupName>
      <ability>L2_HalfPunc_CN</ability>
      <abilityName/>
      <candidateList>
        <item>:</item>
      </candidateList>
      <explain>文本全半角错误。</explain>
      <paraID>7462570E</paraID>
      <start>1</start>
      <end>2</end>
      <status>ignored</status>
      <modifiedWord/>
      <trackRevisions>false</trackRevisions>
    </reviewItem>
    <reviewItem>
      <errorID>96d23a3e-e5a4-4a62-880f-60bfa90f13f5</errorID>
      <errorWord>，</errorWord>
      <group>L1_Format</group>
      <groupName>格式问题</groupName>
      <ability>L2_HalfPunc_CN</ability>
      <abilityName/>
      <candidateList>
        <item>, </item>
      </candidateList>
      <explain>文本全半角错误。</explain>
      <paraID>7462570E</paraID>
      <start>16</start>
      <end>17</end>
      <status>ignored</status>
      <modifiedWord/>
      <trackRevisions>false</trackRevisions>
    </reviewItem>
    <reviewItem>
      <errorID>6504e107-61bf-4733-98b4-6423046bd844</errorID>
      <errorWord>：</errorWord>
      <group>L1_Format</group>
      <groupName>格式问题</groupName>
      <ability>L2_HalfPunc_CN</ability>
      <abilityName/>
      <candidateList>
        <item>:</item>
      </candidateList>
      <explain>文本全半角错误。</explain>
      <paraID>7462570E</paraID>
      <start>18</start>
      <end>19</end>
      <status>ignored</status>
      <modifiedWord/>
      <trackRevisions>false</trackRevisions>
    </reviewItem>
    <reviewItem>
      <errorID>7df66f3f-67c9-44ab-871f-cd740f88004b</errorID>
      <errorWord>：</errorWord>
      <group>L1_Format</group>
      <groupName>格式问题</groupName>
      <ability>L2_HalfPunc_CN</ability>
      <abilityName/>
      <candidateList>
        <item>:</item>
      </candidateList>
      <explain>文本全半角错误。</explain>
      <paraID>2453F00B</paraID>
      <start>1</start>
      <end>2</end>
      <status>ignored</status>
      <modifiedWord/>
      <trackRevisions>false</trackRevisions>
    </reviewItem>
    <reviewItem>
      <errorID>18e009d2-26b9-4530-abd0-95f9f5aaad72</errorID>
      <errorWord>，</errorWord>
      <group>L1_Format</group>
      <groupName>格式问题</groupName>
      <ability>L2_HalfPunc_CN</ability>
      <abilityName/>
      <candidateList>
        <item>, </item>
      </candidateList>
      <explain>文本全半角错误。</explain>
      <paraID>2453F00B</paraID>
      <start>16</start>
      <end>17</end>
      <status>ignored</status>
      <modifiedWord/>
      <trackRevisions>false</trackRevisions>
    </reviewItem>
    <reviewItem>
      <errorID>d7149d6d-e814-48a9-a4d3-cd193422d41d</errorID>
      <errorWord>：</errorWord>
      <group>L1_Format</group>
      <groupName>格式问题</groupName>
      <ability>L2_HalfPunc_CN</ability>
      <abilityName/>
      <candidateList>
        <item>:</item>
      </candidateList>
      <explain>文本全半角错误。</explain>
      <paraID>2453F00B</paraID>
      <start>18</start>
      <end>19</end>
      <status>ignored</status>
      <modifiedWord/>
      <trackRevisions>false</trackRevisions>
    </reviewItem>
    <reviewItem>
      <errorID>fcd05501-dfaf-4c6f-9b6a-3db01a3affbd</errorID>
      <errorWord>：</errorWord>
      <group>L1_Format</group>
      <groupName>格式问题</groupName>
      <ability>L2_HalfPunc_CN</ability>
      <abilityName/>
      <candidateList>
        <item>:</item>
      </candidateList>
      <explain>文本全半角错误。</explain>
      <paraID>493A2431</paraID>
      <start>1</start>
      <end>2</end>
      <status>ignored</status>
      <modifiedWord/>
      <trackRevisions>false</trackRevisions>
    </reviewItem>
    <reviewItem>
      <errorID>8949a3c1-09df-4ac5-80b6-d978d8462b50</errorID>
      <errorWord>，</errorWord>
      <group>L1_Format</group>
      <groupName>格式问题</groupName>
      <ability>L2_HalfPunc_CN</ability>
      <abilityName/>
      <candidateList>
        <item>, </item>
      </candidateList>
      <explain>文本全半角错误。</explain>
      <paraID>493A2431</paraID>
      <start>16</start>
      <end>17</end>
      <status>ignored</status>
      <modifiedWord/>
      <trackRevisions>false</trackRevisions>
    </reviewItem>
    <reviewItem>
      <errorID>0678c85c-d221-4298-ba5d-33c6f8f89bee</errorID>
      <errorWord>：</errorWord>
      <group>L1_Format</group>
      <groupName>格式问题</groupName>
      <ability>L2_HalfPunc_CN</ability>
      <abilityName/>
      <candidateList>
        <item>:</item>
      </candidateList>
      <explain>文本全半角错误。</explain>
      <paraID>493A2431</paraID>
      <start>18</start>
      <end>19</end>
      <status>ignored</status>
      <modifiedWord/>
      <trackRevisions>false</trackRevisions>
    </reviewItem>
    <reviewItem>
      <errorID>cbb82cbc-b105-45e3-93f5-61405961eb2b</errorID>
      <errorWord>：</errorWord>
      <group>L1_Format</group>
      <groupName>格式问题</groupName>
      <ability>L2_HalfPunc_CN</ability>
      <abilityName/>
      <candidateList>
        <item>:</item>
      </candidateList>
      <explain>文本全半角错误。</explain>
      <paraID>5AD82DBA</paraID>
      <start>1</start>
      <end>2</end>
      <status>ignored</status>
      <modifiedWord/>
      <trackRevisions>false</trackRevisions>
    </reviewItem>
    <reviewItem>
      <errorID>128b2928-bc16-4539-b269-61a9c05bbb80</errorID>
      <errorWord>，</errorWord>
      <group>L1_Format</group>
      <groupName>格式问题</groupName>
      <ability>L2_HalfPunc_CN</ability>
      <abilityName/>
      <candidateList>
        <item>, </item>
      </candidateList>
      <explain>文本全半角错误。</explain>
      <paraID>5AD82DBA</paraID>
      <start>16</start>
      <end>17</end>
      <status>ignored</status>
      <modifiedWord/>
      <trackRevisions>false</trackRevisions>
    </reviewItem>
    <reviewItem>
      <errorID>e06516df-37dc-4c4d-8f24-aeb8684878a0</errorID>
      <errorWord>：</errorWord>
      <group>L1_Format</group>
      <groupName>格式问题</groupName>
      <ability>L2_HalfPunc_CN</ability>
      <abilityName/>
      <candidateList>
        <item>:</item>
      </candidateList>
      <explain>文本全半角错误。</explain>
      <paraID>5AD82DBA</paraID>
      <start>18</start>
      <end>19</end>
      <status>ignored</status>
      <modifiedWord/>
      <trackRevisions>false</trackRevisions>
    </reviewItem>
    <reviewItem>
      <errorID>6c224fe3-91db-46ee-802a-6089c93e9b7a</errorID>
      <errorWord>：</errorWord>
      <group>L1_Format</group>
      <groupName>格式问题</groupName>
      <ability>L2_HalfPunc_CN</ability>
      <abilityName/>
      <candidateList>
        <item>:</item>
      </candidateList>
      <explain>文本全半角错误。</explain>
      <paraID>1BF51C7B</paraID>
      <start>1</start>
      <end>2</end>
      <status>ignored</status>
      <modifiedWord/>
      <trackRevisions>false</trackRevisions>
    </reviewItem>
    <reviewItem>
      <errorID>36a196cd-49bd-4c6c-95ee-62b1033924f0</errorID>
      <errorWord>，</errorWord>
      <group>L1_Format</group>
      <groupName>格式问题</groupName>
      <ability>L2_HalfPunc_CN</ability>
      <abilityName/>
      <candidateList>
        <item>, </item>
      </candidateList>
      <explain>文本全半角错误。</explain>
      <paraID>1BF51C7B</paraID>
      <start>16</start>
      <end>17</end>
      <status>ignored</status>
      <modifiedWord/>
      <trackRevisions>false</trackRevisions>
    </reviewItem>
    <reviewItem>
      <errorID>77e17d9d-82aa-4a33-852a-bea5724f2b1f</errorID>
      <errorWord>：</errorWord>
      <group>L1_Format</group>
      <groupName>格式问题</groupName>
      <ability>L2_HalfPunc_CN</ability>
      <abilityName/>
      <candidateList>
        <item>:</item>
      </candidateList>
      <explain>文本全半角错误。</explain>
      <paraID>1BF51C7B</paraID>
      <start>18</start>
      <end>19</end>
      <status>ignored</status>
      <modifiedWord/>
      <trackRevisions>false</trackRevisions>
    </reviewItem>
    <reviewItem>
      <errorID>341be81a-df53-4b88-bbbe-9ffe00b5193a</errorID>
      <errorWord>【2025】38号</errorWord>
      <group>L1_Knowledge</group>
      <groupName>知识性问题</groupName>
      <ability>L2_Knowledge</ability>
      <abilityName>其他知识</abilityName>
      <candidateList>
        <item>〔2025〕38号</item>
      </candidateList>
      <explain>发文字号格式错误。</explain>
      <paraID>7FBA3E29</paraID>
      <start>9</start>
      <end>18</end>
      <status>modified</status>
      <modifiedWord>〔2025〕38号</modifiedWord>
      <trackRevisions>false</trackRevisions>
    </reviewItem>
    <reviewItem>
      <errorID>9a3be4db-18db-42ba-9724-2de11902f8d1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590FD58C</paraID>
      <start>0</start>
      <end>2</end>
      <status>ignored</status>
      <modifiedWord/>
      <trackRevisions>false</trackRevisions>
    </reviewItem>
    <reviewItem>
      <errorID>8f2a98b4-b194-470f-8948-8217e628656d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18CB4B68</paraID>
      <start>0</start>
      <end>2</end>
      <status>ignored</status>
      <modifiedWord/>
      <trackRevisions>false</trackRevisions>
    </reviewItem>
    <reviewItem>
      <errorID>162d6b61-c386-410b-93c8-44333c225e3d</errorID>
      <errorWord>拜</errorWord>
      <group>L1_Word</group>
      <groupName>字词问题</groupName>
      <ability>L2_Typo</ability>
      <abilityName>字词错误</abilityName>
      <candidateList>
        <item>坝</item>
      </candidateList>
      <explain>存在发音相近字词的误用。</explain>
      <paraID>454AF267</paraID>
      <start>70</start>
      <end>71</end>
      <status>ignored</status>
      <modifiedWord/>
      <trackRevisions>false</trackRevisions>
    </reviewItem>
    <reviewItem>
      <errorID>8192ea16-2d97-45f6-af93-2febd6ace69f</errorID>
      <errorWord>拜上</errorWord>
      <group>L1_Word</group>
      <groupName>字词问题</groupName>
      <ability>L2_Typo</ability>
      <abilityName>字词错误</abilityName>
      <candidateList>
        <item>壁上</item>
      </candidateList>
      <explain>存在发音相近字词的误用。</explain>
      <paraID>454AF267</paraID>
      <start>96</start>
      <end>98</end>
      <status>ignored</status>
      <modifiedWord/>
      <trackRevisions>false</trackRevisions>
    </reviewItem>
    <reviewItem>
      <errorID>4d72e96c-556b-459a-8fd3-e3a3adb26aa5</errorID>
      <errorWord>上线</errorWord>
      <group>L1_Word</group>
      <groupName>字词问题</groupName>
      <ability>L2_Typo</ability>
      <abilityName>字词错误</abilityName>
      <candidateList>
        <item>上限</item>
      </candidateList>
      <explain/>
      <paraID> CAEE3B8</paraID>
      <start>18</start>
      <end>20</end>
      <status>ignored</status>
      <modifiedWord/>
      <trackRevisions>false</trackRevisions>
    </reviewItem>
    <reviewItem>
      <errorID>d8b7f9cc-6dfc-442a-a6f9-3b43d883f47b</errorID>
      <errorWord>生保护红线</errorWord>
      <group>L1_Political</group>
      <groupName>政治性问题</groupName>
      <ability>L2_Keyword</ability>
      <abilityName>固定表述</abilityName>
      <candidateList>
        <item>生态保护红线</item>
      </candidateList>
      <explain>词汇“生态保护红线”在特定场景下为固定表述形式，请确认此处的“生保护红线”是否存在不当。</explain>
      <paraID>4CC734EE</paraID>
      <start>2</start>
      <end>8</end>
      <status>modified</status>
      <modifiedWord>生态保护红线</modifiedWord>
      <trackRevisions>false</trackRevisions>
    </reviewItem>
    <reviewItem>
      <errorID>d9d22666-470b-4d29-81ba-dc93da41904a</errorID>
      <errorWord>,</errorWord>
      <group>L1_Format</group>
      <groupName>格式问题</groupName>
      <ability>L2_HalfPunc_CN</ability>
      <abilityName/>
      <candidateList>
        <item>，</item>
      </candidateList>
      <explain>文本全半角错误。</explain>
      <paraID>4500928D</paraID>
      <start>106</start>
      <end>107</end>
      <status>modified</status>
      <modifiedWord>，</modifiedWord>
      <trackRevisions>false</trackRevisions>
    </reviewItem>
    <reviewItem>
      <errorID>d697322c-c643-4292-b044-195f67e875b3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75D5F610</paraID>
      <start>0</start>
      <end>2</end>
      <status>ignored</status>
      <modifiedWord/>
      <trackRevisions>false</trackRevisions>
    </reviewItem>
    <reviewItem>
      <errorID>b1e380e7-6e61-4fa8-9b96-2882e39e8bd8</errorID>
      <errorWord>-</errorWord>
      <group>L1_Format</group>
      <groupName>格式问题</groupName>
      <ability>L2_HalfPunc_CN</ability>
      <abilityName/>
      <candidateList>
        <item>－</item>
      </candidateList>
      <explain>文本全半角错误。</explain>
      <paraID> 8E45F36</paraID>
      <start>43</start>
      <end>44</end>
      <status>ignored</status>
      <modifiedWord/>
      <trackRevisions>false</trackRevisions>
    </reviewItem>
    <reviewItem>
      <errorID>075ba686-67b2-4494-a115-ca76476fc329</errorID>
      <errorWord>-</errorWord>
      <group>L1_Format</group>
      <groupName>格式问题</groupName>
      <ability>L2_HalfPunc_CN</ability>
      <abilityName/>
      <candidateList>
        <item>－</item>
      </candidateList>
      <explain>文本全半角错误。</explain>
      <paraID> 8E45F36</paraID>
      <start>44</start>
      <end>45</end>
      <status>ignored</status>
      <modifiedWord/>
      <trackRevisions>false</trackRevisions>
    </reviewItem>
    <reviewItem>
      <errorID>6fdb5652-5793-4ba9-9f54-ce1f0d519caa</errorID>
      <errorWord>(</errorWord>
      <group>L1_Format</group>
      <groupName>格式问题</groupName>
      <ability>L2_HalfPunc_CN</ability>
      <abilityName/>
      <candidateList>
        <item>（</item>
      </candidateList>
      <explain>文本全半角错误。</explain>
      <paraID> 8E45F36</paraID>
      <start>87</start>
      <end>88</end>
      <status>ignored</status>
      <modifiedWord/>
      <trackRevisions>false</trackRevisions>
    </reviewItem>
    <reviewItem>
      <errorID>3e1e48fa-9d4e-4951-907d-f5b6c8b00eb4</errorID>
      <errorWord>)</errorWord>
      <group>L1_Format</group>
      <groupName>格式问题</groupName>
      <ability>L2_HalfPunc_CN</ability>
      <abilityName/>
      <candidateList>
        <item>）</item>
      </candidateList>
      <explain>文本全半角错误。</explain>
      <paraID> 8E45F36</paraID>
      <start>94</start>
      <end>95</end>
      <status>ignored</status>
      <modifiedWord/>
      <trackRevisions>false</trackRevisions>
    </reviewItem>
    <reviewItem>
      <errorID>b9c4df47-a3c3-4bec-af54-eddd2e9bcc96</errorID>
      <errorWord>（</errorWord>
      <group>L1_Punc</group>
      <groupName>标点问题</groupName>
      <ability>L2_Punc_CN</ability>
      <abilityName/>
      <candidateList/>
      <explain>同一形式括号套用。</explain>
      <paraID> 8E45F36</paraID>
      <start>172</start>
      <end>173</end>
      <status>ignored</status>
      <modifiedWord/>
      <trackRevisions>false</trackRevisions>
    </reviewItem>
    <reviewItem>
      <errorID>ec8cd2ee-3629-47c7-aa4b-c80025571f60</errorID>
      <errorWord>）</errorWord>
      <group>L1_Punc</group>
      <groupName>标点问题</groupName>
      <ability>L2_Punc_CN</ability>
      <abilityName/>
      <candidateList/>
      <explain>同一形式括号套用。</explain>
      <paraID> 8E45F36</paraID>
      <start>175</start>
      <end>176</end>
      <status>ignored</status>
      <modifiedWord/>
      <trackRevisions>false</trackRevisions>
    </reviewItem>
    <reviewItem>
      <errorID>101aa538-a704-40a3-ac0c-5d838903861d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53E80E0E</paraID>
      <start>0</start>
      <end>2</end>
      <status>modified</status>
      <modifiedWord>2.</modifiedWord>
      <trackRevisions>false</trackRevisions>
    </reviewItem>
    <reviewItem>
      <errorID>499558b6-2cf3-452d-bb2b-2e78f294c61a</errorID>
      <errorWord>(</errorWord>
      <group>L1_Format</group>
      <groupName>格式问题</groupName>
      <ability>L2_HalfPunc_CN</ability>
      <abilityName/>
      <candidateList>
        <item>（</item>
      </candidateList>
      <explain>文本全半角错误。</explain>
      <paraID>12E61EE4</paraID>
      <start>31</start>
      <end>32</end>
      <status>ignored</status>
      <modifiedWord/>
      <trackRevisions>false</trackRevisions>
    </reviewItem>
    <reviewItem>
      <errorID>26098744-9b36-4d17-938f-e77a9d78daea</errorID>
      <errorWord>)</errorWord>
      <group>L1_Format</group>
      <groupName>格式问题</groupName>
      <ability>L2_HalfPunc_CN</ability>
      <abilityName/>
      <candidateList>
        <item>）</item>
      </candidateList>
      <explain>文本全半角错误。</explain>
      <paraID>12E61EE4</paraID>
      <start>46</start>
      <end>47</end>
      <status>ignored</status>
      <modifiedWord/>
      <trackRevisions>false</trackRevisions>
    </reviewItem>
    <reviewItem>
      <errorID>1a7a9818-a43f-4fc3-833b-cf0f3f424873</errorID>
      <errorWord>-</errorWord>
      <group>L1_Format</group>
      <groupName>格式问题</groupName>
      <ability>L2_HalfPunc_CN</ability>
      <abilityName/>
      <candidateList>
        <item>－</item>
      </candidateList>
      <explain>文本全半角错误。</explain>
      <paraID>12E61EE4</paraID>
      <start>82</start>
      <end>83</end>
      <status>ignored</status>
      <modifiedWord/>
      <trackRevisions>false</trackRevisions>
    </reviewItem>
    <reviewItem>
      <errorID>62d08b7e-c18d-4cc4-be9c-e3e811a8a488</errorID>
      <errorWord>-</errorWord>
      <group>L1_Format</group>
      <groupName>格式问题</groupName>
      <ability>L2_HalfPunc_CN</ability>
      <abilityName/>
      <candidateList>
        <item>－</item>
      </candidateList>
      <explain>文本全半角错误。</explain>
      <paraID>12E61EE4</paraID>
      <start>83</start>
      <end>84</end>
      <status>ignored</status>
      <modifiedWord/>
      <trackRevisions>false</trackRevisions>
    </reviewItem>
    <reviewItem>
      <errorID>941c0f74-01e8-4943-9697-3048e1bc248f</errorID>
      <errorWord>)</errorWord>
      <group>L1_Format</group>
      <groupName>格式问题</groupName>
      <ability>L2_HalfPunc_CN</ability>
      <abilityName/>
      <candidateList>
        <item>）</item>
      </candidateList>
      <explain>文本全半角错误。</explain>
      <paraID>1A02B3B9</paraID>
      <start>2</start>
      <end>3</end>
      <status>ignored</status>
      <modifiedWord/>
      <trackRevisions>false</trackRevisions>
    </reviewItem>
    <reviewItem>
      <errorID>562ee1dd-0170-4d4a-855b-d620b0c00a54</errorID>
      <errorWord>上线</errorWord>
      <group>L1_Word</group>
      <groupName>字词问题</groupName>
      <ability>L2_Typo</ability>
      <abilityName>字词错误</abilityName>
      <candidateList>
        <item>上限</item>
      </candidateList>
      <explain>存在发音相同字词的误用。</explain>
      <paraID>1A02B3B9</paraID>
      <start>7</start>
      <end>9</end>
      <status>ignored</status>
      <modifiedWord/>
      <trackRevisions>false</trackRevisions>
    </reviewItem>
    <reviewItem>
      <errorID>dd685fe8-7c88-4553-ac67-96fd93ac86d5</errorID>
      <errorWord>上线</errorWord>
      <group>L1_Word</group>
      <groupName>字词问题</groupName>
      <ability>L2_Typo</ability>
      <abilityName>字词错误</abilityName>
      <candidateList>
        <item>上限</item>
      </candidateList>
      <explain/>
      <paraID>74D3609A</paraID>
      <start>5</start>
      <end>7</end>
      <status>ignored</status>
      <modifiedWord/>
      <trackRevisions>false</trackRevisions>
    </reviewItem>
    <reviewItem>
      <errorID>cf217880-a3f8-445a-afcb-16d09061af8e</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11408C61</paraID>
      <start>24</start>
      <end>27</end>
      <status>ignored</status>
      <modifiedWord/>
      <trackRevisions>false</trackRevisions>
    </reviewItem>
    <reviewItem>
      <errorID>c063cd65-e8e1-43cc-a032-f8e580aa1fdd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589ABCF1</paraID>
      <start>0</start>
      <end>3</end>
      <status>ignored</status>
      <modifiedWord/>
      <trackRevisions>false</trackRevisions>
    </reviewItem>
    <reviewItem>
      <errorID>69932fc2-7dc5-4fff-ad7c-18074964444e</errorID>
      <errorWord>标升</errorWord>
      <group>L1_Word</group>
      <groupName>字词问题</groupName>
      <ability>L2_Typo</ability>
      <abilityName>字词错误</abilityName>
      <candidateList>
        <item>飙升</item>
      </candidateList>
      <explain/>
      <paraID>7916A0FE</paraID>
      <start>0</start>
      <end>2</end>
      <status>ignored</status>
      <modifiedWord/>
      <trackRevisions>false</trackRevisions>
    </reviewItem>
    <reviewItem>
      <errorID>19025d08-1b86-43d4-8449-a3a77b161175</errorID>
      <errorWord>【2025】38号</errorWord>
      <group>L1_Knowledge</group>
      <groupName>知识性问题</groupName>
      <ability>L2_Knowledge</ability>
      <abilityName>其他知识</abilityName>
      <candidateList>
        <item>〔2025〕38号</item>
      </candidateList>
      <explain>发文字号格式错误。</explain>
      <paraID>2CEE06A7</paraID>
      <start>47</start>
      <end>56</end>
      <status>modified</status>
      <modifiedWord>〔2025〕38号</modifiedWord>
      <trackRevisions>false</trackRevisions>
    </reviewItem>
    <reviewItem>
      <errorID>2599d18d-f09a-4484-b948-bb14e0eb9927</errorID>
      <errorWord>-</errorWord>
      <group>L1_Format</group>
      <groupName>格式问题</groupName>
      <ability>L2_HalfPunc_CN</ability>
      <abilityName/>
      <candidateList>
        <item>－</item>
      </candidateList>
      <explain>文本全半角错误。</explain>
      <paraID>3CBC2783</paraID>
      <start>48</start>
      <end>49</end>
      <status>ignored</status>
      <modifiedWord/>
      <trackRevisions>false</trackRevisions>
    </reviewItem>
    <reviewItem>
      <errorID>6553a295-0fda-458e-8f04-e0929aac091e</errorID>
      <errorWord>(</errorWord>
      <group>L1_Format</group>
      <groupName>格式问题</groupName>
      <ability>L2_HalfPunc_CN</ability>
      <abilityName/>
      <candidateList>
        <item>（</item>
      </candidateList>
      <explain>文本全半角错误。</explain>
      <paraID>3CBC2783</paraID>
      <start>50</start>
      <end>51</end>
      <status>ignored</status>
      <modifiedWord/>
      <trackRevisions>false</trackRevisions>
    </reviewItem>
    <reviewItem>
      <errorID>00e28d17-a812-45ae-a6f3-2ab77d3eebee</errorID>
      <errorWord>)</errorWord>
      <group>L1_Format</group>
      <groupName>格式问题</groupName>
      <ability>L2_HalfPunc_CN</ability>
      <abilityName/>
      <candidateList>
        <item>）</item>
      </candidateList>
      <explain>文本全半角错误。</explain>
      <paraID>3CBC2783</paraID>
      <start>52</start>
      <end>53</end>
      <status>ignored</status>
      <modifiedWord/>
      <trackRevisions>false</trackRevisions>
    </reviewItem>
    <reviewItem>
      <errorID>36a5107a-e354-4ef6-9d2a-4d7cc9b47480</errorID>
      <errorWord>-</errorWord>
      <group>L1_Format</group>
      <groupName>格式问题</groupName>
      <ability>L2_HalfPunc_CN</ability>
      <abilityName/>
      <candidateList>
        <item>－</item>
      </candidateList>
      <explain>文本全半角错误。</explain>
      <paraID>3CBC2783</paraID>
      <start>53</start>
      <end>54</end>
      <status>ignored</status>
      <modifiedWord/>
      <trackRevisions>false</trackRevisions>
    </reviewItem>
    <reviewItem>
      <errorID>c62df537-91ec-4787-9b05-2c62928f6c85</errorID>
      <errorWord>-</errorWord>
      <group>L1_Format</group>
      <groupName>格式问题</groupName>
      <ability>L2_HalfPunc_CN</ability>
      <abilityName/>
      <candidateList>
        <item>－</item>
      </candidateList>
      <explain>文本全半角错误。</explain>
      <paraID>3CBC2783</paraID>
      <start>56</start>
      <end>57</end>
      <status>ignored</status>
      <modifiedWord/>
      <trackRevisions>false</trackRevisions>
    </reviewItem>
    <reviewItem>
      <errorID>142987ae-c571-4ad6-9355-dcede6d38ecc</errorID>
      <errorWord>机</errorWord>
      <group>L1_Word</group>
      <groupName>字词问题</groupName>
      <ability>L2_Typo</ability>
      <abilityName>字词错误</abilityName>
      <candidateList>
        <item>及</item>
      </candidateList>
      <explain>〈连〉连接并列的名词或名词性词组：图书、仪器、标本～其他。注意用“及”连接的成分多在意义上有主次之分，主要的成分放在“及”的前面。</explain>
      <paraID> 7F9CAF3</paraID>
      <start>24</start>
      <end>25</end>
      <status>modified</status>
      <modifiedWord>及</modifiedWord>
      <trackRevisions>false</trackRevisions>
    </reviewItem>
    <reviewItem>
      <errorID>aba81dc2-8ff4-454e-9c50-5ff27e536c4e</errorID>
      <errorWord>项目为</errorWord>
      <group>L1_Word</group>
      <groupName>字词问题</groupName>
      <ability>L2_Typo</ability>
      <abilityName>字词错误</abilityName>
      <candidateList>
        <item>项目</item>
      </candidateList>
      <explain>〈名〉事物分成的门类：服务～｜体育～｜建设～。</explain>
      <paraID> 7AB4F69</paraID>
      <start>41</start>
      <end>43</end>
      <status>modified</status>
      <modifiedWord>项目</modifiedWord>
      <trackRevisions>false</trackRevisions>
    </reviewItem>
    <reviewItem>
      <errorID>721ec241-da8d-4046-b91e-534bfe854055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E119BCA</paraID>
      <start>0</start>
      <end>2</end>
      <status>ignored</status>
      <modifiedWord/>
      <trackRevisions>false</trackRevisions>
    </reviewItem>
    <reviewItem>
      <errorID>0040d71a-35f7-4dbe-8e09-08913d4f3f46</errorID>
      <errorWord>--</errorWord>
      <group>L1_Punc</group>
      <groupName>标点问题</groupName>
      <ability>L2_Punc_CN</ability>
      <abilityName/>
      <candidateList>
        <item>——</item>
      </candidateList>
      <explain>破折号或连接号疑似使用错误。</explain>
      <paraID>571332F1</paraID>
      <start>48</start>
      <end>50</end>
      <status>ignored</status>
      <modifiedWord/>
      <trackRevisions>false</trackRevisions>
    </reviewItem>
    <reviewItem>
      <errorID>b8cdcc33-21a0-47f1-9027-bbfcd076176f</errorID>
      <errorWord>》中</errorWord>
      <group>L1_Word</group>
      <groupName>字词问题</groupName>
      <ability>L2_Typo</ability>
      <abilityName>字词错误</abilityName>
      <candidateList>
        <item>》</item>
      </candidateList>
      <explain/>
      <paraID>6B6563DF</paraID>
      <start>20</start>
      <end>22</end>
      <status>ignored</status>
      <modifiedWord/>
      <trackRevisions>false</trackRevisions>
    </reviewItem>
    <reviewItem>
      <errorID>e4e63711-6952-4437-aefc-9e216c1d1d33</errorID>
      <errorWord>：</errorWord>
      <group>L1_Format</group>
      <groupName>格式问题</groupName>
      <ability>L2_HalfPunc_CN</ability>
      <abilityName/>
      <candidateList>
        <item>:</item>
      </candidateList>
      <explain>文本全半角错误。</explain>
      <paraID> 1BA759A</paraID>
      <start>1</start>
      <end>2</end>
      <status>ignored</status>
      <modifiedWord/>
      <trackRevisions>false</trackRevisions>
    </reviewItem>
    <reviewItem>
      <errorID>92579ffb-cfe5-423f-a986-ea40cba491e3</errorID>
      <errorWord>：</errorWord>
      <group>L1_Format</group>
      <groupName>格式问题</groupName>
      <ability>L2_HalfPunc_CN</ability>
      <abilityName/>
      <candidateList>
        <item>:</item>
      </candidateList>
      <explain>文本全半角错误。</explain>
      <paraID>598AB7F5</paraID>
      <start>1</start>
      <end>2</end>
      <status>ignored</status>
      <modifiedWord/>
      <trackRevisions>false</trackRevisions>
    </reviewItem>
    <reviewItem>
      <errorID>f216e012-a46c-4b2a-8c43-71a838894da5</errorID>
      <errorWord>：</errorWord>
      <group>L1_Format</group>
      <groupName>格式问题</groupName>
      <ability>L2_HalfPunc_CN</ability>
      <abilityName/>
      <candidateList>
        <item>:</item>
      </candidateList>
      <explain>文本全半角错误。</explain>
      <paraID> C565669</paraID>
      <start>1</start>
      <end>2</end>
      <status>ignored</status>
      <modifiedWord/>
      <trackRevisions>false</trackRevisions>
    </reviewItem>
    <reviewItem>
      <errorID>74455c2e-626b-49d7-b56f-5bb8182c7d55</errorID>
      <errorWord>：</errorWord>
      <group>L1_Format</group>
      <groupName>格式问题</groupName>
      <ability>L2_HalfPunc_CN</ability>
      <abilityName/>
      <candidateList>
        <item>:</item>
      </candidateList>
      <explain>文本全半角错误。</explain>
      <paraID> B835E94</paraID>
      <start>1</start>
      <end>2</end>
      <status>ignored</status>
      <modifiedWord/>
      <trackRevisions>false</trackRevisions>
    </reviewItem>
    <reviewItem>
      <errorID>3d15a4f4-a294-47a5-a2ec-6aeaf3cc5edf</errorID>
      <errorWord>：</errorWord>
      <group>L1_Format</group>
      <groupName>格式问题</groupName>
      <ability>L2_HalfPunc_CN</ability>
      <abilityName/>
      <candidateList>
        <item>:</item>
      </candidateList>
      <explain>文本全半角错误。</explain>
      <paraID>2C122792</paraID>
      <start>1</start>
      <end>2</end>
      <status>ignored</status>
      <modifiedWord/>
      <trackRevisions>false</trackRevisions>
    </reviewItem>
    <reviewItem>
      <errorID>19f06d24-a35a-4ef5-af80-95d5e83f486e</errorID>
      <errorWord>：</errorWord>
      <group>L1_Format</group>
      <groupName>格式问题</groupName>
      <ability>L2_HalfPunc_CN</ability>
      <abilityName/>
      <candidateList>
        <item>:</item>
      </candidateList>
      <explain>文本全半角错误。</explain>
      <paraID>7D77BC0A</paraID>
      <start>1</start>
      <end>2</end>
      <status>ignored</status>
      <modifiedWord/>
      <trackRevisions>false</trackRevisions>
    </reviewItem>
    <reviewItem>
      <errorID>9d7203f1-3811-4236-a8ca-492c347a5e6f</errorID>
      <errorWord>：</errorWord>
      <group>L1_Format</group>
      <groupName>格式问题</groupName>
      <ability>L2_HalfPunc_CN</ability>
      <abilityName/>
      <candidateList>
        <item>:</item>
      </candidateList>
      <explain>文本全半角错误。</explain>
      <paraID>764966A7</paraID>
      <start>1</start>
      <end>2</end>
      <status>ignored</status>
      <modifiedWord/>
      <trackRevisions>false</trackRevisions>
    </reviewItem>
    <reviewItem>
      <errorID>10afc7e3-4883-4c26-8eb5-4017d38b53fe</errorID>
      <errorWord>：</errorWord>
      <group>L1_Format</group>
      <groupName>格式问题</groupName>
      <ability>L2_HalfPunc_CN</ability>
      <abilityName/>
      <candidateList>
        <item>:</item>
      </candidateList>
      <explain>文本全半角错误。</explain>
      <paraID>11AB7AA5</paraID>
      <start>1</start>
      <end>2</end>
      <status>ignored</status>
      <modifiedWord/>
      <trackRevisions>false</trackRevisions>
    </reviewItem>
    <reviewItem>
      <errorID>ffd084ca-f537-487b-81a8-ea00aab03f5f</errorID>
      <errorWord>：</errorWord>
      <group>L1_Format</group>
      <groupName>格式问题</groupName>
      <ability>L2_HalfPunc_CN</ability>
      <abilityName/>
      <candidateList>
        <item>:</item>
      </candidateList>
      <explain>文本全半角错误。</explain>
      <paraID> C405C86</paraID>
      <start>1</start>
      <end>2</end>
      <status>ignored</status>
      <modifiedWord/>
      <trackRevisions>false</trackRevisions>
    </reviewItem>
    <reviewItem>
      <errorID>e765bed0-841b-4ea1-9610-8e7c852d06e6</errorID>
      <errorWord>：</errorWord>
      <group>L1_Format</group>
      <groupName>格式问题</groupName>
      <ability>L2_HalfPunc_CN</ability>
      <abilityName/>
      <candidateList>
        <item>:</item>
      </candidateList>
      <explain>文本全半角错误。</explain>
      <paraID>13F2C608</paraID>
      <start>1</start>
      <end>2</end>
      <status>ignored</status>
      <modifiedWord/>
      <trackRevisions>false</trackRevisions>
    </reviewItem>
    <reviewItem>
      <errorID>30b02ca5-b593-451b-bcd4-582ea7fa4323</errorID>
      <errorWord>：</errorWord>
      <group>L1_Format</group>
      <groupName>格式问题</groupName>
      <ability>L2_HalfPunc_CN</ability>
      <abilityName/>
      <candidateList>
        <item>:</item>
      </candidateList>
      <explain>文本全半角错误。</explain>
      <paraID>359C8119</paraID>
      <start>1</start>
      <end>2</end>
      <status>ignored</status>
      <modifiedWord/>
      <trackRevisions>false</trackRevisions>
    </reviewItem>
    <reviewItem>
      <errorID>ff6a719e-c9d8-43ad-85e2-af50f38f45cc</errorID>
      <errorWord>：</errorWord>
      <group>L1_Format</group>
      <groupName>格式问题</groupName>
      <ability>L2_HalfPunc_CN</ability>
      <abilityName/>
      <candidateList>
        <item>:</item>
      </candidateList>
      <explain>文本全半角错误。</explain>
      <paraID>61C6CC9E</paraID>
      <start>1</start>
      <end>2</end>
      <status>ignored</status>
      <modifiedWord/>
      <trackRevisions>false</trackRevisions>
    </reviewItem>
    <reviewItem>
      <errorID>70cc984d-8d73-47b2-85d8-ddb9e008c5ef</errorID>
      <errorWord>（</errorWord>
      <group>L1_Format</group>
      <groupName>格式问题</groupName>
      <ability>L2_HalfPunc_CN</ability>
      <abilityName/>
      <candidateList>
        <item>(</item>
      </candidateList>
      <explain>文本全半角错误。</explain>
      <paraID>7F7448F2</paraID>
      <start>0</start>
      <end>1</end>
      <status>ignored</status>
      <modifiedWord/>
      <trackRevisions>false</trackRevisions>
    </reviewItem>
    <reviewItem>
      <errorID>aa319be7-34b4-4c6d-8a2f-2cf11876b58d</errorID>
      <errorWord>）</errorWord>
      <group>L1_Format</group>
      <groupName>格式问题</groupName>
      <ability>L2_HalfPunc_CN</ability>
      <abilityName/>
      <candidateList>
        <item>)</item>
      </candidateList>
      <explain>文本全半角错误。</explain>
      <paraID>7F7448F2</paraID>
      <start>116</start>
      <end>117</end>
      <status>ignored</status>
      <modifiedWord/>
      <trackRevisions>false</trackRevisions>
    </reviewItem>
    <reviewItem>
      <errorID>821af061-5408-48c5-920c-b8f3c69e66dc</errorID>
      <errorWord>：</errorWord>
      <group>L1_Format</group>
      <groupName>格式问题</groupName>
      <ability>L2_HalfPunc_CN</ability>
      <abilityName/>
      <candidateList>
        <item>:</item>
      </candidateList>
      <explain>文本全半角错误。</explain>
      <paraID> EC1983F</paraID>
      <start>1</start>
      <end>2</end>
      <status>ignored</status>
      <modifiedWord/>
      <trackRevisions>false</trackRevisions>
    </reviewItem>
    <reviewItem>
      <errorID>de9a1d1c-7225-4e0a-96d9-7de7f87bf913</errorID>
      <errorWord>：</errorWord>
      <group>L1_Format</group>
      <groupName>格式问题</groupName>
      <ability>L2_HalfPunc_CN</ability>
      <abilityName/>
      <candidateList>
        <item>:</item>
      </candidateList>
      <explain>文本全半角错误。</explain>
      <paraID>5445913D</paraID>
      <start>1</start>
      <end>2</end>
      <status>ignored</status>
      <modifiedWord/>
      <trackRevisions>false</trackRevisions>
    </reviewItem>
    <reviewItem>
      <errorID>97b5dc45-6c8d-45c0-8453-d7a14467a90c</errorID>
      <errorWord>：</errorWord>
      <group>L1_Format</group>
      <groupName>格式问题</groupName>
      <ability>L2_HalfPunc_CN</ability>
      <abilityName/>
      <candidateList>
        <item>:</item>
      </candidateList>
      <explain>文本全半角错误。</explain>
      <paraID>7DE53BA4</paraID>
      <start>1</start>
      <end>2</end>
      <status>ignored</status>
      <modifiedWord/>
      <trackRevisions>false</trackRevisions>
    </reviewItem>
    <reviewItem>
      <errorID>fc40b3c6-950f-43f8-81cb-0b68b21bc282</errorID>
      <errorWord>：</errorWord>
      <group>L1_Format</group>
      <groupName>格式问题</groupName>
      <ability>L2_HalfPunc_CN</ability>
      <abilityName/>
      <candidateList>
        <item>:</item>
      </candidateList>
      <explain>文本全半角错误。</explain>
      <paraID>3C4B8840</paraID>
      <start>1</start>
      <end>2</end>
      <status>ignored</status>
      <modifiedWord/>
      <trackRevisions>false</trackRevisions>
    </reviewItem>
    <reviewItem>
      <errorID>897e4674-9fb4-4d3e-bd25-0669cbf8c3fc</errorID>
      <errorWord>（</errorWord>
      <group>L1_Format</group>
      <groupName>格式问题</groupName>
      <ability>L2_HalfPunc_CN</ability>
      <abilityName/>
      <candidateList>
        <item>(</item>
      </candidateList>
      <explain>文本全半角错误。</explain>
      <paraID>6822B47C</paraID>
      <start>0</start>
      <end>1</end>
      <status>ignored</status>
      <modifiedWord/>
      <trackRevisions>false</trackRevisions>
    </reviewItem>
    <reviewItem>
      <errorID>edf80608-ea2e-4c40-9566-ac7859cb486e</errorID>
      <errorWord>）</errorWord>
      <group>L1_Format</group>
      <groupName>格式问题</groupName>
      <ability>L2_HalfPunc_CN</ability>
      <abilityName/>
      <candidateList>
        <item>)</item>
      </candidateList>
      <explain>文本全半角错误。</explain>
      <paraID>6822B47C</paraID>
      <start>144</start>
      <end>145</end>
      <status>ignored</status>
      <modifiedWord/>
      <trackRevisions>false</trackRevisions>
    </reviewItem>
    <reviewItem>
      <errorID>14b8ddd7-34d1-4b99-8b65-fb902d9ed4ec</errorID>
      <errorWord>：</errorWord>
      <group>L1_Format</group>
      <groupName>格式问题</groupName>
      <ability>L2_HalfPunc_CN</ability>
      <abilityName/>
      <candidateList>
        <item>:</item>
      </candidateList>
      <explain>文本全半角错误。</explain>
      <paraID> 86DF9AD</paraID>
      <start>1</start>
      <end>2</end>
      <status>ignored</status>
      <modifiedWord/>
      <trackRevisions>false</trackRevisions>
    </reviewItem>
    <reviewItem>
      <errorID>b71ae61b-da29-405c-bd4e-079c327c7ff7</errorID>
      <errorWord>：</errorWord>
      <group>L1_Format</group>
      <groupName>格式问题</groupName>
      <ability>L2_HalfPunc_CN</ability>
      <abilityName/>
      <candidateList>
        <item>:</item>
      </candidateList>
      <explain>文本全半角错误。</explain>
      <paraID>29C86657</paraID>
      <start>1</start>
      <end>2</end>
      <status>ignored</status>
      <modifiedWord/>
      <trackRevisions>false</trackRevisions>
    </reviewItem>
    <reviewItem>
      <errorID>f60d194a-4e47-42d4-9462-9c9758be5721</errorID>
      <errorWord>：</errorWord>
      <group>L1_Format</group>
      <groupName>格式问题</groupName>
      <ability>L2_HalfPunc_CN</ability>
      <abilityName/>
      <candidateList>
        <item>:</item>
      </candidateList>
      <explain>文本全半角错误。</explain>
      <paraID>5A3375A5</paraID>
      <start>1</start>
      <end>2</end>
      <status>ignored</status>
      <modifiedWord/>
      <trackRevisions>false</trackRevisions>
    </reviewItem>
    <reviewItem>
      <errorID>6adcde26-6191-431d-a238-85832dcfe75e</errorID>
      <errorWord>：</errorWord>
      <group>L1_Format</group>
      <groupName>格式问题</groupName>
      <ability>L2_HalfPunc_CN</ability>
      <abilityName/>
      <candidateList>
        <item>:</item>
      </candidateList>
      <explain>文本全半角错误。</explain>
      <paraID>2D84F47E</paraID>
      <start>1</start>
      <end>2</end>
      <status>ignored</status>
      <modifiedWord/>
      <trackRevisions>false</trackRevisions>
    </reviewItem>
    <reviewItem>
      <errorID>d7f52905-dc77-40c4-bdd2-168ae603c4d8</errorID>
      <errorWord>：</errorWord>
      <group>L1_Format</group>
      <groupName>格式问题</groupName>
      <ability>L2_HalfPunc_CN</ability>
      <abilityName/>
      <candidateList>
        <item>:</item>
      </candidateList>
      <explain>文本全半角错误。</explain>
      <paraID> 14B7925</paraID>
      <start>1</start>
      <end>2</end>
      <status>ignored</status>
      <modifiedWord/>
      <trackRevisions>false</trackRevisions>
    </reviewItem>
    <reviewItem>
      <errorID>91a84c24-59be-4aff-81ba-645b382f51c5</errorID>
      <errorWord>：</errorWord>
      <group>L1_Format</group>
      <groupName>格式问题</groupName>
      <ability>L2_HalfPunc_CN</ability>
      <abilityName/>
      <candidateList>
        <item>:</item>
      </candidateList>
      <explain>文本全半角错误。</explain>
      <paraID>70D6162A</paraID>
      <start>1</start>
      <end>2</end>
      <status>ignored</status>
      <modifiedWord/>
      <trackRevisions>false</trackRevisions>
    </reviewItem>
    <reviewItem>
      <errorID>d59041aa-1016-421f-893b-9c1ba334adf1</errorID>
      <errorWord>：</errorWord>
      <group>L1_Format</group>
      <groupName>格式问题</groupName>
      <ability>L2_HalfPunc_CN</ability>
      <abilityName/>
      <candidateList>
        <item>:</item>
      </candidateList>
      <explain>文本全半角错误。</explain>
      <paraID>1A9C7534</paraID>
      <start>1</start>
      <end>2</end>
      <status>ignored</status>
      <modifiedWord/>
      <trackRevisions>false</trackRevisions>
    </reviewItem>
    <reviewItem>
      <errorID>61dd1611-80ab-4513-93ff-0380f3a19416</errorID>
      <errorWord>：</errorWord>
      <group>L1_Format</group>
      <groupName>格式问题</groupName>
      <ability>L2_HalfPunc_CN</ability>
      <abilityName/>
      <candidateList>
        <item>:</item>
      </candidateList>
      <explain>文本全半角错误。</explain>
      <paraID>2874875C</paraID>
      <start>1</start>
      <end>2</end>
      <status>ignored</status>
      <modifiedWord/>
      <trackRevisions>false</trackRevisions>
    </reviewItem>
    <reviewItem>
      <errorID>552375c4-e1c6-4251-9620-e46bff516046</errorID>
      <errorWord>：</errorWord>
      <group>L1_Format</group>
      <groupName>格式问题</groupName>
      <ability>L2_HalfPunc_CN</ability>
      <abilityName/>
      <candidateList>
        <item>:</item>
      </candidateList>
      <explain>文本全半角错误。</explain>
      <paraID>6A8C13E0</paraID>
      <start>1</start>
      <end>2</end>
      <status>ignored</status>
      <modifiedWord/>
      <trackRevisions>false</trackRevisions>
    </reviewItem>
    <reviewItem>
      <errorID>14b4425d-fb2a-4097-b15d-a6d30564b3df</errorID>
      <errorWord>，</errorWord>
      <group>L1_Format</group>
      <groupName>格式问题</groupName>
      <ability>L2_HalfPunc_CN</ability>
      <abilityName/>
      <candidateList>
        <item>, </item>
      </candidateList>
      <explain>文本全半角错误。</explain>
      <paraID>6A8C13E0</paraID>
      <start>16</start>
      <end>17</end>
      <status>ignored</status>
      <modifiedWord/>
      <trackRevisions>false</trackRevisions>
    </reviewItem>
    <reviewItem>
      <errorID>1436e629-12cd-479f-a23d-d33fd57facc6</errorID>
      <errorWord>：</errorWord>
      <group>L1_Format</group>
      <groupName>格式问题</groupName>
      <ability>L2_HalfPunc_CN</ability>
      <abilityName/>
      <candidateList>
        <item>:</item>
      </candidateList>
      <explain>文本全半角错误。</explain>
      <paraID>6A8C13E0</paraID>
      <start>18</start>
      <end>19</end>
      <status>ignored</status>
      <modifiedWord/>
      <trackRevisions>false</trackRevisions>
    </reviewItem>
    <reviewItem>
      <errorID>fa392fef-0a5c-4e18-8b61-d53c2276654c</errorID>
      <errorWord>：</errorWord>
      <group>L1_Format</group>
      <groupName>格式问题</groupName>
      <ability>L2_HalfPunc_CN</ability>
      <abilityName/>
      <candidateList>
        <item>:</item>
      </candidateList>
      <explain>文本全半角错误。</explain>
      <paraID>483B0896</paraID>
      <start>1</start>
      <end>2</end>
      <status>ignored</status>
      <modifiedWord/>
      <trackRevisions>false</trackRevisions>
    </reviewItem>
    <reviewItem>
      <errorID>98c729e9-da64-429b-8a16-2c0d480c8997</errorID>
      <errorWord>，</errorWord>
      <group>L1_Format</group>
      <groupName>格式问题</groupName>
      <ability>L2_HalfPunc_CN</ability>
      <abilityName/>
      <candidateList>
        <item>, </item>
      </candidateList>
      <explain>文本全半角错误。</explain>
      <paraID>483B0896</paraID>
      <start>16</start>
      <end>17</end>
      <status>ignored</status>
      <modifiedWord/>
      <trackRevisions>false</trackRevisions>
    </reviewItem>
    <reviewItem>
      <errorID>14777277-388b-4702-965f-8f006cdc7d15</errorID>
      <errorWord>：</errorWord>
      <group>L1_Format</group>
      <groupName>格式问题</groupName>
      <ability>L2_HalfPunc_CN</ability>
      <abilityName/>
      <candidateList>
        <item>:</item>
      </candidateList>
      <explain>文本全半角错误。</explain>
      <paraID>483B0896</paraID>
      <start>18</start>
      <end>19</end>
      <status>ignored</status>
      <modifiedWord/>
      <trackRevisions>false</trackRevisions>
    </reviewItem>
    <reviewItem>
      <errorID>67279511-952b-4d1c-b3f0-7ea5e1e977b2</errorID>
      <errorWord>：</errorWord>
      <group>L1_Format</group>
      <groupName>格式问题</groupName>
      <ability>L2_HalfPunc_CN</ability>
      <abilityName/>
      <candidateList>
        <item>:</item>
      </candidateList>
      <explain>文本全半角错误。</explain>
      <paraID>25CEF242</paraID>
      <start>1</start>
      <end>2</end>
      <status>ignored</status>
      <modifiedWord/>
      <trackRevisions>false</trackRevisions>
    </reviewItem>
    <reviewItem>
      <errorID>08aad52c-9e84-4a8a-b203-3d7ca1888b71</errorID>
      <errorWord>，</errorWord>
      <group>L1_Format</group>
      <groupName>格式问题</groupName>
      <ability>L2_HalfPunc_CN</ability>
      <abilityName/>
      <candidateList>
        <item>, </item>
      </candidateList>
      <explain>文本全半角错误。</explain>
      <paraID>25CEF242</paraID>
      <start>16</start>
      <end>17</end>
      <status>ignored</status>
      <modifiedWord/>
      <trackRevisions>false</trackRevisions>
    </reviewItem>
    <reviewItem>
      <errorID>33ab7f75-1daf-421e-9de3-9766bbc91afd</errorID>
      <errorWord>：</errorWord>
      <group>L1_Format</group>
      <groupName>格式问题</groupName>
      <ability>L2_HalfPunc_CN</ability>
      <abilityName/>
      <candidateList>
        <item>:</item>
      </candidateList>
      <explain>文本全半角错误。</explain>
      <paraID>25CEF242</paraID>
      <start>18</start>
      <end>19</end>
      <status>ignored</status>
      <modifiedWord/>
      <trackRevisions>false</trackRevisions>
    </reviewItem>
    <reviewItem>
      <errorID>7c9e2c6a-ce4c-42ea-87c5-0f34ea81e8d1</errorID>
      <errorWord>：</errorWord>
      <group>L1_Format</group>
      <groupName>格式问题</groupName>
      <ability>L2_HalfPunc_CN</ability>
      <abilityName/>
      <candidateList>
        <item>:</item>
      </candidateList>
      <explain>文本全半角错误。</explain>
      <paraID>2B3E6637</paraID>
      <start>1</start>
      <end>2</end>
      <status>ignored</status>
      <modifiedWord/>
      <trackRevisions>false</trackRevisions>
    </reviewItem>
    <reviewItem>
      <errorID>60dacdff-6cdb-459f-8129-1fb5756a4f49</errorID>
      <errorWord>，</errorWord>
      <group>L1_Format</group>
      <groupName>格式问题</groupName>
      <ability>L2_HalfPunc_CN</ability>
      <abilityName/>
      <candidateList>
        <item>, </item>
      </candidateList>
      <explain>文本全半角错误。</explain>
      <paraID>2B3E6637</paraID>
      <start>16</start>
      <end>17</end>
      <status>ignored</status>
      <modifiedWord/>
      <trackRevisions>false</trackRevisions>
    </reviewItem>
    <reviewItem>
      <errorID>20c3b4c7-4605-4294-b666-1ee272c8eb0f</errorID>
      <errorWord>：</errorWord>
      <group>L1_Format</group>
      <groupName>格式问题</groupName>
      <ability>L2_HalfPunc_CN</ability>
      <abilityName/>
      <candidateList>
        <item>:</item>
      </candidateList>
      <explain>文本全半角错误。</explain>
      <paraID>2B3E6637</paraID>
      <start>18</start>
      <end>19</end>
      <status>ignored</status>
      <modifiedWord/>
      <trackRevisions>false</trackRevisions>
    </reviewItem>
    <reviewItem>
      <errorID>c6068b52-c67f-4c51-b55c-cf944a444aab</errorID>
      <errorWord>：</errorWord>
      <group>L1_Format</group>
      <groupName>格式问题</groupName>
      <ability>L2_HalfPunc_CN</ability>
      <abilityName/>
      <candidateList>
        <item>:</item>
      </candidateList>
      <explain>文本全半角错误。</explain>
      <paraID>7C19175F</paraID>
      <start>1</start>
      <end>2</end>
      <status>ignored</status>
      <modifiedWord/>
      <trackRevisions>false</trackRevisions>
    </reviewItem>
    <reviewItem>
      <errorID>742b5638-2aee-4a8b-84a8-d370ad156fe7</errorID>
      <errorWord>，</errorWord>
      <group>L1_Format</group>
      <groupName>格式问题</groupName>
      <ability>L2_HalfPunc_CN</ability>
      <abilityName/>
      <candidateList>
        <item>, </item>
      </candidateList>
      <explain>文本全半角错误。</explain>
      <paraID>7C19175F</paraID>
      <start>16</start>
      <end>17</end>
      <status>ignored</status>
      <modifiedWord/>
      <trackRevisions>false</trackRevisions>
    </reviewItem>
    <reviewItem>
      <errorID>dcb9316c-ebc8-4dd6-be25-c33ce1580f11</errorID>
      <errorWord>：</errorWord>
      <group>L1_Format</group>
      <groupName>格式问题</groupName>
      <ability>L2_HalfPunc_CN</ability>
      <abilityName/>
      <candidateList>
        <item>:</item>
      </candidateList>
      <explain>文本全半角错误。</explain>
      <paraID>7C19175F</paraID>
      <start>18</start>
      <end>19</end>
      <status>ignored</status>
      <modifiedWord/>
      <trackRevisions>false</trackRevisions>
    </reviewItem>
    <reviewItem>
      <errorID>d3b1f8e2-a2dd-4812-95bd-2744fb645398</errorID>
      <errorWord>：</errorWord>
      <group>L1_Format</group>
      <groupName>格式问题</groupName>
      <ability>L2_HalfPunc_CN</ability>
      <abilityName/>
      <candidateList>
        <item>:</item>
      </candidateList>
      <explain>文本全半角错误。</explain>
      <paraID>4529C4A7</paraID>
      <start>1</start>
      <end>2</end>
      <status>ignored</status>
      <modifiedWord/>
      <trackRevisions>false</trackRevisions>
    </reviewItem>
    <reviewItem>
      <errorID>1978b033-1a8d-4583-9a78-2816c4355bd0</errorID>
      <errorWord>，</errorWord>
      <group>L1_Format</group>
      <groupName>格式问题</groupName>
      <ability>L2_HalfPunc_CN</ability>
      <abilityName/>
      <candidateList>
        <item>, </item>
      </candidateList>
      <explain>文本全半角错误。</explain>
      <paraID>4529C4A7</paraID>
      <start>16</start>
      <end>17</end>
      <status>ignored</status>
      <modifiedWord/>
      <trackRevisions>false</trackRevisions>
    </reviewItem>
    <reviewItem>
      <errorID>8ea898c3-8e1f-4cdf-8c68-084144295a26</errorID>
      <errorWord>：</errorWord>
      <group>L1_Format</group>
      <groupName>格式问题</groupName>
      <ability>L2_HalfPunc_CN</ability>
      <abilityName/>
      <candidateList>
        <item>:</item>
      </candidateList>
      <explain>文本全半角错误。</explain>
      <paraID>4529C4A7</paraID>
      <start>18</start>
      <end>19</end>
      <status>ignored</status>
      <modifiedWord/>
      <trackRevisions>false</trackRevisions>
    </reviewItem>
    <reviewItem>
      <errorID>2841479f-b271-4e5e-8c7b-9ff15fff30dd</errorID>
      <errorWord>：</errorWord>
      <group>L1_Format</group>
      <groupName>格式问题</groupName>
      <ability>L2_HalfPunc_CN</ability>
      <abilityName/>
      <candidateList>
        <item>:</item>
      </candidateList>
      <explain>文本全半角错误。</explain>
      <paraID>74AE1B24</paraID>
      <start>1</start>
      <end>2</end>
      <status>ignored</status>
      <modifiedWord/>
      <trackRevisions>false</trackRevisions>
    </reviewItem>
    <reviewItem>
      <errorID>26150233-7902-4c01-a924-774e58e5ce76</errorID>
      <errorWord>，</errorWord>
      <group>L1_Format</group>
      <groupName>格式问题</groupName>
      <ability>L2_HalfPunc_CN</ability>
      <abilityName/>
      <candidateList>
        <item>, </item>
      </candidateList>
      <explain>文本全半角错误。</explain>
      <paraID>74AE1B24</paraID>
      <start>16</start>
      <end>17</end>
      <status>ignored</status>
      <modifiedWord/>
      <trackRevisions>false</trackRevisions>
    </reviewItem>
    <reviewItem>
      <errorID>56b0e019-2ad6-4508-afcf-fcaa126a8d55</errorID>
      <errorWord>：</errorWord>
      <group>L1_Format</group>
      <groupName>格式问题</groupName>
      <ability>L2_HalfPunc_CN</ability>
      <abilityName/>
      <candidateList>
        <item>:</item>
      </candidateList>
      <explain>文本全半角错误。</explain>
      <paraID>74AE1B24</paraID>
      <start>18</start>
      <end>19</end>
      <status>ignored</status>
      <modifiedWord/>
      <trackRevisions>false</trackRevisions>
    </reviewItem>
    <reviewItem>
      <errorID>2e031f4a-55af-48f9-bd05-570581694376</errorID>
      <errorWord>：</errorWord>
      <group>L1_Format</group>
      <groupName>格式问题</groupName>
      <ability>L2_HalfPunc_CN</ability>
      <abilityName/>
      <candidateList>
        <item>:</item>
      </candidateList>
      <explain>文本全半角错误。</explain>
      <paraID>1A630AF9</paraID>
      <start>1</start>
      <end>2</end>
      <status>ignored</status>
      <modifiedWord/>
      <trackRevisions>false</trackRevisions>
    </reviewItem>
    <reviewItem>
      <errorID>7aa66940-2ff8-4924-b19a-aa55f357e164</errorID>
      <errorWord>，</errorWord>
      <group>L1_Format</group>
      <groupName>格式问题</groupName>
      <ability>L2_HalfPunc_CN</ability>
      <abilityName/>
      <candidateList>
        <item>, </item>
      </candidateList>
      <explain>文本全半角错误。</explain>
      <paraID>1A630AF9</paraID>
      <start>16</start>
      <end>17</end>
      <status>ignored</status>
      <modifiedWord/>
      <trackRevisions>false</trackRevisions>
    </reviewItem>
    <reviewItem>
      <errorID>adda230f-07ce-45e1-b0ec-1020cc140043</errorID>
      <errorWord>：</errorWord>
      <group>L1_Format</group>
      <groupName>格式问题</groupName>
      <ability>L2_HalfPunc_CN</ability>
      <abilityName/>
      <candidateList>
        <item>:</item>
      </candidateList>
      <explain>文本全半角错误。</explain>
      <paraID>1A630AF9</paraID>
      <start>18</start>
      <end>19</end>
      <status>ignored</status>
      <modifiedWord/>
      <trackRevisions>false</trackRevisions>
    </reviewItem>
    <reviewItem>
      <errorID>c6a7926c-813e-4047-9f75-871646aa53de</errorID>
      <errorWord>：</errorWord>
      <group>L1_Format</group>
      <groupName>格式问题</groupName>
      <ability>L2_HalfPunc_CN</ability>
      <abilityName/>
      <candidateList>
        <item>:</item>
      </candidateList>
      <explain>文本全半角错误。</explain>
      <paraID> E8EBC32</paraID>
      <start>1</start>
      <end>2</end>
      <status>ignored</status>
      <modifiedWord/>
      <trackRevisions>false</trackRevisions>
    </reviewItem>
    <reviewItem>
      <errorID>359c6518-6b00-41ba-acb4-99e17a0af43a</errorID>
      <errorWord>，</errorWord>
      <group>L1_Format</group>
      <groupName>格式问题</groupName>
      <ability>L2_HalfPunc_CN</ability>
      <abilityName/>
      <candidateList>
        <item>, </item>
      </candidateList>
      <explain>文本全半角错误。</explain>
      <paraID> E8EBC32</paraID>
      <start>16</start>
      <end>17</end>
      <status>ignored</status>
      <modifiedWord/>
      <trackRevisions>false</trackRevisions>
    </reviewItem>
    <reviewItem>
      <errorID>a5376534-2753-4136-8f73-c7539e3780a6</errorID>
      <errorWord>：</errorWord>
      <group>L1_Format</group>
      <groupName>格式问题</groupName>
      <ability>L2_HalfPunc_CN</ability>
      <abilityName/>
      <candidateList>
        <item>:</item>
      </candidateList>
      <explain>文本全半角错误。</explain>
      <paraID> E8EBC32</paraID>
      <start>18</start>
      <end>19</end>
      <status>ignored</status>
      <modifiedWord/>
      <trackRevisions>false</trackRevisions>
    </reviewItem>
    <reviewItem>
      <errorID>1188c249-f463-47db-85e6-c86fa379e897</errorID>
      <errorWord>：</errorWord>
      <group>L1_Format</group>
      <groupName>格式问题</groupName>
      <ability>L2_HalfPunc_CN</ability>
      <abilityName/>
      <candidateList>
        <item>:</item>
      </candidateList>
      <explain>文本全半角错误。</explain>
      <paraID>2925BBC8</paraID>
      <start>1</start>
      <end>2</end>
      <status>ignored</status>
      <modifiedWord/>
      <trackRevisions>false</trackRevisions>
    </reviewItem>
    <reviewItem>
      <errorID>affe0f8e-affe-4a4c-be39-fdad3f74e13b</errorID>
      <errorWord>，</errorWord>
      <group>L1_Format</group>
      <groupName>格式问题</groupName>
      <ability>L2_HalfPunc_CN</ability>
      <abilityName/>
      <candidateList>
        <item>, </item>
      </candidateList>
      <explain>文本全半角错误。</explain>
      <paraID>2925BBC8</paraID>
      <start>16</start>
      <end>17</end>
      <status>ignored</status>
      <modifiedWord/>
      <trackRevisions>false</trackRevisions>
    </reviewItem>
    <reviewItem>
      <errorID>8f7b2692-f819-4a0d-bb8f-7d1c7b1f5d10</errorID>
      <errorWord>：</errorWord>
      <group>L1_Format</group>
      <groupName>格式问题</groupName>
      <ability>L2_HalfPunc_CN</ability>
      <abilityName/>
      <candidateList>
        <item>:</item>
      </candidateList>
      <explain>文本全半角错误。</explain>
      <paraID>2925BBC8</paraID>
      <start>18</start>
      <end>19</end>
      <status>ignored</status>
      <modifiedWord/>
      <trackRevisions>false</trackRevisions>
    </reviewItem>
    <reviewItem>
      <errorID>a7878082-4814-4d92-af22-14981bde85d2</errorID>
      <errorWord>：</errorWord>
      <group>L1_Format</group>
      <groupName>格式问题</groupName>
      <ability>L2_HalfPunc_CN</ability>
      <abilityName/>
      <candidateList>
        <item>:</item>
      </candidateList>
      <explain>文本全半角错误。</explain>
      <paraID>242AA91D</paraID>
      <start>1</start>
      <end>2</end>
      <status>ignored</status>
      <modifiedWord/>
      <trackRevisions>false</trackRevisions>
    </reviewItem>
    <reviewItem>
      <errorID>085ffae2-ecb9-4908-abe2-37c6ac1d6e89</errorID>
      <errorWord>，</errorWord>
      <group>L1_Format</group>
      <groupName>格式问题</groupName>
      <ability>L2_HalfPunc_CN</ability>
      <abilityName/>
      <candidateList>
        <item>, </item>
      </candidateList>
      <explain>文本全半角错误。</explain>
      <paraID>242AA91D</paraID>
      <start>16</start>
      <end>17</end>
      <status>ignored</status>
      <modifiedWord/>
      <trackRevisions>false</trackRevisions>
    </reviewItem>
    <reviewItem>
      <errorID>54ad7975-4048-4442-859a-6129a81bef2c</errorID>
      <errorWord>：</errorWord>
      <group>L1_Format</group>
      <groupName>格式问题</groupName>
      <ability>L2_HalfPunc_CN</ability>
      <abilityName/>
      <candidateList>
        <item>:</item>
      </candidateList>
      <explain>文本全半角错误。</explain>
      <paraID>242AA91D</paraID>
      <start>18</start>
      <end>19</end>
      <status>ignored</status>
      <modifiedWord/>
      <trackRevisions>false</trackRevisions>
    </reviewItem>
    <reviewItem>
      <errorID>6c0ce6d0-fdff-4e31-b3f1-3ddc16599561</errorID>
      <errorWord>：</errorWord>
      <group>L1_Format</group>
      <groupName>格式问题</groupName>
      <ability>L2_HalfPunc_CN</ability>
      <abilityName/>
      <candidateList>
        <item>:</item>
      </candidateList>
      <explain>文本全半角错误。</explain>
      <paraID>6C7EA229</paraID>
      <start>1</start>
      <end>2</end>
      <status>ignored</status>
      <modifiedWord/>
      <trackRevisions>false</trackRevisions>
    </reviewItem>
    <reviewItem>
      <errorID>fc9e0686-447b-4f8b-9e4f-5eeed31d7652</errorID>
      <errorWord>，</errorWord>
      <group>L1_Format</group>
      <groupName>格式问题</groupName>
      <ability>L2_HalfPunc_CN</ability>
      <abilityName/>
      <candidateList>
        <item>, </item>
      </candidateList>
      <explain>文本全半角错误。</explain>
      <paraID>6C7EA229</paraID>
      <start>16</start>
      <end>17</end>
      <status>ignored</status>
      <modifiedWord/>
      <trackRevisions>false</trackRevisions>
    </reviewItem>
    <reviewItem>
      <errorID>6226d64a-828e-4e93-9e42-e12d7f7bcfdb</errorID>
      <errorWord>：</errorWord>
      <group>L1_Format</group>
      <groupName>格式问题</groupName>
      <ability>L2_HalfPunc_CN</ability>
      <abilityName/>
      <candidateList>
        <item>:</item>
      </candidateList>
      <explain>文本全半角错误。</explain>
      <paraID>6C7EA229</paraID>
      <start>18</start>
      <end>19</end>
      <status>ignored</status>
      <modifiedWord/>
      <trackRevisions>false</trackRevisions>
    </reviewItem>
    <reviewItem>
      <errorID>e8c79b6d-0c2a-42e7-9ae1-9a6f2ce130e2</errorID>
      <errorWord>：</errorWord>
      <group>L1_Format</group>
      <groupName>格式问题</groupName>
      <ability>L2_HalfPunc_CN</ability>
      <abilityName/>
      <candidateList>
        <item>:</item>
      </candidateList>
      <explain>文本全半角错误。</explain>
      <paraID>77C415C1</paraID>
      <start>1</start>
      <end>2</end>
      <status>ignored</status>
      <modifiedWord/>
      <trackRevisions>false</trackRevisions>
    </reviewItem>
    <reviewItem>
      <errorID>b627d8cf-c325-4530-921d-37404fe360a4</errorID>
      <errorWord>，</errorWord>
      <group>L1_Format</group>
      <groupName>格式问题</groupName>
      <ability>L2_HalfPunc_CN</ability>
      <abilityName/>
      <candidateList>
        <item>, </item>
      </candidateList>
      <explain>文本全半角错误。</explain>
      <paraID>77C415C1</paraID>
      <start>16</start>
      <end>17</end>
      <status>ignored</status>
      <modifiedWord/>
      <trackRevisions>false</trackRevisions>
    </reviewItem>
    <reviewItem>
      <errorID>6071c0b4-c9fb-4e2e-991e-bcd729ed3963</errorID>
      <errorWord>：</errorWord>
      <group>L1_Format</group>
      <groupName>格式问题</groupName>
      <ability>L2_HalfPunc_CN</ability>
      <abilityName/>
      <candidateList>
        <item>:</item>
      </candidateList>
      <explain>文本全半角错误。</explain>
      <paraID>77C415C1</paraID>
      <start>18</start>
      <end>19</end>
      <status>ignored</status>
      <modifiedWord/>
      <trackRevisions>false</trackRevisions>
    </reviewItem>
    <reviewItem>
      <errorID>0263f468-7565-4910-be5d-fce5ace7e0e4</errorID>
      <errorWord>：</errorWord>
      <group>L1_Format</group>
      <groupName>格式问题</groupName>
      <ability>L2_HalfPunc_CN</ability>
      <abilityName/>
      <candidateList>
        <item>:</item>
      </candidateList>
      <explain>文本全半角错误。</explain>
      <paraID>1858FDD5</paraID>
      <start>1</start>
      <end>2</end>
      <status>ignored</status>
      <modifiedWord/>
      <trackRevisions>false</trackRevisions>
    </reviewItem>
    <reviewItem>
      <errorID>a20d559e-455c-4dfe-b632-8c47e6d7e31b</errorID>
      <errorWord>，</errorWord>
      <group>L1_Format</group>
      <groupName>格式问题</groupName>
      <ability>L2_HalfPunc_CN</ability>
      <abilityName/>
      <candidateList>
        <item>, </item>
      </candidateList>
      <explain>文本全半角错误。</explain>
      <paraID>1858FDD5</paraID>
      <start>16</start>
      <end>17</end>
      <status>ignored</status>
      <modifiedWord/>
      <trackRevisions>false</trackRevisions>
    </reviewItem>
    <reviewItem>
      <errorID>04752486-b575-45d1-b0cb-bcb2e7d58ee7</errorID>
      <errorWord>：</errorWord>
      <group>L1_Format</group>
      <groupName>格式问题</groupName>
      <ability>L2_HalfPunc_CN</ability>
      <abilityName/>
      <candidateList>
        <item>:</item>
      </candidateList>
      <explain>文本全半角错误。</explain>
      <paraID>1858FDD5</paraID>
      <start>18</start>
      <end>19</end>
      <status>ignored</status>
      <modifiedWord/>
      <trackRevisions>false</trackRevisions>
    </reviewItem>
    <reviewItem>
      <errorID>60162131-4c75-489c-a77a-dc9ce85e001d</errorID>
      <errorWord>：</errorWord>
      <group>L1_Format</group>
      <groupName>格式问题</groupName>
      <ability>L2_HalfPunc_CN</ability>
      <abilityName/>
      <candidateList>
        <item>:</item>
      </candidateList>
      <explain>文本全半角错误。</explain>
      <paraID>15D24C32</paraID>
      <start>1</start>
      <end>2</end>
      <status>ignored</status>
      <modifiedWord/>
      <trackRevisions>false</trackRevisions>
    </reviewItem>
    <reviewItem>
      <errorID>5d66e1e3-7b03-430f-ab4b-5c85cc047f46</errorID>
      <errorWord>，</errorWord>
      <group>L1_Format</group>
      <groupName>格式问题</groupName>
      <ability>L2_HalfPunc_CN</ability>
      <abilityName/>
      <candidateList>
        <item>, </item>
      </candidateList>
      <explain>文本全半角错误。</explain>
      <paraID>15D24C32</paraID>
      <start>16</start>
      <end>17</end>
      <status>ignored</status>
      <modifiedWord/>
      <trackRevisions>false</trackRevisions>
    </reviewItem>
    <reviewItem>
      <errorID>dd053a9d-819e-4a4e-b899-427d4cc61d10</errorID>
      <errorWord>：</errorWord>
      <group>L1_Format</group>
      <groupName>格式问题</groupName>
      <ability>L2_HalfPunc_CN</ability>
      <abilityName/>
      <candidateList>
        <item>:</item>
      </candidateList>
      <explain>文本全半角错误。</explain>
      <paraID>15D24C32</paraID>
      <start>18</start>
      <end>19</end>
      <status>ignored</status>
      <modifiedWord/>
      <trackRevisions>false</trackRevisions>
    </reviewItem>
    <reviewItem>
      <errorID>c487b6b9-6a80-432a-89fe-c6919bf998c5</errorID>
      <errorWord>：</errorWord>
      <group>L1_Format</group>
      <groupName>格式问题</groupName>
      <ability>L2_HalfPunc_CN</ability>
      <abilityName/>
      <candidateList>
        <item>:</item>
      </candidateList>
      <explain>文本全半角错误。</explain>
      <paraID>7725F30F</paraID>
      <start>1</start>
      <end>2</end>
      <status>ignored</status>
      <modifiedWord/>
      <trackRevisions>false</trackRevisions>
    </reviewItem>
    <reviewItem>
      <errorID>fb0663e6-8aae-4f30-8e30-8731dd1a0269</errorID>
      <errorWord>，</errorWord>
      <group>L1_Format</group>
      <groupName>格式问题</groupName>
      <ability>L2_HalfPunc_CN</ability>
      <abilityName/>
      <candidateList>
        <item>, </item>
      </candidateList>
      <explain>文本全半角错误。</explain>
      <paraID>7725F30F</paraID>
      <start>16</start>
      <end>17</end>
      <status>ignored</status>
      <modifiedWord/>
      <trackRevisions>false</trackRevisions>
    </reviewItem>
    <reviewItem>
      <errorID>a1236fef-e172-4482-b495-3bf6e6265d63</errorID>
      <errorWord>：</errorWord>
      <group>L1_Format</group>
      <groupName>格式问题</groupName>
      <ability>L2_HalfPunc_CN</ability>
      <abilityName/>
      <candidateList>
        <item>:</item>
      </candidateList>
      <explain>文本全半角错误。</explain>
      <paraID>7725F30F</paraID>
      <start>18</start>
      <end>19</end>
      <status>ignored</status>
      <modifiedWord/>
      <trackRevisions>false</trackRevisions>
    </reviewItem>
    <reviewItem>
      <errorID>cebf68dc-2ee6-49b4-bb77-b04d55445be0</errorID>
      <errorWord>：</errorWord>
      <group>L1_Format</group>
      <groupName>格式问题</groupName>
      <ability>L2_HalfPunc_CN</ability>
      <abilityName/>
      <candidateList>
        <item>:</item>
      </candidateList>
      <explain>文本全半角错误。</explain>
      <paraID>214B5624</paraID>
      <start>1</start>
      <end>2</end>
      <status>ignored</status>
      <modifiedWord/>
      <trackRevisions>false</trackRevisions>
    </reviewItem>
    <reviewItem>
      <errorID>71f73486-e087-400b-9923-5d548281f180</errorID>
      <errorWord>，</errorWord>
      <group>L1_Format</group>
      <groupName>格式问题</groupName>
      <ability>L2_HalfPunc_CN</ability>
      <abilityName/>
      <candidateList>
        <item>, </item>
      </candidateList>
      <explain>文本全半角错误。</explain>
      <paraID>214B5624</paraID>
      <start>16</start>
      <end>17</end>
      <status>ignored</status>
      <modifiedWord/>
      <trackRevisions>false</trackRevisions>
    </reviewItem>
    <reviewItem>
      <errorID>a59140f9-08a0-458d-a040-a3cb87e9acac</errorID>
      <errorWord>：</errorWord>
      <group>L1_Format</group>
      <groupName>格式问题</groupName>
      <ability>L2_HalfPunc_CN</ability>
      <abilityName/>
      <candidateList>
        <item>:</item>
      </candidateList>
      <explain>文本全半角错误。</explain>
      <paraID>214B5624</paraID>
      <start>18</start>
      <end>19</end>
      <status>ignored</status>
      <modifiedWord/>
      <trackRevisions>false</trackRevisions>
    </reviewItem>
    <reviewItem>
      <errorID>0e4a75e7-ccbb-4b87-81a1-4387fa6c2898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594F30A2</paraID>
      <start>0</start>
      <end>2</end>
      <status>ignored</status>
      <modifiedWord/>
      <trackRevisions>false</trackRevisions>
    </reviewItem>
    <reviewItem>
      <errorID>3360ed06-6339-463f-a8e0-3e3d99532a35</errorID>
      <errorWord>《</errorWord>
      <group>L1_Punc</group>
      <groupName>标点问题</groupName>
      <ability>L2_Punc_CN</ability>
      <abilityName/>
      <candidateList/>
      <explain>同一形式括号套用。</explain>
      <paraID>26A222DF</paraID>
      <start>30</start>
      <end>31</end>
      <status>ignored</status>
      <modifiedWord/>
      <trackRevisions>false</trackRevisions>
    </reviewItem>
    <reviewItem>
      <errorID>bdbc4aca-5fbb-45fa-80aa-20e8f7640c8c</errorID>
      <errorWord>》</errorWord>
      <group>L1_Punc</group>
      <groupName>标点问题</groupName>
      <ability>L2_Punc_CN</ability>
      <abilityName/>
      <candidateList/>
      <explain>同一形式括号套用。</explain>
      <paraID>26A222DF</paraID>
      <start>43</start>
      <end>44</end>
      <status>ignored</status>
      <modifiedWord/>
      <trackRevisions>false</trackRevisions>
    </reviewItem>
    <reviewItem>
      <errorID>4dc45efb-ce78-463f-a461-7d098f07ae0e</errorID>
      <errorWord>内容的</errorWord>
      <group>L1_Word</group>
      <groupName>字词问题</groupName>
      <ability>L2_Typo</ability>
      <abilityName>字词错误</abilityName>
      <candidateList>
        <item>内容</item>
      </candidateList>
      <explain>〈名〉事物内部所含的实质或存在的情况：这次谈话的～牵涉的面很广｜这个刊物～丰富。</explain>
      <paraID>2ACCA69B</paraID>
      <start>42</start>
      <end>44</end>
      <status>modified</status>
      <modifiedWord>内容</modifiedWord>
      <trackRevisions>false</trackRevisions>
    </reviewItem>
    <reviewItem>
      <errorID>e0077132-aaa0-47cd-a44f-7f66458dc974</errorID>
      <errorWord>测视同</errorWord>
      <group>L1_Word</group>
      <groupName>字词问题</groupName>
      <ability>L2_Typo</ability>
      <abilityName>字词错误</abilityName>
      <candidateList>
        <item>测系统</item>
      </candidateList>
      <explain/>
      <paraID>2ACCA69B</paraID>
      <start>150</start>
      <end>153</end>
      <status>modified</status>
      <modifiedWord>测系统</modifiedWord>
      <trackRevisions>false</trackRevisions>
    </reviewItem>
    <reviewItem>
      <errorID>8853886f-841c-4df4-ac14-e37f023c06e8</errorID>
      <errorWord>：</errorWord>
      <group>L1_Format</group>
      <groupName>格式问题</groupName>
      <ability>L2_HalfPunc_CN</ability>
      <abilityName/>
      <candidateList>
        <item>:</item>
      </candidateList>
      <explain>文本全半角错误。</explain>
      <paraID>70B22F97</paraID>
      <start>226</start>
      <end>227</end>
      <status>ignored</status>
      <modifiedWord/>
      <trackRevisions>false</trackRevisions>
    </reviewItem>
    <reviewItem>
      <errorID>bb4c5f70-2b59-4984-9299-6333ce3ff308</errorID>
      <errorWord>：</errorWord>
      <group>L1_Format</group>
      <groupName>格式问题</groupName>
      <ability>L2_HalfPunc_CN</ability>
      <abilityName/>
      <candidateList>
        <item>:</item>
      </candidateList>
      <explain>文本全半角错误。</explain>
      <paraID>70B22F97</paraID>
      <start>240</start>
      <end>241</end>
      <status>ignored</status>
      <modifiedWord/>
      <trackRevisions>false</trackRevisions>
    </reviewItem>
    <reviewItem>
      <errorID>9760aa02-a424-474b-9880-f3002b6441c0</errorID>
      <errorWord>混泥土</errorWord>
      <group>L1_Word</group>
      <groupName>字词问题</groupName>
      <ability>L2_Typo</ability>
      <abilityName>字词错误</abilityName>
      <candidateList>
        <item>混凝土</item>
      </candidateList>
      <explain>〈名〉一种建筑材料，一般用水泥、沙、石子和水按比例拌和而成，硬结后有耐压、耐水、耐火等性能。</explain>
      <paraID>7DF633C3</paraID>
      <start>60</start>
      <end>63</end>
      <status>modified</status>
      <modifiedWord>混凝土</modifiedWord>
      <trackRevisions>false</trackRevisions>
    </reviewItem>
    <reviewItem>
      <errorID>b1c152a6-b645-41c0-b963-1f3567112f1a</errorID>
      <errorWord>沟拜</errorWord>
      <group>L1_Word</group>
      <groupName>字词问题</groupName>
      <ability>L2_Typo</ability>
      <abilityName>字词错误</abilityName>
      <candidateList>
        <item>沟壁</item>
      </candidateList>
      <explain/>
      <paraID>5F682D4A</paraID>
      <start>83</start>
      <end>85</end>
      <status>ignored</status>
      <modifiedWord/>
      <trackRevisions>false</trackRevisions>
    </reviewItem>
    <reviewItem>
      <errorID>63fe66e0-6a0a-4bf9-9404-cf6b1a5a83ea</errorID>
      <errorWord>2-3年</errorWord>
      <group>L1_Word</group>
      <groupName>字词问题</groupName>
      <ability>L2_Typo</ability>
      <abilityName>字词错误</abilityName>
      <candidateList>
        <item>2～3年</item>
      </candidateList>
      <explain/>
      <paraID>69AE27D8</paraID>
      <start>104</start>
      <end>108</end>
      <status>modified</status>
      <modifiedWord>2～3年</modifiedWord>
      <trackRevisions>false</trackRevisions>
    </reviewItem>
    <reviewItem>
      <errorID>dc7dd04a-11b5-4700-900e-71e679d04c6f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282B449A</paraID>
      <start>0</start>
      <end>2</end>
      <status>ignored</status>
      <modifiedWord/>
      <trackRevisions>false</trackRevisions>
    </reviewItem>
    <reviewItem>
      <errorID>caba14e4-7ec1-4c60-985d-5866aaa74582</errorID>
      <errorWord>(</errorWord>
      <group>L1_Format</group>
      <groupName>格式问题</groupName>
      <ability>L2_HalfPunc_CN</ability>
      <abilityName/>
      <candidateList>
        <item>（</item>
      </candidateList>
      <explain>文本全半角错误。</explain>
      <paraID>77EF7007</paraID>
      <start>3</start>
      <end>4</end>
      <status>ignored</status>
      <modifiedWord/>
      <trackRevisions>false</trackRevisions>
    </reviewItem>
    <reviewItem>
      <errorID>99133b75-4bde-4cdc-9b39-256d697295d1</errorID>
      <errorWord>)</errorWord>
      <group>L1_Format</group>
      <groupName>格式问题</groupName>
      <ability>L2_HalfPunc_CN</ability>
      <abilityName/>
      <candidateList>
        <item>）</item>
      </candidateList>
      <explain>文本全半角错误。</explain>
      <paraID>77EF7007</paraID>
      <start>147</start>
      <end>148</end>
      <status>ignored</status>
      <modifiedWord/>
      <trackRevisions>false</trackRevisions>
    </reviewItem>
    <reviewItem>
      <errorID>e923d7d4-105d-4c71-8180-b283f390ec26</errorID>
      <errorWord>，</errorWord>
      <group>L1_Format</group>
      <groupName>格式问题</groupName>
      <ability>L2_HalfPunc_CN</ability>
      <abilityName/>
      <candidateList>
        <item>,</item>
      </candidateList>
      <explain>文本全半角错误。</explain>
      <paraID>1D391713</paraID>
      <start>9</start>
      <end>10</end>
      <status>ignored</status>
      <modifiedWord/>
      <trackRevisions>false</trackRevisions>
    </reviewItem>
    <reviewItem>
      <errorID>fcddbb87-e850-41a6-841e-dc270d334c32</errorID>
      <errorWord>，</errorWord>
      <group>L1_Format</group>
      <groupName>格式问题</groupName>
      <ability>L2_HalfPunc_CN</ability>
      <abilityName/>
      <candidateList>
        <item>,</item>
      </candidateList>
      <explain>文本全半角错误。</explain>
      <paraID>1D391713</paraID>
      <start>14</start>
      <end>15</end>
      <status>ignored</status>
      <modifiedWord/>
      <trackRevisions>false</trackRevisions>
    </reviewItem>
    <reviewItem>
      <errorID>715e65d5-9450-4933-abd5-3604e3f075dd</errorID>
      <errorWord>，</errorWord>
      <group>L1_Format</group>
      <groupName>格式问题</groupName>
      <ability>L2_HalfPunc_CN</ability>
      <abilityName/>
      <candidateList>
        <item>,</item>
      </candidateList>
      <explain>文本全半角错误。</explain>
      <paraID>1D391713</paraID>
      <start>18</start>
      <end>19</end>
      <status>ignored</status>
      <modifiedWord/>
      <trackRevisions>false</trackRevisions>
    </reviewItem>
    <reviewItem>
      <errorID>ca8e2c89-a84d-494a-a6fd-2bb4ae4fcfd8</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721ABE1F</paraID>
      <start>15</start>
      <end>16</end>
      <status>ignored</status>
      <modifiedWord/>
      <trackRevisions>false</trackRevisions>
    </reviewItem>
    <reviewItem>
      <errorID>c0113aa2-556d-4e96-aa8d-805fc05a3cfe</errorID>
      <errorWord>，</errorWord>
      <group>L1_Format</group>
      <groupName>格式问题</groupName>
      <ability>L2_HalfPunc_CN</ability>
      <abilityName/>
      <candidateList>
        <item>,</item>
      </candidateList>
      <explain>文本全半角错误。</explain>
      <paraID>11A742B5</paraID>
      <start>12</start>
      <end>13</end>
      <status>ignored</status>
      <modifiedWord/>
      <trackRevisions>false</trackRevisions>
    </reviewItem>
    <reviewItem>
      <errorID>42b870f4-745a-41ee-80fa-b50f8c26fc64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3CE7C8BF</paraID>
      <start>0</start>
      <end>2</end>
      <status>ignored</status>
      <modifiedWord/>
      <trackRevisions>false</trackRevisions>
    </reviewItem>
    <reviewItem>
      <errorID>6e5f088e-44c7-44ff-9892-bb8f47e91149</errorID>
      <errorWord>清淤清淤</errorWord>
      <group>L1_Word</group>
      <groupName>字词问题</groupName>
      <ability>L2_Typo</ability>
      <abilityName>字词错误</abilityName>
      <candidateList>
        <item>清淤</item>
      </candidateList>
      <explain/>
      <paraID>484565F5</paraID>
      <start>226</start>
      <end>228</end>
      <status>modified</status>
      <modifiedWord>清淤</modifiedWord>
      <trackRevisions>false</trackRevisions>
    </reviewItem>
    <reviewItem>
      <errorID>05320b82-c0a4-4559-bced-e0abf393d532</errorID>
      <errorWord>沟拜上</errorWord>
      <group>L1_Word</group>
      <groupName>字词问题</groupName>
      <ability>L2_Typo</ability>
      <abilityName>字词错误</abilityName>
      <candidateList>
        <item>沟壁上</item>
      </candidateList>
      <explain/>
      <paraID>484565F5</paraID>
      <start>246</start>
      <end>249</end>
      <status>ignored</status>
      <modifiedWord/>
      <trackRevisions>false</trackRevisions>
    </reviewItem>
    <reviewItem>
      <errorID>b86a176b-9ec3-4bb9-a6d4-91e6d5dcfbfe</errorID>
      <errorWord>沟拜</errorWord>
      <group>L1_Word</group>
      <groupName>字词问题</groupName>
      <ability>L2_Typo</ability>
      <abilityName>字词错误</abilityName>
      <candidateList>
        <item>沟壁</item>
      </candidateList>
      <explain/>
      <paraID>484565F5</paraID>
      <start>288</start>
      <end>290</end>
      <status>ignored</status>
      <modifiedWord/>
      <trackRevisions>false</trackRevisions>
    </reviewItem>
    <reviewItem>
      <errorID>160c96e6-54a6-44c4-a184-3c1c4cdc711b</errorID>
      <errorWord>沟拜</errorWord>
      <group>L1_Word</group>
      <groupName>字词问题</groupName>
      <ability>L2_Typo</ability>
      <abilityName>字词错误</abilityName>
      <candidateList>
        <item>沟道</item>
      </candidateList>
      <explain/>
      <paraID>55761B9D</paraID>
      <start>124</start>
      <end>126</end>
      <status>ignored</status>
      <modifiedWord/>
      <trackRevisions>false</trackRevisions>
    </reviewItem>
    <reviewItem>
      <errorID>5e48309a-e4a5-4234-a1f1-0cd45459fe28</errorID>
      <errorWord>系统系统</errorWord>
      <group>L1_Word</group>
      <groupName>字词问题</groupName>
      <ability>L2_Typo</ability>
      <abilityName>字词错误</abilityName>
      <candidateList>
        <item>系统</item>
      </candidateList>
      <explain>❶〈名〉同类事物按一定的关系组成的整体：～化｜组织～｜灌溉～。❷〈形〉有条理的；有系统的：～学习｜～研究｜资料不够。</explain>
      <paraID>1B62E339</paraID>
      <start>57</start>
      <end>59</end>
      <status>modified</status>
      <modifiedWord>系统</modifiedWord>
      <trackRevisions>false</trackRevisions>
    </reviewItem>
    <reviewItem>
      <errorID>f4f434b3-18a3-4e6d-9893-1d1b15164c5f</errorID>
      <errorWord>混泥土</errorWord>
      <group>L1_Word</group>
      <groupName>字词问题</groupName>
      <ability>L2_Typo</ability>
      <abilityName>字词错误</abilityName>
      <candidateList>
        <item>混凝土</item>
      </candidateList>
      <explain>〈名〉一种建筑材料，一般用水泥、沙、石子和水按比例拌和而成，硬结后有耐压、耐水、耐火等性能。</explain>
      <paraID>1B62E339</paraID>
      <start>63</start>
      <end>66</end>
      <status>modified</status>
      <modifiedWord>混凝土</modifiedWord>
      <trackRevisions>false</trackRevisions>
    </reviewItem>
    <reviewItem>
      <errorID>abef2b01-e694-401e-b15c-265c72ba6663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592EDC90</paraID>
      <start>0</start>
      <end>2</end>
      <status>ignored</status>
      <modifiedWord/>
      <trackRevisions>false</trackRevisions>
    </reviewItem>
    <reviewItem>
      <errorID>d4da3c94-cff4-4066-afea-034635b98e68</errorID>
      <errorWord>混泥土</errorWord>
      <group>L1_Word</group>
      <groupName>字词问题</groupName>
      <ability>L2_Typo</ability>
      <abilityName>字词错误</abilityName>
      <candidateList>
        <item>混凝土</item>
      </candidateList>
      <explain>〈名〉一种建筑材料，一般用水泥、沙、石子和水按比例拌和而成，硬结后有耐压、耐水、耐火等性能。</explain>
      <paraID>6BA24654</paraID>
      <start>73</start>
      <end>76</end>
      <status>modified</status>
      <modifiedWord>混凝土</modifiedWord>
      <trackRevisions>false</trackRevisions>
    </reviewItem>
    <reviewItem>
      <errorID>993dcdd5-7580-4b85-a7e1-916db48e3bc4</errorID>
      <errorWord>沟拜上</errorWord>
      <group>L1_Word</group>
      <groupName>字词问题</groupName>
      <ability>L2_Typo</ability>
      <abilityName>字词错误</abilityName>
      <candidateList>
        <item>沟壁上</item>
      </candidateList>
      <explain/>
      <paraID>6BA24654</paraID>
      <start>158</start>
      <end>161</end>
      <status>ignored</status>
      <modifiedWord/>
      <trackRevisions>false</trackRevisions>
    </reviewItem>
    <reviewItem>
      <errorID>89591544-f741-47b1-b254-a59f03354660</errorID>
      <errorWord>沟拜</errorWord>
      <group>L1_Word</group>
      <groupName>字词问题</groupName>
      <ability>L2_Typo</ability>
      <abilityName>字词错误</abilityName>
      <candidateList>
        <item>沟壁</item>
      </candidateList>
      <explain/>
      <paraID>6BA24654</paraID>
      <start>200</start>
      <end>202</end>
      <status>ignored</status>
      <modifiedWord/>
      <trackRevisions>false</trackRevisions>
    </reviewItem>
    <reviewItem>
      <errorID>3fc8929a-2752-47d0-8c9d-c6bd81a61d4a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213C73A7</paraID>
      <start>0</start>
      <end>2</end>
      <status>ignored</status>
      <modifiedWord/>
      <trackRevisions>false</trackRevisions>
    </reviewItem>
    <reviewItem>
      <errorID>cbdd8150-1207-46f0-9942-7caff73856de</errorID>
      <errorWord>、有</errorWord>
      <group>L1_Word</group>
      <groupName>字词问题</groupName>
      <ability>L2_Typo</ability>
      <abilityName>字词错误</abilityName>
      <candidateList>
        <item>、</item>
      </candidateList>
      <explain/>
      <paraID>357C2DA9</paraID>
      <start>38</start>
      <end>39</end>
      <status>modified</status>
      <modifiedWord>、</modifiedWord>
      <trackRevisions>false</trackRevisions>
    </reviewItem>
    <reviewItem>
      <errorID>8e107aaa-7e5a-4e5e-ae12-79484525b620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355634B4</paraID>
      <start>0</start>
      <end>2</end>
      <status>ignored</status>
      <modifiedWord/>
      <trackRevisions>false</trackRevisions>
    </reviewItem>
    <reviewItem>
      <errorID>91f1c11b-c225-4866-9238-ec2c4ff7e609</errorID>
      <errorWord>~</errorWord>
      <group>L1_Format</group>
      <groupName>格式问题</groupName>
      <ability>L2_HalfPunc_CN</ability>
      <abilityName/>
      <candidateList>
        <item>～</item>
      </candidateList>
      <explain>文本全半角错误。</explain>
      <paraID>669DBBA0</paraID>
      <start>30</start>
      <end>31</end>
      <status>modified</status>
      <modifiedWord>～</modifiedWord>
      <trackRevisions>false</trackRevisions>
    </reviewItem>
    <reviewItem>
      <errorID>9c49825d-fde0-46e8-bb6b-b8ed8696071c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5B7C588D</paraID>
      <start>0</start>
      <end>2</end>
      <status>ignored</status>
      <modifiedWord/>
      <trackRevisions>false</trackRevisions>
    </reviewItem>
    <reviewItem>
      <errorID>e4586792-c351-4c6a-b009-e45d3b1a5094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301CB703</paraID>
      <start>0</start>
      <end>2</end>
      <status>ignored</status>
      <modifiedWord/>
      <trackRevisions>false</trackRevisions>
    </reviewItem>
    <reviewItem>
      <errorID>39e5cb0c-cb0e-4767-be64-77b14ca00050</errorID>
      <errorWord>(</errorWord>
      <group>L1_Format</group>
      <groupName>格式问题</groupName>
      <ability>L2_HalfPunc_CN</ability>
      <abilityName/>
      <candidateList>
        <item>（</item>
      </candidateList>
      <explain>文本全半角错误。</explain>
      <paraID>5D5B1E20</paraID>
      <start>18</start>
      <end>19</end>
      <status>ignored</status>
      <modifiedWord/>
      <trackRevisions>false</trackRevisions>
    </reviewItem>
    <reviewItem>
      <errorID>9ce6b491-e388-428e-b7d5-779c4d060802</errorID>
      <errorWord>)</errorWord>
      <group>L1_Format</group>
      <groupName>格式问题</groupName>
      <ability>L2_HalfPunc_CN</ability>
      <abilityName/>
      <candidateList>
        <item>）</item>
      </candidateList>
      <explain>文本全半角错误。</explain>
      <paraID>5D5B1E20</paraID>
      <start>29</start>
      <end>30</end>
      <status>ignored</status>
      <modifiedWord/>
      <trackRevisions>false</trackRevisions>
    </reviewItem>
    <reviewItem>
      <errorID>59f72ee0-d180-4ef4-801b-5a4722830b7f</errorID>
      <errorWord>(</errorWord>
      <group>L1_Format</group>
      <groupName>格式问题</groupName>
      <ability>L2_HalfPunc_CN</ability>
      <abilityName/>
      <candidateList>
        <item>（</item>
      </candidateList>
      <explain>文本全半角错误。</explain>
      <paraID>5D5B1E20</paraID>
      <start>47</start>
      <end>48</end>
      <status>ignored</status>
      <modifiedWord/>
      <trackRevisions>false</trackRevisions>
    </reviewItem>
    <reviewItem>
      <errorID>d35cf585-75e6-4cdc-98a5-d331caaaf6f2</errorID>
      <errorWord>)</errorWord>
      <group>L1_Format</group>
      <groupName>格式问题</groupName>
      <ability>L2_HalfPunc_CN</ability>
      <abilityName/>
      <candidateList>
        <item>）</item>
      </candidateList>
      <explain>文本全半角错误。</explain>
      <paraID>5D5B1E20</paraID>
      <start>58</start>
      <end>59</end>
      <status>ignored</status>
      <modifiedWord/>
      <trackRevisions>false</trackRevisions>
    </reviewItem>
    <reviewItem>
      <errorID>6f49c06b-8ac1-4248-b6dc-4e2953eb7ba7</errorID>
      <errorWord>~</errorWord>
      <group>L1_Format</group>
      <groupName>格式问题</groupName>
      <ability>L2_HalfPunc_CN</ability>
      <abilityName/>
      <candidateList>
        <item>～</item>
      </candidateList>
      <explain>文本全半角错误。</explain>
      <paraID>5D5B1E20</paraID>
      <start>123</start>
      <end>124</end>
      <status>modified</status>
      <modifiedWord>～</modifiedWord>
      <trackRevisions>false</trackRevisions>
    </reviewItem>
    <reviewItem>
      <errorID>1a704bcf-320c-4717-84e8-a5ab60f66eaa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297D8B67</paraID>
      <start>0</start>
      <end>3</end>
      <status>ignored</status>
      <modifiedWord/>
      <trackRevisions>false</trackRevisions>
    </reviewItem>
    <reviewItem>
      <errorID>b731bac5-ad84-45f5-bd45-bd3371a604e2</errorID>
      <errorWord>须</errorWord>
      <group>L1_Word</group>
      <groupName>字词问题</groupName>
      <ability>L2_Typo</ability>
      <abilityName>字词错误</abilityName>
      <candidateList>
        <item>需</item>
      </candidateList>
      <explain>存在发音相同字词的误用。</explain>
      <paraID>2BB28276</paraID>
      <start>28</start>
      <end>29</end>
      <status>modified</status>
      <modifiedWord>需</modifiedWord>
      <trackRevisions>false</trackRevisions>
    </reviewItem>
    <reviewItem>
      <errorID>9c42a04d-5bc5-4a29-a553-0371db2df2d2</errorID>
      <errorWord>暴露的</errorWord>
      <group>L1_Word</group>
      <groupName>字词问题</groupName>
      <ability>L2_Typo</ability>
      <abilityName>字词错误</abilityName>
      <candidateList>
        <item>暴露</item>
      </candidateList>
      <explain>〈动〉（隐蔽的事物、缺陷、矛盾、问题等）显露出来：～目标｜～无遗。</explain>
      <paraID> 9D07D8C</paraID>
      <start>15</start>
      <end>17</end>
      <status>modified</status>
      <modifiedWord>暴露</modifiedWord>
      <trackRevisions>false</trackRevisions>
    </reviewItem>
    <reviewItem>
      <errorID>d56c96e7-d6e1-4156-a9b4-516928a4795d</errorID>
      <errorWord>北</errorWord>
      <group>L1_Word</group>
      <groupName>字词问题</groupName>
      <ability>L2_Typo</ability>
      <abilityName>字词错误</abilityName>
      <candidateList>
        <item>被</item>
      </candidateList>
      <explain>❶〈介〉用于被动句，引进动作的施事，前面的主语是动作的受事（施动者放在被字后，但有时省略）：解放军到处～（人）尊敬｜那棵树～（大风）刮倒了｜这套书～人借走了一本｜他～选为代表。❷〈助〉用在动词前表示被动的动作：～压迫民族｜～剥削阶级。</explain>
      <paraID> 9D07D8C</paraID>
      <start>35</start>
      <end>36</end>
      <status>modified</status>
      <modifiedWord>被</modifiedWord>
      <trackRevisions>false</trackRevisions>
    </reviewItem>
    <reviewItem>
      <errorID>3759164d-9565-4a0f-abb7-b5d9eecb4422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21492CCD</paraID>
      <start>0</start>
      <end>3</end>
      <status>ignored</status>
      <modifiedWord/>
      <trackRevisions>false</trackRevisions>
    </reviewItem>
    <reviewItem>
      <errorID>4aced277-a17b-4294-888b-5fec2940b4a7</errorID>
      <errorWord>kw</errorWord>
      <group>L1_Word</group>
      <groupName>字词问题</groupName>
      <ability>L2_Typo</ability>
      <abilityName>字词错误</abilityName>
      <candidateList>
        <item>kW</item>
      </candidateList>
      <explain/>
      <paraID> 208B53A</paraID>
      <start>91</start>
      <end>93</end>
      <status>modified</status>
      <modifiedWord>kW</modifiedWord>
      <trackRevisions>false</trackRevisions>
    </reviewItem>
    <reviewItem>
      <errorID>d39c5def-4556-46bf-97e9-e3ce864551a7</errorID>
      <errorWord>~</errorWord>
      <group>L1_Format</group>
      <groupName>格式问题</groupName>
      <ability>L2_HalfPunc_CN</ability>
      <abilityName/>
      <candidateList>
        <item>～</item>
      </candidateList>
      <explain>文本全半角错误。</explain>
      <paraID> 208B53A</paraID>
      <start>120</start>
      <end>121</end>
      <status>modified</status>
      <modifiedWord>～</modifiedWord>
      <trackRevisions>false</trackRevisions>
    </reviewItem>
    <reviewItem>
      <errorID>9a19a751-40a8-4a8f-8e02-268f6b4858af</errorID>
      <errorWord>严加控制</errorWord>
      <group>L1_Word</group>
      <groupName>字词问题</groupName>
      <ability>L2_Typo</ability>
      <abilityName>字词错误</abilityName>
      <candidateList>
        <item>严格控制</item>
      </candidateList>
      <explain/>
      <paraID> 2A6FA22</paraID>
      <start>76</start>
      <end>80</end>
      <status>modified</status>
      <modifiedWord>严格控制</modifiedWord>
      <trackRevisions>false</trackRevisions>
    </reviewItem>
    <reviewItem>
      <errorID>9efdfcc0-729d-471e-b624-432a880398df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7CA81C32</paraID>
      <start>0</start>
      <end>3</end>
      <status>ignored</status>
      <modifiedWord/>
      <trackRevisions>false</trackRevisions>
    </reviewItem>
    <reviewItem>
      <errorID>2ba8c61b-6148-46c6-865f-035e3596ee1c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159D12E6</paraID>
      <start>0</start>
      <end>2</end>
      <status>ignored</status>
      <modifiedWord/>
      <trackRevisions>false</trackRevisions>
    </reviewItem>
    <reviewItem>
      <errorID>3ff743b0-dda9-4cc3-98ef-2807bdb2b76b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6A9208AD</paraID>
      <start>0</start>
      <end>2</end>
      <status>ignored</status>
      <modifiedWord/>
      <trackRevisions>false</trackRevisions>
    </reviewItem>
    <reviewItem>
      <errorID>52548d23-df25-44f2-bb3c-a04f9337ee3c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5954CB97</paraID>
      <start>0</start>
      <end>2</end>
      <status>ignored</status>
      <modifiedWord/>
      <trackRevisions>false</trackRevisions>
    </reviewItem>
    <reviewItem>
      <errorID>d604958e-bfd3-4d03-801a-6ed8fb771215</errorID>
      <errorWord>座浆</errorWord>
      <group>L1_Word</group>
      <groupName>字词问题</groupName>
      <ability>L2_Typo</ability>
      <abilityName>字词错误</abilityName>
      <candidateList>
        <item>坐浆</item>
      </candidateList>
      <explain/>
      <paraID>5954CB97</paraID>
      <start>5</start>
      <end>7</end>
      <status>modified</status>
      <modifiedWord>坐浆</modifiedWord>
      <trackRevisions>false</trackRevisions>
    </reviewItem>
    <reviewItem>
      <errorID>aba32f2c-7c9b-4b21-a6e6-1e091f6f6133</errorID>
      <errorWord>~</errorWord>
      <group>L1_Format</group>
      <groupName>格式问题</groupName>
      <ability>L2_HalfPunc_CN</ability>
      <abilityName/>
      <candidateList>
        <item>～</item>
      </candidateList>
      <explain>文本全半角错误。</explain>
      <paraID>5954CB97</paraID>
      <start>21</start>
      <end>22</end>
      <status>modified</status>
      <modifiedWord>～</modifiedWord>
      <trackRevisions>false</trackRevisions>
    </reviewItem>
    <reviewItem>
      <errorID>32db97e7-770b-47ee-a7b5-06d5c60af8f5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47C3C614</paraID>
      <start>0</start>
      <end>2</end>
      <status>ignored</status>
      <modifiedWord/>
      <trackRevisions>false</trackRevisions>
    </reviewItem>
    <reviewItem>
      <errorID>fd7ff847-4522-4827-add4-8bc06f2d29bf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25AAD08A</paraID>
      <start>0</start>
      <end>2</end>
      <status>ignored</status>
      <modifiedWord/>
      <trackRevisions>false</trackRevisions>
    </reviewItem>
    <reviewItem>
      <errorID>08995703-69f6-4438-9297-4bb7f5997af4</errorID>
      <errorWord>:</errorWord>
      <group>L1_Format</group>
      <groupName>格式问题</groupName>
      <ability>L2_HalfPunc_CN</ability>
      <abilityName/>
      <candidateList>
        <item>：</item>
      </candidateList>
      <explain>文本全半角错误。</explain>
      <paraID>25AAD08A</paraID>
      <start>57</start>
      <end>58</end>
      <status>unmodified</status>
      <modifiedWord/>
      <trackRevisions>false</trackRevisions>
    </reviewItem>
    <reviewItem>
      <errorID>5babef4d-1499-408e-83c7-4eb0c827cc02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B7D10E8</paraID>
      <start>0</start>
      <end>2</end>
      <status>ignored</status>
      <modifiedWord/>
      <trackRevisions>false</trackRevisions>
    </reviewItem>
    <reviewItem>
      <errorID>1e51d1fd-5e3a-47a6-85cc-e0175ad324f4</errorID>
      <errorWord>:</errorWord>
      <group>L1_Format</group>
      <groupName>格式问题</groupName>
      <ability>L2_HalfPunc_CN</ability>
      <abilityName/>
      <candidateList>
        <item>：</item>
      </candidateList>
      <explain>文本全半角错误。</explain>
      <paraID> B7D10E8</paraID>
      <start>53</start>
      <end>54</end>
      <status>ignored</status>
      <modifiedWord/>
      <trackRevisions>false</trackRevisions>
    </reviewItem>
    <reviewItem>
      <errorID>31ef1236-c019-436a-a2e3-b97210f5e571</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3388A16D</paraID>
      <start>0</start>
      <end>2</end>
      <status>unmodified</status>
      <modifiedWord/>
      <trackRevisions>false</trackRevisions>
    </reviewItem>
    <reviewItem>
      <errorID>7a9d6bc6-9646-43c2-b4fd-1ac276989894</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36165A75</paraID>
      <start>0</start>
      <end>2</end>
      <status>unmodified</status>
      <modifiedWord/>
      <trackRevisions>false</trackRevisions>
    </reviewItem>
    <reviewItem>
      <errorID>cc487cb1-2f79-46aa-b84a-0e02b1fcc0f4</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5462C0B8</paraID>
      <start>0</start>
      <end>2</end>
      <status>unmodified</status>
      <modifiedWord/>
      <trackRevisions>false</trackRevisions>
    </reviewItem>
    <reviewItem>
      <errorID>8daa8555-9d4b-46a7-ad15-fbb0a7f2937b</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70A4B7E8</paraID>
      <start>0</start>
      <end>3</end>
      <status>unmodified</status>
      <modifiedWord/>
      <trackRevisions>false</trackRevisions>
    </reviewItem>
    <reviewItem>
      <errorID>ba1754a2-8b47-4bd0-ab99-b4815694630b</errorID>
      <errorWord>(</errorWord>
      <group>L1_Format</group>
      <groupName>格式问题</groupName>
      <ability>L2_HalfPunc_CN</ability>
      <abilityName/>
      <candidateList>
        <item>（</item>
      </candidateList>
      <explain>文本全半角错误。</explain>
      <paraID>677FC89F</paraID>
      <start>24</start>
      <end>25</end>
      <status>ignored</status>
      <modifiedWord/>
      <trackRevisions>false</trackRevisions>
    </reviewItem>
    <reviewItem>
      <errorID>c3b140b5-ad31-44c3-8d6d-f936b80b7875</errorID>
      <errorWord>)</errorWord>
      <group>L1_Format</group>
      <groupName>格式问题</groupName>
      <ability>L2_HalfPunc_CN</ability>
      <abilityName/>
      <candidateList>
        <item>）</item>
      </candidateList>
      <explain>文本全半角错误。</explain>
      <paraID>677FC89F</paraID>
      <start>35</start>
      <end>36</end>
      <status>ignored</status>
      <modifiedWord/>
      <trackRevisions>false</trackRevisions>
    </reviewItem>
    <reviewItem>
      <errorID>6deb2df0-a8ab-45cb-b12c-a9ee4ccae42d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3807A5B2</paraID>
      <start>0</start>
      <end>3</end>
      <status>ignored</status>
      <modifiedWord/>
      <trackRevisions>false</trackRevisions>
    </reviewItem>
    <reviewItem>
      <errorID>887193c3-9309-4565-8b9e-8b1eb3a05146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40F2A265</paraID>
      <start>0</start>
      <end>3</end>
      <status>ignored</status>
      <modifiedWord/>
      <trackRevisions>false</trackRevisions>
    </reviewItem>
    <reviewItem>
      <errorID>084f17f4-8628-43ee-8211-883cc608a4e0</errorID>
      <errorWord>方</errorWord>
      <group>L1_Word</group>
      <groupName>字词问题</groupName>
      <ability>L2_Typo</ability>
      <abilityName>字词错误</abilityName>
      <candidateList>
        <item>方可</item>
      </candidateList>
      <explain/>
      <paraID>751CC6D1</paraID>
      <start>26</start>
      <end>28</end>
      <status>modified</status>
      <modifiedWord>方可</modifiedWord>
      <trackRevisions>false</trackRevisions>
    </reviewItem>
    <reviewItem>
      <errorID>7aaba2f4-132a-480e-b547-0c637cddadd3</errorID>
      <errorWord>作好</errorWord>
      <group>L1_Word</group>
      <groupName>字词问题</groupName>
      <ability>L2_Typo</ability>
      <abilityName>字词错误</abilityName>
      <candidateList>
        <item>做好</item>
      </candidateList>
      <explain>存在发音相同字词的误用。</explain>
      <paraID>229529D2</paraID>
      <start>63</start>
      <end>65</end>
      <status>modified</status>
      <modifiedWord>做好</modifiedWord>
      <trackRevisions>false</trackRevisions>
    </reviewItem>
    <reviewItem>
      <errorID>bbfbc568-396c-40f4-b3bb-eba98b3b3ec1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1A2A1E36</paraID>
      <start>0</start>
      <end>3</end>
      <status>ignored</status>
      <modifiedWord/>
      <trackRevisions>false</trackRevisions>
    </reviewItem>
    <reviewItem>
      <errorID>f88ae89e-a441-447d-8e34-229783dd746f</errorID>
      <errorWord>~</errorWord>
      <group>L1_Format</group>
      <groupName>格式问题</groupName>
      <ability>L2_HalfPunc_CN</ability>
      <abilityName/>
      <candidateList>
        <item>～</item>
      </candidateList>
      <explain>文本全半角错误。</explain>
      <paraID>68763C7A</paraID>
      <start>15</start>
      <end>16</end>
      <status>unmodified</status>
      <modifiedWord/>
      <trackRevisions>false</trackRevisions>
    </reviewItem>
    <reviewItem>
      <errorID>f47b2839-e035-4ac7-8d62-9b9c921dedbe</errorID>
      <errorWord>曝晒</errorWord>
      <group>L1_Word</group>
      <groupName>字词问题</groupName>
      <ability>L2_Typo</ability>
      <abilityName>字词错误</abilityName>
      <candidateList>
        <item>暴晒</item>
      </candidateList>
      <explain>〈动〉在强烈的阳光下久晒：烈日～｜洗好的丝绸衣服不宜～。</explain>
      <paraID>68763C7A</paraID>
      <start>77</start>
      <end>79</end>
      <status>unmodified</status>
      <modifiedWord/>
      <trackRevisions>false</trackRevisions>
    </reviewItem>
    <reviewItem>
      <errorID>ec3c068c-42d3-473c-9b28-7093cc8a73b4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E96D682</paraID>
      <start>0</start>
      <end>2</end>
      <status>ignored</status>
      <modifiedWord/>
      <trackRevisions>false</trackRevisions>
    </reviewItem>
    <reviewItem>
      <errorID>f7446f6a-f791-40db-beef-5c4ccd36573c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553AA5A</paraID>
      <start>0</start>
      <end>2</end>
      <status>ignored</status>
      <modifiedWord/>
      <trackRevisions>false</trackRevisions>
    </reviewItem>
    <reviewItem>
      <errorID>235b37f1-8048-4fce-a5df-717428bef4f8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4420C53D</paraID>
      <start>0</start>
      <end>2</end>
      <status>ignored</status>
      <modifiedWord/>
      <trackRevisions>false</trackRevisions>
    </reviewItem>
    <reviewItem>
      <errorID>084d3bb9-3db8-4bc6-9686-6e32d62d17ab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5B595A52</paraID>
      <start>0</start>
      <end>2</end>
      <status>ignored</status>
      <modifiedWord/>
      <trackRevisions>false</trackRevisions>
    </reviewItem>
    <reviewItem>
      <errorID>5b1a0d07-a4e5-4edc-b58b-75021a545a73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1044FCEC</paraID>
      <start>0</start>
      <end>2</end>
      <status>ignored</status>
      <modifiedWord/>
      <trackRevisions>false</trackRevisions>
    </reviewItem>
    <reviewItem>
      <errorID>913cf94a-f711-45a2-9103-d06d5c25edb1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396A9F44</paraID>
      <start>0</start>
      <end>2</end>
      <status>ignored</status>
      <modifiedWord/>
      <trackRevisions>false</trackRevisions>
    </reviewItem>
    <reviewItem>
      <errorID>a3d47cc5-e390-4111-bb88-84881a06b85a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1E8C525C</paraID>
      <start>0</start>
      <end>2</end>
      <status>ignored</status>
      <modifiedWord/>
      <trackRevisions>false</trackRevisions>
    </reviewItem>
    <reviewItem>
      <errorID>0a125c92-859e-479d-8028-775c5c61d74e</errorID>
      <errorWord>(</errorWord>
      <group>L1_Format</group>
      <groupName>格式问题</groupName>
      <ability>L2_HalfPunc_CN</ability>
      <abilityName/>
      <candidateList>
        <item>（</item>
      </candidateList>
      <explain>文本全半角错误。</explain>
      <paraID> 83745D0</paraID>
      <start>50</start>
      <end>51</end>
      <status>ignored</status>
      <modifiedWord/>
      <trackRevisions>false</trackRevisions>
    </reviewItem>
    <reviewItem>
      <errorID>a9e4f14a-3c76-4d2e-bb8f-e08be7b18e09</errorID>
      <errorWord>)</errorWord>
      <group>L1_Format</group>
      <groupName>格式问题</groupName>
      <ability>L2_HalfPunc_CN</ability>
      <abilityName/>
      <candidateList>
        <item>）</item>
      </candidateList>
      <explain>文本全半角错误。</explain>
      <paraID> 83745D0</paraID>
      <start>62</start>
      <end>63</end>
      <status>ignored</status>
      <modifiedWord/>
      <trackRevisions>false</trackRevisions>
    </reviewItem>
    <reviewItem>
      <errorID>6f76f7f4-34a5-497b-8b7e-84ce7970a5d4</errorID>
      <errorWord>国家级重点生态功能区</errorWord>
      <group>L1_Political</group>
      <groupName>政治性问题</groupName>
      <ability>L2_Keyword</ability>
      <abilityName>固定表述</abilityName>
      <candidateList>
        <item>国家重点生态功能区</item>
      </candidateList>
      <explain>词汇“国家重点生态功能区”在特定场景下为固定表述形式，请确认此处的“国家级重点生态功能区”是否存在不当。</explain>
      <paraID>2D2D562E</paraID>
      <start>9</start>
      <end>19</end>
      <status>unmodified</status>
      <modifiedWord/>
      <trackRevisions>false</trackRevisions>
    </reviewItem>
    <reviewItem>
      <errorID>a964cd97-884f-4b2c-a12c-b441bfc3eead</errorID>
      <errorWord>国家级重点生态功能区</errorWord>
      <group>L1_Political</group>
      <groupName>政治性问题</groupName>
      <ability>L2_Keyword</ability>
      <abilityName>固定表述</abilityName>
      <candidateList>
        <item>国家重点生态功能区</item>
      </candidateList>
      <explain>词汇“国家重点生态功能区”在特定场景下为固定表述形式，请确认此处的“国家级重点生态功能区”是否存在不当。</explain>
      <paraID>2D2D562E</paraID>
      <start>32</start>
      <end>42</end>
      <status>unmodified</status>
      <modifiedWord/>
      <trackRevisions>false</trackRevisions>
    </reviewItem>
    <reviewItem>
      <errorID>4a1a510a-8dba-4d72-a644-0c52a9a036cf</errorID>
      <errorWord>II类</errorWord>
      <group>L1_Knowledge</group>
      <groupName>知识性问题</groupName>
      <ability>L2_Knowledge</ability>
      <abilityName>其他知识</abilityName>
      <candidateList>
        <item>Ⅱ类</item>
      </candidateList>
      <explain/>
      <paraID>6CB1925D</paraID>
      <start>205</start>
      <end>207</end>
      <status>modified</status>
      <modifiedWord>Ⅱ类</modifiedWord>
      <trackRevisions>false</trackRevisions>
    </reviewItem>
    <reviewItem>
      <errorID>76b1975d-5e94-4203-8bee-ab586dc0cace</errorID>
      <errorWord>II类</errorWord>
      <group>L1_Knowledge</group>
      <groupName>知识性问题</groupName>
      <ability>L2_Knowledge</ability>
      <abilityName>其他知识</abilityName>
      <candidateList>
        <item>Ⅱ类</item>
      </candidateList>
      <explain/>
      <paraID>6CB1925D</paraID>
      <start>232</start>
      <end>234</end>
      <status>modified</status>
      <modifiedWord>Ⅱ类</modifiedWord>
      <trackRevisions>false</trackRevisions>
    </reviewItem>
    <reviewItem>
      <errorID>eaca1756-ec7c-484f-9f60-4634783ff266</errorID>
      <errorWord>改</errorWord>
      <group>L1_Word</group>
      <groupName>字词问题</groupName>
      <ability>L2_Typo</ability>
      <abilityName>字词错误</abilityName>
      <candidateList>
        <item>改善</item>
      </candidateList>
      <explain/>
      <paraID>6CB1925D</paraID>
      <start>241</start>
      <end>243</end>
      <status>modified</status>
      <modifiedWord>改善</modifiedWord>
      <trackRevisions>false</trackRevisions>
    </reviewItem>
    <reviewItem>
      <errorID>8d66e8d7-8593-48f2-8ff5-2f0ea4b142bd</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 4ED2F03</paraID>
      <start>132</start>
      <end>133</end>
      <status>modified</status>
      <modifiedWord>地</modifiedWord>
      <trackRevisions>false</trackRevisions>
    </reviewItem>
    <reviewItem>
      <errorID>547335ed-4d86-4522-a708-79286093a7db</errorID>
      <errorWord>引黄罐区</errorWord>
      <group>L1_Word</group>
      <groupName>字词问题</groupName>
      <ability>L2_Typo</ability>
      <abilityName>字词错误</abilityName>
      <candidateList>
        <item>引黄灌区</item>
      </candidateList>
      <explain/>
      <paraID>2EACAD77</paraID>
      <start>18</start>
      <end>22</end>
      <status>modified</status>
      <modifiedWord>引黄灌区</modifiedWord>
      <trackRevisions>false</trackRevisions>
    </reviewItem>
    <reviewItem>
      <errorID>f12d6b02-65de-4fcb-9377-8c7f79214c8d</errorID>
      <errorWord>50~60%</errorWord>
      <group>L1_Knowledge</group>
      <groupName>知识性问题</groupName>
      <ability>L2_Knowledge</ability>
      <abilityName>其他知识</abilityName>
      <candidateList>
        <item>50%～60%</item>
      </candidateList>
      <explain>1. “50~60%”中的单位“%”仅出现在后一个数字上，容易引起歧义；根据《现代汉语标点符号数字用法规范手册》，数字表示范围两边需要使用统一的格式。2. 根据标点国标 4.13 中的规则，数字、时间或地域连接符应使用（视觉上更长的）“—”或“～”。</explain>
      <paraID>2EACAD77</paraID>
      <start>194</start>
      <end>200</end>
      <status>unmodified</status>
      <modifiedWord/>
      <trackRevisions>false</trackRevisions>
    </reviewItem>
    <reviewItem>
      <errorID>19e45f36-cdbd-4052-b540-9403eea2a4cd</errorID>
      <errorWord>高崖沟高崖沟</errorWord>
      <group>L1_Word</group>
      <groupName>字词问题</groupName>
      <ability>L2_Typo</ability>
      <abilityName>字词错误</abilityName>
      <candidateList>
        <item>高崖沟</item>
      </candidateList>
      <explain/>
      <paraID>4432317B</paraID>
      <start>6</start>
      <end>9</end>
      <status>modified</status>
      <modifiedWord>高崖沟</modifiedWord>
      <trackRevisions>false</trackRevisions>
    </reviewItem>
    <reviewItem>
      <errorID>39c1b477-9ab1-46e0-808b-cc4315339cd4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57BE072C</paraID>
      <start>0</start>
      <end>2</end>
      <status>ignored</status>
      <modifiedWord/>
      <trackRevisions>false</trackRevisions>
    </reviewItem>
    <reviewItem>
      <errorID>0bddaec6-ea5d-47fc-91b7-ce9d460496af</errorID>
      <errorWord>属于</errorWord>
      <group>L1_Word</group>
      <groupName>字词问题</groupName>
      <ability>L2_Typo</ability>
      <abilityName>字词错误</abilityName>
      <candidateList>
        <item>属</item>
      </candidateList>
      <explain/>
      <paraID>2779E6B7</paraID>
      <start>90</start>
      <end>91</end>
      <status>modified</status>
      <modifiedWord>属</modifiedWord>
      <trackRevisions>false</trackRevisions>
    </reviewItem>
    <reviewItem>
      <errorID>c43489fa-744e-495f-91ff-0c75756452b3</errorID>
      <errorWord>~</errorWord>
      <group>L1_Format</group>
      <groupName>格式问题</groupName>
      <ability>L2_HalfPunc_CN</ability>
      <abilityName/>
      <candidateList>
        <item>～</item>
      </candidateList>
      <explain>文本全半角错误。</explain>
      <paraID>100FA29C</paraID>
      <start>58</start>
      <end>59</end>
      <status>unmodified</status>
      <modifiedWord/>
      <trackRevisions>false</trackRevisions>
    </reviewItem>
    <reviewItem>
      <errorID>a3445466-847c-4b7b-afb4-f5076927a7ef</errorID>
      <errorWord>(</errorWord>
      <group>L1_Format</group>
      <groupName>格式问题</groupName>
      <ability>L2_HalfPunc_CN</ability>
      <abilityName/>
      <candidateList>
        <item>（</item>
      </candidateList>
      <explain>文本全半角错误。</explain>
      <paraID>52949EFF</paraID>
      <start>48</start>
      <end>49</end>
      <status>ignored</status>
      <modifiedWord/>
      <trackRevisions>false</trackRevisions>
    </reviewItem>
    <reviewItem>
      <errorID>1df14488-0c7c-454d-be6b-f4b414b67e5b</errorID>
      <errorWord>)</errorWord>
      <group>L1_Format</group>
      <groupName>格式问题</groupName>
      <ability>L2_HalfPunc_CN</ability>
      <abilityName/>
      <candidateList>
        <item>）</item>
      </candidateList>
      <explain>文本全半角错误。</explain>
      <paraID>52949EFF</paraID>
      <start>53</start>
      <end>54</end>
      <status>ignored</status>
      <modifiedWord/>
      <trackRevisions>false</trackRevisions>
    </reviewItem>
    <reviewItem>
      <errorID>4b89e233-7110-43da-9e9c-3ffc996618a8</errorID>
      <errorWord>(</errorWord>
      <group>L1_Format</group>
      <groupName>格式问题</groupName>
      <ability>L2_HalfPunc_CN</ability>
      <abilityName/>
      <candidateList>
        <item>（</item>
      </candidateList>
      <explain>文本全半角错误。</explain>
      <paraID>52949EFF</paraID>
      <start>76</start>
      <end>77</end>
      <status>ignored</status>
      <modifiedWord/>
      <trackRevisions>false</trackRevisions>
    </reviewItem>
    <reviewItem>
      <errorID>5757d824-2e99-4ba4-acfe-8acb8b3fcd90</errorID>
      <errorWord>)</errorWord>
      <group>L1_Format</group>
      <groupName>格式问题</groupName>
      <ability>L2_HalfPunc_CN</ability>
      <abilityName/>
      <candidateList>
        <item>）</item>
      </candidateList>
      <explain>文本全半角错误。</explain>
      <paraID>52949EFF</paraID>
      <start>81</start>
      <end>82</end>
      <status>ignored</status>
      <modifiedWord/>
      <trackRevisions>false</trackRevisions>
    </reviewItem>
    <reviewItem>
      <errorID>626b5288-e8a7-4771-a1c2-7288fc81aa8d</errorID>
      <errorWord>(</errorWord>
      <group>L1_Format</group>
      <groupName>格式问题</groupName>
      <ability>L2_HalfPunc_CN</ability>
      <abilityName/>
      <candidateList>
        <item>（</item>
      </candidateList>
      <explain>文本全半角错误。</explain>
      <paraID>4FFE5498</paraID>
      <start>26</start>
      <end>27</end>
      <status>ignored</status>
      <modifiedWord/>
      <trackRevisions>false</trackRevisions>
    </reviewItem>
    <reviewItem>
      <errorID>3e2fb6bb-cb57-4ee0-8d3c-20cf2cd41264</errorID>
      <errorWord>~</errorWord>
      <group>L1_Format</group>
      <groupName>格式问题</groupName>
      <ability>L2_HalfPunc_CN</ability>
      <abilityName/>
      <candidateList>
        <item>～</item>
      </candidateList>
      <explain>文本全半角错误。</explain>
      <paraID>4FFE5498</paraID>
      <start>31</start>
      <end>32</end>
      <status>unmodified</status>
      <modifiedWord/>
      <trackRevisions>false</trackRevisions>
    </reviewItem>
    <reviewItem>
      <errorID>85c2c907-1f7b-4fc9-89d1-76c24df04aa8</errorID>
      <errorWord>)</errorWord>
      <group>L1_Format</group>
      <groupName>格式问题</groupName>
      <ability>L2_HalfPunc_CN</ability>
      <abilityName/>
      <candidateList>
        <item>）</item>
      </candidateList>
      <explain>文本全半角错误。</explain>
      <paraID>4FFE5498</paraID>
      <start>37</start>
      <end>38</end>
      <status>ignored</status>
      <modifiedWord/>
      <trackRevisions>false</trackRevisions>
    </reviewItem>
    <reviewItem>
      <errorID>30ed6ea5-154b-4738-a882-17c82b20a266</errorID>
      <errorWord>~</errorWord>
      <group>L1_Format</group>
      <groupName>格式问题</groupName>
      <ability>L2_HalfPunc_CN</ability>
      <abilityName/>
      <candidateList>
        <item>～</item>
      </candidateList>
      <explain>文本全半角错误。</explain>
      <paraID>158B6C60</paraID>
      <start>12</start>
      <end>13</end>
      <status>unmodified</status>
      <modifiedWord/>
      <trackRevisions>false</trackRevisions>
    </reviewItem>
    <reviewItem>
      <errorID>7e7a5a31-7192-4050-bf29-4681068afed1</errorID>
      <errorWord>~</errorWord>
      <group>L1_Format</group>
      <groupName>格式问题</groupName>
      <ability>L2_HalfPunc_CN</ability>
      <abilityName/>
      <candidateList>
        <item>～</item>
      </candidateList>
      <explain>文本全半角错误。</explain>
      <paraID> B490436</paraID>
      <start>58</start>
      <end>59</end>
      <status>unmodified</status>
      <modifiedWord/>
      <trackRevisions>false</trackRevisions>
    </reviewItem>
    <reviewItem>
      <errorID>71a2fc17-3636-4681-973e-2e6556428ce1</errorID>
      <errorWord>庄家</errorWord>
      <group>L1_Word</group>
      <groupName>字词问题</groupName>
      <ability>L2_Typo</ability>
      <abilityName>字词错误</abilityName>
      <candidateList>
        <item>庄稼</item>
      </candidateList>
      <explain/>
      <paraID>44B22EC7</paraID>
      <start>81</start>
      <end>83</end>
      <status>modified</status>
      <modifiedWord>庄稼</modifiedWord>
      <trackRevisions>false</trackRevisions>
    </reviewItem>
    <reviewItem>
      <errorID>c965447c-d552-43a6-ae6a-0fc0c1f5bb13</errorID>
      <errorWord>~</errorWord>
      <group>L1_Format</group>
      <groupName>格式问题</groupName>
      <ability>L2_HalfPunc_CN</ability>
      <abilityName/>
      <candidateList>
        <item>～</item>
      </candidateList>
      <explain>文本全半角错误。</explain>
      <paraID> 6B78143</paraID>
      <start>13</start>
      <end>14</end>
      <status>unmodified</status>
      <modifiedWord/>
      <trackRevisions>false</trackRevisions>
    </reviewItem>
    <reviewItem>
      <errorID>470ec16a-85de-46ad-83c6-68b90af5cfe9</errorID>
      <errorWord>~</errorWord>
      <group>L1_Format</group>
      <groupName>格式问题</groupName>
      <ability>L2_HalfPunc_CN</ability>
      <abilityName/>
      <candidateList>
        <item>～</item>
      </candidateList>
      <explain>文本全半角错误。</explain>
      <paraID> 7FD8059</paraID>
      <start>26</start>
      <end>27</end>
      <status>unmodified</status>
      <modifiedWord/>
      <trackRevisions>false</trackRevisions>
    </reviewItem>
    <reviewItem>
      <errorID>4a4a602f-2137-401d-9fec-25a0dd7c37fc</errorID>
      <errorWord>~</errorWord>
      <group>L1_Format</group>
      <groupName>格式问题</groupName>
      <ability>L2_HalfPunc_CN</ability>
      <abilityName/>
      <candidateList>
        <item>～</item>
      </candidateList>
      <explain>文本全半角错误。</explain>
      <paraID>679EA7E8</paraID>
      <start>15</start>
      <end>16</end>
      <status>unmodified</status>
      <modifiedWord/>
      <trackRevisions>false</trackRevisions>
    </reviewItem>
    <reviewItem>
      <errorID>b1d93472-5457-46af-b883-3376970a36ad</errorID>
      <errorWord>~</errorWord>
      <group>L1_Format</group>
      <groupName>格式问题</groupName>
      <ability>L2_HalfPunc_CN</ability>
      <abilityName/>
      <candidateList>
        <item>～</item>
      </candidateList>
      <explain>文本全半角错误。</explain>
      <paraID>686C2F60</paraID>
      <start>88</start>
      <end>89</end>
      <status>unmodified</status>
      <modifiedWord/>
      <trackRevisions>false</trackRevisions>
    </reviewItem>
    <reviewItem>
      <errorID>e7582a1a-a761-42b8-9f57-0d7844c53d91</errorID>
      <errorWord>~</errorWord>
      <group>L1_Format</group>
      <groupName>格式问题</groupName>
      <ability>L2_HalfPunc_CN</ability>
      <abilityName/>
      <candidateList>
        <item>～</item>
      </candidateList>
      <explain>文本全半角错误。</explain>
      <paraID>686C2F60</paraID>
      <start>105</start>
      <end>106</end>
      <status>unmodified</status>
      <modifiedWord/>
      <trackRevisions>false</trackRevisions>
    </reviewItem>
    <reviewItem>
      <errorID>1f355329-1fe1-45bf-a565-14e19acfd6fc</errorID>
      <errorWord>柯</errorWord>
      <group>L1_Word</group>
      <groupName>字词问题</groupName>
      <ability>L2_Typo</ability>
      <abilityName>字词错误</abilityName>
      <candidateList>
        <item>村</item>
      </candidateList>
      <explain>存在字形相近字词的误用。</explain>
      <paraID>686C2F60</paraID>
      <start>174</start>
      <end>175</end>
      <status>modified</status>
      <modifiedWord>村</modifiedWord>
      <trackRevisions>false</trackRevisions>
    </reviewItem>
    <reviewItem>
      <errorID>709463f6-a5ae-4db2-8b84-79f70fd0e6f6</errorID>
      <errorWord>~</errorWord>
      <group>L1_Format</group>
      <groupName>格式问题</groupName>
      <ability>L2_HalfPunc_CN</ability>
      <abilityName/>
      <candidateList>
        <item>～</item>
      </candidateList>
      <explain>文本全半角错误。</explain>
      <paraID>2737CE0C</paraID>
      <start>15</start>
      <end>16</end>
      <status>unmodified</status>
      <modifiedWord/>
      <trackRevisions>false</trackRevisions>
    </reviewItem>
    <reviewItem>
      <errorID>5ded4fe3-8380-455b-84fc-a35b4d9ab285</errorID>
      <errorWord>;</errorWord>
      <group>L1_Format</group>
      <groupName>格式问题</groupName>
      <ability>L2_HalfPunc_CN</ability>
      <abilityName/>
      <candidateList>
        <item>；</item>
      </candidateList>
      <explain>文本全半角错误。</explain>
      <paraID> AE9024B</paraID>
      <start>116</start>
      <end>117</end>
      <status>unmodified</status>
      <modifiedWord/>
      <trackRevisions>false</trackRevisions>
    </reviewItem>
    <reviewItem>
      <errorID>899ad0a9-40cb-48e3-8d0d-77040ca13a67</errorID>
      <errorWord>~</errorWord>
      <group>L1_Format</group>
      <groupName>格式问题</groupName>
      <ability>L2_HalfPunc_CN</ability>
      <abilityName/>
      <candidateList>
        <item>～</item>
      </candidateList>
      <explain>文本全半角错误。</explain>
      <paraID>67A5EF02</paraID>
      <start>41</start>
      <end>42</end>
      <status>unmodified</status>
      <modifiedWord/>
      <trackRevisions>false</trackRevisions>
    </reviewItem>
    <reviewItem>
      <errorID>2f841c5a-7bf9-49d3-b1f8-c17f0021e5c9</errorID>
      <errorWord>庄家</errorWord>
      <group>L1_Word</group>
      <groupName>字词问题</groupName>
      <ability>L2_Typo</ability>
      <abilityName>字词错误</abilityName>
      <candidateList>
        <item>庄稼</item>
      </candidateList>
      <explain/>
      <paraID>581A48F0</paraID>
      <start>53</start>
      <end>55</end>
      <status>modified</status>
      <modifiedWord>庄稼</modifiedWord>
      <trackRevisions>false</trackRevisions>
    </reviewItem>
    <reviewItem>
      <errorID>50370a9d-b9ff-4889-a27e-998f95779d1b</errorID>
      <errorWord>~</errorWord>
      <group>L1_Format</group>
      <groupName>格式问题</groupName>
      <ability>L2_HalfPunc_CN</ability>
      <abilityName/>
      <candidateList>
        <item>～</item>
      </candidateList>
      <explain>文本全半角错误。</explain>
      <paraID>69670C11</paraID>
      <start>24</start>
      <end>25</end>
      <status>unmodified</status>
      <modifiedWord/>
      <trackRevisions>false</trackRevisions>
    </reviewItem>
    <reviewItem>
      <errorID>60277f30-d391-400f-991d-04a18e1d7e62</errorID>
      <errorWord>大部门</errorWord>
      <group>L1_Word</group>
      <groupName>字词问题</groupName>
      <ability>L2_Typo</ability>
      <abilityName>字词错误</abilityName>
      <candidateList>
        <item>大部分</item>
      </candidateList>
      <explain/>
      <paraID>69670C11</paraID>
      <start>49</start>
      <end>52</end>
      <status>modified</status>
      <modifiedWord>大部分</modifiedWord>
      <trackRevisions>false</trackRevisions>
    </reviewItem>
    <reviewItem>
      <errorID>75419607-8203-450e-89f4-c9ad96d8cd79</errorID>
      <errorWord>升</errorWord>
      <group>L1_Word</group>
      <groupName>字词问题</groupName>
      <ability>L2_Typo</ability>
      <abilityName>字词错误</abilityName>
      <candidateList>
        <item>升和</item>
      </candidateList>
      <explain/>
      <paraID>1D757627</paraID>
      <start>32</start>
      <end>34</end>
      <status>modified</status>
      <modifiedWord>升和</modifiedWord>
      <trackRevisions>false</trackRevisions>
    </reviewItem>
    <reviewItem>
      <errorID>aecb38e4-29d9-46f0-9cc3-f2c7432c1865</errorID>
      <errorWord>主要以暴雨洪水为主</errorWord>
      <group>L1_Grammar</group>
      <groupName>语法问题</groupName>
      <ability>L2_Grammar</ability>
      <abilityName>语法错误</abilityName>
      <candidateList>
        <item>以暴雨洪水为主</item>
      </candidateList>
      <explain/>
      <paraID>7BBCAA68</paraID>
      <start>24</start>
      <end>31</end>
      <status>modified</status>
      <modifiedWord>以暴雨洪水为主</modifiedWord>
      <trackRevisions>false</trackRevisions>
    </reviewItem>
    <reviewItem>
      <errorID>eb2aa57d-b233-4cff-84c1-b316d413d929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A75B8C3</paraID>
      <start>0</start>
      <end>2</end>
      <status>ignored</status>
      <modifiedWord/>
      <trackRevisions>false</trackRevisions>
    </reviewItem>
    <reviewItem>
      <errorID>3029b20a-b21e-47ca-9414-0fde3ed37b0e</errorID>
      <errorWord>(</errorWord>
      <group>L1_Format</group>
      <groupName>格式问题</groupName>
      <ability>L2_HalfPunc_CN</ability>
      <abilityName/>
      <candidateList>
        <item>（</item>
      </candidateList>
      <explain>文本全半角错误。</explain>
      <paraID>65504948</paraID>
      <start>42</start>
      <end>43</end>
      <status>ignored</status>
      <modifiedWord/>
      <trackRevisions>false</trackRevisions>
    </reviewItem>
    <reviewItem>
      <errorID>ae25b3e3-8e92-4c03-9519-473d13fca5c4</errorID>
      <errorWord>)</errorWord>
      <group>L1_Format</group>
      <groupName>格式问题</groupName>
      <ability>L2_HalfPunc_CN</ability>
      <abilityName/>
      <candidateList>
        <item>）</item>
      </candidateList>
      <explain>文本全半角错误。</explain>
      <paraID>65504948</paraID>
      <start>53</start>
      <end>54</end>
      <status>ignored</status>
      <modifiedWord/>
      <trackRevisions>false</trackRevisions>
    </reviewItem>
    <reviewItem>
      <errorID>33b1300f-7829-455b-9dc0-e0d2ac88393d</errorID>
      <errorWord>(</errorWord>
      <group>L1_Format</group>
      <groupName>格式问题</groupName>
      <ability>L2_HalfPunc_CN</ability>
      <abilityName/>
      <candidateList>
        <item>（</item>
      </candidateList>
      <explain>文本全半角错误。</explain>
      <paraID>65504948</paraID>
      <start>153</start>
      <end>154</end>
      <status>ignored</status>
      <modifiedWord/>
      <trackRevisions>false</trackRevisions>
    </reviewItem>
    <reviewItem>
      <errorID>1ea3263f-1ad9-468c-bf06-d001c58ef0d6</errorID>
      <errorWord>)</errorWord>
      <group>L1_Format</group>
      <groupName>格式问题</groupName>
      <ability>L2_HalfPunc_CN</ability>
      <abilityName/>
      <candidateList>
        <item>）</item>
      </candidateList>
      <explain>文本全半角错误。</explain>
      <paraID>65504948</paraID>
      <start>164</start>
      <end>165</end>
      <status>ignored</status>
      <modifiedWord/>
      <trackRevisions>false</trackRevisions>
    </reviewItem>
    <reviewItem>
      <errorID>8b285f5d-28da-4f70-a695-d71d735e84b2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4F61377B</paraID>
      <start>0</start>
      <end>2</end>
      <status>ignored</status>
      <modifiedWord/>
      <trackRevisions>false</trackRevisions>
    </reviewItem>
    <reviewItem>
      <errorID>e4e7603f-db33-4447-982f-9fcb479af8fb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303EC78</paraID>
      <start>0</start>
      <end>2</end>
      <status>ignored</status>
      <modifiedWord/>
      <trackRevisions>false</trackRevisions>
    </reviewItem>
    <reviewItem>
      <errorID>f1e34a82-da3e-4adc-a45c-69d71801d2a4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F05B3FB</paraID>
      <start>0</start>
      <end>2</end>
      <status>ignored</status>
      <modifiedWord/>
      <trackRevisions>false</trackRevisions>
    </reviewItem>
    <reviewItem>
      <errorID>e74b6ccc-f346-40a5-b1b2-5a1daf98af35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3347A97</paraID>
      <start>0</start>
      <end>2</end>
      <status>ignored</status>
      <modifiedWord/>
      <trackRevisions>false</trackRevisions>
    </reviewItem>
    <reviewItem>
      <errorID>bacd0e63-5679-459e-8b2f-3b18085cb021</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79AE6F3E</paraID>
      <start>0</start>
      <end>2</end>
      <status>unmodified</status>
      <modifiedWord/>
      <trackRevisions>false</trackRevisions>
    </reviewItem>
    <reviewItem>
      <errorID>cdb5bb9e-d35c-480c-bff8-bfacb09197c9</errorID>
      <errorWord>：</errorWord>
      <group>L1_Format</group>
      <groupName>格式问题</groupName>
      <ability>L2_HalfPunc_CN</ability>
      <abilityName/>
      <candidateList>
        <item>:</item>
      </candidateList>
      <explain>文本全半角错误。</explain>
      <paraID>7AB0147A</paraID>
      <start>9</start>
      <end>10</end>
      <status>ignored</status>
      <modifiedWord/>
      <trackRevisions>false</trackRevisions>
    </reviewItem>
    <reviewItem>
      <errorID>1033330d-11c3-4e63-a1a1-c51c4ca8733d</errorID>
      <errorWord>：</errorWord>
      <group>L1_Format</group>
      <groupName>格式问题</groupName>
      <ability>L2_HalfPunc_CN</ability>
      <abilityName/>
      <candidateList>
        <item>:</item>
      </candidateList>
      <explain>文本全半角错误。</explain>
      <paraID>7AB0147A</paraID>
      <start>15</start>
      <end>16</end>
      <status>ignored</status>
      <modifiedWord/>
      <trackRevisions>false</trackRevisions>
    </reviewItem>
    <reviewItem>
      <errorID>181b8cdc-95f8-4b2a-bdf0-05c8c7d60712</errorID>
      <errorWord>：</errorWord>
      <group>L1_Format</group>
      <groupName>格式问题</groupName>
      <ability>L2_HalfPunc_CN</ability>
      <abilityName/>
      <candidateList>
        <item>:</item>
      </candidateList>
      <explain>文本全半角错误。</explain>
      <paraID>7AB0147A</paraID>
      <start>25</start>
      <end>26</end>
      <status>ignored</status>
      <modifiedWord/>
      <trackRevisions>false</trackRevisions>
    </reviewItem>
    <reviewItem>
      <errorID>c4bfe8ef-990e-41fb-8fbe-cbc23a7f7472</errorID>
      <errorWord>：</errorWord>
      <group>L1_Format</group>
      <groupName>格式问题</groupName>
      <ability>L2_HalfPunc_CN</ability>
      <abilityName/>
      <candidateList>
        <item>:</item>
      </candidateList>
      <explain>文本全半角错误。</explain>
      <paraID>7AB0147A</paraID>
      <start>30</start>
      <end>31</end>
      <status>ignored</status>
      <modifiedWord/>
      <trackRevisions>false</trackRevisions>
    </reviewItem>
    <reviewItem>
      <errorID>b5c68fb5-478f-4701-ae4b-af1cf8ae9284</errorID>
      <errorWord>)</errorWord>
      <group>L1_Format</group>
      <groupName>格式问题</groupName>
      <ability>L2_HalfPunc_CN</ability>
      <abilityName/>
      <candidateList>
        <item>）</item>
      </candidateList>
      <explain>文本全半角错误。</explain>
      <paraID>2A2AA30A</paraID>
      <start>23</start>
      <end>24</end>
      <status>ignored</status>
      <modifiedWord/>
      <trackRevisions>false</trackRevisions>
    </reviewItem>
    <reviewItem>
      <errorID>98d79300-bc2d-4eb7-8f49-a53240673d81</errorID>
      <errorWord>)</errorWord>
      <group>L1_Format</group>
      <groupName>格式问题</groupName>
      <ability>L2_HalfPunc_CN</ability>
      <abilityName/>
      <candidateList>
        <item>）</item>
      </candidateList>
      <explain>文本全半角错误。</explain>
      <paraID>2A2AA30A</paraID>
      <start>43</start>
      <end>44</end>
      <status>ignored</status>
      <modifiedWord/>
      <trackRevisions>false</trackRevisions>
    </reviewItem>
    <reviewItem>
      <errorID>8628417f-c52f-45d4-ac8f-dffe94018cd8</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493335AE</paraID>
      <start>0</start>
      <end>2</end>
      <status>unmodified</status>
      <modifiedWord/>
      <trackRevisions>false</trackRevisions>
    </reviewItem>
    <reviewItem>
      <errorID>c9da4e0d-6bdd-4f7f-8f10-07b62068e829</errorID>
      <errorWord>-</errorWord>
      <group>L1_Format</group>
      <groupName>格式问题</groupName>
      <ability>L2_HalfPunc_CN</ability>
      <abilityName/>
      <candidateList>
        <item>－</item>
      </candidateList>
      <explain>文本全半角错误。</explain>
      <paraID>68D0A86A</paraID>
      <start>46</start>
      <end>47</end>
      <status>unmodified</status>
      <modifiedWord/>
      <trackRevisions>false</trackRevisions>
    </reviewItem>
    <reviewItem>
      <errorID>ec97e2fe-b3ab-4dfd-bec3-92d968707cac</errorID>
      <errorWord>一下</errorWord>
      <group>L1_Word</group>
      <groupName>字词问题</groupName>
      <ability>L2_Typo</ability>
      <abilityName>字词错误</abilityName>
      <candidateList>
        <item>以下</item>
      </candidateList>
      <explain/>
      <paraID>10D0703B</paraID>
      <start>56</start>
      <end>58</end>
      <status>modified</status>
      <modifiedWord>以下</modifiedWord>
      <trackRevisions>false</trackRevisions>
    </reviewItem>
    <reviewItem>
      <errorID>a6bb1e18-636a-4898-9651-98a5601c3b63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26591EDC</paraID>
      <start>0</start>
      <end>2</end>
      <status>ignored</status>
      <modifiedWord/>
      <trackRevisions>false</trackRevisions>
    </reviewItem>
    <reviewItem>
      <errorID>5d168acd-525e-47b7-86f9-8abcfcc6482e</errorID>
      <errorWord>)</errorWord>
      <group>L1_Format</group>
      <groupName>格式问题</groupName>
      <ability>L2_HalfPunc_CN</ability>
      <abilityName/>
      <candidateList>
        <item>）</item>
      </candidateList>
      <explain>文本全半角错误。</explain>
      <paraID> 522AE87</paraID>
      <start>43</start>
      <end>44</end>
      <status>ignored</status>
      <modifiedWord/>
      <trackRevisions>false</trackRevisions>
    </reviewItem>
    <reviewItem>
      <errorID>949d908a-2364-435a-88a6-cc8d866e97aa</errorID>
      <errorWord>)</errorWord>
      <group>L1_Format</group>
      <groupName>格式问题</groupName>
      <ability>L2_HalfPunc_CN</ability>
      <abilityName/>
      <candidateList>
        <item>）</item>
      </candidateList>
      <explain>文本全半角错误。</explain>
      <paraID> 522AE87</paraID>
      <start>46</start>
      <end>47</end>
      <status>ignored</status>
      <modifiedWord/>
      <trackRevisions>false</trackRevisions>
    </reviewItem>
    <reviewItem>
      <errorID>e877d885-0238-41ec-9e6e-ccf1e31acaf7</errorID>
      <errorWord>)</errorWord>
      <group>L1_Format</group>
      <groupName>格式问题</groupName>
      <ability>L2_HalfPunc_CN</ability>
      <abilityName/>
      <candidateList>
        <item>）</item>
      </candidateList>
      <explain>文本全半角错误。</explain>
      <paraID> 522AE87</paraID>
      <start>49</start>
      <end>50</end>
      <status>ignored</status>
      <modifiedWord/>
      <trackRevisions>false</trackRevisions>
    </reviewItem>
    <reviewItem>
      <errorID>eeeb3732-d813-4ba9-9c70-9a98655a055b</errorID>
      <errorWord>)</errorWord>
      <group>L1_Format</group>
      <groupName>格式问题</groupName>
      <ability>L2_HalfPunc_CN</ability>
      <abilityName/>
      <candidateList>
        <item>）</item>
      </candidateList>
      <explain>文本全半角错误。</explain>
      <paraID> 522AE87</paraID>
      <start>52</start>
      <end>53</end>
      <status>ignored</status>
      <modifiedWord/>
      <trackRevisions>false</trackRevisions>
    </reviewItem>
    <reviewItem>
      <errorID>ee589164-2660-4e88-8b16-16a2a624f74c</errorID>
      <errorWord>)</errorWord>
      <group>L1_Format</group>
      <groupName>格式问题</groupName>
      <ability>L2_HalfPunc_CN</ability>
      <abilityName/>
      <candidateList>
        <item>）</item>
      </candidateList>
      <explain>文本全半角错误。</explain>
      <paraID> 522AE87</paraID>
      <start>55</start>
      <end>56</end>
      <status>ignored</status>
      <modifiedWord/>
      <trackRevisions>false</trackRevisions>
    </reviewItem>
    <reviewItem>
      <errorID>b3b1097b-3026-4815-bdca-3557e2512fe5</errorID>
      <errorWord>)</errorWord>
      <group>L1_Format</group>
      <groupName>格式问题</groupName>
      <ability>L2_HalfPunc_CN</ability>
      <abilityName/>
      <candidateList>
        <item>）</item>
      </candidateList>
      <explain>文本全半角错误。</explain>
      <paraID> 522AE87</paraID>
      <start>58</start>
      <end>59</end>
      <status>ignored</status>
      <modifiedWord/>
      <trackRevisions>false</trackRevisions>
    </reviewItem>
    <reviewItem>
      <errorID>5eca2d59-f004-4a56-b111-f779410a0755</errorID>
      <errorWord>)</errorWord>
      <group>L1_Format</group>
      <groupName>格式问题</groupName>
      <ability>L2_HalfPunc_CN</ability>
      <abilityName/>
      <candidateList>
        <item>）</item>
      </candidateList>
      <explain>文本全半角错误。</explain>
      <paraID>1E4CBBC5</paraID>
      <start>6</start>
      <end>7</end>
      <status>ignored</status>
      <modifiedWord/>
      <trackRevisions>false</trackRevisions>
    </reviewItem>
    <reviewItem>
      <errorID>320ae536-4b39-436a-bc84-e6d6caa25f20</errorID>
      <errorWord>)</errorWord>
      <group>L1_Format</group>
      <groupName>格式问题</groupName>
      <ability>L2_HalfPunc_CN</ability>
      <abilityName/>
      <candidateList>
        <item>）</item>
      </candidateList>
      <explain>文本全半角错误。</explain>
      <paraID>1E4CBBC5</paraID>
      <start>9</start>
      <end>10</end>
      <status>ignored</status>
      <modifiedWord/>
      <trackRevisions>false</trackRevisions>
    </reviewItem>
    <reviewItem>
      <errorID>67e84a8b-ec98-4f0f-90f7-d7262881a4b9</errorID>
      <errorWord>)</errorWord>
      <group>L1_Format</group>
      <groupName>格式问题</groupName>
      <ability>L2_HalfPunc_CN</ability>
      <abilityName/>
      <candidateList>
        <item>）</item>
      </candidateList>
      <explain>文本全半角错误。</explain>
      <paraID>1E4CBBC5</paraID>
      <start>12</start>
      <end>13</end>
      <status>ignored</status>
      <modifiedWord/>
      <trackRevisions>false</trackRevisions>
    </reviewItem>
    <reviewItem>
      <errorID>65583025-c2af-4bfa-8b82-d667aa60ce71</errorID>
      <errorWord>)</errorWord>
      <group>L1_Format</group>
      <groupName>格式问题</groupName>
      <ability>L2_HalfPunc_CN</ability>
      <abilityName/>
      <candidateList>
        <item>）</item>
      </candidateList>
      <explain>文本全半角错误。</explain>
      <paraID>1E4CBBC5</paraID>
      <start>15</start>
      <end>16</end>
      <status>ignored</status>
      <modifiedWord/>
      <trackRevisions>false</trackRevisions>
    </reviewItem>
    <reviewItem>
      <errorID>75e3134d-200b-41d4-bd01-3ff6f855b460</errorID>
      <errorWord>)</errorWord>
      <group>L1_Format</group>
      <groupName>格式问题</groupName>
      <ability>L2_HalfPunc_CN</ability>
      <abilityName/>
      <candidateList>
        <item>）</item>
      </candidateList>
      <explain>文本全半角错误。</explain>
      <paraID>1E4CBBC5</paraID>
      <start>18</start>
      <end>19</end>
      <status>ignored</status>
      <modifiedWord/>
      <trackRevisions>false</trackRevisions>
    </reviewItem>
    <reviewItem>
      <errorID>062dcaa5-8383-463f-b21c-7068875d56ed</errorID>
      <errorWord>)</errorWord>
      <group>L1_Format</group>
      <groupName>格式问题</groupName>
      <ability>L2_HalfPunc_CN</ability>
      <abilityName/>
      <candidateList>
        <item>）</item>
      </candidateList>
      <explain>文本全半角错误。</explain>
      <paraID>1E4CBBC5</paraID>
      <start>21</start>
      <end>22</end>
      <status>ignored</status>
      <modifiedWord/>
      <trackRevisions>false</trackRevisions>
    </reviewItem>
    <reviewItem>
      <errorID>fefece50-44bf-44bb-a9d0-28218dd2e93c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1E9E60E1</paraID>
      <start>0</start>
      <end>2</end>
      <status>ignored</status>
      <modifiedWord/>
      <trackRevisions>false</trackRevisions>
    </reviewItem>
    <reviewItem>
      <errorID>edfc02e4-3bb6-4aad-b0df-4656e7c69917</errorID>
      <errorWord>)</errorWord>
      <group>L1_Format</group>
      <groupName>格式问题</groupName>
      <ability>L2_HalfPunc_CN</ability>
      <abilityName/>
      <candidateList>
        <item>）</item>
      </candidateList>
      <explain>文本全半角错误。</explain>
      <paraID>12E6BBFB</paraID>
      <start>103</start>
      <end>104</end>
      <status>ignored</status>
      <modifiedWord/>
      <trackRevisions>false</trackRevisions>
    </reviewItem>
    <reviewItem>
      <errorID>0cad9507-031f-42c2-aae9-3c00223672af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915F35C</paraID>
      <start>0</start>
      <end>2</end>
      <status>ignored</status>
      <modifiedWord/>
      <trackRevisions>false</trackRevisions>
    </reviewItem>
    <reviewItem>
      <errorID>fa729363-5125-41eb-8334-c80435916291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1F3DD9D8</paraID>
      <start>0</start>
      <end>2</end>
      <status>ignored</status>
      <modifiedWord/>
      <trackRevisions>false</trackRevisions>
    </reviewItem>
    <reviewItem>
      <errorID>e971d5a2-0192-4941-9460-1ba210f2282e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EED6701</paraID>
      <start>0</start>
      <end>2</end>
      <status>ignored</status>
      <modifiedWord/>
      <trackRevisions>false</trackRevisions>
    </reviewItem>
    <reviewItem>
      <errorID>17700d67-7339-49cf-a8e8-b96d7cfece5f</errorID>
      <errorWord>IV</errorWord>
      <group>L1_Knowledge</group>
      <groupName>知识性问题</groupName>
      <ability>L2_Knowledge</ability>
      <abilityName>其他知识</abilityName>
      <candidateList>
        <item>Ⅳ</item>
      </candidateList>
      <explain/>
      <paraID>4E685477</paraID>
      <start>31</start>
      <end>32</end>
      <status>modified</status>
      <modifiedWord>Ⅳ</modifiedWord>
      <trackRevisions>false</trackRevisions>
    </reviewItem>
    <reviewItem>
      <errorID>c02cdfbb-c4d4-40c1-a437-6729cf482ab0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5B45ADF4</paraID>
      <start>0</start>
      <end>2</end>
      <status>ignored</status>
      <modifiedWord/>
      <trackRevisions>false</trackRevisions>
    </reviewItem>
    <reviewItem>
      <errorID>a75ab076-6e64-4fd3-aca2-e190c3aa1ab5</errorID>
      <errorWord>IV</errorWord>
      <group>L1_Knowledge</group>
      <groupName>知识性问题</groupName>
      <ability>L2_Knowledge</ability>
      <abilityName>其他知识</abilityName>
      <candidateList>
        <item>Ⅳ</item>
      </candidateList>
      <explain/>
      <paraID> 422EFBF</paraID>
      <start>31</start>
      <end>32</end>
      <status>modified</status>
      <modifiedWord>Ⅳ</modifiedWord>
      <trackRevisions>false</trackRevisions>
    </reviewItem>
    <reviewItem>
      <errorID>e6b2060c-c989-49a3-9697-f1cf499279b1</errorID>
      <errorWord>～</errorWord>
      <group>L1_Format</group>
      <groupName>格式问题</groupName>
      <ability>L2_HalfPunc_CN</ability>
      <abilityName/>
      <candidateList>
        <item>~</item>
      </candidateList>
      <explain>文本全半角错误。</explain>
      <paraID>3D7F0C76</paraID>
      <start>1</start>
      <end>2</end>
      <status>unmodified</status>
      <modifiedWord/>
      <trackRevisions>false</trackRevisions>
    </reviewItem>
    <reviewItem>
      <errorID>b8b96018-663f-4af4-a3e3-e717997450bc</errorID>
      <errorWord>～</errorWord>
      <group>L1_Format</group>
      <groupName>格式问题</groupName>
      <ability>L2_HalfPunc_CN</ability>
      <abilityName/>
      <candidateList>
        <item>~</item>
      </candidateList>
      <explain>文本全半角错误。</explain>
      <paraID>35FFE38D</paraID>
      <start>1</start>
      <end>2</end>
      <status>unmodified</status>
      <modifiedWord/>
      <trackRevisions>false</trackRevisions>
    </reviewItem>
    <reviewItem>
      <errorID>730b27c0-4e9f-48e2-920c-ce0f5c53ba26</errorID>
      <errorWord>《土壤环境质量 农用地土壤污染风险管控标准》（试行）</errorWord>
      <group>L1_Knowledge</group>
      <groupName>知识性问题</groupName>
      <ability>L2_Knowledge</ability>
      <abilityName>其他知识</abilityName>
      <candidateList>
        <item>《土壤环境质量 农用地土壤污染风险管控标准（试行）》</item>
      </candidateList>
      <explain>疑似政策文件、法律法规名称等书写不规范，请注意检查。</explain>
      <paraID>1D218614</paraID>
      <start>9</start>
      <end>35</end>
      <status>modified</status>
      <modifiedWord>《土壤环境质量 农用地土壤污染风险管控标准（试行）》</modifiedWord>
      <trackRevisions>false</trackRevisions>
    </reviewItem>
    <reviewItem>
      <errorID>58448d8f-6de7-4cb6-9ef5-576d83cb67b4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3924B432</paraID>
      <start>0</start>
      <end>2</end>
      <status>ignored</status>
      <modifiedWord/>
      <trackRevisions>false</trackRevisions>
    </reviewItem>
    <reviewItem>
      <errorID>4c1455a6-3269-4689-a715-0c5bbf9614e4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C20DE8C</paraID>
      <start>0</start>
      <end>2</end>
      <status>ignored</status>
      <modifiedWord/>
      <trackRevisions>false</trackRevisions>
    </reviewItem>
    <reviewItem>
      <errorID>85baa2f6-fe5f-4576-898c-81037577a217</errorID>
      <errorWord>上内</errorWord>
      <group>L1_Word</group>
      <groupName>字词问题</groupName>
      <ability>L2_Typo</ability>
      <abilityName>字词错误</abilityName>
      <candidateList>
        <item>上</item>
      </candidateList>
      <explain/>
      <paraID> 6E93F0D</paraID>
      <start>35</start>
      <end>36</end>
      <status>modified</status>
      <modifiedWord>上</modifiedWord>
      <trackRevisions>false</trackRevisions>
    </reviewItem>
    <reviewItem>
      <errorID>9e3d4d18-ef2f-400e-b400-99fff4103ddc</errorID>
      <errorWord>被被</errorWord>
      <group>L1_Word</group>
      <groupName>字词问题</groupName>
      <ability>L2_Typo</ability>
      <abilityName>字词错误</abilityName>
      <candidateList>
        <item>被</item>
      </candidateList>
      <explain>❶〈介〉用于被动句，引进动作的施事，前面的主语是动作的受事（施动者放在被字后，但有时省略）：解放军到处～（人）尊敬｜那棵树～（大风）刮倒了｜这套书～人借走了一本｜他～选为代表。❷〈助〉用在动词前表示被动的动作：～压迫民族｜～剥削阶级。</explain>
      <paraID>3E7121A0</paraID>
      <start>121</start>
      <end>122</end>
      <status>modified</status>
      <modifiedWord>被</modifiedWord>
      <trackRevisions>false</trackRevisions>
    </reviewItem>
    <reviewItem>
      <errorID>36fa5e12-a0eb-4846-8052-54fb315da6ed</errorID>
      <errorWord>地</errorWord>
      <group>L1_Word</group>
      <groupName>字词问题</groupName>
      <ability>L2_DDD</ability>
      <abilityName>的地得用法</abilityName>
      <candidateList>
        <item>的</item>
      </candidateList>
      <explain>“的”常用于连接修饰语与名词性中心语，表示属性、所属或描述。</explain>
      <paraID>3E7121A0</paraID>
      <start>227</start>
      <end>228</end>
      <status>modified</status>
      <modifiedWord>的</modifiedWord>
      <trackRevisions>false</trackRevisions>
    </reviewItem>
    <reviewItem>
      <errorID>57c1bffc-9e52-4dc3-ad5b-cc7b914d4690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1D97D2E3</paraID>
      <start>0</start>
      <end>2</end>
      <status>ignored</status>
      <modifiedWord/>
      <trackRevisions>false</trackRevisions>
    </reviewItem>
    <reviewItem>
      <errorID>e517b89d-985e-4d48-837c-5873002d6e44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6B0E1CD9</paraID>
      <start>0</start>
      <end>2</end>
      <status>ignored</status>
      <modifiedWord/>
      <trackRevisions>false</trackRevisions>
    </reviewItem>
    <reviewItem>
      <errorID>09933804-0283-4cdd-a1c5-44bf5490c999</errorID>
      <errorWord>混泥土养护</errorWord>
      <group>L1_Knowledge</group>
      <groupName>知识性问题</groupName>
      <ability>L2_Term</ability>
      <abilityName>专业术语</abilityName>
      <candidateList>
        <item>混凝土养护</item>
      </candidateList>
      <explain/>
      <paraID>3240307D</paraID>
      <start>137</start>
      <end>142</end>
      <status>modified</status>
      <modifiedWord>混凝土养护</modifiedWord>
      <trackRevisions>false</trackRevisions>
    </reviewItem>
    <reviewItem>
      <errorID>1e1112a0-bcd3-4cde-a001-8b7afd742f3a</errorID>
      <errorWord>混泥土养护</errorWord>
      <group>L1_Knowledge</group>
      <groupName>知识性问题</groupName>
      <ability>L2_Term</ability>
      <abilityName>专业术语</abilityName>
      <candidateList>
        <item>混凝土养护</item>
      </candidateList>
      <explain/>
      <paraID>3240307D</paraID>
      <start>182</start>
      <end>187</end>
      <status>modified</status>
      <modifiedWord>混凝土养护</modifiedWord>
      <trackRevisions>false</trackRevisions>
    </reviewItem>
    <reviewItem>
      <errorID>a8997eae-f4bd-415e-be9d-610e753ec472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1B23ED46</paraID>
      <start>0</start>
      <end>2</end>
      <status>ignored</status>
      <modifiedWord/>
      <trackRevisions>false</trackRevisions>
    </reviewItem>
    <reviewItem>
      <errorID>3121c59b-49c8-4be0-9f29-8197a5c87839</errorID>
      <errorWord>(</errorWord>
      <group>L1_Format</group>
      <groupName>格式问题</groupName>
      <ability>L2_HalfPunc_CN</ability>
      <abilityName/>
      <candidateList>
        <item>（</item>
      </candidateList>
      <explain>文本全半角错误。</explain>
      <paraID>6FC8EFF9</paraID>
      <start>36</start>
      <end>37</end>
      <status>ignored</status>
      <modifiedWord/>
      <trackRevisions>false</trackRevisions>
    </reviewItem>
    <reviewItem>
      <errorID>5f5ebecd-0590-4914-a4c3-fefea5a916da</errorID>
      <errorWord>)</errorWord>
      <group>L1_Format</group>
      <groupName>格式问题</groupName>
      <ability>L2_HalfPunc_CN</ability>
      <abilityName/>
      <candidateList>
        <item>）</item>
      </candidateList>
      <explain>文本全半角错误。</explain>
      <paraID>6FC8EFF9</paraID>
      <start>49</start>
      <end>50</end>
      <status>ignored</status>
      <modifiedWord/>
      <trackRevisions>false</trackRevisions>
    </reviewItem>
    <reviewItem>
      <errorID>60945321-f3c6-4582-ae7a-12d63c0dca7b</errorID>
      <errorWord>（</errorWord>
      <group>L1_Punc</group>
      <groupName>标点问题</groupName>
      <ability>L2_Punc_CN</ability>
      <abilityName/>
      <candidateList>
        <item/>
      </candidateList>
      <explain>同一形式括号套用。</explain>
      <paraID>6FC8EFF9</paraID>
      <start>57</start>
      <end>58</end>
      <status>unmodified</status>
      <modifiedWord/>
      <trackRevisions>false</trackRevisions>
    </reviewItem>
    <reviewItem>
      <errorID>1f78466f-1e6b-4f80-afe9-af4c07e3221c</errorID>
      <errorWord>(</errorWord>
      <group>L1_Punc</group>
      <groupName>标点问题</groupName>
      <ability>L2_Punc_CN</ability>
      <abilityName/>
      <candidateList/>
      <explain>同一形式括号套用。</explain>
      <paraID>6FC8EFF9</paraID>
      <start>62</start>
      <end>63</end>
      <status>unmodified</status>
      <modifiedWord/>
      <trackRevisions>false</trackRevisions>
    </reviewItem>
    <reviewItem>
      <errorID>26f20e5c-9b97-4f1b-91ce-e8a2e5db2a18</errorID>
      <errorWord>)</errorWord>
      <group>L1_Punc</group>
      <groupName>标点问题</groupName>
      <ability>L2_Punc_CN</ability>
      <abilityName/>
      <candidateList/>
      <explain>同一形式括号套用。</explain>
      <paraID>6FC8EFF9</paraID>
      <start>64</start>
      <end>65</end>
      <status>unmodified</status>
      <modifiedWord/>
      <trackRevisions>false</trackRevisions>
    </reviewItem>
    <reviewItem>
      <errorID>4a3477f9-842e-4542-a06d-707cba20e677</errorID>
      <errorWord>）</errorWord>
      <group>L1_Punc</group>
      <groupName>标点问题</groupName>
      <ability>L2_Punc_CN</ability>
      <abilityName/>
      <candidateList/>
      <explain>同一形式括号套用。</explain>
      <paraID>6FC8EFF9</paraID>
      <start>65</start>
      <end>66</end>
      <status>unmodified</status>
      <modifiedWord/>
      <trackRevisions>false</trackRevisions>
    </reviewItem>
    <reviewItem>
      <errorID>65cd06ed-7f7b-4c30-89e6-46d6834d6418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32E28A29</paraID>
      <start>0</start>
      <end>2</end>
      <status>ignored</status>
      <modifiedWord/>
      <trackRevisions>false</trackRevisions>
    </reviewItem>
    <reviewItem>
      <errorID>29918ad9-914a-4e73-98d9-310a245cbfb4</errorID>
      <errorWord>沟道</errorWord>
      <group>L1_Word</group>
      <groupName>字词问题</groupName>
      <ability>L2_Typo</ability>
      <abilityName>字词错误</abilityName>
      <candidateList>
        <item>沟</item>
      </candidateList>
      <explain/>
      <paraID>37AB0C6C</paraID>
      <start>9</start>
      <end>10</end>
      <status>modified</status>
      <modifiedWord>沟</modifiedWord>
      <trackRevisions>false</trackRevisions>
    </reviewItem>
    <reviewItem>
      <errorID>472f3c6d-e797-404a-accf-d384f572b04d</errorID>
      <errorWord>沟拜</errorWord>
      <group>L1_Word</group>
      <groupName>字词问题</groupName>
      <ability>L2_Typo</ability>
      <abilityName>字词错误</abilityName>
      <candidateList>
        <item>沟槽</item>
      </candidateList>
      <explain/>
      <paraID>37AB0C6C</paraID>
      <start>231</start>
      <end>233</end>
      <status>unmodified</status>
      <modifiedWord/>
      <trackRevisions>false</trackRevisions>
    </reviewItem>
    <reviewItem>
      <errorID>20b73663-f2e3-4865-9ec4-e50ff46a7dc8</errorID>
      <errorWord>后</errorWord>
      <group>L1_Word</group>
      <groupName>字词问题</groupName>
      <ability>L2_Typo</ability>
      <abilityName>字词错误</abilityName>
      <candidateList>
        <item>厚</item>
      </candidateList>
      <explain>存在发音相同字词的误用。</explain>
      <paraID>6518155B</paraID>
      <start>94</start>
      <end>95</end>
      <status>modified</status>
      <modifiedWord>厚</modifiedWord>
      <trackRevisions>false</trackRevisions>
    </reviewItem>
    <reviewItem>
      <errorID>6f2707cf-1931-4f2d-afb2-4fea7ede6a49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1D2AE25E</paraID>
      <start>0</start>
      <end>2</end>
      <status>unmodified</status>
      <modifiedWord/>
      <trackRevisions>false</trackRevisions>
    </reviewItem>
    <reviewItem>
      <errorID>59b15180-5fa2-4222-9e1b-005acae76772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7380D607</paraID>
      <start>0</start>
      <end>2</end>
      <status>ignored</status>
      <modifiedWord/>
      <trackRevisions>false</trackRevisions>
    </reviewItem>
    <reviewItem>
      <errorID>86d6582b-5abe-4fab-bc6a-e88757f47403</errorID>
      <errorWord>对放</errorWord>
      <group>L1_Word</group>
      <groupName>字词问题</groupName>
      <ability>L2_Typo</ability>
      <abilityName>字词错误</abilityName>
      <candidateList>
        <item>堆放</item>
      </candidateList>
      <explain>存在发音相同字词的误用。</explain>
      <paraID>65D82F50</paraID>
      <start>99</start>
      <end>101</end>
      <status>modified</status>
      <modifiedWord>堆放</modifiedWord>
      <trackRevisions>false</trackRevisions>
    </reviewItem>
    <reviewItem>
      <errorID>1324226c-d7a6-4844-9e89-305f9dd55d92</errorID>
      <errorWord>恢复为</errorWord>
      <group>L1_Word</group>
      <groupName>字词问题</groupName>
      <ability>L2_Typo</ability>
      <abilityName>字词错误</abilityName>
      <candidateList>
        <item>恢复</item>
      </candidateList>
      <explain/>
      <paraID>7FF8511C</paraID>
      <start>39</start>
      <end>41</end>
      <status>modified</status>
      <modifiedWord>恢复</modifiedWord>
      <trackRevisions>false</trackRevisions>
    </reviewItem>
    <reviewItem>
      <errorID>b65ad240-64eb-411f-8eb0-0179b674f775</errorID>
      <errorWord>现场现场</errorWord>
      <group>L1_Word</group>
      <groupName>字词问题</groupName>
      <ability>L2_Typo</ability>
      <abilityName>字词错误</abilityName>
      <candidateList>
        <item>现场</item>
      </candidateList>
      <explain/>
      <paraID>1AF4F8D0</paraID>
      <start>17</start>
      <end>19</end>
      <status>modified</status>
      <modifiedWord>现场</modifiedWord>
      <trackRevisions>false</trackRevisions>
    </reviewItem>
    <reviewItem>
      <errorID>6341c701-631b-4588-8f92-8a5de0727a80</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1AF4F8D0</paraID>
      <start>97</start>
      <end>98</end>
      <status>modified</status>
      <modifiedWord>地</modifiedWord>
      <trackRevisions>false</trackRevisions>
    </reviewItem>
    <reviewItem>
      <errorID>a659d6ce-7283-4a58-8448-c8ad17c50deb</errorID>
      <errorWord>拜上</errorWord>
      <group>L1_Word</group>
      <groupName>字词问题</groupName>
      <ability>L2_Typo</ability>
      <abilityName>字词错误</abilityName>
      <candidateList>
        <item>壁上</item>
      </candidateList>
      <explain>存在发音相近字词的误用。</explain>
      <paraID>1EFA1F9B</paraID>
      <start>40</start>
      <end>42</end>
      <status>unmodified</status>
      <modifiedWord/>
      <trackRevisions>false</trackRevisions>
    </reviewItem>
    <reviewItem>
      <errorID>91829df7-8508-4c79-862e-b747ae3e5774</errorID>
      <errorWord>，</errorWord>
      <group>L1_Word</group>
      <groupName>字词问题</groupName>
      <ability>L2_Typo</ability>
      <abilityName>字词错误</abilityName>
      <candidateList>
        <item>，在</item>
      </candidateList>
      <explain/>
      <paraID>7719E04C</paraID>
      <start>49</start>
      <end>51</end>
      <status>modified</status>
      <modifiedWord>，在</modifiedWord>
      <trackRevisions>false</trackRevisions>
    </reviewItem>
    <reviewItem>
      <errorID>2823d93f-5713-4c20-91de-9b41beecd26c</errorID>
      <errorWord>期</errorWord>
      <group>L1_Word</group>
      <groupName>字词问题</groupName>
      <ability>L2_Typo</ability>
      <abilityName>字词错误</abilityName>
      <candidateList>
        <item>期间</item>
      </candidateList>
      <explain>〈名〉某个时期里面：农忙～｜春节～｜抗战～。</explain>
      <paraID>7719E04C</paraID>
      <start>53</start>
      <end>55</end>
      <status>modified</status>
      <modifiedWord>期间</modifiedWord>
      <trackRevisions>false</trackRevisions>
    </reviewItem>
    <reviewItem>
      <errorID>9f4d3829-cfe2-45f1-8e42-cad1991329a7</errorID>
      <errorWord>期</errorWord>
      <group>L1_Word</group>
      <groupName>字词问题</groupName>
      <ability>L2_Typo</ability>
      <abilityName>字词错误</abilityName>
      <candidateList>
        <item>期间</item>
      </candidateList>
      <explain>〈名〉某个时期里面：农忙～｜春节～｜抗战～。</explain>
      <paraID>2B2E314D</paraID>
      <start>4</start>
      <end>6</end>
      <status>modified</status>
      <modifiedWord>期间</modifiedWord>
      <trackRevisions>false</trackRevisions>
    </reviewItem>
    <reviewItem>
      <errorID>31dcb388-18cf-47c7-8349-479de053f963</errorID>
      <errorWord>周边外</errorWord>
      <group>L1_Word</group>
      <groupName>字词问题</groupName>
      <ability>L2_Typo</ability>
      <abilityName>字词错误</abilityName>
      <candidateList>
        <item>周边</item>
      </candidateList>
      <explain/>
      <paraID>41183867</paraID>
      <start>54</start>
      <end>56</end>
      <status>modified</status>
      <modifiedWord>周边</modifiedWord>
      <trackRevisions>false</trackRevisions>
    </reviewItem>
    <reviewItem>
      <errorID>2988350d-4082-4c76-b654-951272aa5a43</errorID>
      <errorWord>已</errorWord>
      <group>L1_Word</group>
      <groupName>字词问题</groupName>
      <ability>L2_Typo</ability>
      <abilityName>字词错误</abilityName>
      <candidateList>
        <item>以</item>
      </candidateList>
      <explain>用在单纯的方位词前，组成合成的方位词或方位结构，表示时间、方位、数量的界限：～前｜～上｜三日～后｜县级～上｜长江～南｜五千～内｜二十岁～下。</explain>
      <paraID>3B40C806</paraID>
      <start>37</start>
      <end>38</end>
      <status>modified</status>
      <modifiedWord>以</modifiedWord>
      <trackRevisions>false</trackRevisions>
    </reviewItem>
    <reviewItem>
      <errorID>582c5df0-3f39-449d-be02-08fc0085c411</errorID>
      <errorWord>；</errorWord>
      <group>L1_Word</group>
      <groupName>字词问题</groupName>
      <ability>L2_Typo</ability>
      <abilityName>字词错误</abilityName>
      <candidateList>
        <item>；在</item>
      </candidateList>
      <explain/>
      <paraID>1F4226D0</paraID>
      <start>66</start>
      <end>68</end>
      <status>modified</status>
      <modifiedWord>；在</modifiedWord>
      <trackRevisions>false</trackRevisions>
    </reviewItem>
    <reviewItem>
      <errorID>df74e8aa-be95-4e90-8858-105eaff488ab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1F56C1F8</paraID>
      <start>0</start>
      <end>2</end>
      <status>ignored</status>
      <modifiedWord/>
      <trackRevisions>false</trackRevisions>
    </reviewItem>
    <reviewItem>
      <errorID>e5cbb9b5-3d5c-45fc-b43f-bae453d4cbcf</errorID>
      <errorWord>抛撒</errorWord>
      <group>L1_Word</group>
      <groupName>字词问题</groupName>
      <ability>L2_Typo</ability>
      <abilityName>字词错误</abilityName>
      <candidateList>
        <item>抛洒</item>
      </candidateList>
      <explain>存在发音相同字词的误用。</explain>
      <paraID>1F2FE744</paraID>
      <start>60</start>
      <end>62</end>
      <status>unmodified</status>
      <modifiedWord/>
      <trackRevisions>false</trackRevisions>
    </reviewItem>
    <reviewItem>
      <errorID>a4701a9b-80b7-4652-a2fa-4d58a2685470</errorID>
      <errorWord>(</errorWord>
      <group>L1_Format</group>
      <groupName>格式问题</groupName>
      <ability>L2_HalfPunc_CN</ability>
      <abilityName/>
      <candidateList>
        <item>（</item>
      </candidateList>
      <explain>文本全半角错误。</explain>
      <paraID>5A860DB1</paraID>
      <start>69</start>
      <end>70</end>
      <status>ignored</status>
      <modifiedWord/>
      <trackRevisions>false</trackRevisions>
    </reviewItem>
    <reviewItem>
      <errorID>599cc896-8ddb-4cb9-acee-cbb82bd35758</errorID>
      <errorWord>)</errorWord>
      <group>L1_Format</group>
      <groupName>格式问题</groupName>
      <ability>L2_HalfPunc_CN</ability>
      <abilityName/>
      <candidateList>
        <item>）</item>
      </candidateList>
      <explain>文本全半角错误。</explain>
      <paraID>5A860DB1</paraID>
      <start>82</start>
      <end>83</end>
      <status>ignored</status>
      <modifiedWord/>
      <trackRevisions>false</trackRevisions>
    </reviewItem>
    <reviewItem>
      <errorID>5986a41c-20c3-4bd2-9122-f33f18b428aa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2C758ED4</paraID>
      <start>0</start>
      <end>2</end>
      <status>ignored</status>
      <modifiedWord/>
      <trackRevisions>false</trackRevisions>
    </reviewItem>
    <reviewItem>
      <errorID>c1d9d396-6dd8-4ad3-81d8-e0453aacf7bb</errorID>
      <errorWord>混泥土</errorWord>
      <group>L1_Word</group>
      <groupName>字词问题</groupName>
      <ability>L2_Typo</ability>
      <abilityName>字词错误</abilityName>
      <candidateList>
        <item>混凝土</item>
      </candidateList>
      <explain>〈名〉一种建筑材料，一般用水泥、沙、石子和水按比例拌和而成，硬结后有耐压、耐水、耐火等性能。</explain>
      <paraID>27CE6C4D</paraID>
      <start>66</start>
      <end>69</end>
      <status>modified</status>
      <modifiedWord>混凝土</modifiedWord>
      <trackRevisions>false</trackRevisions>
    </reviewItem>
    <reviewItem>
      <errorID>94492945-0229-429d-a405-200eec08a99f</errorID>
      <errorWord>混泥土</errorWord>
      <group>L1_Word</group>
      <groupName>字词问题</groupName>
      <ability>L2_Typo</ability>
      <abilityName>字词错误</abilityName>
      <candidateList>
        <item>混凝土</item>
      </candidateList>
      <explain>〈名〉一种建筑材料，一般用水泥、沙、石子和水按比例拌和而成，硬结后有耐压、耐水、耐火等性能。</explain>
      <paraID>27CE6C4D</paraID>
      <start>76</start>
      <end>79</end>
      <status>modified</status>
      <modifiedWord>混凝土</modifiedWord>
      <trackRevisions>false</trackRevisions>
    </reviewItem>
    <reviewItem>
      <errorID>963d4f56-11fb-4c75-a7cf-b8fb095ed2cd</errorID>
      <errorWord>混泥土养护</errorWord>
      <group>L1_Knowledge</group>
      <groupName>知识性问题</groupName>
      <ability>L2_Term</ability>
      <abilityName>专业术语</abilityName>
      <candidateList>
        <item>混凝土养护</item>
      </candidateList>
      <explain/>
      <paraID>27CE6C4D</paraID>
      <start>118</start>
      <end>123</end>
      <status>modified</status>
      <modifiedWord>混凝土养护</modifiedWord>
      <trackRevisions>false</trackRevisions>
    </reviewItem>
    <reviewItem>
      <errorID>6764f83b-fd42-4919-a519-802ad6e6a91f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1ECB15F1</paraID>
      <start>0</start>
      <end>2</end>
      <status>ignored</status>
      <modifiedWord/>
      <trackRevisions>false</trackRevisions>
    </reviewItem>
    <reviewItem>
      <errorID>e75f2770-51f1-47ce-8154-200ae6b07204</errorID>
      <errorWord>：</errorWord>
      <group>L1_Format</group>
      <groupName>格式问题</groupName>
      <ability>L2_HalfPunc_CN</ability>
      <abilityName/>
      <candidateList>
        <item>:</item>
      </candidateList>
      <explain>文本全半角错误。</explain>
      <paraID>158B232B</paraID>
      <start>57</start>
      <end>58</end>
      <status>ignored</status>
      <modifiedWord/>
      <trackRevisions>false</trackRevisions>
    </reviewItem>
    <reviewItem>
      <errorID>e78f620f-e724-43f1-9a7f-171a0e138d6c</errorID>
      <errorWord>：</errorWord>
      <group>L1_Format</group>
      <groupName>格式问题</groupName>
      <ability>L2_HalfPunc_CN</ability>
      <abilityName/>
      <candidateList>
        <item>:</item>
      </candidateList>
      <explain>文本全半角错误。</explain>
      <paraID>158B232B</paraID>
      <start>63</start>
      <end>64</end>
      <status>ignored</status>
      <modifiedWord/>
      <trackRevisions>false</trackRevisions>
    </reviewItem>
    <reviewItem>
      <errorID>ee35ea69-8262-449b-b326-15d458757ecf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74B08CE3</paraID>
      <start>0</start>
      <end>2</end>
      <status>ignored</status>
      <modifiedWord/>
      <trackRevisions>false</trackRevisions>
    </reviewItem>
    <reviewItem>
      <errorID>a55d09d2-dfee-41e0-9a27-fd7b3d2077f8</errorID>
      <errorWord>沟道</errorWord>
      <group>L1_Word</group>
      <groupName>字词问题</groupName>
      <ability>L2_Typo</ability>
      <abilityName>字词错误</abilityName>
      <candidateList>
        <item>沟</item>
      </candidateList>
      <explain/>
      <paraID>551F860D</paraID>
      <start>9</start>
      <end>10</end>
      <status>modified</status>
      <modifiedWord>沟</modifiedWord>
      <trackRevisions>false</trackRevisions>
    </reviewItem>
    <reviewItem>
      <errorID>31c52cfe-a2c2-4519-bba5-b50adda5977e</errorID>
      <errorWord>沟拜</errorWord>
      <group>L1_Word</group>
      <groupName>字词问题</groupName>
      <ability>L2_Typo</ability>
      <abilityName>字词错误</abilityName>
      <candidateList>
        <item>沟槽</item>
      </candidateList>
      <explain/>
      <paraID>551F860D</paraID>
      <start>231</start>
      <end>233</end>
      <status>unmodified</status>
      <modifiedWord/>
      <trackRevisions>false</trackRevisions>
    </reviewItem>
    <reviewItem>
      <errorID>11882f14-1585-47c1-8930-6cfd0e060243</errorID>
      <errorWord>后</errorWord>
      <group>L1_Word</group>
      <groupName>字词问题</groupName>
      <ability>L2_Typo</ability>
      <abilityName>字词错误</abilityName>
      <candidateList>
        <item>厚</item>
      </candidateList>
      <explain>存在发音相同字词的误用。</explain>
      <paraID>74414461</paraID>
      <start>94</start>
      <end>95</end>
      <status>modified</status>
      <modifiedWord>厚</modifiedWord>
      <trackRevisions>false</trackRevisions>
    </reviewItem>
    <reviewItem>
      <errorID>0c4b4664-2ca7-4bec-a208-99677c8de211</errorID>
      <errorWord>抛撒</errorWord>
      <group>L1_Word</group>
      <groupName>字词问题</groupName>
      <ability>L2_Typo</ability>
      <abilityName>字词错误</abilityName>
      <candidateList>
        <item>抛洒</item>
      </candidateList>
      <explain>存在发音相同字词的误用。</explain>
      <paraID> 4129C7F</paraID>
      <start>186</start>
      <end>188</end>
      <status>unmodified</status>
      <modifiedWord/>
      <trackRevisions>false</trackRevisions>
    </reviewItem>
    <reviewItem>
      <errorID>06526eb9-3e55-47b9-8b91-8bf5b408ff32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45B200AA</paraID>
      <start>0</start>
      <end>3</end>
      <status>ignored</status>
      <modifiedWord/>
      <trackRevisions>false</trackRevisions>
    </reviewItem>
    <reviewItem>
      <errorID>2e01e608-63bd-4aaa-b79f-df70330e8347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5A10D2B2</paraID>
      <start>0</start>
      <end>3</end>
      <status>ignored</status>
      <modifiedWord/>
      <trackRevisions>false</trackRevisions>
    </reviewItem>
    <reviewItem>
      <errorID>5c762b97-4ac7-43b2-b3b0-fb83acefca7c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3208211F</paraID>
      <start>0</start>
      <end>3</end>
      <status>ignored</status>
      <modifiedWord/>
      <trackRevisions>false</trackRevisions>
    </reviewItem>
    <reviewItem>
      <errorID>79ceadf3-1aa9-4090-8f18-9953b7be2955</errorID>
      <errorWord>其它</errorWord>
      <group>L1_Word</group>
      <groupName>字词问题</groupName>
      <ability>L2_Alias</ability>
      <abilityName>也作/曾用词</abilityName>
      <candidateList>
        <item>其他</item>
      </candidateList>
      <explain>词汇[其它]为不规范表述或旧称，其规范书面表述为[其他]。</explain>
      <paraID>3208211F</paraID>
      <start>13</start>
      <end>15</end>
      <status>modified</status>
      <modifiedWord>其他</modifiedWord>
      <trackRevisions>false</trackRevisions>
    </reviewItem>
    <reviewItem>
      <errorID>f043cb22-96e3-4044-a61e-f0d04bac8957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592B7874</paraID>
      <start>0</start>
      <end>3</end>
      <status>unmodified</status>
      <modifiedWord/>
      <trackRevisions>false</trackRevisions>
    </reviewItem>
    <reviewItem>
      <errorID>466091f1-3d82-4188-91d7-1b57b423a841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2E4C5D65</paraID>
      <start>0</start>
      <end>2</end>
      <status>ignored</status>
      <modifiedWord/>
      <trackRevisions>false</trackRevisions>
    </reviewItem>
    <reviewItem>
      <errorID>b2d2d97e-f089-4564-85d0-a7a291ca8369</errorID>
      <errorWord>“</errorWord>
      <group>L1_Punc</group>
      <groupName>标点问题</groupName>
      <ability>L2_Punc_CN</ability>
      <abilityName/>
      <candidateList/>
      <explain>此处标点可能未正确匹配，请检查句子中是否存在标点冗余、缺失或使用错误的情况。</explain>
      <paraID>3AE5840D</paraID>
      <start>28</start>
      <end>29</end>
      <status>unmodified</status>
      <modifiedWord/>
      <trackRevisions>false</trackRevisions>
    </reviewItem>
    <reviewItem>
      <errorID>4499a8cf-5095-4c8b-9dc8-65da422fd2d0</errorID>
      <errorWord>，</errorWord>
      <group>L1_Word</group>
      <groupName>字词问题</groupName>
      <ability>L2_Typo</ability>
      <abilityName>字词错误</abilityName>
      <candidateList>
        <item>，在</item>
      </candidateList>
      <explain/>
      <paraID>26656470</paraID>
      <start>10</start>
      <end>12</end>
      <status>modified</status>
      <modifiedWord>，在</modifiedWord>
      <trackRevisions>false</trackRevisions>
    </reviewItem>
    <reviewItem>
      <errorID>a20a54d8-a0fd-4a20-90fd-c706f25e71d4</errorID>
      <errorWord>期</errorWord>
      <group>L1_Word</group>
      <groupName>字词问题</groupName>
      <ability>L2_Typo</ability>
      <abilityName>字词错误</abilityName>
      <candidateList>
        <item>期间</item>
      </candidateList>
      <explain>〈名〉某个时期里面：农忙～｜春节～｜抗战～。</explain>
      <paraID>26656470</paraID>
      <start>14</start>
      <end>16</end>
      <status>modified</status>
      <modifiedWord>期间</modifiedWord>
      <trackRevisions>false</trackRevisions>
    </reviewItem>
    <reviewItem>
      <errorID>693098f8-a04b-4adb-a986-6af973cbf050</errorID>
      <errorWord>滥采</errorWord>
      <group>L1_Word</group>
      <groupName>字词问题</groupName>
      <ability>L2_Typo</ability>
      <abilityName>字词错误</abilityName>
      <candidateList>
        <item>乱采</item>
      </candidateList>
      <explain>存在发音相近字词的误用。</explain>
      <paraID>274ADFFA</paraID>
      <start>27</start>
      <end>29</end>
      <status>modified</status>
      <modifiedWord>乱采</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C6182E-FC0C-4C30-809D-EC99C9BF6654}">
  <ds:schemaRefs/>
</ds:datastoreItem>
</file>

<file path=customXml/itemProps3.xml><?xml version="1.0" encoding="utf-8"?>
<ds:datastoreItem xmlns:ds="http://schemas.openxmlformats.org/officeDocument/2006/customXml" ds:itemID="{68ac7261-0117-4f1a-905c-916e7e89525e}">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74</Pages>
  <Words>16338</Words>
  <Characters>20083</Characters>
  <Lines>160</Lines>
  <Paragraphs>45</Paragraphs>
  <TotalTime>56</TotalTime>
  <ScaleCrop>false</ScaleCrop>
  <LinksUpToDate>false</LinksUpToDate>
  <CharactersWithSpaces>20219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鱼儿</cp:lastModifiedBy>
  <cp:lastPrinted>2026-05-19T10:12:00Z</cp:lastPrinted>
  <dcterms:modified xsi:type="dcterms:W3CDTF">2026-05-20T01:50:58Z</dcterms:modified>
  <dc:title>附件2</dc:title>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ED94F87F8C0F4832A876DADEB9B917C7_13</vt:lpwstr>
  </property>
  <property fmtid="{D5CDD505-2E9C-101B-9397-08002B2CF9AE}" pid="4" name="KSOTemplateDocerSaveRecord">
    <vt:lpwstr>eyJoZGlkIjoiZTY5MGFlNTdlZjkzNjdlYzUyMzQ3OTY0OTRlZmU5N2IiLCJ1c2VySWQiOiI0NjI0MTY4NzQifQ==</vt:lpwstr>
  </property>
</Properties>
</file>