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01FD8">
      <w:pPr>
        <w:tabs>
          <w:tab w:val="left" w:pos="4767"/>
        </w:tabs>
        <w:spacing w:line="288" w:lineRule="auto"/>
        <w:rPr>
          <w:rFonts w:hint="default" w:ascii="Times New Roman" w:hAnsi="Times New Roman" w:cs="Times New Roman"/>
          <w:color w:val="auto"/>
        </w:rPr>
      </w:pPr>
    </w:p>
    <w:p w14:paraId="453275B0">
      <w:pPr>
        <w:tabs>
          <w:tab w:val="left" w:pos="4767"/>
        </w:tabs>
        <w:spacing w:line="288" w:lineRule="auto"/>
        <w:rPr>
          <w:rFonts w:hint="default" w:ascii="Times New Roman" w:hAnsi="Times New Roman" w:cs="Times New Roman"/>
          <w:color w:val="auto"/>
        </w:rPr>
      </w:pPr>
    </w:p>
    <w:p w14:paraId="3BD9C112">
      <w:pPr>
        <w:tabs>
          <w:tab w:val="left" w:pos="4767"/>
        </w:tabs>
        <w:spacing w:line="288" w:lineRule="auto"/>
        <w:rPr>
          <w:rFonts w:hint="default" w:ascii="Times New Roman" w:hAnsi="Times New Roman" w:cs="Times New Roman"/>
          <w:color w:val="auto"/>
        </w:rPr>
      </w:pPr>
    </w:p>
    <w:p w14:paraId="2BD0AB1A">
      <w:pPr>
        <w:tabs>
          <w:tab w:val="left" w:pos="4767"/>
        </w:tabs>
        <w:spacing w:line="288" w:lineRule="auto"/>
        <w:rPr>
          <w:rFonts w:hint="default" w:ascii="Times New Roman" w:hAnsi="Times New Roman" w:cs="Times New Roman"/>
          <w:color w:val="auto"/>
        </w:rPr>
      </w:pPr>
    </w:p>
    <w:p w14:paraId="7F40DCEF">
      <w:pPr>
        <w:tabs>
          <w:tab w:val="left" w:pos="4767"/>
        </w:tabs>
        <w:spacing w:line="288" w:lineRule="auto"/>
        <w:rPr>
          <w:rFonts w:hint="default" w:ascii="Times New Roman" w:hAnsi="Times New Roman" w:cs="Times New Roman"/>
          <w:color w:val="auto"/>
        </w:rPr>
      </w:pPr>
    </w:p>
    <w:p w14:paraId="7668AA84">
      <w:pPr>
        <w:tabs>
          <w:tab w:val="left" w:pos="4767"/>
        </w:tabs>
        <w:spacing w:line="288" w:lineRule="auto"/>
        <w:rPr>
          <w:rFonts w:hint="default" w:ascii="Times New Roman" w:hAnsi="Times New Roman" w:cs="Times New Roman"/>
          <w:color w:val="auto"/>
        </w:rPr>
      </w:pPr>
    </w:p>
    <w:p w14:paraId="28628729">
      <w:pPr>
        <w:widowControl/>
        <w:tabs>
          <w:tab w:val="left" w:pos="4767"/>
        </w:tabs>
        <w:kinsoku w:val="0"/>
        <w:autoSpaceDE w:val="0"/>
        <w:autoSpaceDN w:val="0"/>
        <w:adjustRightInd w:val="0"/>
        <w:snapToGrid w:val="0"/>
        <w:spacing w:before="309" w:line="183" w:lineRule="auto"/>
        <w:ind w:left="223"/>
        <w:jc w:val="center"/>
        <w:textAlignment w:val="baseline"/>
        <w:outlineLvl w:val="0"/>
        <w:rPr>
          <w:rFonts w:hint="default" w:ascii="Times New Roman" w:hAnsi="Times New Roman" w:eastAsia="微软雅黑" w:cs="Times New Roman"/>
          <w:snapToGrid w:val="0"/>
          <w:color w:val="auto"/>
          <w:spacing w:val="-2"/>
          <w:kern w:val="0"/>
          <w:sz w:val="72"/>
          <w:szCs w:val="72"/>
        </w:rPr>
      </w:pPr>
      <w:r>
        <w:rPr>
          <w:rFonts w:hint="default" w:ascii="Times New Roman" w:hAnsi="Times New Roman" w:eastAsia="方正小标宋简体" w:cs="Times New Roman"/>
          <w:snapToGrid w:val="0"/>
          <w:color w:val="auto"/>
          <w:spacing w:val="-2"/>
          <w:kern w:val="0"/>
          <w:sz w:val="72"/>
          <w:szCs w:val="72"/>
        </w:rPr>
        <w:t>建设项目环境影响报告表</w:t>
      </w:r>
    </w:p>
    <w:p w14:paraId="66E7F773">
      <w:pPr>
        <w:widowControl/>
        <w:tabs>
          <w:tab w:val="left" w:pos="4767"/>
        </w:tabs>
        <w:kinsoku w:val="0"/>
        <w:autoSpaceDE w:val="0"/>
        <w:autoSpaceDN w:val="0"/>
        <w:adjustRightInd w:val="0"/>
        <w:snapToGrid w:val="0"/>
        <w:spacing w:before="283" w:line="215" w:lineRule="auto"/>
        <w:jc w:val="center"/>
        <w:textAlignment w:val="baseline"/>
        <w:rPr>
          <w:rFonts w:hint="default" w:ascii="Times New Roman" w:hAnsi="Times New Roman" w:eastAsia="楷体" w:cs="Times New Roman"/>
          <w:snapToGrid w:val="0"/>
          <w:color w:val="auto"/>
          <w:spacing w:val="27"/>
          <w:kern w:val="0"/>
          <w:sz w:val="48"/>
          <w:szCs w:val="48"/>
        </w:rPr>
      </w:pPr>
      <w:r>
        <w:rPr>
          <w:rFonts w:hint="default" w:ascii="Times New Roman" w:hAnsi="Times New Roman" w:eastAsia="楷体" w:cs="Times New Roman"/>
          <w:snapToGrid w:val="0"/>
          <w:color w:val="auto"/>
          <w:spacing w:val="27"/>
          <w:kern w:val="0"/>
          <w:sz w:val="48"/>
          <w:szCs w:val="48"/>
        </w:rPr>
        <w:t>(污染影响类)</w:t>
      </w:r>
    </w:p>
    <w:p w14:paraId="6C0CE286">
      <w:pPr>
        <w:tabs>
          <w:tab w:val="left" w:pos="4767"/>
        </w:tabs>
        <w:spacing w:line="288" w:lineRule="auto"/>
        <w:rPr>
          <w:rFonts w:hint="eastAsia" w:cs="Times New Roman"/>
          <w:color w:val="auto"/>
          <w:lang w:eastAsia="zh-CN"/>
        </w:rPr>
      </w:pPr>
    </w:p>
    <w:p w14:paraId="1525429E">
      <w:pPr>
        <w:tabs>
          <w:tab w:val="left" w:pos="4767"/>
        </w:tabs>
        <w:spacing w:line="288" w:lineRule="auto"/>
        <w:rPr>
          <w:rFonts w:hint="eastAsia" w:cs="Times New Roman"/>
          <w:color w:val="auto"/>
          <w:lang w:eastAsia="zh-CN"/>
        </w:rPr>
      </w:pPr>
    </w:p>
    <w:p w14:paraId="455B1029">
      <w:pPr>
        <w:tabs>
          <w:tab w:val="left" w:pos="4767"/>
        </w:tabs>
        <w:spacing w:line="288" w:lineRule="auto"/>
        <w:rPr>
          <w:rFonts w:hint="default" w:ascii="Times New Roman" w:hAnsi="Times New Roman" w:cs="Times New Roman"/>
          <w:color w:val="auto"/>
        </w:rPr>
      </w:pPr>
    </w:p>
    <w:p w14:paraId="5187DADF">
      <w:pPr>
        <w:tabs>
          <w:tab w:val="left" w:pos="4767"/>
        </w:tabs>
        <w:spacing w:line="288" w:lineRule="auto"/>
        <w:rPr>
          <w:rFonts w:hint="default" w:ascii="Times New Roman" w:hAnsi="Times New Roman" w:cs="Times New Roman"/>
          <w:color w:val="auto"/>
        </w:rPr>
      </w:pPr>
    </w:p>
    <w:p w14:paraId="63E47F04">
      <w:pPr>
        <w:tabs>
          <w:tab w:val="left" w:pos="4767"/>
        </w:tabs>
        <w:spacing w:line="288" w:lineRule="auto"/>
        <w:rPr>
          <w:rFonts w:hint="default" w:ascii="Times New Roman" w:hAnsi="Times New Roman" w:cs="Times New Roman"/>
          <w:color w:val="auto"/>
        </w:rPr>
      </w:pPr>
    </w:p>
    <w:p w14:paraId="5BAA03F5">
      <w:pPr>
        <w:tabs>
          <w:tab w:val="left" w:pos="4767"/>
        </w:tabs>
        <w:spacing w:line="288" w:lineRule="auto"/>
        <w:rPr>
          <w:rFonts w:hint="default" w:ascii="Times New Roman" w:hAnsi="Times New Roman" w:cs="Times New Roman"/>
          <w:color w:val="auto"/>
        </w:rPr>
      </w:pPr>
    </w:p>
    <w:p w14:paraId="2C5FB0DD">
      <w:pPr>
        <w:tabs>
          <w:tab w:val="left" w:pos="4767"/>
        </w:tabs>
        <w:spacing w:line="288" w:lineRule="auto"/>
        <w:rPr>
          <w:rFonts w:hint="default" w:ascii="Times New Roman" w:hAnsi="Times New Roman" w:cs="Times New Roman"/>
          <w:color w:val="auto"/>
        </w:rPr>
      </w:pPr>
    </w:p>
    <w:p w14:paraId="2466BFE6">
      <w:pPr>
        <w:tabs>
          <w:tab w:val="left" w:pos="4767"/>
        </w:tabs>
        <w:spacing w:line="288" w:lineRule="auto"/>
        <w:rPr>
          <w:rFonts w:hint="default" w:ascii="Times New Roman" w:hAnsi="Times New Roman" w:cs="Times New Roman"/>
          <w:color w:val="auto"/>
        </w:rPr>
      </w:pPr>
    </w:p>
    <w:p w14:paraId="14DC91A1">
      <w:pPr>
        <w:tabs>
          <w:tab w:val="left" w:pos="4767"/>
        </w:tabs>
        <w:spacing w:line="288" w:lineRule="auto"/>
        <w:rPr>
          <w:rFonts w:hint="default" w:ascii="Times New Roman" w:hAnsi="Times New Roman" w:cs="Times New Roman"/>
          <w:color w:val="auto"/>
        </w:rPr>
      </w:pPr>
    </w:p>
    <w:p w14:paraId="6CCB945E">
      <w:pPr>
        <w:tabs>
          <w:tab w:val="left" w:pos="4767"/>
        </w:tabs>
        <w:spacing w:line="288" w:lineRule="auto"/>
        <w:rPr>
          <w:rFonts w:hint="default" w:ascii="Times New Roman" w:hAnsi="Times New Roman" w:cs="Times New Roman"/>
          <w:color w:val="auto"/>
        </w:rPr>
      </w:pPr>
    </w:p>
    <w:p w14:paraId="5907D3E8">
      <w:pPr>
        <w:tabs>
          <w:tab w:val="left" w:pos="4767"/>
        </w:tabs>
        <w:spacing w:line="288" w:lineRule="auto"/>
        <w:rPr>
          <w:rFonts w:hint="default" w:ascii="Times New Roman" w:hAnsi="Times New Roman" w:cs="Times New Roman"/>
          <w:color w:val="auto"/>
        </w:rPr>
      </w:pPr>
    </w:p>
    <w:p w14:paraId="1C594B91">
      <w:pPr>
        <w:tabs>
          <w:tab w:val="left" w:pos="4767"/>
        </w:tabs>
        <w:spacing w:line="288" w:lineRule="auto"/>
        <w:rPr>
          <w:rFonts w:hint="default" w:ascii="Times New Roman" w:hAnsi="Times New Roman" w:cs="Times New Roman"/>
          <w:color w:val="auto"/>
        </w:rPr>
      </w:pPr>
    </w:p>
    <w:p w14:paraId="28B4BCD0">
      <w:pPr>
        <w:tabs>
          <w:tab w:val="left" w:pos="4767"/>
        </w:tabs>
        <w:spacing w:line="288" w:lineRule="auto"/>
        <w:rPr>
          <w:rFonts w:hint="default" w:ascii="Times New Roman" w:hAnsi="Times New Roman" w:cs="Times New Roman"/>
          <w:color w:val="auto"/>
        </w:rPr>
      </w:pPr>
    </w:p>
    <w:p w14:paraId="38BC47D0">
      <w:pPr>
        <w:tabs>
          <w:tab w:val="left" w:pos="4767"/>
        </w:tabs>
        <w:spacing w:line="288" w:lineRule="auto"/>
        <w:rPr>
          <w:rFonts w:hint="default" w:ascii="Times New Roman" w:hAnsi="Times New Roman" w:cs="Times New Roman"/>
          <w:color w:val="auto"/>
        </w:rPr>
      </w:pPr>
    </w:p>
    <w:p w14:paraId="2A1BBEA5">
      <w:pPr>
        <w:tabs>
          <w:tab w:val="left" w:pos="4767"/>
        </w:tabs>
        <w:spacing w:line="288" w:lineRule="auto"/>
        <w:rPr>
          <w:rFonts w:hint="default" w:ascii="Times New Roman" w:hAnsi="Times New Roman" w:cs="Times New Roman"/>
          <w:color w:val="auto"/>
        </w:rPr>
      </w:pPr>
    </w:p>
    <w:p w14:paraId="056D8FBE">
      <w:pPr>
        <w:tabs>
          <w:tab w:val="left" w:pos="4767"/>
        </w:tabs>
        <w:adjustRightInd w:val="0"/>
        <w:spacing w:line="360" w:lineRule="auto"/>
        <w:ind w:firstLine="640" w:firstLineChars="200"/>
        <w:rPr>
          <w:rFonts w:hint="default" w:ascii="Times New Roman" w:hAnsi="Times New Roman" w:eastAsia="黑体" w:cs="Times New Roman"/>
          <w:color w:val="auto"/>
          <w:sz w:val="32"/>
          <w:szCs w:val="32"/>
          <w:u w:val="single"/>
        </w:rPr>
      </w:pPr>
      <w:r>
        <w:rPr>
          <w:rFonts w:hint="default" w:ascii="Times New Roman" w:hAnsi="Times New Roman" w:eastAsia="黑体" w:cs="Times New Roman"/>
          <w:color w:val="auto"/>
          <w:sz w:val="32"/>
          <w:szCs w:val="32"/>
        </w:rPr>
        <w:t>项目名称：</w:t>
      </w:r>
      <w:r>
        <w:rPr>
          <w:rFonts w:hint="default" w:ascii="Times New Roman" w:hAnsi="Times New Roman" w:eastAsia="黑体" w:cs="Times New Roman"/>
          <w:color w:val="auto"/>
          <w:sz w:val="32"/>
          <w:szCs w:val="32"/>
          <w:u w:val="single"/>
        </w:rPr>
        <w:t xml:space="preserve"> </w:t>
      </w:r>
      <w:r>
        <w:rPr>
          <w:rFonts w:hint="eastAsia" w:eastAsia="黑体" w:cs="Times New Roman"/>
          <w:color w:val="auto"/>
          <w:sz w:val="32"/>
          <w:szCs w:val="32"/>
          <w:u w:val="single"/>
          <w:lang w:val="en-US" w:eastAsia="zh-CN"/>
        </w:rPr>
        <w:t xml:space="preserve">   国道629线中卫至下小河段公路工程    </w:t>
      </w:r>
      <w:r>
        <w:rPr>
          <w:rFonts w:hint="default" w:ascii="Times New Roman" w:hAnsi="Times New Roman" w:eastAsia="黑体" w:cs="Times New Roman"/>
          <w:color w:val="auto"/>
          <w:sz w:val="32"/>
          <w:szCs w:val="32"/>
          <w:u w:val="single"/>
        </w:rPr>
        <w:t xml:space="preserve"> </w:t>
      </w:r>
    </w:p>
    <w:p w14:paraId="573030A8">
      <w:pPr>
        <w:tabs>
          <w:tab w:val="left" w:pos="4767"/>
        </w:tabs>
        <w:adjustRightInd w:val="0"/>
        <w:spacing w:line="360" w:lineRule="auto"/>
        <w:ind w:firstLine="2240" w:firstLineChars="700"/>
        <w:rPr>
          <w:rFonts w:hint="default" w:ascii="Times New Roman" w:hAnsi="Times New Roman" w:eastAsia="黑体" w:cs="Times New Roman"/>
          <w:color w:val="auto"/>
          <w:sz w:val="32"/>
          <w:szCs w:val="32"/>
          <w:u w:val="single"/>
        </w:rPr>
      </w:pPr>
      <w:r>
        <w:rPr>
          <w:rFonts w:hint="default" w:ascii="Times New Roman" w:hAnsi="Times New Roman" w:eastAsia="黑体" w:cs="Times New Roman"/>
          <w:color w:val="auto"/>
          <w:sz w:val="32"/>
          <w:szCs w:val="32"/>
          <w:u w:val="single"/>
        </w:rPr>
        <w:t xml:space="preserve">    </w:t>
      </w:r>
      <w:r>
        <w:rPr>
          <w:rFonts w:hint="eastAsia" w:eastAsia="黑体" w:cs="Times New Roman"/>
          <w:color w:val="auto"/>
          <w:sz w:val="32"/>
          <w:szCs w:val="32"/>
          <w:u w:val="single"/>
          <w:lang w:val="en-US" w:eastAsia="zh-CN"/>
        </w:rPr>
        <w:t xml:space="preserve"> </w:t>
      </w:r>
      <w:r>
        <w:rPr>
          <w:rFonts w:hint="default" w:ascii="Times New Roman" w:hAnsi="Times New Roman" w:eastAsia="黑体" w:cs="Times New Roman"/>
          <w:color w:val="auto"/>
          <w:sz w:val="32"/>
          <w:szCs w:val="32"/>
          <w:u w:val="single"/>
          <w:lang w:val="en-US" w:eastAsia="zh-CN"/>
        </w:rPr>
        <w:t xml:space="preserve">   </w:t>
      </w:r>
      <w:r>
        <w:rPr>
          <w:rFonts w:hint="eastAsia" w:eastAsia="黑体" w:cs="Times New Roman"/>
          <w:color w:val="auto"/>
          <w:sz w:val="32"/>
          <w:szCs w:val="32"/>
          <w:u w:val="single"/>
          <w:lang w:val="en-US" w:eastAsia="zh-CN"/>
        </w:rPr>
        <w:t xml:space="preserve">A2标临时沥青拌合站项目   </w:t>
      </w:r>
      <w:r>
        <w:rPr>
          <w:rFonts w:hint="default" w:ascii="Times New Roman" w:hAnsi="Times New Roman" w:eastAsia="黑体" w:cs="Times New Roman"/>
          <w:color w:val="auto"/>
          <w:sz w:val="32"/>
          <w:szCs w:val="32"/>
          <w:u w:val="single"/>
        </w:rPr>
        <w:t xml:space="preserve">   </w:t>
      </w:r>
      <w:r>
        <w:rPr>
          <w:rFonts w:hint="default" w:ascii="Times New Roman" w:hAnsi="Times New Roman" w:eastAsia="黑体" w:cs="Times New Roman"/>
          <w:color w:val="auto"/>
          <w:sz w:val="32"/>
          <w:szCs w:val="32"/>
          <w:u w:val="single"/>
          <w:lang w:val="en-US" w:eastAsia="zh-CN"/>
        </w:rPr>
        <w:t xml:space="preserve">    </w:t>
      </w:r>
    </w:p>
    <w:p w14:paraId="6EC7858E">
      <w:pPr>
        <w:tabs>
          <w:tab w:val="left" w:pos="4767"/>
        </w:tabs>
        <w:adjustRightInd w:val="0"/>
        <w:spacing w:line="360" w:lineRule="auto"/>
        <w:ind w:firstLine="640" w:firstLineChars="200"/>
        <w:rPr>
          <w:rFonts w:hint="default" w:ascii="Times New Roman" w:hAnsi="Times New Roman" w:eastAsia="黑体" w:cs="Times New Roman"/>
          <w:color w:val="auto"/>
          <w:sz w:val="32"/>
          <w:szCs w:val="32"/>
          <w:u w:val="single"/>
        </w:rPr>
      </w:pPr>
      <w:r>
        <w:rPr>
          <w:rFonts w:hint="default" w:ascii="Times New Roman" w:hAnsi="Times New Roman" w:eastAsia="黑体" w:cs="Times New Roman"/>
          <w:color w:val="auto"/>
          <w:sz w:val="32"/>
          <w:szCs w:val="32"/>
        </w:rPr>
        <w:t>建设单位(盖章)：</w:t>
      </w:r>
      <w:r>
        <w:rPr>
          <w:rFonts w:hint="default" w:ascii="Times New Roman" w:hAnsi="Times New Roman" w:eastAsia="黑体" w:cs="Times New Roman"/>
          <w:color w:val="auto"/>
          <w:sz w:val="32"/>
          <w:szCs w:val="32"/>
          <w:u w:val="single"/>
          <w:lang w:eastAsia="zh-CN"/>
        </w:rPr>
        <w:t>宁夏交建交通科技研究院有限公司</w:t>
      </w:r>
      <w:r>
        <w:rPr>
          <w:rFonts w:hint="default" w:ascii="Times New Roman" w:hAnsi="Times New Roman" w:eastAsia="黑体" w:cs="Times New Roman"/>
          <w:color w:val="auto"/>
          <w:sz w:val="32"/>
          <w:szCs w:val="32"/>
          <w:u w:val="single"/>
        </w:rPr>
        <w:t xml:space="preserve"> </w:t>
      </w:r>
      <w:r>
        <w:rPr>
          <w:rFonts w:hint="eastAsia" w:eastAsia="黑体" w:cs="Times New Roman"/>
          <w:color w:val="auto"/>
          <w:sz w:val="32"/>
          <w:szCs w:val="32"/>
          <w:u w:val="single"/>
          <w:lang w:val="en-US" w:eastAsia="zh-CN"/>
        </w:rPr>
        <w:t xml:space="preserve"> </w:t>
      </w:r>
      <w:r>
        <w:rPr>
          <w:rFonts w:hint="default" w:ascii="Times New Roman" w:hAnsi="Times New Roman" w:eastAsia="黑体" w:cs="Times New Roman"/>
          <w:color w:val="auto"/>
          <w:sz w:val="32"/>
          <w:szCs w:val="32"/>
          <w:u w:val="single"/>
          <w:lang w:val="en-US" w:eastAsia="zh-CN"/>
        </w:rPr>
        <w:t xml:space="preserve">  </w:t>
      </w:r>
      <w:r>
        <w:rPr>
          <w:rFonts w:hint="default" w:ascii="Times New Roman" w:hAnsi="Times New Roman" w:eastAsia="黑体" w:cs="Times New Roman"/>
          <w:color w:val="auto"/>
          <w:sz w:val="32"/>
          <w:szCs w:val="32"/>
          <w:u w:val="single"/>
        </w:rPr>
        <w:t xml:space="preserve"> </w:t>
      </w:r>
    </w:p>
    <w:p w14:paraId="775B8155">
      <w:pPr>
        <w:tabs>
          <w:tab w:val="left" w:pos="4767"/>
        </w:tabs>
        <w:adjustRightInd w:val="0"/>
        <w:spacing w:line="360" w:lineRule="auto"/>
        <w:ind w:firstLine="640" w:firstLineChars="200"/>
        <w:rPr>
          <w:rFonts w:hint="default" w:ascii="Times New Roman" w:hAnsi="Times New Roman" w:eastAsia="黑体" w:cs="Times New Roman"/>
          <w:color w:val="auto"/>
          <w:sz w:val="32"/>
          <w:szCs w:val="32"/>
          <w:u w:val="single"/>
        </w:rPr>
      </w:pPr>
      <w:r>
        <w:rPr>
          <w:rFonts w:hint="default" w:ascii="Times New Roman" w:hAnsi="Times New Roman" w:eastAsia="黑体" w:cs="Times New Roman"/>
          <w:color w:val="auto"/>
          <w:sz w:val="32"/>
          <w:szCs w:val="32"/>
        </w:rPr>
        <w:t>编制日期：</w:t>
      </w:r>
      <w:r>
        <w:rPr>
          <w:rFonts w:hint="default" w:ascii="Times New Roman" w:hAnsi="Times New Roman" w:eastAsia="黑体" w:cs="Times New Roman"/>
          <w:color w:val="auto"/>
          <w:sz w:val="32"/>
          <w:szCs w:val="32"/>
          <w:u w:val="single"/>
        </w:rPr>
        <w:t xml:space="preserve">      </w:t>
      </w:r>
      <w:r>
        <w:rPr>
          <w:rFonts w:hint="eastAsia" w:eastAsia="黑体" w:cs="Times New Roman"/>
          <w:color w:val="auto"/>
          <w:sz w:val="32"/>
          <w:szCs w:val="32"/>
          <w:u w:val="single"/>
          <w:lang w:val="en-US" w:eastAsia="zh-CN"/>
        </w:rPr>
        <w:t xml:space="preserve"> </w:t>
      </w:r>
      <w:r>
        <w:rPr>
          <w:rFonts w:hint="default" w:ascii="Times New Roman" w:hAnsi="Times New Roman" w:eastAsia="黑体" w:cs="Times New Roman"/>
          <w:color w:val="auto"/>
          <w:sz w:val="32"/>
          <w:szCs w:val="32"/>
          <w:u w:val="single"/>
        </w:rPr>
        <w:t xml:space="preserve">       202</w:t>
      </w:r>
      <w:r>
        <w:rPr>
          <w:rFonts w:hint="eastAsia" w:eastAsia="黑体" w:cs="Times New Roman"/>
          <w:color w:val="auto"/>
          <w:sz w:val="32"/>
          <w:szCs w:val="32"/>
          <w:u w:val="single"/>
          <w:lang w:val="en-US" w:eastAsia="zh-CN"/>
        </w:rPr>
        <w:t>6</w:t>
      </w:r>
      <w:r>
        <w:rPr>
          <w:rFonts w:hint="default" w:ascii="Times New Roman" w:hAnsi="Times New Roman" w:eastAsia="黑体" w:cs="Times New Roman"/>
          <w:color w:val="auto"/>
          <w:sz w:val="32"/>
          <w:szCs w:val="32"/>
          <w:u w:val="single"/>
        </w:rPr>
        <w:t>年</w:t>
      </w:r>
      <w:r>
        <w:rPr>
          <w:rFonts w:hint="eastAsia" w:eastAsia="黑体" w:cs="Times New Roman"/>
          <w:color w:val="auto"/>
          <w:sz w:val="32"/>
          <w:szCs w:val="32"/>
          <w:u w:val="single"/>
          <w:lang w:val="en-US" w:eastAsia="zh-CN"/>
        </w:rPr>
        <w:t>3</w:t>
      </w:r>
      <w:r>
        <w:rPr>
          <w:rFonts w:hint="default" w:ascii="Times New Roman" w:hAnsi="Times New Roman" w:eastAsia="黑体" w:cs="Times New Roman"/>
          <w:color w:val="auto"/>
          <w:sz w:val="32"/>
          <w:szCs w:val="32"/>
          <w:u w:val="single"/>
        </w:rPr>
        <w:t xml:space="preserve">月              </w:t>
      </w:r>
      <w:r>
        <w:rPr>
          <w:rFonts w:hint="default" w:ascii="Times New Roman" w:hAnsi="Times New Roman" w:eastAsia="黑体" w:cs="Times New Roman"/>
          <w:color w:val="auto"/>
          <w:sz w:val="32"/>
          <w:szCs w:val="32"/>
          <w:u w:val="single"/>
          <w:lang w:val="en-US" w:eastAsia="zh-CN"/>
        </w:rPr>
        <w:t xml:space="preserve">  </w:t>
      </w:r>
    </w:p>
    <w:p w14:paraId="0C7D97B0">
      <w:pPr>
        <w:tabs>
          <w:tab w:val="left" w:pos="4767"/>
        </w:tabs>
        <w:spacing w:line="288" w:lineRule="auto"/>
        <w:jc w:val="left"/>
        <w:rPr>
          <w:rFonts w:hint="default" w:ascii="Times New Roman" w:hAnsi="Times New Roman" w:cs="Times New Roman"/>
          <w:color w:val="auto"/>
        </w:rPr>
      </w:pPr>
    </w:p>
    <w:p w14:paraId="4930ED84">
      <w:pPr>
        <w:tabs>
          <w:tab w:val="left" w:pos="4767"/>
        </w:tabs>
        <w:spacing w:line="288" w:lineRule="auto"/>
        <w:jc w:val="left"/>
        <w:rPr>
          <w:rFonts w:hint="default" w:ascii="Times New Roman" w:hAnsi="Times New Roman" w:cs="Times New Roman"/>
          <w:color w:val="auto"/>
        </w:rPr>
      </w:pPr>
    </w:p>
    <w:p w14:paraId="7514ABBB">
      <w:pPr>
        <w:tabs>
          <w:tab w:val="left" w:pos="4767"/>
        </w:tabs>
        <w:spacing w:line="288" w:lineRule="auto"/>
        <w:jc w:val="left"/>
        <w:rPr>
          <w:rFonts w:hint="default" w:ascii="Times New Roman" w:hAnsi="Times New Roman" w:cs="Times New Roman"/>
          <w:color w:val="auto"/>
        </w:rPr>
      </w:pPr>
    </w:p>
    <w:p w14:paraId="350D096A">
      <w:pPr>
        <w:tabs>
          <w:tab w:val="left" w:pos="4767"/>
        </w:tabs>
        <w:spacing w:line="288" w:lineRule="auto"/>
        <w:jc w:val="left"/>
        <w:rPr>
          <w:rFonts w:hint="default" w:ascii="Times New Roman" w:hAnsi="Times New Roman" w:cs="Times New Roman"/>
          <w:color w:val="auto"/>
        </w:rPr>
      </w:pPr>
    </w:p>
    <w:p w14:paraId="502EF150">
      <w:pPr>
        <w:tabs>
          <w:tab w:val="left" w:pos="4767"/>
        </w:tabs>
        <w:spacing w:line="288" w:lineRule="auto"/>
        <w:jc w:val="left"/>
        <w:rPr>
          <w:rFonts w:hint="default" w:ascii="Times New Roman" w:hAnsi="Times New Roman" w:cs="Times New Roman"/>
          <w:color w:val="auto"/>
        </w:rPr>
      </w:pPr>
    </w:p>
    <w:p w14:paraId="33EC60AE">
      <w:pPr>
        <w:tabs>
          <w:tab w:val="left" w:pos="4767"/>
        </w:tabs>
        <w:spacing w:line="288" w:lineRule="auto"/>
        <w:jc w:val="left"/>
        <w:rPr>
          <w:rFonts w:hint="default" w:ascii="Times New Roman" w:hAnsi="Times New Roman" w:cs="Times New Roman"/>
          <w:color w:val="auto"/>
        </w:rPr>
      </w:pPr>
    </w:p>
    <w:p w14:paraId="0E45CC27">
      <w:pPr>
        <w:tabs>
          <w:tab w:val="left" w:pos="4767"/>
        </w:tabs>
        <w:adjustRightInd w:val="0"/>
        <w:spacing w:line="288" w:lineRule="auto"/>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中华人民共和国生态环境部制</w:t>
      </w:r>
    </w:p>
    <w:p w14:paraId="26B5BEF3">
      <w:pPr>
        <w:tabs>
          <w:tab w:val="left" w:pos="4767"/>
        </w:tabs>
        <w:spacing w:line="360" w:lineRule="auto"/>
        <w:rPr>
          <w:rFonts w:hint="default" w:ascii="Times New Roman" w:hAnsi="Times New Roman" w:eastAsia="黑体" w:cs="Times New Roman"/>
          <w:color w:val="auto"/>
        </w:rPr>
      </w:pPr>
    </w:p>
    <w:p w14:paraId="1BDFA26C">
      <w:pPr>
        <w:tabs>
          <w:tab w:val="left" w:pos="4767"/>
        </w:tabs>
        <w:spacing w:line="360" w:lineRule="auto"/>
        <w:rPr>
          <w:rFonts w:hint="default" w:ascii="Times New Roman" w:hAnsi="Times New Roman" w:eastAsia="黑体" w:cs="Times New Roman"/>
          <w:color w:val="auto"/>
        </w:rPr>
      </w:pPr>
      <w:bookmarkStart w:id="3" w:name="_GoBack"/>
      <w:bookmarkEnd w:id="3"/>
    </w:p>
    <w:p w14:paraId="6D66D8E1">
      <w:pPr>
        <w:tabs>
          <w:tab w:val="left" w:pos="4767"/>
        </w:tabs>
        <w:spacing w:line="360" w:lineRule="auto"/>
        <w:rPr>
          <w:rFonts w:hint="default" w:ascii="Times New Roman" w:hAnsi="Times New Roman" w:eastAsia="黑体" w:cs="Times New Roman"/>
          <w:color w:val="auto"/>
        </w:rPr>
      </w:pPr>
    </w:p>
    <w:p w14:paraId="1D9B332A">
      <w:pPr>
        <w:tabs>
          <w:tab w:val="left" w:pos="4767"/>
        </w:tabs>
        <w:spacing w:line="360" w:lineRule="auto"/>
        <w:rPr>
          <w:rFonts w:hint="default" w:ascii="Times New Roman" w:hAnsi="Times New Roman" w:eastAsia="黑体" w:cs="Times New Roman"/>
          <w:color w:val="auto"/>
        </w:rPr>
        <w:sectPr>
          <w:headerReference r:id="rId4" w:type="first"/>
          <w:footerReference r:id="rId6" w:type="first"/>
          <w:headerReference r:id="rId3" w:type="even"/>
          <w:footerReference r:id="rId5" w:type="even"/>
          <w:pgSz w:w="11907" w:h="16840"/>
          <w:pgMar w:top="1418" w:right="1418" w:bottom="1418" w:left="1418" w:header="851" w:footer="964" w:gutter="0"/>
          <w:pgBorders>
            <w:top w:val="none" w:sz="0" w:space="0"/>
            <w:left w:val="none" w:sz="0" w:space="0"/>
            <w:bottom w:val="none" w:sz="0" w:space="0"/>
            <w:right w:val="none" w:sz="0" w:space="0"/>
          </w:pgBorders>
          <w:cols w:space="720" w:num="1"/>
          <w:docGrid w:linePitch="326" w:charSpace="0"/>
        </w:sectPr>
      </w:pPr>
    </w:p>
    <w:p w14:paraId="66069CCF">
      <w:pPr>
        <w:tabs>
          <w:tab w:val="left" w:pos="4767"/>
        </w:tabs>
        <w:spacing w:before="240" w:after="60"/>
        <w:jc w:val="center"/>
        <w:outlineLvl w:val="0"/>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一、建设项目基本情况</w:t>
      </w:r>
    </w:p>
    <w:tbl>
      <w:tblPr>
        <w:tblStyle w:val="26"/>
        <w:tblW w:w="4919"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1865"/>
        <w:gridCol w:w="2054"/>
        <w:gridCol w:w="1892"/>
        <w:gridCol w:w="3139"/>
      </w:tblGrid>
      <w:tr w14:paraId="3A793E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042" w:type="pct"/>
            <w:tcMar>
              <w:top w:w="16" w:type="dxa"/>
              <w:left w:w="16" w:type="dxa"/>
              <w:right w:w="16" w:type="dxa"/>
            </w:tcMar>
            <w:vAlign w:val="center"/>
          </w:tcPr>
          <w:p w14:paraId="26BAA723">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建设项目名称</w:t>
            </w:r>
          </w:p>
        </w:tc>
        <w:tc>
          <w:tcPr>
            <w:tcW w:w="3957" w:type="pct"/>
            <w:gridSpan w:val="3"/>
            <w:vAlign w:val="center"/>
          </w:tcPr>
          <w:p w14:paraId="6E8D36B9">
            <w:pPr>
              <w:pStyle w:val="61"/>
              <w:tabs>
                <w:tab w:val="left" w:pos="4767"/>
              </w:tabs>
              <w:spacing w:line="400" w:lineRule="exact"/>
              <w:jc w:val="center"/>
              <w:rPr>
                <w:rFonts w:hint="eastAsia" w:ascii="Times New Roman" w:hAnsi="Times New Roman" w:eastAsia="宋体" w:cs="Times New Roman"/>
                <w:bCs w:val="0"/>
                <w:color w:val="auto"/>
                <w:sz w:val="24"/>
                <w:lang w:eastAsia="zh-CN"/>
              </w:rPr>
            </w:pPr>
            <w:r>
              <w:rPr>
                <w:rFonts w:hint="eastAsia" w:cs="Times New Roman"/>
                <w:bCs w:val="0"/>
                <w:color w:val="auto"/>
                <w:sz w:val="24"/>
                <w:lang w:eastAsia="zh-CN"/>
              </w:rPr>
              <w:t>国道629线中卫至下小河段公路工程A2标临时沥青拌合站项目</w:t>
            </w:r>
          </w:p>
        </w:tc>
      </w:tr>
      <w:tr w14:paraId="72E0A0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042" w:type="pct"/>
            <w:tcMar>
              <w:top w:w="16" w:type="dxa"/>
              <w:left w:w="16" w:type="dxa"/>
              <w:right w:w="16" w:type="dxa"/>
            </w:tcMar>
            <w:vAlign w:val="center"/>
          </w:tcPr>
          <w:p w14:paraId="586C534F">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项目代码</w:t>
            </w:r>
          </w:p>
        </w:tc>
        <w:tc>
          <w:tcPr>
            <w:tcW w:w="3957" w:type="pct"/>
            <w:gridSpan w:val="3"/>
            <w:vAlign w:val="center"/>
          </w:tcPr>
          <w:p w14:paraId="4EC4E70C">
            <w:pPr>
              <w:pStyle w:val="61"/>
              <w:tabs>
                <w:tab w:val="left" w:pos="4767"/>
              </w:tabs>
              <w:spacing w:line="400" w:lineRule="exact"/>
              <w:ind w:firstLine="213" w:firstLineChars="83"/>
              <w:jc w:val="center"/>
              <w:rPr>
                <w:rFonts w:hint="default" w:ascii="Times New Roman" w:hAnsi="Times New Roman" w:eastAsia="宋体" w:cs="Times New Roman"/>
                <w:bCs w:val="0"/>
                <w:color w:val="auto"/>
                <w:sz w:val="24"/>
                <w:lang w:val="en-US" w:eastAsia="zh-CN"/>
              </w:rPr>
            </w:pPr>
            <w:r>
              <w:rPr>
                <w:rFonts w:hint="default" w:ascii="Times New Roman" w:hAnsi="Times New Roman" w:cs="Times New Roman"/>
                <w:bCs w:val="0"/>
                <w:color w:val="auto"/>
                <w:sz w:val="24"/>
                <w:lang w:val="en-US" w:eastAsia="zh-CN"/>
              </w:rPr>
              <w:t>无</w:t>
            </w:r>
          </w:p>
        </w:tc>
      </w:tr>
      <w:tr w14:paraId="44AB54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1042" w:type="pct"/>
            <w:tcMar>
              <w:top w:w="16" w:type="dxa"/>
              <w:left w:w="16" w:type="dxa"/>
              <w:right w:w="16" w:type="dxa"/>
            </w:tcMar>
            <w:vAlign w:val="center"/>
          </w:tcPr>
          <w:p w14:paraId="2E684998">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建设单位联系人</w:t>
            </w:r>
          </w:p>
        </w:tc>
        <w:tc>
          <w:tcPr>
            <w:tcW w:w="1147" w:type="pct"/>
            <w:vAlign w:val="center"/>
          </w:tcPr>
          <w:p w14:paraId="71DC1B44">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刘吉峰</w:t>
            </w:r>
          </w:p>
        </w:tc>
        <w:tc>
          <w:tcPr>
            <w:tcW w:w="1057" w:type="pct"/>
            <w:vAlign w:val="center"/>
          </w:tcPr>
          <w:p w14:paraId="240EF1BF">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联系方式</w:t>
            </w:r>
          </w:p>
        </w:tc>
        <w:tc>
          <w:tcPr>
            <w:tcW w:w="1753" w:type="pct"/>
            <w:vAlign w:val="center"/>
          </w:tcPr>
          <w:p w14:paraId="6C5CF18B">
            <w:pPr>
              <w:pStyle w:val="61"/>
              <w:tabs>
                <w:tab w:val="left" w:pos="4767"/>
              </w:tabs>
              <w:spacing w:line="400" w:lineRule="exact"/>
              <w:jc w:val="center"/>
              <w:rPr>
                <w:rFonts w:hint="eastAsia" w:ascii="Times New Roman" w:hAnsi="Times New Roman" w:eastAsia="宋体" w:cs="Times New Roman"/>
                <w:bCs w:val="0"/>
                <w:color w:val="auto"/>
                <w:sz w:val="24"/>
                <w:lang w:eastAsia="zh-CN"/>
              </w:rPr>
            </w:pPr>
            <w:r>
              <w:rPr>
                <w:rFonts w:hint="eastAsia" w:cs="Times New Roman"/>
                <w:bCs w:val="0"/>
                <w:color w:val="auto"/>
                <w:sz w:val="24"/>
                <w:lang w:val="en-US" w:eastAsia="zh-CN"/>
              </w:rPr>
              <w:t>/</w:t>
            </w:r>
          </w:p>
        </w:tc>
      </w:tr>
      <w:tr w14:paraId="112C5C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1042" w:type="pct"/>
            <w:tcMar>
              <w:top w:w="16" w:type="dxa"/>
              <w:left w:w="16" w:type="dxa"/>
              <w:right w:w="16" w:type="dxa"/>
            </w:tcMar>
            <w:vAlign w:val="center"/>
          </w:tcPr>
          <w:p w14:paraId="7BD318BD">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建设地点</w:t>
            </w:r>
          </w:p>
        </w:tc>
        <w:tc>
          <w:tcPr>
            <w:tcW w:w="3957" w:type="pct"/>
            <w:gridSpan w:val="3"/>
            <w:vAlign w:val="center"/>
          </w:tcPr>
          <w:p w14:paraId="6C68F282">
            <w:pPr>
              <w:tabs>
                <w:tab w:val="left" w:pos="4767"/>
              </w:tabs>
              <w:spacing w:line="400" w:lineRule="exact"/>
              <w:jc w:val="center"/>
              <w:rPr>
                <w:rFonts w:hint="default" w:ascii="Times New Roman" w:hAnsi="Times New Roman" w:cs="Times New Roman"/>
                <w:color w:val="auto"/>
                <w:sz w:val="24"/>
                <w:lang w:val="en-US"/>
              </w:rPr>
            </w:pPr>
            <w:r>
              <w:rPr>
                <w:rFonts w:hint="default" w:ascii="Times New Roman" w:hAnsi="Times New Roman" w:cs="Times New Roman"/>
                <w:color w:val="auto"/>
                <w:sz w:val="24"/>
                <w:lang w:val="en-US" w:eastAsia="zh-CN"/>
              </w:rPr>
              <w:t>宁夏回族自治区中卫市沙坡头区常乐镇枣林村（附图1-1）</w:t>
            </w:r>
          </w:p>
        </w:tc>
      </w:tr>
      <w:tr w14:paraId="7242B7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042" w:type="pct"/>
            <w:tcMar>
              <w:top w:w="16" w:type="dxa"/>
              <w:left w:w="16" w:type="dxa"/>
              <w:right w:w="16" w:type="dxa"/>
            </w:tcMar>
            <w:vAlign w:val="center"/>
          </w:tcPr>
          <w:p w14:paraId="6DD78EBE">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地理坐标</w:t>
            </w:r>
          </w:p>
        </w:tc>
        <w:tc>
          <w:tcPr>
            <w:tcW w:w="3957" w:type="pct"/>
            <w:gridSpan w:val="3"/>
            <w:vAlign w:val="center"/>
          </w:tcPr>
          <w:p w14:paraId="018BFBAC">
            <w:pPr>
              <w:tabs>
                <w:tab w:val="left" w:pos="4767"/>
              </w:tabs>
              <w:spacing w:line="4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东经</w:t>
            </w:r>
            <w:r>
              <w:rPr>
                <w:rFonts w:hint="default" w:ascii="Times New Roman" w:hAnsi="Times New Roman" w:cs="Times New Roman"/>
                <w:color w:val="auto"/>
                <w:sz w:val="24"/>
                <w:u w:val="single"/>
              </w:rPr>
              <w:t>10</w:t>
            </w:r>
            <w:r>
              <w:rPr>
                <w:rFonts w:hint="default" w:ascii="Times New Roman" w:hAnsi="Times New Roman" w:cs="Times New Roman"/>
                <w:color w:val="auto"/>
                <w:sz w:val="24"/>
                <w:u w:val="single"/>
                <w:lang w:val="en-US" w:eastAsia="zh-CN"/>
              </w:rPr>
              <w:t>5</w:t>
            </w:r>
            <w:r>
              <w:rPr>
                <w:rFonts w:hint="default" w:ascii="Times New Roman" w:hAnsi="Times New Roman" w:cs="Times New Roman"/>
                <w:color w:val="auto"/>
                <w:sz w:val="24"/>
              </w:rPr>
              <w:t>度</w:t>
            </w:r>
            <w:r>
              <w:rPr>
                <w:rFonts w:hint="default" w:ascii="Times New Roman" w:hAnsi="Times New Roman" w:cs="Times New Roman"/>
                <w:color w:val="auto"/>
                <w:sz w:val="24"/>
                <w:u w:val="single"/>
                <w:lang w:val="en-US" w:eastAsia="zh-CN"/>
              </w:rPr>
              <w:t>8</w:t>
            </w:r>
            <w:r>
              <w:rPr>
                <w:rFonts w:hint="default" w:ascii="Times New Roman" w:hAnsi="Times New Roman" w:cs="Times New Roman"/>
                <w:color w:val="auto"/>
                <w:sz w:val="24"/>
              </w:rPr>
              <w:t>分</w:t>
            </w:r>
            <w:r>
              <w:rPr>
                <w:rFonts w:hint="default" w:ascii="Times New Roman" w:hAnsi="Times New Roman" w:cs="Times New Roman"/>
                <w:color w:val="auto"/>
                <w:sz w:val="24"/>
                <w:u w:val="single"/>
                <w:lang w:val="en-US" w:eastAsia="zh-CN"/>
              </w:rPr>
              <w:t>52.780</w:t>
            </w:r>
            <w:r>
              <w:rPr>
                <w:rFonts w:hint="default" w:ascii="Times New Roman" w:hAnsi="Times New Roman" w:cs="Times New Roman"/>
                <w:color w:val="auto"/>
                <w:sz w:val="24"/>
              </w:rPr>
              <w:t>秒，北纬</w:t>
            </w:r>
            <w:r>
              <w:rPr>
                <w:rFonts w:hint="default" w:ascii="Times New Roman" w:hAnsi="Times New Roman" w:cs="Times New Roman"/>
                <w:color w:val="auto"/>
                <w:sz w:val="24"/>
                <w:u w:val="single"/>
                <w:lang w:val="en-US" w:eastAsia="zh-CN"/>
              </w:rPr>
              <w:t>37</w:t>
            </w:r>
            <w:r>
              <w:rPr>
                <w:rFonts w:hint="default" w:ascii="Times New Roman" w:hAnsi="Times New Roman" w:cs="Times New Roman"/>
                <w:color w:val="auto"/>
                <w:sz w:val="24"/>
              </w:rPr>
              <w:t>度</w:t>
            </w:r>
            <w:r>
              <w:rPr>
                <w:rFonts w:hint="default" w:ascii="Times New Roman" w:hAnsi="Times New Roman" w:cs="Times New Roman"/>
                <w:color w:val="auto"/>
                <w:sz w:val="24"/>
                <w:u w:val="single"/>
                <w:lang w:val="en-US" w:eastAsia="zh-CN"/>
              </w:rPr>
              <w:t>2</w:t>
            </w:r>
            <w:r>
              <w:rPr>
                <w:rFonts w:hint="default" w:ascii="Times New Roman" w:hAnsi="Times New Roman" w:cs="Times New Roman"/>
                <w:color w:val="auto"/>
                <w:sz w:val="24"/>
                <w:u w:val="single"/>
              </w:rPr>
              <w:t>7</w:t>
            </w:r>
            <w:r>
              <w:rPr>
                <w:rFonts w:hint="default" w:ascii="Times New Roman" w:hAnsi="Times New Roman" w:cs="Times New Roman"/>
                <w:color w:val="auto"/>
                <w:sz w:val="24"/>
              </w:rPr>
              <w:t>分</w:t>
            </w:r>
            <w:r>
              <w:rPr>
                <w:rFonts w:hint="default" w:ascii="Times New Roman" w:hAnsi="Times New Roman" w:cs="Times New Roman"/>
                <w:color w:val="auto"/>
                <w:sz w:val="24"/>
                <w:u w:val="single"/>
                <w:lang w:val="en-US" w:eastAsia="zh-CN"/>
              </w:rPr>
              <w:t>56.240</w:t>
            </w:r>
            <w:r>
              <w:rPr>
                <w:rFonts w:hint="default" w:ascii="Times New Roman" w:hAnsi="Times New Roman" w:cs="Times New Roman"/>
                <w:color w:val="auto"/>
                <w:sz w:val="24"/>
              </w:rPr>
              <w:t>秒</w:t>
            </w:r>
          </w:p>
        </w:tc>
      </w:tr>
      <w:tr w14:paraId="205702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37" w:hRule="atLeast"/>
          <w:jc w:val="center"/>
        </w:trPr>
        <w:tc>
          <w:tcPr>
            <w:tcW w:w="1042" w:type="pct"/>
            <w:tcMar>
              <w:top w:w="16" w:type="dxa"/>
              <w:left w:w="16" w:type="dxa"/>
              <w:right w:w="16" w:type="dxa"/>
            </w:tcMar>
            <w:vAlign w:val="center"/>
          </w:tcPr>
          <w:p w14:paraId="048C1DB2">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国民经济</w:t>
            </w:r>
          </w:p>
          <w:p w14:paraId="0E5BF222">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行业类别</w:t>
            </w:r>
          </w:p>
        </w:tc>
        <w:tc>
          <w:tcPr>
            <w:tcW w:w="1147" w:type="pct"/>
            <w:vAlign w:val="center"/>
          </w:tcPr>
          <w:p w14:paraId="7864CC3A">
            <w:pPr>
              <w:pStyle w:val="61"/>
              <w:tabs>
                <w:tab w:val="left" w:pos="4767"/>
              </w:tabs>
              <w:spacing w:line="400" w:lineRule="exact"/>
              <w:rPr>
                <w:rFonts w:hint="default" w:ascii="Times New Roman" w:hAnsi="Times New Roman" w:cs="Times New Roman"/>
                <w:bCs w:val="0"/>
                <w:color w:val="auto"/>
                <w:sz w:val="24"/>
              </w:rPr>
            </w:pPr>
            <w:r>
              <w:rPr>
                <w:rFonts w:hint="default" w:ascii="Times New Roman" w:hAnsi="Times New Roman" w:cs="Times New Roman"/>
                <w:bCs w:val="0"/>
                <w:color w:val="auto"/>
                <w:sz w:val="24"/>
              </w:rPr>
              <w:t>C30</w:t>
            </w:r>
            <w:r>
              <w:rPr>
                <w:rFonts w:hint="default" w:ascii="Times New Roman" w:hAnsi="Times New Roman" w:cs="Times New Roman"/>
                <w:bCs w:val="0"/>
                <w:color w:val="auto"/>
                <w:sz w:val="24"/>
                <w:lang w:val="en-US" w:eastAsia="zh-CN"/>
              </w:rPr>
              <w:t>99其他非金属矿物制品制造</w:t>
            </w:r>
          </w:p>
        </w:tc>
        <w:tc>
          <w:tcPr>
            <w:tcW w:w="1057" w:type="pct"/>
            <w:vAlign w:val="center"/>
          </w:tcPr>
          <w:p w14:paraId="4DFBD105">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建设项目</w:t>
            </w:r>
          </w:p>
          <w:p w14:paraId="508E81B6">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行业类别</w:t>
            </w:r>
          </w:p>
        </w:tc>
        <w:tc>
          <w:tcPr>
            <w:tcW w:w="1753" w:type="pct"/>
            <w:vAlign w:val="center"/>
          </w:tcPr>
          <w:p w14:paraId="0612F53E">
            <w:pPr>
              <w:pStyle w:val="61"/>
              <w:tabs>
                <w:tab w:val="left" w:pos="4767"/>
              </w:tabs>
              <w:spacing w:line="400" w:lineRule="exact"/>
              <w:rPr>
                <w:rFonts w:hint="default" w:ascii="Times New Roman" w:hAnsi="Times New Roman" w:cs="Times New Roman"/>
                <w:bCs w:val="0"/>
                <w:color w:val="auto"/>
                <w:sz w:val="24"/>
              </w:rPr>
            </w:pPr>
            <w:r>
              <w:rPr>
                <w:rFonts w:hint="default" w:ascii="Times New Roman" w:hAnsi="Times New Roman" w:cs="Times New Roman"/>
                <w:bCs w:val="0"/>
                <w:color w:val="auto"/>
                <w:sz w:val="24"/>
              </w:rPr>
              <w:t>二十七、非金属矿物制品业，</w:t>
            </w:r>
            <w:r>
              <w:rPr>
                <w:rFonts w:hint="default" w:ascii="Times New Roman" w:hAnsi="Times New Roman" w:cs="Times New Roman"/>
                <w:bCs w:val="0"/>
                <w:color w:val="auto"/>
                <w:sz w:val="24"/>
                <w:lang w:val="en-US" w:eastAsia="zh-CN"/>
              </w:rPr>
              <w:t>60、石墨及其他非金属矿物制品制造</w:t>
            </w:r>
          </w:p>
        </w:tc>
      </w:tr>
      <w:tr w14:paraId="5075C7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042" w:type="pct"/>
            <w:tcMar>
              <w:top w:w="16" w:type="dxa"/>
              <w:left w:w="16" w:type="dxa"/>
              <w:right w:w="16" w:type="dxa"/>
            </w:tcMar>
            <w:vAlign w:val="center"/>
          </w:tcPr>
          <w:p w14:paraId="44F46F80">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建设性质</w:t>
            </w:r>
          </w:p>
        </w:tc>
        <w:tc>
          <w:tcPr>
            <w:tcW w:w="1147" w:type="pct"/>
          </w:tcPr>
          <w:p w14:paraId="70664F7F">
            <w:pPr>
              <w:pStyle w:val="61"/>
              <w:tabs>
                <w:tab w:val="left" w:pos="4767"/>
              </w:tabs>
              <w:spacing w:line="400" w:lineRule="exact"/>
              <w:rPr>
                <w:rFonts w:hint="default" w:ascii="Times New Roman" w:hAnsi="Times New Roman" w:cs="Times New Roman"/>
                <w:bCs w:val="0"/>
                <w:color w:val="auto"/>
                <w:sz w:val="24"/>
              </w:rPr>
            </w:pPr>
            <w:r>
              <w:rPr>
                <w:rFonts w:hint="default" w:ascii="Times New Roman" w:hAnsi="Times New Roman" w:cs="Times New Roman"/>
                <w:bCs w:val="0"/>
                <w:color w:val="auto"/>
                <w:sz w:val="24"/>
              </w:rPr>
              <w:sym w:font="Wingdings 2" w:char="0052"/>
            </w:r>
            <w:r>
              <w:rPr>
                <w:rFonts w:hint="default" w:ascii="Times New Roman" w:hAnsi="Times New Roman" w:cs="Times New Roman"/>
                <w:bCs w:val="0"/>
                <w:color w:val="auto"/>
                <w:sz w:val="24"/>
              </w:rPr>
              <w:t>新建(迁建)</w:t>
            </w:r>
          </w:p>
          <w:p w14:paraId="2004BEB7">
            <w:pPr>
              <w:pStyle w:val="61"/>
              <w:tabs>
                <w:tab w:val="left" w:pos="4767"/>
              </w:tabs>
              <w:spacing w:line="400" w:lineRule="exact"/>
              <w:rPr>
                <w:rFonts w:hint="default" w:ascii="Times New Roman" w:hAnsi="Times New Roman" w:cs="Times New Roman"/>
                <w:bCs w:val="0"/>
                <w:color w:val="auto"/>
                <w:sz w:val="24"/>
              </w:rPr>
            </w:pPr>
            <w:r>
              <w:rPr>
                <w:rFonts w:hint="default" w:ascii="Times New Roman" w:hAnsi="Times New Roman" w:cs="Times New Roman"/>
                <w:bCs w:val="0"/>
                <w:color w:val="auto"/>
                <w:sz w:val="24"/>
              </w:rPr>
              <w:sym w:font="Wingdings 2" w:char="00A3"/>
            </w:r>
            <w:r>
              <w:rPr>
                <w:rFonts w:hint="default" w:ascii="Times New Roman" w:hAnsi="Times New Roman" w:cs="Times New Roman"/>
                <w:bCs w:val="0"/>
                <w:color w:val="auto"/>
                <w:sz w:val="24"/>
              </w:rPr>
              <w:t>改建</w:t>
            </w:r>
          </w:p>
          <w:p w14:paraId="71152474">
            <w:pPr>
              <w:tabs>
                <w:tab w:val="left" w:pos="4767"/>
              </w:tabs>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扩建</w:t>
            </w:r>
          </w:p>
          <w:p w14:paraId="53247C43">
            <w:pPr>
              <w:pStyle w:val="61"/>
              <w:tabs>
                <w:tab w:val="left" w:pos="4767"/>
              </w:tabs>
              <w:spacing w:line="400" w:lineRule="exact"/>
              <w:rPr>
                <w:rFonts w:hint="default" w:ascii="Times New Roman" w:hAnsi="Times New Roman" w:cs="Times New Roman"/>
                <w:bCs w:val="0"/>
                <w:color w:val="auto"/>
                <w:sz w:val="24"/>
              </w:rPr>
            </w:pPr>
            <w:r>
              <w:rPr>
                <w:rFonts w:hint="default" w:ascii="Times New Roman" w:hAnsi="Times New Roman" w:cs="Times New Roman"/>
                <w:bCs w:val="0"/>
                <w:color w:val="auto"/>
                <w:sz w:val="24"/>
              </w:rPr>
              <w:sym w:font="Wingdings 2" w:char="00A3"/>
            </w:r>
            <w:r>
              <w:rPr>
                <w:rFonts w:hint="default" w:ascii="Times New Roman" w:hAnsi="Times New Roman" w:cs="Times New Roman"/>
                <w:bCs w:val="0"/>
                <w:color w:val="auto"/>
                <w:sz w:val="24"/>
              </w:rPr>
              <w:t>技术改造</w:t>
            </w:r>
          </w:p>
        </w:tc>
        <w:tc>
          <w:tcPr>
            <w:tcW w:w="1057" w:type="pct"/>
            <w:vAlign w:val="center"/>
          </w:tcPr>
          <w:p w14:paraId="39BFF593">
            <w:pPr>
              <w:pStyle w:val="61"/>
              <w:tabs>
                <w:tab w:val="left" w:pos="4767"/>
              </w:tabs>
              <w:spacing w:line="400" w:lineRule="exact"/>
              <w:ind w:firstLine="213" w:firstLineChars="83"/>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建设项目</w:t>
            </w:r>
          </w:p>
          <w:p w14:paraId="143CDD13">
            <w:pPr>
              <w:pStyle w:val="61"/>
              <w:tabs>
                <w:tab w:val="left" w:pos="4767"/>
              </w:tabs>
              <w:spacing w:line="400" w:lineRule="exact"/>
              <w:ind w:firstLine="213" w:firstLineChars="83"/>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申报情形</w:t>
            </w:r>
          </w:p>
        </w:tc>
        <w:tc>
          <w:tcPr>
            <w:tcW w:w="1753" w:type="pct"/>
            <w:vAlign w:val="center"/>
          </w:tcPr>
          <w:p w14:paraId="7DF9DF1E">
            <w:pPr>
              <w:tabs>
                <w:tab w:val="left" w:pos="4767"/>
              </w:tabs>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首次申报项目</w:t>
            </w:r>
          </w:p>
          <w:p w14:paraId="75F16B18">
            <w:pPr>
              <w:pStyle w:val="61"/>
              <w:tabs>
                <w:tab w:val="left" w:pos="4767"/>
              </w:tabs>
              <w:spacing w:line="400" w:lineRule="exact"/>
              <w:rPr>
                <w:rFonts w:hint="default" w:ascii="Times New Roman" w:hAnsi="Times New Roman" w:cs="Times New Roman"/>
                <w:bCs w:val="0"/>
                <w:color w:val="auto"/>
                <w:sz w:val="24"/>
              </w:rPr>
            </w:pPr>
            <w:r>
              <w:rPr>
                <w:rFonts w:hint="default" w:ascii="Times New Roman" w:hAnsi="Times New Roman" w:cs="Times New Roman"/>
                <w:bCs w:val="0"/>
                <w:color w:val="auto"/>
                <w:sz w:val="24"/>
              </w:rPr>
              <w:sym w:font="Wingdings 2" w:char="00A3"/>
            </w:r>
            <w:r>
              <w:rPr>
                <w:rFonts w:hint="default" w:ascii="Times New Roman" w:hAnsi="Times New Roman" w:cs="Times New Roman"/>
                <w:bCs w:val="0"/>
                <w:color w:val="auto"/>
                <w:sz w:val="24"/>
              </w:rPr>
              <w:t>不予批准后再次申报项目</w:t>
            </w:r>
          </w:p>
          <w:p w14:paraId="49A678D2">
            <w:pPr>
              <w:pStyle w:val="61"/>
              <w:tabs>
                <w:tab w:val="left" w:pos="4767"/>
              </w:tabs>
              <w:spacing w:line="400" w:lineRule="exact"/>
              <w:rPr>
                <w:rFonts w:hint="default" w:ascii="Times New Roman" w:hAnsi="Times New Roman" w:cs="Times New Roman"/>
                <w:bCs w:val="0"/>
                <w:color w:val="auto"/>
                <w:sz w:val="24"/>
              </w:rPr>
            </w:pPr>
            <w:r>
              <w:rPr>
                <w:rFonts w:hint="default" w:ascii="Times New Roman" w:hAnsi="Times New Roman" w:cs="Times New Roman"/>
                <w:bCs w:val="0"/>
                <w:color w:val="auto"/>
                <w:sz w:val="24"/>
              </w:rPr>
              <w:sym w:font="Wingdings 2" w:char="00A3"/>
            </w:r>
            <w:r>
              <w:rPr>
                <w:rFonts w:hint="default" w:ascii="Times New Roman" w:hAnsi="Times New Roman" w:cs="Times New Roman"/>
                <w:bCs w:val="0"/>
                <w:color w:val="auto"/>
                <w:sz w:val="24"/>
              </w:rPr>
              <w:t>超五年重新审核项目</w:t>
            </w:r>
          </w:p>
          <w:p w14:paraId="1275E8EF">
            <w:pPr>
              <w:pStyle w:val="61"/>
              <w:tabs>
                <w:tab w:val="left" w:pos="4767"/>
              </w:tabs>
              <w:spacing w:line="400" w:lineRule="exact"/>
              <w:rPr>
                <w:rFonts w:hint="default" w:ascii="Times New Roman" w:hAnsi="Times New Roman" w:cs="Times New Roman"/>
                <w:bCs w:val="0"/>
                <w:color w:val="auto"/>
                <w:sz w:val="24"/>
              </w:rPr>
            </w:pPr>
            <w:r>
              <w:rPr>
                <w:rFonts w:hint="default" w:ascii="Times New Roman" w:hAnsi="Times New Roman" w:cs="Times New Roman"/>
                <w:bCs w:val="0"/>
                <w:color w:val="auto"/>
                <w:sz w:val="24"/>
              </w:rPr>
              <w:sym w:font="Wingdings 2" w:char="00A3"/>
            </w:r>
            <w:r>
              <w:rPr>
                <w:rFonts w:hint="default" w:ascii="Times New Roman" w:hAnsi="Times New Roman" w:cs="Times New Roman"/>
                <w:bCs w:val="0"/>
                <w:color w:val="auto"/>
                <w:sz w:val="24"/>
              </w:rPr>
              <w:t>重大变动重新报批项目</w:t>
            </w:r>
          </w:p>
        </w:tc>
      </w:tr>
      <w:tr w14:paraId="6961C2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732" w:hRule="atLeast"/>
          <w:jc w:val="center"/>
        </w:trPr>
        <w:tc>
          <w:tcPr>
            <w:tcW w:w="1042" w:type="pct"/>
            <w:tcMar>
              <w:top w:w="16" w:type="dxa"/>
              <w:left w:w="16" w:type="dxa"/>
              <w:right w:w="16" w:type="dxa"/>
            </w:tcMar>
            <w:vAlign w:val="center"/>
          </w:tcPr>
          <w:p w14:paraId="517C1F88">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项目审批(核准/</w:t>
            </w:r>
          </w:p>
          <w:p w14:paraId="21D29301">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备案)部门(选填)</w:t>
            </w:r>
          </w:p>
        </w:tc>
        <w:tc>
          <w:tcPr>
            <w:tcW w:w="1147" w:type="pct"/>
            <w:vAlign w:val="center"/>
          </w:tcPr>
          <w:p w14:paraId="265E44BD">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lang w:val="en-US" w:eastAsia="zh-CN"/>
              </w:rPr>
              <w:t>无</w:t>
            </w:r>
          </w:p>
        </w:tc>
        <w:tc>
          <w:tcPr>
            <w:tcW w:w="1057" w:type="pct"/>
            <w:vAlign w:val="center"/>
          </w:tcPr>
          <w:p w14:paraId="097FC30E">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项目审批(核准/备案)文号(选填)</w:t>
            </w:r>
          </w:p>
        </w:tc>
        <w:tc>
          <w:tcPr>
            <w:tcW w:w="1753" w:type="pct"/>
            <w:vAlign w:val="center"/>
          </w:tcPr>
          <w:p w14:paraId="056AB300">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lang w:val="en-US" w:eastAsia="zh-CN"/>
              </w:rPr>
              <w:t>无</w:t>
            </w:r>
          </w:p>
        </w:tc>
      </w:tr>
      <w:tr w14:paraId="1CA781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1042" w:type="pct"/>
            <w:tcMar>
              <w:top w:w="16" w:type="dxa"/>
              <w:left w:w="16" w:type="dxa"/>
              <w:right w:w="16" w:type="dxa"/>
            </w:tcMar>
            <w:vAlign w:val="center"/>
          </w:tcPr>
          <w:p w14:paraId="66697E69">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总投资(万元)</w:t>
            </w:r>
          </w:p>
        </w:tc>
        <w:tc>
          <w:tcPr>
            <w:tcW w:w="1147" w:type="pct"/>
            <w:vAlign w:val="center"/>
          </w:tcPr>
          <w:p w14:paraId="7823772E">
            <w:pPr>
              <w:pStyle w:val="61"/>
              <w:tabs>
                <w:tab w:val="left" w:pos="4767"/>
              </w:tabs>
              <w:spacing w:line="400" w:lineRule="exact"/>
              <w:jc w:val="center"/>
              <w:rPr>
                <w:rFonts w:hint="default" w:ascii="Times New Roman" w:hAnsi="Times New Roman" w:eastAsia="宋体" w:cs="Times New Roman"/>
                <w:bCs w:val="0"/>
                <w:color w:val="auto"/>
                <w:sz w:val="24"/>
                <w:lang w:val="en-US" w:eastAsia="zh-CN"/>
              </w:rPr>
            </w:pPr>
            <w:r>
              <w:rPr>
                <w:rFonts w:hint="default" w:ascii="Times New Roman" w:hAnsi="Times New Roman" w:cs="Times New Roman"/>
                <w:bCs w:val="0"/>
                <w:color w:val="auto"/>
                <w:sz w:val="24"/>
                <w:lang w:val="en-US" w:eastAsia="zh-CN"/>
              </w:rPr>
              <w:t>700</w:t>
            </w:r>
          </w:p>
        </w:tc>
        <w:tc>
          <w:tcPr>
            <w:tcW w:w="1057" w:type="pct"/>
            <w:tcMar>
              <w:top w:w="16" w:type="dxa"/>
              <w:left w:w="16" w:type="dxa"/>
              <w:right w:w="16" w:type="dxa"/>
            </w:tcMar>
            <w:vAlign w:val="center"/>
          </w:tcPr>
          <w:p w14:paraId="03A01547">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环保投资(万元)</w:t>
            </w:r>
          </w:p>
        </w:tc>
        <w:tc>
          <w:tcPr>
            <w:tcW w:w="1753" w:type="pct"/>
            <w:vAlign w:val="center"/>
          </w:tcPr>
          <w:p w14:paraId="2F5CF81F">
            <w:pPr>
              <w:pStyle w:val="61"/>
              <w:tabs>
                <w:tab w:val="left" w:pos="4767"/>
              </w:tabs>
              <w:spacing w:line="400" w:lineRule="exact"/>
              <w:jc w:val="center"/>
              <w:rPr>
                <w:rFonts w:hint="default" w:ascii="Times New Roman" w:hAnsi="Times New Roman" w:eastAsia="宋体" w:cs="Times New Roman"/>
                <w:bCs w:val="0"/>
                <w:color w:val="auto"/>
                <w:sz w:val="24"/>
                <w:lang w:val="en-US" w:eastAsia="zh-CN"/>
              </w:rPr>
            </w:pPr>
            <w:r>
              <w:rPr>
                <w:rFonts w:hint="default" w:ascii="Times New Roman" w:hAnsi="Times New Roman" w:cs="Times New Roman"/>
                <w:bCs w:val="0"/>
                <w:color w:val="auto"/>
                <w:sz w:val="24"/>
                <w:lang w:val="en-US" w:eastAsia="zh-CN"/>
              </w:rPr>
              <w:t>75</w:t>
            </w:r>
          </w:p>
        </w:tc>
      </w:tr>
      <w:tr w14:paraId="574ED6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1042" w:type="pct"/>
            <w:tcMar>
              <w:top w:w="16" w:type="dxa"/>
              <w:left w:w="16" w:type="dxa"/>
              <w:right w:w="16" w:type="dxa"/>
            </w:tcMar>
            <w:vAlign w:val="center"/>
          </w:tcPr>
          <w:p w14:paraId="610C9844">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环保投资占比(%)</w:t>
            </w:r>
          </w:p>
        </w:tc>
        <w:tc>
          <w:tcPr>
            <w:tcW w:w="1147" w:type="pct"/>
            <w:vAlign w:val="center"/>
          </w:tcPr>
          <w:p w14:paraId="3B3A5C8B">
            <w:pPr>
              <w:pStyle w:val="61"/>
              <w:tabs>
                <w:tab w:val="left" w:pos="4767"/>
              </w:tabs>
              <w:spacing w:line="400" w:lineRule="exact"/>
              <w:jc w:val="center"/>
              <w:rPr>
                <w:rFonts w:hint="default" w:ascii="Times New Roman" w:hAnsi="Times New Roman" w:eastAsia="宋体" w:cs="Times New Roman"/>
                <w:bCs w:val="0"/>
                <w:color w:val="auto"/>
                <w:sz w:val="24"/>
                <w:lang w:val="en-US" w:eastAsia="zh-CN"/>
              </w:rPr>
            </w:pPr>
            <w:r>
              <w:rPr>
                <w:rFonts w:hint="default" w:ascii="Times New Roman" w:hAnsi="Times New Roman" w:cs="Times New Roman"/>
                <w:bCs w:val="0"/>
                <w:color w:val="auto"/>
                <w:sz w:val="24"/>
                <w:lang w:val="en-US" w:eastAsia="zh-CN"/>
              </w:rPr>
              <w:t>10.7</w:t>
            </w:r>
          </w:p>
        </w:tc>
        <w:tc>
          <w:tcPr>
            <w:tcW w:w="1057" w:type="pct"/>
            <w:tcMar>
              <w:top w:w="16" w:type="dxa"/>
              <w:left w:w="16" w:type="dxa"/>
              <w:right w:w="16" w:type="dxa"/>
            </w:tcMar>
            <w:vAlign w:val="center"/>
          </w:tcPr>
          <w:p w14:paraId="48FD134B">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施工工期</w:t>
            </w:r>
          </w:p>
        </w:tc>
        <w:tc>
          <w:tcPr>
            <w:tcW w:w="1753" w:type="pct"/>
            <w:vAlign w:val="center"/>
          </w:tcPr>
          <w:p w14:paraId="2FD9F312">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lang w:val="en-US" w:eastAsia="zh-CN"/>
              </w:rPr>
              <w:t>1</w:t>
            </w:r>
            <w:r>
              <w:rPr>
                <w:rFonts w:hint="default" w:ascii="Times New Roman" w:hAnsi="Times New Roman" w:cs="Times New Roman"/>
                <w:bCs w:val="0"/>
                <w:color w:val="auto"/>
                <w:sz w:val="24"/>
              </w:rPr>
              <w:t>个月</w:t>
            </w:r>
          </w:p>
        </w:tc>
      </w:tr>
      <w:tr w14:paraId="651D75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1042" w:type="pct"/>
            <w:tcMar>
              <w:top w:w="16" w:type="dxa"/>
              <w:left w:w="16" w:type="dxa"/>
              <w:right w:w="16" w:type="dxa"/>
            </w:tcMar>
            <w:vAlign w:val="center"/>
          </w:tcPr>
          <w:p w14:paraId="068E7C39">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是否开工建设</w:t>
            </w:r>
          </w:p>
        </w:tc>
        <w:tc>
          <w:tcPr>
            <w:tcW w:w="1147" w:type="pct"/>
            <w:vAlign w:val="center"/>
          </w:tcPr>
          <w:p w14:paraId="2340543A">
            <w:pPr>
              <w:tabs>
                <w:tab w:val="left" w:pos="4767"/>
              </w:tabs>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否</w:t>
            </w:r>
          </w:p>
          <w:p w14:paraId="75EBED6A">
            <w:pPr>
              <w:tabs>
                <w:tab w:val="left" w:pos="4767"/>
              </w:tabs>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是：</w:t>
            </w:r>
            <w:r>
              <w:rPr>
                <w:rFonts w:hint="default" w:ascii="Times New Roman" w:hAnsi="Times New Roman" w:cs="Times New Roman"/>
                <w:color w:val="auto"/>
                <w:sz w:val="24"/>
                <w:u w:val="single"/>
              </w:rPr>
              <w:t xml:space="preserve">        </w:t>
            </w:r>
          </w:p>
        </w:tc>
        <w:tc>
          <w:tcPr>
            <w:tcW w:w="1057" w:type="pct"/>
            <w:tcMar>
              <w:top w:w="16" w:type="dxa"/>
              <w:left w:w="16" w:type="dxa"/>
              <w:right w:w="16" w:type="dxa"/>
            </w:tcMar>
            <w:vAlign w:val="center"/>
          </w:tcPr>
          <w:p w14:paraId="76FFEC1F">
            <w:pPr>
              <w:pStyle w:val="61"/>
              <w:tabs>
                <w:tab w:val="left" w:pos="4767"/>
              </w:tabs>
              <w:spacing w:line="400" w:lineRule="exact"/>
              <w:jc w:val="center"/>
              <w:rPr>
                <w:rFonts w:hint="default" w:ascii="Times New Roman" w:hAnsi="Times New Roman" w:cs="Times New Roman"/>
                <w:bCs w:val="0"/>
                <w:color w:val="auto"/>
                <w:spacing w:val="-6"/>
                <w:sz w:val="24"/>
              </w:rPr>
            </w:pPr>
            <w:r>
              <w:rPr>
                <w:rFonts w:hint="default" w:ascii="Times New Roman" w:hAnsi="Times New Roman" w:cs="Times New Roman"/>
                <w:bCs w:val="0"/>
                <w:color w:val="auto"/>
                <w:spacing w:val="-6"/>
                <w:sz w:val="24"/>
              </w:rPr>
              <w:t>用地(用海)</w:t>
            </w:r>
          </w:p>
          <w:p w14:paraId="531261C3">
            <w:pPr>
              <w:pStyle w:val="61"/>
              <w:tabs>
                <w:tab w:val="left" w:pos="4767"/>
              </w:tabs>
              <w:spacing w:line="400" w:lineRule="exact"/>
              <w:jc w:val="center"/>
              <w:rPr>
                <w:rFonts w:hint="default" w:ascii="Times New Roman" w:hAnsi="Times New Roman" w:cs="Times New Roman"/>
                <w:bCs w:val="0"/>
                <w:color w:val="auto"/>
                <w:spacing w:val="-6"/>
                <w:sz w:val="24"/>
              </w:rPr>
            </w:pPr>
            <w:r>
              <w:rPr>
                <w:rFonts w:hint="default" w:ascii="Times New Roman" w:hAnsi="Times New Roman" w:cs="Times New Roman"/>
                <w:bCs w:val="0"/>
                <w:color w:val="auto"/>
                <w:spacing w:val="-6"/>
                <w:sz w:val="24"/>
              </w:rPr>
              <w:t>面积(m²)</w:t>
            </w:r>
          </w:p>
        </w:tc>
        <w:tc>
          <w:tcPr>
            <w:tcW w:w="1753" w:type="pct"/>
            <w:vAlign w:val="center"/>
          </w:tcPr>
          <w:p w14:paraId="033D6377">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lang w:val="en-US" w:eastAsia="zh-CN"/>
              </w:rPr>
              <w:t>23000m²</w:t>
            </w:r>
          </w:p>
        </w:tc>
      </w:tr>
      <w:tr w14:paraId="21CC7C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1042" w:type="pct"/>
            <w:vAlign w:val="center"/>
          </w:tcPr>
          <w:p w14:paraId="363AC5A1">
            <w:pPr>
              <w:pStyle w:val="61"/>
              <w:tabs>
                <w:tab w:val="left" w:pos="4767"/>
              </w:tabs>
              <w:spacing w:line="400" w:lineRule="exact"/>
              <w:jc w:val="center"/>
              <w:rPr>
                <w:rFonts w:hint="default" w:ascii="Times New Roman" w:hAnsi="Times New Roman" w:cs="Times New Roman"/>
                <w:bCs w:val="0"/>
                <w:color w:val="auto"/>
                <w:kern w:val="0"/>
                <w:sz w:val="24"/>
              </w:rPr>
            </w:pPr>
            <w:r>
              <w:rPr>
                <w:rFonts w:hint="default" w:ascii="Times New Roman" w:hAnsi="Times New Roman" w:cs="Times New Roman"/>
                <w:bCs w:val="0"/>
                <w:color w:val="auto"/>
                <w:kern w:val="0"/>
                <w:sz w:val="24"/>
              </w:rPr>
              <w:t>专项评价</w:t>
            </w:r>
          </w:p>
          <w:p w14:paraId="07BC8689">
            <w:pPr>
              <w:pStyle w:val="61"/>
              <w:tabs>
                <w:tab w:val="left" w:pos="4767"/>
              </w:tabs>
              <w:spacing w:line="400" w:lineRule="exact"/>
              <w:jc w:val="center"/>
              <w:rPr>
                <w:rFonts w:hint="default" w:ascii="Times New Roman" w:hAnsi="Times New Roman" w:cs="Times New Roman"/>
                <w:bCs w:val="0"/>
                <w:color w:val="auto"/>
                <w:kern w:val="0"/>
                <w:sz w:val="24"/>
              </w:rPr>
            </w:pPr>
            <w:r>
              <w:rPr>
                <w:rFonts w:hint="default" w:ascii="Times New Roman" w:hAnsi="Times New Roman" w:cs="Times New Roman"/>
                <w:bCs w:val="0"/>
                <w:color w:val="auto"/>
                <w:kern w:val="0"/>
                <w:sz w:val="24"/>
              </w:rPr>
              <w:t>设置情况</w:t>
            </w:r>
          </w:p>
        </w:tc>
        <w:tc>
          <w:tcPr>
            <w:tcW w:w="3957" w:type="pct"/>
            <w:gridSpan w:val="3"/>
            <w:vAlign w:val="center"/>
          </w:tcPr>
          <w:p w14:paraId="1B0449D2">
            <w:pPr>
              <w:pStyle w:val="61"/>
              <w:keepNext w:val="0"/>
              <w:keepLines w:val="0"/>
              <w:pageBreakBefore w:val="0"/>
              <w:widowControl w:val="0"/>
              <w:tabs>
                <w:tab w:val="left" w:pos="4767"/>
              </w:tabs>
              <w:kinsoku/>
              <w:wordWrap/>
              <w:overflowPunct/>
              <w:topLinePunct w:val="0"/>
              <w:autoSpaceDE w:val="0"/>
              <w:autoSpaceDN w:val="0"/>
              <w:bidi w:val="0"/>
              <w:adjustRightInd/>
              <w:snapToGrid/>
              <w:spacing w:line="400" w:lineRule="exact"/>
              <w:ind w:firstLine="514" w:firstLineChars="200"/>
              <w:jc w:val="both"/>
              <w:textAlignment w:val="auto"/>
              <w:rPr>
                <w:rFonts w:hint="default" w:ascii="Times New Roman" w:hAnsi="Times New Roman" w:cs="Times New Roman"/>
                <w:bCs w:val="0"/>
                <w:color w:val="auto"/>
                <w:sz w:val="24"/>
                <w:lang w:eastAsia="zh-CN"/>
              </w:rPr>
            </w:pPr>
            <w:r>
              <w:rPr>
                <w:rFonts w:hint="default" w:ascii="Times New Roman" w:hAnsi="Times New Roman" w:cs="Times New Roman"/>
                <w:bCs w:val="0"/>
                <w:color w:val="auto"/>
                <w:sz w:val="24"/>
                <w:lang w:eastAsia="zh-CN"/>
              </w:rPr>
              <w:t>专项评价名称：环境风险专项评价</w:t>
            </w:r>
          </w:p>
          <w:p w14:paraId="78905C3C">
            <w:pPr>
              <w:pStyle w:val="61"/>
              <w:keepNext w:val="0"/>
              <w:keepLines w:val="0"/>
              <w:pageBreakBefore w:val="0"/>
              <w:widowControl w:val="0"/>
              <w:tabs>
                <w:tab w:val="left" w:pos="4767"/>
              </w:tabs>
              <w:kinsoku/>
              <w:wordWrap/>
              <w:overflowPunct/>
              <w:topLinePunct w:val="0"/>
              <w:autoSpaceDE w:val="0"/>
              <w:autoSpaceDN w:val="0"/>
              <w:bidi w:val="0"/>
              <w:adjustRightInd/>
              <w:snapToGrid/>
              <w:spacing w:line="400" w:lineRule="exact"/>
              <w:ind w:firstLine="514" w:firstLineChars="200"/>
              <w:jc w:val="both"/>
              <w:textAlignment w:val="auto"/>
              <w:rPr>
                <w:rFonts w:hint="default" w:ascii="Times New Roman" w:hAnsi="Times New Roman" w:cs="Times New Roman"/>
                <w:bCs w:val="0"/>
                <w:color w:val="auto"/>
                <w:sz w:val="24"/>
              </w:rPr>
            </w:pPr>
            <w:r>
              <w:rPr>
                <w:rFonts w:hint="default" w:ascii="Times New Roman" w:hAnsi="Times New Roman" w:cs="Times New Roman"/>
                <w:bCs w:val="0"/>
                <w:color w:val="auto"/>
                <w:sz w:val="24"/>
                <w:lang w:eastAsia="zh-CN"/>
              </w:rPr>
              <w:t>根据《污染影响类报告编制指南》中</w:t>
            </w:r>
            <w:r>
              <w:rPr>
                <w:rFonts w:hint="default" w:ascii="Times New Roman" w:hAnsi="Times New Roman" w:cs="Times New Roman"/>
                <w:bCs w:val="0"/>
                <w:color w:val="auto"/>
                <w:sz w:val="24"/>
                <w:lang w:val="en-US" w:eastAsia="zh-CN"/>
              </w:rPr>
              <w:t>的表1（专项评价设置原则表）知，</w:t>
            </w:r>
            <w:r>
              <w:rPr>
                <w:rFonts w:hint="default" w:ascii="Times New Roman" w:hAnsi="Times New Roman" w:cs="Times New Roman"/>
                <w:bCs w:val="0"/>
                <w:color w:val="auto"/>
                <w:sz w:val="24"/>
                <w:lang w:eastAsia="zh-CN"/>
              </w:rPr>
              <w:t>有毒有害和易燃易爆危险物质存储量超过临界量时，应设置环境风险专项评价。本项目易燃易爆危险物质天然气的最大储存量为</w:t>
            </w:r>
            <w:r>
              <w:rPr>
                <w:rFonts w:hint="default" w:ascii="Times New Roman" w:hAnsi="Times New Roman" w:cs="Times New Roman"/>
                <w:bCs w:val="0"/>
                <w:color w:val="auto"/>
                <w:sz w:val="24"/>
                <w:lang w:val="en-US" w:eastAsia="zh-CN"/>
              </w:rPr>
              <w:t>22t、</w:t>
            </w:r>
            <w:r>
              <w:rPr>
                <w:rFonts w:hint="default" w:ascii="Times New Roman" w:hAnsi="Times New Roman" w:cs="Times New Roman"/>
                <w:bCs w:val="0"/>
                <w:color w:val="auto"/>
                <w:sz w:val="24"/>
                <w:lang w:eastAsia="zh-CN"/>
              </w:rPr>
              <w:t>临界量为</w:t>
            </w:r>
            <w:r>
              <w:rPr>
                <w:rFonts w:hint="default" w:ascii="Times New Roman" w:hAnsi="Times New Roman" w:cs="Times New Roman"/>
                <w:bCs w:val="0"/>
                <w:color w:val="auto"/>
                <w:sz w:val="24"/>
                <w:lang w:val="en-US" w:eastAsia="zh-CN"/>
              </w:rPr>
              <w:t>10t，危险物质Q值为2.202，本项目Q值为“1≤Q＜10”的范畴，其</w:t>
            </w:r>
            <w:r>
              <w:rPr>
                <w:rFonts w:hint="default" w:ascii="Times New Roman" w:hAnsi="Times New Roman" w:cs="Times New Roman"/>
                <w:bCs w:val="0"/>
                <w:color w:val="auto"/>
                <w:sz w:val="24"/>
                <w:lang w:eastAsia="zh-CN"/>
              </w:rPr>
              <w:t>存储量超过临界量，因此对本项目进行环境风险专项评价。</w:t>
            </w:r>
          </w:p>
        </w:tc>
      </w:tr>
      <w:tr w14:paraId="6627D1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1042" w:type="pct"/>
            <w:vAlign w:val="center"/>
          </w:tcPr>
          <w:p w14:paraId="3CDD8744">
            <w:pPr>
              <w:pStyle w:val="61"/>
              <w:tabs>
                <w:tab w:val="left" w:pos="4767"/>
              </w:tabs>
              <w:spacing w:line="400" w:lineRule="exact"/>
              <w:jc w:val="center"/>
              <w:rPr>
                <w:rFonts w:hint="default" w:ascii="Times New Roman" w:hAnsi="Times New Roman" w:cs="Times New Roman"/>
                <w:bCs w:val="0"/>
                <w:color w:val="auto"/>
                <w:kern w:val="0"/>
                <w:sz w:val="24"/>
              </w:rPr>
            </w:pPr>
            <w:r>
              <w:rPr>
                <w:rFonts w:hint="default" w:ascii="Times New Roman" w:hAnsi="Times New Roman" w:cs="Times New Roman"/>
                <w:bCs w:val="0"/>
                <w:color w:val="auto"/>
                <w:sz w:val="24"/>
              </w:rPr>
              <w:t>规划情况</w:t>
            </w:r>
          </w:p>
        </w:tc>
        <w:tc>
          <w:tcPr>
            <w:tcW w:w="3957" w:type="pct"/>
            <w:gridSpan w:val="3"/>
            <w:vAlign w:val="center"/>
          </w:tcPr>
          <w:p w14:paraId="057B4C39">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lang w:val="en-US" w:eastAsia="zh-CN"/>
              </w:rPr>
              <w:t>无</w:t>
            </w:r>
          </w:p>
        </w:tc>
      </w:tr>
      <w:tr w14:paraId="23B154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042" w:type="pct"/>
            <w:vAlign w:val="center"/>
          </w:tcPr>
          <w:p w14:paraId="20911E44">
            <w:pPr>
              <w:pStyle w:val="61"/>
              <w:tabs>
                <w:tab w:val="left" w:pos="4767"/>
              </w:tabs>
              <w:spacing w:line="400" w:lineRule="exact"/>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规划环境影响评价情况</w:t>
            </w:r>
          </w:p>
        </w:tc>
        <w:tc>
          <w:tcPr>
            <w:tcW w:w="3957" w:type="pct"/>
            <w:gridSpan w:val="3"/>
            <w:shd w:val="clear" w:color="auto" w:fill="auto"/>
            <w:vAlign w:val="center"/>
          </w:tcPr>
          <w:p w14:paraId="7F7E19D1">
            <w:pPr>
              <w:pStyle w:val="61"/>
              <w:tabs>
                <w:tab w:val="left" w:pos="4767"/>
              </w:tabs>
              <w:spacing w:line="400" w:lineRule="exact"/>
              <w:jc w:val="center"/>
              <w:rPr>
                <w:rFonts w:hint="default" w:ascii="Times New Roman" w:hAnsi="Times New Roman" w:eastAsia="宋体" w:cs="Times New Roman"/>
                <w:bCs w:val="0"/>
                <w:color w:val="auto"/>
                <w:kern w:val="2"/>
                <w:sz w:val="24"/>
                <w:szCs w:val="24"/>
                <w:lang w:val="en-US" w:eastAsia="zh-CN" w:bidi="ar-SA"/>
              </w:rPr>
            </w:pPr>
            <w:r>
              <w:rPr>
                <w:rFonts w:hint="default" w:ascii="Times New Roman" w:hAnsi="Times New Roman" w:cs="Times New Roman"/>
                <w:bCs w:val="0"/>
                <w:color w:val="auto"/>
                <w:sz w:val="24"/>
                <w:lang w:val="en-US" w:eastAsia="zh-CN"/>
              </w:rPr>
              <w:t>无</w:t>
            </w:r>
          </w:p>
        </w:tc>
      </w:tr>
      <w:tr w14:paraId="22DA5A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42" w:type="pct"/>
            <w:tcBorders>
              <w:bottom w:val="single" w:color="000000" w:sz="4" w:space="0"/>
            </w:tcBorders>
            <w:vAlign w:val="center"/>
          </w:tcPr>
          <w:p w14:paraId="3CF04CEC">
            <w:pPr>
              <w:pStyle w:val="61"/>
              <w:tabs>
                <w:tab w:val="left" w:pos="4767"/>
              </w:tabs>
              <w:spacing w:line="240" w:lineRule="auto"/>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其他符合性</w:t>
            </w:r>
          </w:p>
          <w:p w14:paraId="69C3DFC9">
            <w:pPr>
              <w:pStyle w:val="61"/>
              <w:tabs>
                <w:tab w:val="left" w:pos="4767"/>
              </w:tabs>
              <w:spacing w:line="240" w:lineRule="auto"/>
              <w:jc w:val="center"/>
              <w:rPr>
                <w:rFonts w:hint="default" w:ascii="Times New Roman" w:hAnsi="Times New Roman" w:cs="Times New Roman"/>
                <w:bCs w:val="0"/>
                <w:color w:val="auto"/>
                <w:sz w:val="24"/>
              </w:rPr>
            </w:pPr>
            <w:r>
              <w:rPr>
                <w:rFonts w:hint="default" w:ascii="Times New Roman" w:hAnsi="Times New Roman" w:cs="Times New Roman"/>
                <w:bCs w:val="0"/>
                <w:color w:val="auto"/>
                <w:sz w:val="24"/>
              </w:rPr>
              <w:t>分析</w:t>
            </w:r>
          </w:p>
        </w:tc>
        <w:tc>
          <w:tcPr>
            <w:tcW w:w="3957" w:type="pct"/>
            <w:gridSpan w:val="3"/>
            <w:tcBorders>
              <w:bottom w:val="single" w:color="000000" w:sz="4" w:space="0"/>
            </w:tcBorders>
            <w:vAlign w:val="center"/>
          </w:tcPr>
          <w:p w14:paraId="110E538E">
            <w:pPr>
              <w:pStyle w:val="61"/>
              <w:tabs>
                <w:tab w:val="left" w:pos="4767"/>
              </w:tabs>
              <w:snapToGrid w:val="0"/>
              <w:rPr>
                <w:rFonts w:hint="default" w:ascii="Times New Roman" w:hAnsi="Times New Roman" w:eastAsia="黑体" w:cs="Times New Roman"/>
                <w:bCs w:val="0"/>
                <w:color w:val="auto"/>
                <w:sz w:val="24"/>
              </w:rPr>
            </w:pPr>
            <w:r>
              <w:rPr>
                <w:rFonts w:hint="default" w:ascii="Times New Roman" w:hAnsi="Times New Roman" w:eastAsia="黑体" w:cs="Times New Roman"/>
                <w:bCs w:val="0"/>
                <w:color w:val="auto"/>
                <w:sz w:val="24"/>
              </w:rPr>
              <w:t>1、与国家产业政策符合性分析</w:t>
            </w:r>
          </w:p>
          <w:p w14:paraId="2191B9C3">
            <w:pPr>
              <w:pStyle w:val="61"/>
              <w:tabs>
                <w:tab w:val="left" w:pos="4767"/>
              </w:tabs>
              <w:snapToGrid w:val="0"/>
              <w:ind w:firstLine="514" w:firstLineChars="200"/>
              <w:rPr>
                <w:rFonts w:hint="default" w:ascii="Times New Roman" w:hAnsi="Times New Roman" w:cs="Times New Roman"/>
                <w:bCs w:val="0"/>
                <w:color w:val="auto"/>
                <w:sz w:val="24"/>
              </w:rPr>
            </w:pPr>
            <w:bookmarkStart w:id="0" w:name="_Hlk175920331"/>
            <w:r>
              <w:rPr>
                <w:rFonts w:hint="default" w:ascii="Times New Roman" w:hAnsi="Times New Roman" w:cs="Times New Roman"/>
                <w:bCs w:val="0"/>
                <w:color w:val="auto"/>
                <w:sz w:val="24"/>
                <w:lang w:val="en-US" w:eastAsia="zh-CN"/>
              </w:rPr>
              <w:t>本项目为沥青混凝土生产加工项目</w:t>
            </w:r>
            <w:r>
              <w:rPr>
                <w:rFonts w:hint="default" w:ascii="Times New Roman" w:hAnsi="Times New Roman" w:cs="Times New Roman"/>
                <w:bCs w:val="0"/>
                <w:color w:val="auto"/>
                <w:sz w:val="24"/>
              </w:rPr>
              <w:t>，根据《产业结构调整指导目录（2024年本）》，本项目不属于“鼓励类”、“限制类”及“淘汰类”，为允许建设项目</w:t>
            </w:r>
            <w:bookmarkEnd w:id="0"/>
            <w:r>
              <w:rPr>
                <w:rFonts w:hint="default" w:ascii="Times New Roman" w:hAnsi="Times New Roman" w:cs="Times New Roman"/>
                <w:bCs w:val="0"/>
                <w:color w:val="auto"/>
                <w:sz w:val="24"/>
              </w:rPr>
              <w:t>。因此，本项目符合国家产业政策要求。</w:t>
            </w:r>
          </w:p>
          <w:p w14:paraId="1D2B0DE2">
            <w:pPr>
              <w:pStyle w:val="61"/>
              <w:tabs>
                <w:tab w:val="left" w:pos="4767"/>
              </w:tabs>
              <w:snapToGrid w:val="0"/>
              <w:rPr>
                <w:rFonts w:hint="default" w:ascii="Times New Roman" w:hAnsi="Times New Roman" w:cs="Times New Roman"/>
                <w:bCs w:val="0"/>
                <w:color w:val="auto"/>
                <w:sz w:val="24"/>
              </w:rPr>
            </w:pPr>
            <w:r>
              <w:rPr>
                <w:rFonts w:hint="default" w:ascii="Times New Roman" w:hAnsi="Times New Roman" w:eastAsia="黑体" w:cs="Times New Roman"/>
                <w:bCs w:val="0"/>
                <w:color w:val="auto"/>
                <w:sz w:val="24"/>
              </w:rPr>
              <w:t>2、</w:t>
            </w:r>
            <w:r>
              <w:rPr>
                <w:rFonts w:hint="default" w:ascii="Times New Roman" w:hAnsi="Times New Roman" w:eastAsia="黑体" w:cs="Times New Roman"/>
                <w:bCs w:val="0"/>
                <w:color w:val="auto"/>
                <w:sz w:val="24"/>
                <w:lang w:val="en-US" w:eastAsia="zh-CN"/>
              </w:rPr>
              <w:t>与中卫市</w:t>
            </w:r>
            <w:r>
              <w:rPr>
                <w:rFonts w:hint="default" w:ascii="Times New Roman" w:hAnsi="Times New Roman" w:eastAsia="黑体" w:cs="Times New Roman"/>
                <w:bCs w:val="0"/>
                <w:color w:val="auto"/>
                <w:sz w:val="24"/>
                <w:lang w:eastAsia="zh-CN"/>
              </w:rPr>
              <w:t>“</w:t>
            </w:r>
            <w:r>
              <w:rPr>
                <w:rFonts w:hint="default" w:ascii="Times New Roman" w:hAnsi="Times New Roman" w:eastAsia="黑体" w:cs="Times New Roman"/>
                <w:bCs w:val="0"/>
                <w:color w:val="auto"/>
                <w:sz w:val="24"/>
                <w:lang w:val="en-US" w:eastAsia="zh-CN"/>
              </w:rPr>
              <w:t>三线一单</w:t>
            </w:r>
            <w:r>
              <w:rPr>
                <w:rFonts w:hint="default" w:ascii="Times New Roman" w:hAnsi="Times New Roman" w:eastAsia="黑体" w:cs="Times New Roman"/>
                <w:bCs w:val="0"/>
                <w:color w:val="auto"/>
                <w:sz w:val="24"/>
                <w:lang w:eastAsia="zh-CN"/>
              </w:rPr>
              <w:t>”</w:t>
            </w:r>
            <w:r>
              <w:rPr>
                <w:rFonts w:hint="default" w:ascii="Times New Roman" w:hAnsi="Times New Roman" w:eastAsia="黑体" w:cs="Times New Roman"/>
                <w:bCs w:val="0"/>
                <w:color w:val="auto"/>
                <w:sz w:val="24"/>
              </w:rPr>
              <w:t>符合性分析</w:t>
            </w:r>
          </w:p>
          <w:p w14:paraId="0EB4CA5B">
            <w:pPr>
              <w:pStyle w:val="61"/>
              <w:tabs>
                <w:tab w:val="left" w:pos="4767"/>
              </w:tabs>
              <w:spacing w:line="240" w:lineRule="auto"/>
              <w:ind w:firstLine="514" w:firstLineChars="200"/>
              <w:rPr>
                <w:rFonts w:hint="default" w:ascii="Times New Roman" w:hAnsi="Times New Roman" w:cs="Times New Roman"/>
                <w:bCs w:val="0"/>
                <w:color w:val="auto"/>
                <w:sz w:val="24"/>
              </w:rPr>
            </w:pPr>
            <w:r>
              <w:rPr>
                <w:rFonts w:hint="default" w:ascii="Times New Roman" w:hAnsi="Times New Roman" w:cs="Times New Roman"/>
                <w:bCs w:val="0"/>
                <w:color w:val="auto"/>
                <w:sz w:val="24"/>
              </w:rPr>
              <w:t>中卫市人民政府于2024年8月2日下发《市人民政府办公室关于发布&lt;中卫市生态环境分区管控动态更新成果&gt;的通知》（卫政办发〔2024〕33号）。</w:t>
            </w:r>
          </w:p>
          <w:p w14:paraId="13D82A5C">
            <w:pPr>
              <w:pStyle w:val="61"/>
              <w:tabs>
                <w:tab w:val="left" w:pos="4767"/>
              </w:tabs>
              <w:spacing w:line="240" w:lineRule="auto"/>
              <w:ind w:firstLine="514" w:firstLineChars="200"/>
              <w:rPr>
                <w:rFonts w:hint="default" w:ascii="Times New Roman" w:hAnsi="Times New Roman" w:cs="Times New Roman"/>
                <w:bCs w:val="0"/>
                <w:color w:val="auto"/>
                <w:sz w:val="24"/>
              </w:rPr>
            </w:pPr>
            <w:r>
              <w:rPr>
                <w:rFonts w:hint="default" w:ascii="Times New Roman" w:hAnsi="Times New Roman" w:cs="Times New Roman"/>
                <w:bCs w:val="0"/>
                <w:color w:val="auto"/>
                <w:sz w:val="24"/>
              </w:rPr>
              <w:t>本项目与“中卫市生态分区管控相符性分析”“中卫市生态环境准入清单总体要求”及“中卫市环境管控单元生态环境准入清单”相符性判定见表1-</w:t>
            </w:r>
            <w:r>
              <w:rPr>
                <w:rFonts w:hint="default" w:ascii="Times New Roman" w:hAnsi="Times New Roman" w:cs="Times New Roman"/>
                <w:bCs w:val="0"/>
                <w:color w:val="auto"/>
                <w:sz w:val="24"/>
                <w:lang w:val="en-US" w:eastAsia="zh-CN"/>
              </w:rPr>
              <w:t>1</w:t>
            </w:r>
            <w:r>
              <w:rPr>
                <w:rFonts w:hint="default" w:ascii="Times New Roman" w:hAnsi="Times New Roman" w:cs="Times New Roman"/>
                <w:bCs w:val="0"/>
                <w:color w:val="auto"/>
                <w:sz w:val="24"/>
              </w:rPr>
              <w:t>、表1-</w:t>
            </w:r>
            <w:r>
              <w:rPr>
                <w:rFonts w:hint="default" w:ascii="Times New Roman" w:hAnsi="Times New Roman" w:cs="Times New Roman"/>
                <w:bCs w:val="0"/>
                <w:color w:val="auto"/>
                <w:sz w:val="24"/>
                <w:lang w:val="en-US" w:eastAsia="zh-CN"/>
              </w:rPr>
              <w:t>2</w:t>
            </w:r>
            <w:r>
              <w:rPr>
                <w:rFonts w:hint="default" w:ascii="Times New Roman" w:hAnsi="Times New Roman" w:cs="Times New Roman"/>
                <w:bCs w:val="0"/>
                <w:color w:val="auto"/>
                <w:sz w:val="24"/>
              </w:rPr>
              <w:t>、表1-</w:t>
            </w:r>
            <w:r>
              <w:rPr>
                <w:rFonts w:hint="default" w:ascii="Times New Roman" w:hAnsi="Times New Roman" w:cs="Times New Roman"/>
                <w:bCs w:val="0"/>
                <w:color w:val="auto"/>
                <w:sz w:val="24"/>
                <w:lang w:val="en-US" w:eastAsia="zh-CN"/>
              </w:rPr>
              <w:t>3</w:t>
            </w:r>
            <w:r>
              <w:rPr>
                <w:rFonts w:hint="default" w:ascii="Times New Roman" w:hAnsi="Times New Roman" w:cs="Times New Roman"/>
                <w:bCs w:val="0"/>
                <w:color w:val="auto"/>
                <w:sz w:val="24"/>
              </w:rPr>
              <w:t>。</w:t>
            </w:r>
          </w:p>
          <w:p w14:paraId="1BFAEB78">
            <w:pPr>
              <w:pStyle w:val="61"/>
              <w:tabs>
                <w:tab w:val="left" w:pos="4767"/>
              </w:tabs>
              <w:spacing w:line="240" w:lineRule="auto"/>
              <w:ind w:firstLine="514" w:firstLineChars="200"/>
              <w:rPr>
                <w:rFonts w:hint="default" w:ascii="Times New Roman" w:hAnsi="Times New Roman" w:cs="Times New Roman"/>
                <w:bCs w:val="0"/>
                <w:color w:val="auto"/>
                <w:sz w:val="24"/>
              </w:rPr>
            </w:pPr>
            <w:r>
              <w:rPr>
                <w:rFonts w:hint="default" w:ascii="Times New Roman" w:hAnsi="Times New Roman" w:cs="Times New Roman"/>
                <w:bCs w:val="0"/>
                <w:color w:val="auto"/>
                <w:sz w:val="24"/>
              </w:rPr>
              <w:t>综上所述，本项目符合中卫市“三线一单”的管控要求。</w:t>
            </w:r>
          </w:p>
          <w:p w14:paraId="5D20FFAD">
            <w:pPr>
              <w:pStyle w:val="61"/>
              <w:tabs>
                <w:tab w:val="left" w:pos="4767"/>
              </w:tabs>
              <w:snapToGrid w:val="0"/>
              <w:rPr>
                <w:rFonts w:hint="default" w:ascii="Times New Roman" w:hAnsi="Times New Roman" w:cs="Times New Roman"/>
                <w:bCs w:val="0"/>
                <w:color w:val="auto"/>
                <w:sz w:val="24"/>
              </w:rPr>
            </w:pPr>
            <w:r>
              <w:rPr>
                <w:rFonts w:hint="default" w:ascii="Times New Roman" w:hAnsi="Times New Roman" w:eastAsia="黑体" w:cs="Times New Roman"/>
                <w:bCs w:val="0"/>
                <w:color w:val="auto"/>
                <w:sz w:val="24"/>
                <w:lang w:val="en-US" w:eastAsia="zh-CN"/>
              </w:rPr>
              <w:t>3</w:t>
            </w:r>
            <w:r>
              <w:rPr>
                <w:rFonts w:hint="default" w:ascii="Times New Roman" w:hAnsi="Times New Roman" w:eastAsia="黑体" w:cs="Times New Roman"/>
                <w:bCs w:val="0"/>
                <w:color w:val="auto"/>
                <w:sz w:val="24"/>
              </w:rPr>
              <w:t>、与生态环境保护规划符合性分析</w:t>
            </w:r>
          </w:p>
          <w:p w14:paraId="2DB76095">
            <w:pPr>
              <w:pStyle w:val="61"/>
              <w:tabs>
                <w:tab w:val="left" w:pos="4767"/>
              </w:tabs>
              <w:spacing w:line="240" w:lineRule="auto"/>
              <w:ind w:firstLine="514" w:firstLineChars="200"/>
              <w:rPr>
                <w:rFonts w:hint="default" w:ascii="Times New Roman" w:hAnsi="Times New Roman" w:cs="Times New Roman"/>
                <w:bCs w:val="0"/>
                <w:color w:val="auto"/>
                <w:sz w:val="24"/>
              </w:rPr>
            </w:pPr>
            <w:r>
              <w:rPr>
                <w:rFonts w:hint="default" w:ascii="Times New Roman" w:hAnsi="Times New Roman" w:cs="Times New Roman"/>
                <w:bCs w:val="0"/>
                <w:color w:val="auto"/>
                <w:sz w:val="24"/>
              </w:rPr>
              <w:t>本项目与相关生态环境保护规划符合性分析见表1-</w:t>
            </w:r>
            <w:r>
              <w:rPr>
                <w:rFonts w:hint="default" w:ascii="Times New Roman" w:hAnsi="Times New Roman" w:cs="Times New Roman"/>
                <w:bCs w:val="0"/>
                <w:color w:val="auto"/>
                <w:sz w:val="24"/>
                <w:lang w:val="en-US" w:eastAsia="zh-CN"/>
              </w:rPr>
              <w:t>4</w:t>
            </w:r>
            <w:r>
              <w:rPr>
                <w:rFonts w:hint="default" w:ascii="Times New Roman" w:hAnsi="Times New Roman" w:cs="Times New Roman"/>
                <w:bCs w:val="0"/>
                <w:color w:val="auto"/>
                <w:sz w:val="24"/>
              </w:rPr>
              <w:t>。</w:t>
            </w:r>
          </w:p>
          <w:p w14:paraId="57618156">
            <w:pPr>
              <w:pStyle w:val="61"/>
              <w:tabs>
                <w:tab w:val="left" w:pos="4767"/>
              </w:tabs>
              <w:spacing w:line="240" w:lineRule="auto"/>
              <w:ind w:firstLine="514" w:firstLineChars="200"/>
              <w:rPr>
                <w:rFonts w:hint="default" w:ascii="Times New Roman" w:hAnsi="Times New Roman" w:cs="Times New Roman"/>
                <w:bCs w:val="0"/>
                <w:color w:val="auto"/>
                <w:sz w:val="24"/>
              </w:rPr>
            </w:pPr>
            <w:r>
              <w:rPr>
                <w:rFonts w:hint="default" w:ascii="Times New Roman" w:hAnsi="Times New Roman" w:cs="Times New Roman"/>
                <w:bCs w:val="0"/>
                <w:color w:val="auto"/>
                <w:sz w:val="24"/>
              </w:rPr>
              <w:t>根据表1-</w:t>
            </w:r>
            <w:r>
              <w:rPr>
                <w:rFonts w:hint="default" w:ascii="Times New Roman" w:hAnsi="Times New Roman" w:cs="Times New Roman"/>
                <w:bCs w:val="0"/>
                <w:color w:val="auto"/>
                <w:sz w:val="24"/>
                <w:lang w:val="en-US" w:eastAsia="zh-CN"/>
              </w:rPr>
              <w:t>4</w:t>
            </w:r>
            <w:r>
              <w:rPr>
                <w:rFonts w:hint="default" w:ascii="Times New Roman" w:hAnsi="Times New Roman" w:cs="Times New Roman"/>
                <w:bCs w:val="0"/>
                <w:color w:val="auto"/>
                <w:sz w:val="24"/>
              </w:rPr>
              <w:t>，本项目符合相关生态环境保护规划要求。</w:t>
            </w:r>
          </w:p>
          <w:p w14:paraId="49078878">
            <w:pPr>
              <w:pStyle w:val="61"/>
              <w:tabs>
                <w:tab w:val="left" w:pos="4767"/>
              </w:tabs>
              <w:snapToGrid w:val="0"/>
              <w:rPr>
                <w:bCs w:val="0"/>
                <w:color w:val="auto"/>
                <w:sz w:val="24"/>
              </w:rPr>
            </w:pPr>
            <w:r>
              <w:rPr>
                <w:rFonts w:eastAsia="黑体"/>
                <w:bCs w:val="0"/>
                <w:color w:val="auto"/>
                <w:sz w:val="24"/>
              </w:rPr>
              <w:t>4、选址合理性分析</w:t>
            </w:r>
          </w:p>
          <w:p w14:paraId="410B3112">
            <w:pPr>
              <w:pStyle w:val="61"/>
              <w:tabs>
                <w:tab w:val="left" w:pos="4767"/>
              </w:tabs>
              <w:spacing w:line="240" w:lineRule="auto"/>
              <w:ind w:firstLine="514" w:firstLineChars="200"/>
              <w:rPr>
                <w:bCs w:val="0"/>
                <w:color w:val="auto"/>
                <w:sz w:val="24"/>
              </w:rPr>
            </w:pPr>
            <w:r>
              <w:rPr>
                <w:bCs w:val="0"/>
                <w:color w:val="auto"/>
                <w:sz w:val="24"/>
              </w:rPr>
              <w:t>本项目位于</w:t>
            </w:r>
            <w:r>
              <w:rPr>
                <w:rFonts w:hint="default"/>
                <w:bCs w:val="0"/>
                <w:color w:val="auto"/>
                <w:sz w:val="24"/>
                <w:lang w:val="en-US" w:eastAsia="zh-CN"/>
              </w:rPr>
              <w:t>宁夏回族自治区中卫市沙坡头区常乐镇枣林村</w:t>
            </w:r>
            <w:r>
              <w:rPr>
                <w:rFonts w:hint="eastAsia"/>
                <w:bCs w:val="0"/>
                <w:color w:val="auto"/>
                <w:sz w:val="24"/>
                <w:lang w:val="en-US" w:eastAsia="zh-CN"/>
              </w:rPr>
              <w:t>，</w:t>
            </w:r>
            <w:r>
              <w:rPr>
                <w:bCs w:val="0"/>
                <w:color w:val="auto"/>
                <w:sz w:val="24"/>
              </w:rPr>
              <w:t>建设单位租用</w:t>
            </w:r>
            <w:r>
              <w:rPr>
                <w:rFonts w:hint="eastAsia"/>
                <w:bCs w:val="0"/>
                <w:color w:val="auto"/>
                <w:sz w:val="24"/>
                <w:lang w:val="en-US" w:eastAsia="zh-CN"/>
              </w:rPr>
              <w:t>原吉庆砖厂场地（租赁合同见附件2）</w:t>
            </w:r>
            <w:r>
              <w:rPr>
                <w:bCs w:val="0"/>
                <w:color w:val="auto"/>
                <w:sz w:val="24"/>
              </w:rPr>
              <w:t>，占地属性为</w:t>
            </w:r>
            <w:r>
              <w:rPr>
                <w:rFonts w:hint="eastAsia"/>
                <w:bCs w:val="0"/>
                <w:color w:val="auto"/>
                <w:sz w:val="24"/>
                <w:lang w:val="en-US" w:eastAsia="zh-CN"/>
              </w:rPr>
              <w:t>农</w:t>
            </w:r>
            <w:r>
              <w:rPr>
                <w:bCs w:val="0"/>
                <w:color w:val="auto"/>
                <w:sz w:val="24"/>
              </w:rPr>
              <w:t>用地，项目在原有建筑基础上进行</w:t>
            </w:r>
            <w:r>
              <w:rPr>
                <w:rFonts w:hint="eastAsia"/>
                <w:bCs w:val="0"/>
                <w:color w:val="auto"/>
                <w:sz w:val="24"/>
                <w:lang w:val="en-US" w:eastAsia="zh-CN"/>
              </w:rPr>
              <w:t>建设</w:t>
            </w:r>
            <w:r>
              <w:rPr>
                <w:bCs w:val="0"/>
                <w:color w:val="auto"/>
                <w:sz w:val="24"/>
              </w:rPr>
              <w:t>。</w:t>
            </w:r>
          </w:p>
          <w:p w14:paraId="142604DE">
            <w:pPr>
              <w:pStyle w:val="61"/>
              <w:tabs>
                <w:tab w:val="left" w:pos="4767"/>
              </w:tabs>
              <w:spacing w:line="240" w:lineRule="auto"/>
              <w:ind w:firstLine="514" w:firstLineChars="200"/>
              <w:rPr>
                <w:rFonts w:hint="default" w:ascii="Times New Roman" w:hAnsi="Times New Roman" w:cs="Times New Roman"/>
                <w:bCs w:val="0"/>
                <w:color w:val="auto"/>
                <w:sz w:val="24"/>
              </w:rPr>
            </w:pPr>
            <w:r>
              <w:rPr>
                <w:bCs w:val="0"/>
                <w:color w:val="auto"/>
                <w:sz w:val="24"/>
              </w:rPr>
              <w:t>项目</w:t>
            </w:r>
            <w:r>
              <w:rPr>
                <w:rFonts w:hint="eastAsia"/>
                <w:bCs w:val="0"/>
                <w:color w:val="auto"/>
                <w:sz w:val="24"/>
                <w:lang w:val="en-US" w:eastAsia="zh-CN"/>
              </w:rPr>
              <w:t>北</w:t>
            </w:r>
            <w:r>
              <w:rPr>
                <w:bCs w:val="0"/>
                <w:color w:val="auto"/>
                <w:sz w:val="24"/>
              </w:rPr>
              <w:t>侧为</w:t>
            </w:r>
            <w:r>
              <w:rPr>
                <w:rFonts w:hint="eastAsia"/>
                <w:bCs w:val="0"/>
                <w:color w:val="auto"/>
                <w:sz w:val="24"/>
                <w:lang w:val="en-US" w:eastAsia="zh-CN"/>
              </w:rPr>
              <w:t>盐中线</w:t>
            </w:r>
            <w:r>
              <w:rPr>
                <w:bCs w:val="0"/>
                <w:color w:val="auto"/>
                <w:sz w:val="24"/>
              </w:rPr>
              <w:t>，</w:t>
            </w:r>
            <w:r>
              <w:rPr>
                <w:rFonts w:hint="eastAsia"/>
                <w:bCs w:val="0"/>
                <w:color w:val="auto"/>
                <w:sz w:val="24"/>
                <w:lang w:val="en-US" w:eastAsia="zh-CN"/>
              </w:rPr>
              <w:t>南</w:t>
            </w:r>
            <w:r>
              <w:rPr>
                <w:bCs w:val="0"/>
                <w:color w:val="auto"/>
                <w:sz w:val="24"/>
              </w:rPr>
              <w:t>侧</w:t>
            </w:r>
            <w:r>
              <w:rPr>
                <w:rFonts w:hint="eastAsia"/>
                <w:bCs w:val="0"/>
                <w:color w:val="auto"/>
                <w:sz w:val="24"/>
                <w:lang w:eastAsia="zh-CN"/>
              </w:rPr>
              <w:t>、</w:t>
            </w:r>
            <w:r>
              <w:rPr>
                <w:rFonts w:hint="eastAsia"/>
                <w:bCs w:val="0"/>
                <w:color w:val="auto"/>
                <w:sz w:val="24"/>
                <w:lang w:val="en-US" w:eastAsia="zh-CN"/>
              </w:rPr>
              <w:t>西侧均</w:t>
            </w:r>
            <w:r>
              <w:rPr>
                <w:bCs w:val="0"/>
                <w:color w:val="auto"/>
                <w:sz w:val="24"/>
              </w:rPr>
              <w:t>为</w:t>
            </w:r>
            <w:r>
              <w:rPr>
                <w:rFonts w:hint="eastAsia"/>
                <w:bCs w:val="0"/>
                <w:color w:val="auto"/>
                <w:sz w:val="24"/>
                <w:lang w:val="en-US" w:eastAsia="zh-CN"/>
              </w:rPr>
              <w:t>荒地</w:t>
            </w:r>
            <w:r>
              <w:rPr>
                <w:bCs w:val="0"/>
                <w:color w:val="auto"/>
                <w:sz w:val="24"/>
              </w:rPr>
              <w:t>，</w:t>
            </w:r>
            <w:r>
              <w:rPr>
                <w:rFonts w:hint="eastAsia"/>
                <w:bCs w:val="0"/>
                <w:color w:val="auto"/>
                <w:sz w:val="24"/>
                <w:lang w:val="en-US" w:eastAsia="zh-CN"/>
              </w:rPr>
              <w:t>东</w:t>
            </w:r>
            <w:r>
              <w:rPr>
                <w:bCs w:val="0"/>
                <w:color w:val="auto"/>
                <w:sz w:val="24"/>
              </w:rPr>
              <w:t>侧为</w:t>
            </w:r>
            <w:r>
              <w:rPr>
                <w:rFonts w:hint="default"/>
                <w:bCs w:val="0"/>
                <w:color w:val="auto"/>
                <w:sz w:val="24"/>
              </w:rPr>
              <w:t>宁夏交建交通科技研究院有限公司</w:t>
            </w:r>
            <w:r>
              <w:rPr>
                <w:rFonts w:hint="default"/>
                <w:bCs w:val="0"/>
                <w:color w:val="auto"/>
                <w:sz w:val="24"/>
                <w:lang w:val="en-US" w:eastAsia="zh-CN"/>
              </w:rPr>
              <w:t>国道</w:t>
            </w:r>
            <w:r>
              <w:rPr>
                <w:rFonts w:hint="eastAsia"/>
                <w:bCs w:val="0"/>
                <w:color w:val="auto"/>
                <w:sz w:val="24"/>
                <w:lang w:val="en-US" w:eastAsia="zh-CN"/>
              </w:rPr>
              <w:t>338</w:t>
            </w:r>
            <w:r>
              <w:rPr>
                <w:rFonts w:hint="default"/>
                <w:bCs w:val="0"/>
                <w:color w:val="auto"/>
                <w:sz w:val="24"/>
                <w:lang w:val="en-US" w:eastAsia="zh-CN"/>
              </w:rPr>
              <w:t>线中卫至</w:t>
            </w:r>
            <w:r>
              <w:rPr>
                <w:rFonts w:hint="eastAsia"/>
                <w:bCs w:val="0"/>
                <w:color w:val="auto"/>
                <w:sz w:val="24"/>
                <w:lang w:val="en-US" w:eastAsia="zh-CN"/>
              </w:rPr>
              <w:t>孟家湾</w:t>
            </w:r>
            <w:r>
              <w:rPr>
                <w:rFonts w:hint="default"/>
                <w:bCs w:val="0"/>
                <w:color w:val="auto"/>
                <w:sz w:val="24"/>
                <w:lang w:val="en-US" w:eastAsia="zh-CN"/>
              </w:rPr>
              <w:t>段公路</w:t>
            </w:r>
            <w:r>
              <w:rPr>
                <w:rFonts w:hint="eastAsia"/>
                <w:bCs w:val="0"/>
                <w:color w:val="auto"/>
                <w:sz w:val="24"/>
                <w:lang w:val="en-US" w:eastAsia="zh-CN"/>
              </w:rPr>
              <w:t>项目部，在空间上紧邻国道629线A2标段施工区域，通过盐中线等道路可高效衔接施工主干道；在原料供应运输方面，具备距离短、道路通达性好、用地适配性强等优势，能有效降低物流成本、保障施工原料的及时供应与稳定运转。</w:t>
            </w:r>
            <w:r>
              <w:rPr>
                <w:bCs w:val="0"/>
                <w:color w:val="auto"/>
                <w:sz w:val="24"/>
              </w:rPr>
              <w:t>项目所在地周围无自然保护区、水源地保护区、名胜古迹、疗养地等环境敏感保护目标，供水、供电设施齐全，且交通便利，便于项目设备、产品及原辅材料的运输</w:t>
            </w:r>
            <w:r>
              <w:rPr>
                <w:rFonts w:hint="eastAsia"/>
                <w:bCs w:val="0"/>
                <w:color w:val="auto"/>
                <w:sz w:val="24"/>
                <w:lang w:eastAsia="zh-CN"/>
              </w:rPr>
              <w:t>，</w:t>
            </w:r>
            <w:r>
              <w:rPr>
                <w:rFonts w:hint="eastAsia"/>
                <w:bCs w:val="0"/>
                <w:color w:val="auto"/>
                <w:sz w:val="24"/>
                <w:lang w:val="en-US" w:eastAsia="zh-CN"/>
              </w:rPr>
              <w:t>本项目周边环境关系示意图见附图1-2</w:t>
            </w:r>
            <w:r>
              <w:rPr>
                <w:bCs w:val="0"/>
                <w:color w:val="auto"/>
                <w:sz w:val="24"/>
              </w:rPr>
              <w:t>。因此，本项目选址合理。</w:t>
            </w:r>
          </w:p>
          <w:p w14:paraId="5CFD9F29">
            <w:pPr>
              <w:pStyle w:val="61"/>
              <w:tabs>
                <w:tab w:val="left" w:pos="4767"/>
              </w:tabs>
              <w:spacing w:line="240" w:lineRule="auto"/>
              <w:ind w:firstLine="514" w:firstLineChars="200"/>
              <w:rPr>
                <w:rFonts w:hint="default" w:ascii="Times New Roman" w:hAnsi="Times New Roman" w:cs="Times New Roman"/>
                <w:bCs w:val="0"/>
                <w:color w:val="auto"/>
                <w:sz w:val="24"/>
              </w:rPr>
            </w:pPr>
          </w:p>
          <w:p w14:paraId="08CFDC90">
            <w:pPr>
              <w:pStyle w:val="61"/>
              <w:tabs>
                <w:tab w:val="left" w:pos="4767"/>
              </w:tabs>
              <w:spacing w:line="240" w:lineRule="auto"/>
              <w:ind w:firstLine="514" w:firstLineChars="200"/>
              <w:rPr>
                <w:rFonts w:hint="default" w:ascii="Times New Roman" w:hAnsi="Times New Roman" w:cs="Times New Roman"/>
                <w:bCs w:val="0"/>
                <w:color w:val="auto"/>
                <w:sz w:val="24"/>
              </w:rPr>
            </w:pPr>
          </w:p>
          <w:p w14:paraId="63AF5D1D">
            <w:pPr>
              <w:pStyle w:val="61"/>
              <w:tabs>
                <w:tab w:val="left" w:pos="4767"/>
              </w:tabs>
              <w:spacing w:line="240" w:lineRule="auto"/>
              <w:ind w:firstLine="514" w:firstLineChars="200"/>
              <w:rPr>
                <w:rFonts w:hint="default" w:ascii="Times New Roman" w:hAnsi="Times New Roman" w:cs="Times New Roman"/>
                <w:bCs w:val="0"/>
                <w:color w:val="auto"/>
                <w:sz w:val="24"/>
              </w:rPr>
            </w:pPr>
          </w:p>
          <w:p w14:paraId="5687D5A7">
            <w:pPr>
              <w:pStyle w:val="61"/>
              <w:tabs>
                <w:tab w:val="left" w:pos="4767"/>
              </w:tabs>
              <w:spacing w:line="240" w:lineRule="auto"/>
              <w:ind w:firstLine="514" w:firstLineChars="200"/>
              <w:rPr>
                <w:rFonts w:hint="default" w:ascii="Times New Roman" w:hAnsi="Times New Roman" w:cs="Times New Roman"/>
                <w:bCs w:val="0"/>
                <w:color w:val="auto"/>
                <w:sz w:val="24"/>
              </w:rPr>
            </w:pPr>
          </w:p>
          <w:p w14:paraId="6FC382A3">
            <w:pPr>
              <w:pStyle w:val="61"/>
              <w:tabs>
                <w:tab w:val="left" w:pos="4767"/>
              </w:tabs>
              <w:spacing w:line="240" w:lineRule="auto"/>
              <w:ind w:firstLine="514" w:firstLineChars="200"/>
              <w:rPr>
                <w:rFonts w:hint="default" w:ascii="Times New Roman" w:hAnsi="Times New Roman" w:cs="Times New Roman"/>
                <w:bCs w:val="0"/>
                <w:color w:val="auto"/>
                <w:sz w:val="24"/>
              </w:rPr>
            </w:pPr>
          </w:p>
          <w:p w14:paraId="4E5DA2DC">
            <w:pPr>
              <w:pStyle w:val="61"/>
              <w:tabs>
                <w:tab w:val="left" w:pos="4767"/>
              </w:tabs>
              <w:spacing w:line="240" w:lineRule="auto"/>
              <w:ind w:firstLine="514" w:firstLineChars="200"/>
              <w:rPr>
                <w:rFonts w:hint="default" w:ascii="Times New Roman" w:hAnsi="Times New Roman" w:cs="Times New Roman"/>
                <w:bCs w:val="0"/>
                <w:color w:val="auto"/>
                <w:sz w:val="24"/>
              </w:rPr>
            </w:pPr>
          </w:p>
          <w:p w14:paraId="126ED588">
            <w:pPr>
              <w:pStyle w:val="61"/>
              <w:tabs>
                <w:tab w:val="left" w:pos="4767"/>
              </w:tabs>
              <w:spacing w:line="240" w:lineRule="auto"/>
              <w:ind w:firstLine="514" w:firstLineChars="200"/>
              <w:rPr>
                <w:rFonts w:hint="default" w:ascii="Times New Roman" w:hAnsi="Times New Roman" w:cs="Times New Roman"/>
                <w:bCs w:val="0"/>
                <w:color w:val="auto"/>
                <w:sz w:val="24"/>
              </w:rPr>
            </w:pPr>
          </w:p>
          <w:p w14:paraId="12878A16">
            <w:pPr>
              <w:pStyle w:val="61"/>
              <w:tabs>
                <w:tab w:val="left" w:pos="4767"/>
              </w:tabs>
              <w:spacing w:line="240" w:lineRule="auto"/>
              <w:ind w:firstLine="514" w:firstLineChars="200"/>
              <w:rPr>
                <w:rFonts w:hint="default" w:ascii="Times New Roman" w:hAnsi="Times New Roman" w:cs="Times New Roman"/>
                <w:bCs w:val="0"/>
                <w:color w:val="auto"/>
                <w:sz w:val="24"/>
              </w:rPr>
            </w:pPr>
          </w:p>
          <w:p w14:paraId="5059D6ED">
            <w:pPr>
              <w:pStyle w:val="61"/>
              <w:tabs>
                <w:tab w:val="left" w:pos="4767"/>
              </w:tabs>
              <w:spacing w:line="240" w:lineRule="auto"/>
              <w:ind w:firstLine="514" w:firstLineChars="200"/>
              <w:rPr>
                <w:rFonts w:hint="default" w:ascii="Times New Roman" w:hAnsi="Times New Roman" w:cs="Times New Roman"/>
                <w:bCs w:val="0"/>
                <w:color w:val="auto"/>
                <w:sz w:val="24"/>
              </w:rPr>
            </w:pPr>
          </w:p>
          <w:p w14:paraId="61B7A93A">
            <w:pPr>
              <w:pStyle w:val="61"/>
              <w:tabs>
                <w:tab w:val="left" w:pos="4767"/>
              </w:tabs>
              <w:spacing w:line="240" w:lineRule="auto"/>
              <w:ind w:firstLine="514" w:firstLineChars="200"/>
              <w:rPr>
                <w:rFonts w:hint="default" w:ascii="Times New Roman" w:hAnsi="Times New Roman" w:cs="Times New Roman"/>
                <w:bCs w:val="0"/>
                <w:color w:val="auto"/>
                <w:sz w:val="24"/>
              </w:rPr>
            </w:pPr>
          </w:p>
          <w:p w14:paraId="2C89116B">
            <w:pPr>
              <w:pStyle w:val="61"/>
              <w:tabs>
                <w:tab w:val="left" w:pos="4767"/>
              </w:tabs>
              <w:spacing w:line="240" w:lineRule="auto"/>
              <w:ind w:firstLine="514" w:firstLineChars="200"/>
              <w:rPr>
                <w:rFonts w:hint="default" w:ascii="Times New Roman" w:hAnsi="Times New Roman" w:cs="Times New Roman"/>
                <w:bCs w:val="0"/>
                <w:color w:val="auto"/>
                <w:sz w:val="24"/>
              </w:rPr>
            </w:pPr>
          </w:p>
          <w:p w14:paraId="5671C820">
            <w:pPr>
              <w:pStyle w:val="61"/>
              <w:tabs>
                <w:tab w:val="left" w:pos="4767"/>
              </w:tabs>
              <w:spacing w:line="240" w:lineRule="auto"/>
              <w:ind w:firstLine="514" w:firstLineChars="200"/>
              <w:rPr>
                <w:rFonts w:hint="default" w:ascii="Times New Roman" w:hAnsi="Times New Roman" w:cs="Times New Roman"/>
                <w:bCs w:val="0"/>
                <w:color w:val="auto"/>
                <w:sz w:val="24"/>
              </w:rPr>
            </w:pPr>
          </w:p>
          <w:p w14:paraId="1C4BC81C">
            <w:pPr>
              <w:pStyle w:val="61"/>
              <w:tabs>
                <w:tab w:val="left" w:pos="4767"/>
              </w:tabs>
              <w:spacing w:line="240" w:lineRule="auto"/>
              <w:ind w:firstLine="514" w:firstLineChars="200"/>
              <w:rPr>
                <w:rFonts w:hint="default" w:ascii="Times New Roman" w:hAnsi="Times New Roman" w:cs="Times New Roman"/>
                <w:bCs w:val="0"/>
                <w:color w:val="auto"/>
                <w:sz w:val="24"/>
              </w:rPr>
            </w:pPr>
          </w:p>
          <w:p w14:paraId="255B8A15">
            <w:pPr>
              <w:pStyle w:val="61"/>
              <w:tabs>
                <w:tab w:val="left" w:pos="4767"/>
              </w:tabs>
              <w:spacing w:line="240" w:lineRule="auto"/>
              <w:ind w:firstLine="514" w:firstLineChars="200"/>
              <w:rPr>
                <w:rFonts w:hint="default" w:ascii="Times New Roman" w:hAnsi="Times New Roman" w:cs="Times New Roman"/>
                <w:bCs w:val="0"/>
                <w:color w:val="auto"/>
                <w:sz w:val="24"/>
              </w:rPr>
            </w:pPr>
          </w:p>
          <w:p w14:paraId="60AB3CA8">
            <w:pPr>
              <w:pStyle w:val="61"/>
              <w:tabs>
                <w:tab w:val="left" w:pos="4767"/>
              </w:tabs>
              <w:spacing w:line="240" w:lineRule="auto"/>
              <w:ind w:firstLine="514" w:firstLineChars="200"/>
              <w:rPr>
                <w:rFonts w:hint="default" w:ascii="Times New Roman" w:hAnsi="Times New Roman" w:cs="Times New Roman"/>
                <w:bCs w:val="0"/>
                <w:color w:val="auto"/>
                <w:sz w:val="24"/>
              </w:rPr>
            </w:pPr>
          </w:p>
          <w:p w14:paraId="1CFD71F0">
            <w:pPr>
              <w:pStyle w:val="61"/>
              <w:tabs>
                <w:tab w:val="left" w:pos="4767"/>
              </w:tabs>
              <w:spacing w:line="240" w:lineRule="auto"/>
              <w:ind w:firstLine="514" w:firstLineChars="200"/>
              <w:rPr>
                <w:rFonts w:hint="default" w:ascii="Times New Roman" w:hAnsi="Times New Roman" w:cs="Times New Roman"/>
                <w:bCs w:val="0"/>
                <w:color w:val="auto"/>
                <w:sz w:val="24"/>
              </w:rPr>
            </w:pPr>
          </w:p>
          <w:p w14:paraId="10A69D7C">
            <w:pPr>
              <w:pStyle w:val="61"/>
              <w:tabs>
                <w:tab w:val="left" w:pos="4767"/>
              </w:tabs>
              <w:spacing w:line="240" w:lineRule="auto"/>
              <w:ind w:firstLine="514" w:firstLineChars="200"/>
              <w:rPr>
                <w:rFonts w:hint="default" w:ascii="Times New Roman" w:hAnsi="Times New Roman" w:cs="Times New Roman"/>
                <w:bCs w:val="0"/>
                <w:color w:val="auto"/>
                <w:sz w:val="24"/>
              </w:rPr>
            </w:pPr>
          </w:p>
          <w:p w14:paraId="689C4981">
            <w:pPr>
              <w:pStyle w:val="61"/>
              <w:tabs>
                <w:tab w:val="left" w:pos="4767"/>
              </w:tabs>
              <w:spacing w:line="240" w:lineRule="auto"/>
              <w:ind w:firstLine="514" w:firstLineChars="200"/>
              <w:rPr>
                <w:rFonts w:hint="default" w:ascii="Times New Roman" w:hAnsi="Times New Roman" w:cs="Times New Roman"/>
                <w:bCs w:val="0"/>
                <w:color w:val="auto"/>
                <w:sz w:val="24"/>
              </w:rPr>
            </w:pPr>
          </w:p>
          <w:p w14:paraId="1BC6D5E4">
            <w:pPr>
              <w:pStyle w:val="61"/>
              <w:tabs>
                <w:tab w:val="left" w:pos="4767"/>
              </w:tabs>
              <w:spacing w:line="240" w:lineRule="auto"/>
              <w:ind w:firstLine="514" w:firstLineChars="200"/>
              <w:rPr>
                <w:rFonts w:hint="default" w:ascii="Times New Roman" w:hAnsi="Times New Roman" w:cs="Times New Roman"/>
                <w:bCs w:val="0"/>
                <w:color w:val="auto"/>
                <w:sz w:val="24"/>
              </w:rPr>
            </w:pPr>
          </w:p>
          <w:p w14:paraId="6AC417A7">
            <w:pPr>
              <w:pStyle w:val="61"/>
              <w:tabs>
                <w:tab w:val="left" w:pos="4767"/>
              </w:tabs>
              <w:spacing w:line="240" w:lineRule="auto"/>
              <w:ind w:firstLine="514" w:firstLineChars="200"/>
              <w:rPr>
                <w:rFonts w:hint="default" w:ascii="Times New Roman" w:hAnsi="Times New Roman" w:cs="Times New Roman"/>
                <w:bCs w:val="0"/>
                <w:color w:val="auto"/>
                <w:sz w:val="24"/>
              </w:rPr>
            </w:pPr>
          </w:p>
          <w:p w14:paraId="5BC0825C">
            <w:pPr>
              <w:pStyle w:val="61"/>
              <w:tabs>
                <w:tab w:val="left" w:pos="4767"/>
              </w:tabs>
              <w:spacing w:line="240" w:lineRule="auto"/>
              <w:ind w:firstLine="514" w:firstLineChars="200"/>
              <w:rPr>
                <w:rFonts w:hint="default" w:ascii="Times New Roman" w:hAnsi="Times New Roman" w:cs="Times New Roman"/>
                <w:bCs w:val="0"/>
                <w:color w:val="auto"/>
                <w:sz w:val="24"/>
              </w:rPr>
            </w:pPr>
          </w:p>
          <w:p w14:paraId="129919D5">
            <w:pPr>
              <w:pStyle w:val="61"/>
              <w:tabs>
                <w:tab w:val="left" w:pos="4767"/>
              </w:tabs>
              <w:spacing w:line="240" w:lineRule="auto"/>
              <w:ind w:firstLine="514" w:firstLineChars="200"/>
              <w:rPr>
                <w:rFonts w:hint="default" w:ascii="Times New Roman" w:hAnsi="Times New Roman" w:cs="Times New Roman"/>
                <w:bCs w:val="0"/>
                <w:color w:val="auto"/>
                <w:sz w:val="24"/>
              </w:rPr>
            </w:pPr>
          </w:p>
          <w:p w14:paraId="3A60D5AE">
            <w:pPr>
              <w:pStyle w:val="61"/>
              <w:tabs>
                <w:tab w:val="left" w:pos="4767"/>
              </w:tabs>
              <w:spacing w:line="240" w:lineRule="auto"/>
              <w:ind w:firstLine="514" w:firstLineChars="200"/>
              <w:rPr>
                <w:rFonts w:hint="default" w:ascii="Times New Roman" w:hAnsi="Times New Roman" w:cs="Times New Roman"/>
                <w:bCs w:val="0"/>
                <w:color w:val="auto"/>
                <w:sz w:val="24"/>
              </w:rPr>
            </w:pPr>
          </w:p>
          <w:p w14:paraId="44BA7DD0">
            <w:pPr>
              <w:pStyle w:val="61"/>
              <w:tabs>
                <w:tab w:val="left" w:pos="4767"/>
              </w:tabs>
              <w:spacing w:line="240" w:lineRule="auto"/>
              <w:ind w:firstLine="514" w:firstLineChars="200"/>
              <w:rPr>
                <w:rFonts w:hint="default" w:ascii="Times New Roman" w:hAnsi="Times New Roman" w:cs="Times New Roman"/>
                <w:bCs w:val="0"/>
                <w:color w:val="auto"/>
                <w:sz w:val="24"/>
              </w:rPr>
            </w:pPr>
          </w:p>
          <w:p w14:paraId="3F6BAFFA">
            <w:pPr>
              <w:pStyle w:val="61"/>
              <w:tabs>
                <w:tab w:val="left" w:pos="4767"/>
              </w:tabs>
              <w:spacing w:line="240" w:lineRule="auto"/>
              <w:ind w:firstLine="514" w:firstLineChars="200"/>
              <w:rPr>
                <w:rFonts w:hint="default" w:ascii="Times New Roman" w:hAnsi="Times New Roman" w:cs="Times New Roman"/>
                <w:bCs w:val="0"/>
                <w:color w:val="auto"/>
                <w:sz w:val="24"/>
              </w:rPr>
            </w:pPr>
          </w:p>
          <w:p w14:paraId="6F158840">
            <w:pPr>
              <w:pStyle w:val="61"/>
              <w:tabs>
                <w:tab w:val="left" w:pos="4767"/>
              </w:tabs>
              <w:spacing w:line="240" w:lineRule="auto"/>
              <w:ind w:firstLine="514" w:firstLineChars="200"/>
              <w:rPr>
                <w:rFonts w:hint="default" w:ascii="Times New Roman" w:hAnsi="Times New Roman" w:cs="Times New Roman"/>
                <w:bCs w:val="0"/>
                <w:color w:val="auto"/>
                <w:sz w:val="24"/>
              </w:rPr>
            </w:pPr>
          </w:p>
          <w:p w14:paraId="23EEA19B">
            <w:pPr>
              <w:pStyle w:val="61"/>
              <w:tabs>
                <w:tab w:val="left" w:pos="4767"/>
              </w:tabs>
              <w:spacing w:line="240" w:lineRule="auto"/>
              <w:ind w:firstLine="514" w:firstLineChars="200"/>
              <w:rPr>
                <w:rFonts w:hint="default" w:ascii="Times New Roman" w:hAnsi="Times New Roman" w:cs="Times New Roman"/>
                <w:bCs w:val="0"/>
                <w:color w:val="auto"/>
                <w:sz w:val="24"/>
              </w:rPr>
            </w:pPr>
          </w:p>
          <w:p w14:paraId="7EAF36E8">
            <w:pPr>
              <w:pStyle w:val="61"/>
              <w:tabs>
                <w:tab w:val="left" w:pos="4767"/>
              </w:tabs>
              <w:spacing w:line="240" w:lineRule="auto"/>
              <w:rPr>
                <w:rFonts w:hint="default" w:ascii="Times New Roman" w:hAnsi="Times New Roman" w:cs="Times New Roman"/>
                <w:bCs w:val="0"/>
                <w:color w:val="auto"/>
                <w:sz w:val="24"/>
              </w:rPr>
            </w:pPr>
          </w:p>
        </w:tc>
      </w:tr>
    </w:tbl>
    <w:p w14:paraId="09FF9E1E">
      <w:pPr>
        <w:tabs>
          <w:tab w:val="left" w:pos="4767"/>
        </w:tabs>
        <w:rPr>
          <w:rFonts w:hint="default" w:ascii="Times New Roman" w:hAnsi="Times New Roman" w:cs="Times New Roman"/>
          <w:color w:val="auto"/>
        </w:rPr>
        <w:sectPr>
          <w:footerReference r:id="rId7" w:type="default"/>
          <w:pgSz w:w="11905" w:h="16838"/>
          <w:pgMar w:top="1417" w:right="1417" w:bottom="1417" w:left="1417" w:header="851" w:footer="964" w:gutter="0"/>
          <w:pgBorders>
            <w:top w:val="none" w:sz="0" w:space="0"/>
            <w:left w:val="none" w:sz="0" w:space="0"/>
            <w:bottom w:val="none" w:sz="0" w:space="0"/>
            <w:right w:val="none" w:sz="0" w:space="0"/>
          </w:pgBorders>
          <w:pgNumType w:start="1"/>
          <w:cols w:space="0" w:num="1"/>
          <w:docGrid w:type="linesAndChars" w:linePitch="466" w:charSpace="3482"/>
        </w:sectPr>
      </w:pPr>
    </w:p>
    <w:p w14:paraId="5B0D6BD7">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表1-</w:t>
      </w:r>
      <w:r>
        <w:rPr>
          <w:rFonts w:hint="default" w:ascii="Times New Roman" w:hAnsi="Times New Roman" w:eastAsia="黑体" w:cs="Times New Roman"/>
          <w:color w:val="auto"/>
          <w:sz w:val="24"/>
          <w:lang w:val="en-US" w:eastAsia="zh-CN"/>
        </w:rPr>
        <w:t>1</w:t>
      </w:r>
      <w:r>
        <w:rPr>
          <w:rFonts w:hint="default" w:ascii="Times New Roman" w:hAnsi="Times New Roman" w:eastAsia="黑体" w:cs="Times New Roman"/>
          <w:color w:val="auto"/>
          <w:sz w:val="24"/>
        </w:rPr>
        <w:t xml:space="preserve">    项目与中卫市“三线一单”生态环境分区管控要求相符性判定表</w:t>
      </w:r>
    </w:p>
    <w:tbl>
      <w:tblPr>
        <w:tblStyle w:val="26"/>
        <w:tblW w:w="4996"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8066"/>
        <w:gridCol w:w="4987"/>
        <w:gridCol w:w="1154"/>
      </w:tblGrid>
      <w:tr w14:paraId="4F3E15F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839" w:type="pct"/>
            <w:vAlign w:val="center"/>
          </w:tcPr>
          <w:p w14:paraId="6841C731">
            <w:pPr>
              <w:tabs>
                <w:tab w:val="left" w:pos="4767"/>
              </w:tabs>
              <w:autoSpaceDE w:val="0"/>
              <w:autoSpaceDN w:val="0"/>
              <w:spacing w:line="0" w:lineRule="atLeast"/>
              <w:contextualSpacing/>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lang w:val="en-US" w:eastAsia="zh-CN"/>
              </w:rPr>
              <w:t>具体</w:t>
            </w:r>
            <w:r>
              <w:rPr>
                <w:rFonts w:hint="default" w:ascii="Times New Roman" w:hAnsi="Times New Roman" w:cs="Times New Roman"/>
                <w:b/>
                <w:bCs/>
                <w:color w:val="auto"/>
                <w:kern w:val="0"/>
                <w:szCs w:val="21"/>
              </w:rPr>
              <w:t>要求</w:t>
            </w:r>
          </w:p>
        </w:tc>
        <w:tc>
          <w:tcPr>
            <w:tcW w:w="1755" w:type="pct"/>
            <w:vAlign w:val="center"/>
          </w:tcPr>
          <w:p w14:paraId="3E839930">
            <w:pPr>
              <w:tabs>
                <w:tab w:val="left" w:pos="4767"/>
              </w:tabs>
              <w:autoSpaceDE w:val="0"/>
              <w:autoSpaceDN w:val="0"/>
              <w:spacing w:line="0" w:lineRule="atLeast"/>
              <w:contextualSpacing/>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本项目情况</w:t>
            </w:r>
          </w:p>
        </w:tc>
        <w:tc>
          <w:tcPr>
            <w:tcW w:w="405" w:type="pct"/>
            <w:vAlign w:val="center"/>
          </w:tcPr>
          <w:p w14:paraId="59989FFA">
            <w:pPr>
              <w:tabs>
                <w:tab w:val="left" w:pos="4767"/>
              </w:tabs>
              <w:autoSpaceDE w:val="0"/>
              <w:autoSpaceDN w:val="0"/>
              <w:spacing w:line="0" w:lineRule="atLeast"/>
              <w:contextualSpacing/>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是否符合</w:t>
            </w:r>
          </w:p>
        </w:tc>
      </w:tr>
      <w:tr w14:paraId="4ABB091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839" w:type="pct"/>
            <w:vAlign w:val="center"/>
          </w:tcPr>
          <w:p w14:paraId="37DD8BAD">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contextualSpacing/>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生态保护红线及生态分区管控：</w:t>
            </w:r>
          </w:p>
          <w:p w14:paraId="01CE6026">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生态保护红线及生态空间：</w:t>
            </w:r>
          </w:p>
          <w:p w14:paraId="5095806C">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中卫市生态空间总面积5284.56平方公里，占全市国土总面积的38.71%。其中生态保护红线面积约为3179.06平方公里，占全市国土总面积的23.29%；除生态保护红线以外的一般生态空间面积2105.50平方公里，占全市国土面积15.42%。</w:t>
            </w:r>
          </w:p>
          <w:p w14:paraId="1AEB370B">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生态分区管控要求：</w:t>
            </w:r>
          </w:p>
          <w:p w14:paraId="675790B9">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生态保护红线内禁止城镇化和工业化活动，严禁不符合主体功能定位的各类开发活动。生态保护红线内自然保护区、风景名胜区、饮用水水源保护区等区域，依照法律法规执行。</w:t>
            </w:r>
          </w:p>
          <w:p w14:paraId="35DE6ED6">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一般生态空间原则上按照限制开发区域的要求进行管理。严格控制新增建设用地占用一般生态空间。符合区域准入条件的建设项目，涉及占用生态空间中的林地、草原等，按有关法律法规规定办理；涉及占用生态空间中其他未作明确规定的用地，应当加强论证和管理。严格限制农业开发占用生态空间，符合条件的农业开发项目，须依法由县级及以上地方人民政府统筹安排。有序引导生态空间用途之间的相互转换，鼓励向有利于生态功能提升的方向转变，严格限制不符合生态保护要求或有损生态功能的转换。</w:t>
            </w:r>
          </w:p>
        </w:tc>
        <w:tc>
          <w:tcPr>
            <w:tcW w:w="1755" w:type="pct"/>
            <w:vAlign w:val="center"/>
          </w:tcPr>
          <w:p w14:paraId="4CB09E16">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本项目位于宁夏回族自治区中卫市沙坡头区常乐镇枣林村，评价范围内不涉及自然保护区、风景旅游区、文物保护区等敏感因素，对照中卫市生态保护红线图及中卫市生态空间图（图1-</w:t>
            </w:r>
            <w:r>
              <w:rPr>
                <w:rFonts w:hint="eastAsia"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lang w:val="en-US" w:eastAsia="zh-CN"/>
              </w:rPr>
              <w:t>及图1-</w:t>
            </w:r>
            <w:r>
              <w:rPr>
                <w:rFonts w:hint="eastAsia" w:ascii="Times New Roman" w:hAnsi="Times New Roman" w:cs="Times New Roman"/>
                <w:color w:val="auto"/>
                <w:kern w:val="0"/>
                <w:szCs w:val="21"/>
                <w:lang w:val="en-US" w:eastAsia="zh-CN"/>
              </w:rPr>
              <w:t>4</w:t>
            </w:r>
            <w:r>
              <w:rPr>
                <w:rFonts w:hint="default" w:ascii="Times New Roman" w:hAnsi="Times New Roman" w:cs="Times New Roman"/>
                <w:color w:val="auto"/>
                <w:kern w:val="0"/>
                <w:szCs w:val="21"/>
                <w:lang w:val="en-US" w:eastAsia="zh-CN"/>
              </w:rPr>
              <w:t>），本项目不在生态保护红线及生态空间范围内。</w:t>
            </w:r>
          </w:p>
        </w:tc>
        <w:tc>
          <w:tcPr>
            <w:tcW w:w="405" w:type="pct"/>
            <w:vAlign w:val="center"/>
          </w:tcPr>
          <w:p w14:paraId="64AC8D71">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20C01FD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5000" w:type="pct"/>
            <w:gridSpan w:val="3"/>
            <w:vAlign w:val="center"/>
          </w:tcPr>
          <w:p w14:paraId="0B4CEA2B">
            <w:pPr>
              <w:tabs>
                <w:tab w:val="left" w:pos="4767"/>
              </w:tabs>
              <w:autoSpaceDE w:val="0"/>
              <w:autoSpaceDN w:val="0"/>
              <w:spacing w:line="0" w:lineRule="atLeast"/>
              <w:contextualSpacing/>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环境质量底线及分区管控</w:t>
            </w:r>
          </w:p>
        </w:tc>
      </w:tr>
      <w:tr w14:paraId="473B499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839" w:type="pct"/>
            <w:vAlign w:val="center"/>
          </w:tcPr>
          <w:p w14:paraId="1F82695D">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contextualSpacing/>
              <w:textAlignment w:val="auto"/>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水环境质量底线及分区管控：</w:t>
            </w:r>
          </w:p>
          <w:p w14:paraId="750CEA34">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lang w:eastAsia="zh-CN"/>
              </w:rPr>
              <w:t>）水环境管控分区：</w:t>
            </w:r>
          </w:p>
          <w:p w14:paraId="23E8944B">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中卫市水环境管控分区共分为三大类：水环境优先保护区、水环境重点管控区（含水环境工业污染源重点管控区、水环境农业污染源重点管控区、水环境城镇生活污染源重点管控区）和水环境一般管控区。</w:t>
            </w:r>
          </w:p>
          <w:p w14:paraId="16E900C8">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lang w:eastAsia="zh-CN"/>
              </w:rPr>
              <w:t>）水环境</w:t>
            </w:r>
            <w:r>
              <w:rPr>
                <w:rFonts w:hint="default" w:ascii="Times New Roman" w:hAnsi="Times New Roman" w:cs="Times New Roman"/>
                <w:color w:val="auto"/>
                <w:szCs w:val="21"/>
                <w:lang w:val="en-US" w:eastAsia="zh-CN"/>
              </w:rPr>
              <w:t>一般</w:t>
            </w:r>
            <w:r>
              <w:rPr>
                <w:rFonts w:hint="default" w:ascii="Times New Roman" w:hAnsi="Times New Roman" w:cs="Times New Roman"/>
                <w:color w:val="auto"/>
                <w:szCs w:val="21"/>
                <w:lang w:eastAsia="zh-CN"/>
              </w:rPr>
              <w:t>管控区要求：</w:t>
            </w:r>
          </w:p>
          <w:p w14:paraId="6F4A9380">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Cs w:val="21"/>
                <w:lang w:val="en-US" w:eastAsia="zh-CN"/>
              </w:rPr>
              <w:t>对于水环境优先保护区、重点管控区以外，现状水质达标的控制断面所对应的一般管控区，应落实《中华人民共和国水污染防治法》等相关法律法规的总体要求，加强水资源节约和保护，积极推动水生态修复治理，持续深入推进水污染防治，改善水环境质量</w:t>
            </w:r>
            <w:r>
              <w:rPr>
                <w:rFonts w:hint="default" w:ascii="Times New Roman" w:hAnsi="Times New Roman" w:cs="Times New Roman"/>
                <w:color w:val="auto"/>
                <w:szCs w:val="21"/>
                <w:lang w:eastAsia="zh-CN"/>
              </w:rPr>
              <w:t>。</w:t>
            </w:r>
          </w:p>
        </w:tc>
        <w:tc>
          <w:tcPr>
            <w:tcW w:w="1755" w:type="pct"/>
            <w:vAlign w:val="center"/>
          </w:tcPr>
          <w:p w14:paraId="0A6A12E1">
            <w:pPr>
              <w:pStyle w:val="53"/>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对照中卫市水环境分区管控图（图1-</w:t>
            </w: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val="en-US" w:eastAsia="zh-CN"/>
              </w:rPr>
              <w:t>），本项目属于水环境一般管控区，本项目废水主要为生活污水、车辆冲洗废水以及设备冲洗废水。生活污水中的洗漱废水用于厂区内洒水抑尘，如厕利用砖厂原有的旱厕，旱厕定期清掏。清掏物运至附近农田施肥。车辆冲洗废水经沉淀池沉淀后用于厂区内洒水抑尘和设备冲洗。设备冲洗产生的废水经沉淀池沉淀后用于厂区内洒水抑尘。本项目废水均已合理处置，无外排废水。本项目废水不直接进入地表水体，不会对区域地表水环境产生影响，不触及区域地表水环境质量底线。</w:t>
            </w:r>
          </w:p>
        </w:tc>
        <w:tc>
          <w:tcPr>
            <w:tcW w:w="405" w:type="pct"/>
            <w:vAlign w:val="center"/>
          </w:tcPr>
          <w:p w14:paraId="2262E6C1">
            <w:pPr>
              <w:pStyle w:val="53"/>
              <w:widowControl/>
              <w:tabs>
                <w:tab w:val="left" w:pos="4767"/>
              </w:tabs>
              <w:spacing w:line="0" w:lineRule="atLeast"/>
              <w:contextualSpacing/>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7EF9F7E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839" w:type="pct"/>
            <w:vAlign w:val="center"/>
          </w:tcPr>
          <w:p w14:paraId="1D8C4D25">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大气环境质量底线及分区管控：</w:t>
            </w:r>
          </w:p>
          <w:p w14:paraId="5AED8ECB">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1</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大气环境管控分区</w:t>
            </w:r>
          </w:p>
          <w:p w14:paraId="3047A631">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中卫市大气环境管控分区为三大类：大气环境优先保护区、大气环境重点管控区</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高排放重点管控区、布局敏感重点管控区、弱扩散重点管控区、受体敏感重点管控区</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和大气环境一般管控区。</w:t>
            </w:r>
          </w:p>
          <w:p w14:paraId="41BDA798">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大气环境</w:t>
            </w:r>
            <w:r>
              <w:rPr>
                <w:rFonts w:hint="default" w:ascii="Times New Roman" w:hAnsi="Times New Roman" w:cs="Times New Roman"/>
                <w:color w:val="auto"/>
                <w:kern w:val="0"/>
                <w:szCs w:val="21"/>
                <w:lang w:val="en-US" w:eastAsia="zh-CN"/>
              </w:rPr>
              <w:t>受体敏感</w:t>
            </w:r>
            <w:r>
              <w:rPr>
                <w:rFonts w:hint="default" w:ascii="Times New Roman" w:hAnsi="Times New Roman" w:cs="Times New Roman"/>
                <w:color w:val="auto"/>
                <w:kern w:val="0"/>
                <w:szCs w:val="21"/>
              </w:rPr>
              <w:t>重点管控区要求：</w:t>
            </w:r>
          </w:p>
          <w:p w14:paraId="2BE53351">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val="en-US" w:eastAsia="zh-CN"/>
              </w:rPr>
              <w:t>严格落实建筑工地“六个100%”防控措施，实行清单动态更新管理，持续加强施工扬尘管控水平。进一步提高机械化清扫率，从严从细规范渣土车管理，继续在全市推广“以克论净”。持续推进国土绿化，提高城市绿地面积和绿化率，基本消除建成区裸露空地。加大餐饮业油烟污染整治力度，餐饮经营场所全部安装油烟净化设施，设施正常使用率不低于95％，鼓励规模以上餐饮企业试点安装油烟在线监控装置。加快推进热电联产、余热利用、集中供热工程建设，结合老旧小区改造，扩大清洁取暖范围，禁止露天焚烧产生有毒有害烟尘和恶臭气体的物质或将其用作燃料。加快公交专用道规划建设，完善新能源汽车配套设施，不断提高新能源汽车保有量，合理控制燃油机动车使用强度。（依据《中卫市生态环境保护“十四五”规划》）</w:t>
            </w:r>
            <w:r>
              <w:rPr>
                <w:rFonts w:hint="default" w:ascii="Times New Roman" w:hAnsi="Times New Roman" w:cs="Times New Roman"/>
                <w:color w:val="auto"/>
                <w:kern w:val="0"/>
                <w:szCs w:val="21"/>
                <w:lang w:eastAsia="zh-CN"/>
              </w:rPr>
              <w:t>。</w:t>
            </w:r>
          </w:p>
        </w:tc>
        <w:tc>
          <w:tcPr>
            <w:tcW w:w="1755" w:type="pct"/>
            <w:vAlign w:val="center"/>
          </w:tcPr>
          <w:p w14:paraId="5AB7F1D6">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对照中卫市大气环境分区管控图（图1-</w:t>
            </w:r>
            <w:r>
              <w:rPr>
                <w:rFonts w:hint="eastAsia" w:ascii="Times New Roman" w:hAnsi="Times New Roman" w:cs="Times New Roman"/>
                <w:color w:val="auto"/>
                <w:kern w:val="0"/>
                <w:szCs w:val="21"/>
                <w:lang w:val="en-US" w:eastAsia="zh-CN"/>
              </w:rPr>
              <w:t>6</w:t>
            </w:r>
            <w:r>
              <w:rPr>
                <w:rFonts w:hint="default" w:ascii="Times New Roman" w:hAnsi="Times New Roman" w:eastAsia="宋体" w:cs="Times New Roman"/>
                <w:color w:val="auto"/>
                <w:kern w:val="0"/>
                <w:szCs w:val="21"/>
                <w:lang w:val="en-US" w:eastAsia="zh-CN"/>
              </w:rPr>
              <w:t>），本项目属于大气环境</w:t>
            </w:r>
            <w:r>
              <w:rPr>
                <w:rFonts w:hint="default" w:ascii="Times New Roman" w:hAnsi="Times New Roman" w:cs="Times New Roman"/>
                <w:color w:val="auto"/>
                <w:kern w:val="0"/>
                <w:szCs w:val="21"/>
                <w:lang w:val="en-US" w:eastAsia="zh-CN"/>
              </w:rPr>
              <w:t>一般</w:t>
            </w:r>
            <w:r>
              <w:rPr>
                <w:rFonts w:hint="default" w:ascii="Times New Roman" w:hAnsi="Times New Roman" w:eastAsia="宋体" w:cs="Times New Roman"/>
                <w:color w:val="auto"/>
                <w:kern w:val="0"/>
                <w:szCs w:val="21"/>
                <w:lang w:val="en-US" w:eastAsia="zh-CN"/>
              </w:rPr>
              <w:t>管控区。根据《202</w:t>
            </w:r>
            <w:r>
              <w:rPr>
                <w:rFonts w:hint="eastAsia" w:cs="Times New Roman"/>
                <w:color w:val="auto"/>
                <w:kern w:val="0"/>
                <w:szCs w:val="21"/>
                <w:lang w:val="en-US" w:eastAsia="zh-CN"/>
              </w:rPr>
              <w:t>4</w:t>
            </w:r>
            <w:r>
              <w:rPr>
                <w:rFonts w:hint="default" w:ascii="Times New Roman" w:hAnsi="Times New Roman" w:eastAsia="宋体" w:cs="Times New Roman"/>
                <w:color w:val="auto"/>
                <w:kern w:val="0"/>
                <w:szCs w:val="21"/>
                <w:lang w:val="en-US" w:eastAsia="zh-CN"/>
              </w:rPr>
              <w:t>年宁夏生态环境质量状况》，剔除沙尘天气后，中卫市沙坡头区202</w:t>
            </w:r>
            <w:r>
              <w:rPr>
                <w:rFonts w:hint="eastAsia" w:cs="Times New Roman"/>
                <w:color w:val="auto"/>
                <w:kern w:val="0"/>
                <w:szCs w:val="21"/>
                <w:lang w:val="en-US" w:eastAsia="zh-CN"/>
              </w:rPr>
              <w:t>4</w:t>
            </w:r>
            <w:r>
              <w:rPr>
                <w:rFonts w:hint="default" w:ascii="Times New Roman" w:hAnsi="Times New Roman" w:eastAsia="宋体" w:cs="Times New Roman"/>
                <w:color w:val="auto"/>
                <w:kern w:val="0"/>
                <w:szCs w:val="21"/>
                <w:lang w:val="en-US" w:eastAsia="zh-CN"/>
              </w:rPr>
              <w:t>年6项常规污染物均满足《环境空气质量标准》（GB3095-2012）及修改单中二级标准要求，属于达标区。项目为其他非金属矿物制品制造，不属于禁止类和限制类的大气污染物排放项目。本项目建成后料仓全封闭并配套除尘设施，并定期洒水抑尘；运输车辆控制装载量并遮盖篷布，项目配备洒水车定期洒水抑尘，且厂区配备相应的废气除尘措施，对区域环境空气质量影响较小。</w:t>
            </w:r>
          </w:p>
        </w:tc>
        <w:tc>
          <w:tcPr>
            <w:tcW w:w="405" w:type="pct"/>
            <w:vAlign w:val="center"/>
          </w:tcPr>
          <w:p w14:paraId="5DC58E89">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2E0D7F2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839" w:type="pct"/>
            <w:vAlign w:val="center"/>
          </w:tcPr>
          <w:p w14:paraId="012FE82C">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土壤污染风险分区防控要求：</w:t>
            </w:r>
          </w:p>
          <w:p w14:paraId="0ABD9FA9">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1</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土壤污染风险管控分区</w:t>
            </w:r>
          </w:p>
          <w:p w14:paraId="43B9915E">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中卫市土壤污染风险管控分区为三大类：农用地优先保护区、建设用地污染风险重点管控区和土壤环境一般管控区。</w:t>
            </w:r>
          </w:p>
          <w:p w14:paraId="6D103819">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土壤环境</w:t>
            </w:r>
            <w:r>
              <w:rPr>
                <w:rFonts w:hint="default" w:ascii="Times New Roman" w:hAnsi="Times New Roman" w:cs="Times New Roman"/>
                <w:color w:val="auto"/>
                <w:kern w:val="0"/>
                <w:szCs w:val="21"/>
                <w:lang w:val="en-US" w:eastAsia="zh-CN"/>
              </w:rPr>
              <w:t>一般</w:t>
            </w:r>
            <w:r>
              <w:rPr>
                <w:rFonts w:hint="default" w:ascii="Times New Roman" w:hAnsi="Times New Roman" w:cs="Times New Roman"/>
                <w:color w:val="auto"/>
                <w:kern w:val="0"/>
                <w:szCs w:val="21"/>
              </w:rPr>
              <w:t>管控要求</w:t>
            </w:r>
          </w:p>
          <w:p w14:paraId="3DE15C41">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在编制国土空间规划等相关规划时，应充分考虑污染地块的环境风险，合理确定土地用途。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p>
        </w:tc>
        <w:tc>
          <w:tcPr>
            <w:tcW w:w="1755" w:type="pct"/>
            <w:vAlign w:val="center"/>
          </w:tcPr>
          <w:p w14:paraId="210579AF">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对照中卫市土壤污染风险分区管控图（图1-</w:t>
            </w:r>
            <w:r>
              <w:rPr>
                <w:rFonts w:hint="eastAsia" w:ascii="Times New Roman" w:hAnsi="Times New Roman" w:cs="Times New Roman"/>
                <w:color w:val="auto"/>
                <w:kern w:val="0"/>
                <w:szCs w:val="21"/>
                <w:lang w:val="en-US" w:eastAsia="zh-CN"/>
              </w:rPr>
              <w:t>7</w:t>
            </w:r>
            <w:r>
              <w:rPr>
                <w:rFonts w:hint="default" w:ascii="Times New Roman" w:hAnsi="Times New Roman" w:eastAsia="宋体" w:cs="Times New Roman"/>
                <w:color w:val="auto"/>
                <w:kern w:val="0"/>
                <w:szCs w:val="21"/>
                <w:lang w:val="en-US" w:eastAsia="zh-CN"/>
              </w:rPr>
              <w:t>），本项目属于土壤环境</w:t>
            </w:r>
            <w:r>
              <w:rPr>
                <w:rFonts w:hint="default" w:ascii="Times New Roman" w:hAnsi="Times New Roman" w:cs="Times New Roman"/>
                <w:color w:val="auto"/>
                <w:kern w:val="0"/>
                <w:szCs w:val="21"/>
                <w:lang w:val="en-US" w:eastAsia="zh-CN"/>
              </w:rPr>
              <w:t>一般</w:t>
            </w:r>
            <w:r>
              <w:rPr>
                <w:rFonts w:hint="default" w:ascii="Times New Roman" w:hAnsi="Times New Roman" w:eastAsia="宋体" w:cs="Times New Roman"/>
                <w:color w:val="auto"/>
                <w:kern w:val="0"/>
                <w:szCs w:val="21"/>
                <w:lang w:val="en-US" w:eastAsia="zh-CN"/>
              </w:rPr>
              <w:t>管控区。</w:t>
            </w:r>
          </w:p>
          <w:p w14:paraId="2DCD4AD1">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本项目建设地点为宁夏回族自治区中卫市沙坡头区常乐镇枣林村吉庆砖厂场地内，根据建设单位与吉庆砖厂的租赁协议知砖厂原有用地属于</w:t>
            </w:r>
            <w:r>
              <w:rPr>
                <w:rFonts w:hint="eastAsia" w:cs="Times New Roman"/>
                <w:color w:val="auto"/>
                <w:kern w:val="0"/>
                <w:szCs w:val="21"/>
                <w:lang w:val="en-US" w:eastAsia="zh-CN"/>
              </w:rPr>
              <w:t>农</w:t>
            </w:r>
            <w:r>
              <w:rPr>
                <w:rFonts w:hint="default" w:ascii="Times New Roman" w:hAnsi="Times New Roman" w:eastAsia="宋体" w:cs="Times New Roman"/>
                <w:color w:val="auto"/>
                <w:kern w:val="0"/>
                <w:szCs w:val="21"/>
                <w:lang w:val="en-US" w:eastAsia="zh-CN"/>
              </w:rPr>
              <w:t>用地</w:t>
            </w:r>
            <w:r>
              <w:rPr>
                <w:rFonts w:hint="eastAsia" w:cs="Times New Roman"/>
                <w:color w:val="auto"/>
                <w:kern w:val="0"/>
                <w:szCs w:val="21"/>
                <w:lang w:val="en-US" w:eastAsia="zh-CN"/>
              </w:rPr>
              <w:t>（土地证见附件4）</w:t>
            </w:r>
            <w:r>
              <w:rPr>
                <w:rFonts w:hint="default" w:ascii="Times New Roman" w:hAnsi="Times New Roman" w:eastAsia="宋体" w:cs="Times New Roman"/>
                <w:color w:val="auto"/>
                <w:kern w:val="0"/>
                <w:szCs w:val="21"/>
                <w:lang w:val="en-US" w:eastAsia="zh-CN"/>
              </w:rPr>
              <w:t>；项目为沥青混凝土生产工程，不涉及重金属、石油、化工等行业；因此，符合其相关管控要求</w:t>
            </w:r>
          </w:p>
        </w:tc>
        <w:tc>
          <w:tcPr>
            <w:tcW w:w="405" w:type="pct"/>
            <w:vAlign w:val="center"/>
          </w:tcPr>
          <w:p w14:paraId="70EFDC83">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2AC0C37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5000" w:type="pct"/>
            <w:gridSpan w:val="3"/>
            <w:vAlign w:val="center"/>
          </w:tcPr>
          <w:p w14:paraId="779BB020">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资源利用上线及分区管控</w:t>
            </w:r>
          </w:p>
        </w:tc>
      </w:tr>
      <w:tr w14:paraId="0D727F9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839" w:type="pct"/>
            <w:vAlign w:val="center"/>
          </w:tcPr>
          <w:p w14:paraId="3A4EF649">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能源（煤炭）资源利用上线及分区管控：</w:t>
            </w:r>
          </w:p>
          <w:p w14:paraId="0178155D">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中卫市全市高污染燃料禁燃区的面积为58.00平方公里，占全市面积的0.42%。</w:t>
            </w:r>
          </w:p>
          <w:p w14:paraId="4E21BA8E">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根据《关于发布&lt;高污染燃料目录&gt;的通知》（国环规大气[2017]2号）要求，按照控制严格程度，将禁燃区内禁止燃用的燃料组合分为Ⅰ类（一般）、Ⅱ类（较严）、Ⅲ类（严格）。</w:t>
            </w:r>
          </w:p>
          <w:p w14:paraId="197F71CD">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根据《市人民政府办公室关于印发中卫市高污染燃料禁燃区划定方案的通知》（卫政办发[2017]145号），全市高污染燃料禁燃区内禁止燃用的燃料组合为Ⅰ类。禁燃区内任何单位不得新建、扩建高污染燃料燃用设施，逐步取消禁燃区内的高污染燃料销售点。对于现有的高污染燃料燃用设施，应当按照规定予以拆除或改用电、天然气等清洁能源</w:t>
            </w:r>
            <w:r>
              <w:rPr>
                <w:rFonts w:hint="default" w:ascii="Times New Roman" w:hAnsi="Times New Roman" w:cs="Times New Roman"/>
                <w:color w:val="auto"/>
                <w:kern w:val="0"/>
                <w:szCs w:val="21"/>
                <w:lang w:eastAsia="zh-CN"/>
              </w:rPr>
              <w:t>。</w:t>
            </w:r>
          </w:p>
        </w:tc>
        <w:tc>
          <w:tcPr>
            <w:tcW w:w="1755" w:type="pct"/>
            <w:vAlign w:val="center"/>
          </w:tcPr>
          <w:p w14:paraId="5A5C742A">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本项目位于宁夏回族自治区中卫市沙坡头区常乐镇枣林村，本项目不涉及高污染燃料的使用，对照中卫市高污染燃料禁燃区图（图1-</w:t>
            </w:r>
            <w:r>
              <w:rPr>
                <w:rFonts w:hint="eastAsia" w:ascii="Times New Roman" w:hAnsi="Times New Roman" w:cs="Times New Roman"/>
                <w:color w:val="auto"/>
                <w:kern w:val="0"/>
                <w:szCs w:val="21"/>
                <w:lang w:val="en-US" w:eastAsia="zh-CN"/>
              </w:rPr>
              <w:t>8</w:t>
            </w:r>
            <w:r>
              <w:rPr>
                <w:rFonts w:hint="default" w:ascii="Times New Roman" w:hAnsi="Times New Roman" w:eastAsia="宋体" w:cs="Times New Roman"/>
                <w:color w:val="auto"/>
                <w:kern w:val="0"/>
                <w:szCs w:val="21"/>
                <w:lang w:val="en-US" w:eastAsia="zh-CN"/>
              </w:rPr>
              <w:t>），本项目不属于中卫市高污染燃料禁燃区。</w:t>
            </w:r>
          </w:p>
        </w:tc>
        <w:tc>
          <w:tcPr>
            <w:tcW w:w="405" w:type="pct"/>
            <w:vAlign w:val="center"/>
          </w:tcPr>
          <w:p w14:paraId="27E1687E">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212E137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839" w:type="pct"/>
            <w:vAlign w:val="center"/>
          </w:tcPr>
          <w:p w14:paraId="2CBB9463">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水资源利用上线及分区管控：</w:t>
            </w:r>
          </w:p>
          <w:p w14:paraId="0154398F">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将中卫市各县级行政区中取用水总量未达标的区域（中宁县、海原县），作为水资源利用效率重点管控区。</w:t>
            </w:r>
          </w:p>
          <w:p w14:paraId="3B456180">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坚持以水定城、以水定地、以水定人、以水定产，落实《宁夏回族自治区关于实施最严格水资源管理制度的意见》，建立水资源刚性约束制度，落实水资源开发利用控制、用水效率控制和水功能区限制纳污控制“三条红线”管控。严格准入条件，按照地区取水总量限值审核新、改、扩建项目，取水总量不得超过地区水资源取用上限或承载能力。严控超量取用水、地下水开采等行为。</w:t>
            </w:r>
          </w:p>
          <w:p w14:paraId="7DF9ED93">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实施农业节水领跑行动。坚持适水种植、量水生产，加强节水灌溉工程建设和引、扬黄灌区节水改造，因地制宜推广喷灌、微灌、低压管道输水灌溉、水肥一体化、覆膜保墒等节水灌溉技术，将引黄、扬黄灌区打造为全国现代化生态灌区建设示范区。</w:t>
            </w:r>
          </w:p>
          <w:p w14:paraId="25660BCE">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深挖工业节水潜力。以中卫工业园区为重点，大力实施节水改造，推进统一供水、分质供水、废水集中处理回用。推进化工、冶金、建材等产业节水增效，大力推广高效冷却、洗涤、循环用水、废污水再生利用、高耗水生产工艺替代等节水工艺和技术。发挥水资源税税收杠杆调节作用，促进高耗水企业加强废水深度处理和达标再利用。严格管控高耗水产业发展，倒逼高耗水项目和产业有序退出。</w:t>
            </w:r>
          </w:p>
          <w:p w14:paraId="607C7281">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大力推进城市中水回用，加强中水回用设施建设，提高水资源的综合利用能力。深入开展公共领域节水，强力推广节水型用水器具，严控高耗水服务业用水，公共绿地全面采用喷灌、微灌等高效节水灌溉方式，全面推进节水型城市建设</w:t>
            </w:r>
            <w:r>
              <w:rPr>
                <w:rFonts w:hint="default" w:ascii="Times New Roman" w:hAnsi="Times New Roman" w:cs="Times New Roman"/>
                <w:color w:val="auto"/>
                <w:kern w:val="0"/>
                <w:szCs w:val="21"/>
                <w:lang w:eastAsia="zh-CN"/>
              </w:rPr>
              <w:t>。</w:t>
            </w:r>
          </w:p>
        </w:tc>
        <w:tc>
          <w:tcPr>
            <w:tcW w:w="1755" w:type="pct"/>
            <w:vAlign w:val="center"/>
          </w:tcPr>
          <w:p w14:paraId="7513D3EB">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本项目位于宁夏回族自治区中卫市沙坡头区常乐镇枣林村，本项目最高用水量为</w:t>
            </w:r>
            <w:r>
              <w:rPr>
                <w:rFonts w:hint="default" w:ascii="Times New Roman" w:hAnsi="Times New Roman" w:cs="Times New Roman"/>
                <w:color w:val="auto"/>
                <w:kern w:val="0"/>
                <w:szCs w:val="21"/>
                <w:lang w:val="en-US" w:eastAsia="zh-CN"/>
              </w:rPr>
              <w:t>512</w:t>
            </w:r>
            <w:r>
              <w:rPr>
                <w:rFonts w:hint="default" w:ascii="Times New Roman" w:hAnsi="Times New Roman" w:eastAsia="宋体" w:cs="Times New Roman"/>
                <w:color w:val="auto"/>
                <w:kern w:val="0"/>
                <w:szCs w:val="21"/>
                <w:lang w:val="en-US" w:eastAsia="zh-CN"/>
              </w:rPr>
              <w:t>m³/a</w:t>
            </w:r>
            <w:r>
              <w:rPr>
                <w:rFonts w:hint="default" w:ascii="Times New Roman" w:hAnsi="Times New Roman" w:cs="Times New Roman"/>
                <w:color w:val="auto"/>
                <w:kern w:val="0"/>
                <w:szCs w:val="21"/>
                <w:lang w:val="en-US" w:eastAsia="zh-CN"/>
              </w:rPr>
              <w:t>，用水量较小，不会超过水资源利用上线或承载能力，符合中卫市水资源利用上线要求。</w:t>
            </w:r>
          </w:p>
        </w:tc>
        <w:tc>
          <w:tcPr>
            <w:tcW w:w="405" w:type="pct"/>
            <w:vAlign w:val="center"/>
          </w:tcPr>
          <w:p w14:paraId="14B5E565">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272F51F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839" w:type="pct"/>
            <w:vAlign w:val="center"/>
          </w:tcPr>
          <w:p w14:paraId="00FBC2E3">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土地资源利用上线及分区管控：</w:t>
            </w:r>
          </w:p>
          <w:p w14:paraId="02413E79">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从生态环境保护的角度出发，综合考虑生态保护红线、永久基本农田等保护区域的面积，可开发利用土地资源的存量，以及土地资源的集约利用水平等因素，评价各区县在土地资源开发利用与生态环境保护方面的潜在矛盾程度。中卫市无土地资源重点管控区。</w:t>
            </w:r>
          </w:p>
          <w:p w14:paraId="16D874FB">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按照“以水定城、以水定地”的原则，优化城乡土地供给，严格落实耕地占补平衡，严控新增建设用地规模，严格按照投资强度核定用地面积，盘活利用闲置土地，合理控制土地开发强度，优化土地利用结构和布局，清理低效用地，集约化、规模化开发土地资源，提高土地集约化利用程度和开发利用效益</w:t>
            </w:r>
            <w:r>
              <w:rPr>
                <w:rFonts w:hint="default" w:ascii="Times New Roman" w:hAnsi="Times New Roman" w:cs="Times New Roman"/>
                <w:color w:val="auto"/>
                <w:kern w:val="0"/>
                <w:szCs w:val="21"/>
                <w:lang w:eastAsia="zh-CN"/>
              </w:rPr>
              <w:t>。</w:t>
            </w:r>
          </w:p>
        </w:tc>
        <w:tc>
          <w:tcPr>
            <w:tcW w:w="1755" w:type="pct"/>
            <w:vAlign w:val="center"/>
          </w:tcPr>
          <w:p w14:paraId="2913150E">
            <w:pPr>
              <w:keepNext w:val="0"/>
              <w:keepLines w:val="0"/>
              <w:pageBreakBefore w:val="0"/>
              <w:widowControl w:val="0"/>
              <w:numPr>
                <w:ilvl w:val="0"/>
                <w:numId w:val="0"/>
              </w:numPr>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本项目不涉及永久基本农田使用。</w:t>
            </w:r>
          </w:p>
        </w:tc>
        <w:tc>
          <w:tcPr>
            <w:tcW w:w="405" w:type="pct"/>
            <w:vAlign w:val="center"/>
          </w:tcPr>
          <w:p w14:paraId="5C1B87A3">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63A7303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5000" w:type="pct"/>
            <w:gridSpan w:val="3"/>
            <w:vAlign w:val="center"/>
          </w:tcPr>
          <w:p w14:paraId="7C26480E">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环境管控单元与生态环境准入清单</w:t>
            </w:r>
          </w:p>
        </w:tc>
      </w:tr>
      <w:tr w14:paraId="105E074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839" w:type="pct"/>
            <w:vAlign w:val="center"/>
          </w:tcPr>
          <w:p w14:paraId="7EE914CB">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中卫市共划定环境管控单元57个，其中优先保护单元33个，优先保护单元面积为6391.35平方公里，占全市国土面积的46.51%。重点管控单元个数为12个，重点管控单元面积为972.59平方公里，占全市国土面积的7.08%。一般管控单元个数为12个，一般管控单元面积为6376.80平方公里，占全市国土面积的46.41%。</w:t>
            </w:r>
          </w:p>
          <w:p w14:paraId="6B0142D9">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点管控单元：在扣除优先保护单元的基础上，将水环境重点管控区、大气环境重点管控区、禁燃区、地下水开采等重点管控区等与行政区划、工业园区边界等进行空间叠加拟合，形成重点管控单元。重点管控单元总体上以守住环境质量底线、控制资源利用上线、积极发展社会经济为导向，实施污染防治、生态环境修复治理和差异化的42环境准入。</w:t>
            </w:r>
          </w:p>
        </w:tc>
        <w:tc>
          <w:tcPr>
            <w:tcW w:w="1755" w:type="pct"/>
            <w:vAlign w:val="center"/>
          </w:tcPr>
          <w:p w14:paraId="76D6C14E">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对照中卫市环境管控单元分区图（图1-</w:t>
            </w:r>
            <w:r>
              <w:rPr>
                <w:rFonts w:hint="eastAsia" w:ascii="Times New Roman" w:hAnsi="Times New Roman" w:cs="Times New Roman"/>
                <w:color w:val="auto"/>
                <w:kern w:val="0"/>
                <w:szCs w:val="21"/>
                <w:lang w:val="en-US" w:eastAsia="zh-CN"/>
              </w:rPr>
              <w:t>9</w:t>
            </w:r>
            <w:r>
              <w:rPr>
                <w:rFonts w:hint="default" w:ascii="Times New Roman" w:hAnsi="Times New Roman" w:eastAsia="宋体" w:cs="Times New Roman"/>
                <w:color w:val="auto"/>
                <w:kern w:val="0"/>
                <w:szCs w:val="21"/>
                <w:lang w:val="en-US" w:eastAsia="zh-CN"/>
              </w:rPr>
              <w:t>），本项目属于</w:t>
            </w:r>
            <w:r>
              <w:rPr>
                <w:rFonts w:hint="default" w:ascii="Times New Roman" w:hAnsi="Times New Roman" w:cs="Times New Roman"/>
                <w:color w:val="auto"/>
                <w:kern w:val="0"/>
                <w:szCs w:val="21"/>
                <w:lang w:val="en-US" w:eastAsia="zh-CN"/>
              </w:rPr>
              <w:t>一般</w:t>
            </w:r>
            <w:r>
              <w:rPr>
                <w:rFonts w:hint="default" w:ascii="Times New Roman" w:hAnsi="Times New Roman" w:eastAsia="宋体" w:cs="Times New Roman"/>
                <w:color w:val="auto"/>
                <w:kern w:val="0"/>
                <w:szCs w:val="21"/>
                <w:lang w:val="en-US" w:eastAsia="zh-CN"/>
              </w:rPr>
              <w:t>管控单元。</w:t>
            </w:r>
          </w:p>
        </w:tc>
        <w:tc>
          <w:tcPr>
            <w:tcW w:w="405" w:type="pct"/>
            <w:vAlign w:val="center"/>
          </w:tcPr>
          <w:p w14:paraId="7223DEF1">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bl>
    <w:p w14:paraId="7CBA8978">
      <w:pPr>
        <w:tabs>
          <w:tab w:val="left" w:pos="4767"/>
        </w:tabs>
        <w:jc w:val="center"/>
        <w:rPr>
          <w:rFonts w:hint="default" w:ascii="Times New Roman" w:hAnsi="Times New Roman" w:eastAsia="黑体" w:cs="Times New Roman"/>
          <w:color w:val="auto"/>
          <w:sz w:val="24"/>
        </w:rPr>
        <w:sectPr>
          <w:pgSz w:w="16838" w:h="11905" w:orient="landscape"/>
          <w:pgMar w:top="1418" w:right="1418" w:bottom="1418" w:left="1418" w:header="851" w:footer="964" w:gutter="0"/>
          <w:pgBorders>
            <w:top w:val="none" w:sz="0" w:space="0"/>
            <w:left w:val="none" w:sz="0" w:space="0"/>
            <w:bottom w:val="none" w:sz="0" w:space="0"/>
            <w:right w:val="none" w:sz="0" w:space="0"/>
          </w:pgBorders>
          <w:pgNumType w:fmt="decimal"/>
          <w:cols w:space="0" w:num="1"/>
          <w:docGrid w:type="lines" w:linePitch="466" w:charSpace="3482"/>
        </w:sectPr>
      </w:pPr>
    </w:p>
    <w:p w14:paraId="39C04DB5">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表1-</w:t>
      </w:r>
      <w:r>
        <w:rPr>
          <w:rFonts w:hint="default" w:ascii="Times New Roman" w:hAnsi="Times New Roman" w:eastAsia="黑体" w:cs="Times New Roman"/>
          <w:color w:val="auto"/>
          <w:sz w:val="24"/>
          <w:lang w:val="en-US" w:eastAsia="zh-CN"/>
        </w:rPr>
        <w:t>2</w:t>
      </w:r>
      <w:r>
        <w:rPr>
          <w:rFonts w:hint="default" w:ascii="Times New Roman" w:hAnsi="Times New Roman" w:eastAsia="黑体" w:cs="Times New Roman"/>
          <w:color w:val="auto"/>
          <w:sz w:val="24"/>
        </w:rPr>
        <w:t xml:space="preserve">  项目与《中卫市生态环境准入清单总体要求》相符性一览表</w:t>
      </w:r>
    </w:p>
    <w:tbl>
      <w:tblPr>
        <w:tblStyle w:val="26"/>
        <w:tblW w:w="4996"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594"/>
        <w:gridCol w:w="918"/>
        <w:gridCol w:w="8100"/>
        <w:gridCol w:w="3373"/>
        <w:gridCol w:w="1222"/>
      </w:tblGrid>
      <w:tr w14:paraId="7A106C7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532" w:type="pct"/>
            <w:gridSpan w:val="2"/>
            <w:vAlign w:val="center"/>
          </w:tcPr>
          <w:p w14:paraId="51C27549">
            <w:pPr>
              <w:tabs>
                <w:tab w:val="left" w:pos="4767"/>
              </w:tabs>
              <w:autoSpaceDE w:val="0"/>
              <w:autoSpaceDN w:val="0"/>
              <w:spacing w:line="0" w:lineRule="atLeast"/>
              <w:contextualSpacing/>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管控维度</w:t>
            </w:r>
          </w:p>
        </w:tc>
        <w:tc>
          <w:tcPr>
            <w:tcW w:w="2850" w:type="pct"/>
            <w:vAlign w:val="center"/>
          </w:tcPr>
          <w:p w14:paraId="682CE6DE">
            <w:pPr>
              <w:tabs>
                <w:tab w:val="left" w:pos="4767"/>
              </w:tabs>
              <w:autoSpaceDE w:val="0"/>
              <w:autoSpaceDN w:val="0"/>
              <w:spacing w:line="0" w:lineRule="atLeast"/>
              <w:contextualSpacing/>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lang w:val="en-US" w:eastAsia="zh-CN"/>
              </w:rPr>
              <w:t>准入</w:t>
            </w:r>
            <w:r>
              <w:rPr>
                <w:rFonts w:hint="default" w:ascii="Times New Roman" w:hAnsi="Times New Roman" w:cs="Times New Roman"/>
                <w:b/>
                <w:bCs/>
                <w:color w:val="auto"/>
                <w:kern w:val="0"/>
                <w:szCs w:val="21"/>
              </w:rPr>
              <w:t>要求</w:t>
            </w:r>
          </w:p>
        </w:tc>
        <w:tc>
          <w:tcPr>
            <w:tcW w:w="1187" w:type="pct"/>
            <w:vAlign w:val="center"/>
          </w:tcPr>
          <w:p w14:paraId="2B7FC25E">
            <w:pPr>
              <w:tabs>
                <w:tab w:val="left" w:pos="4767"/>
              </w:tabs>
              <w:autoSpaceDE w:val="0"/>
              <w:autoSpaceDN w:val="0"/>
              <w:spacing w:line="0" w:lineRule="atLeast"/>
              <w:contextualSpacing/>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本项目情况</w:t>
            </w:r>
          </w:p>
        </w:tc>
        <w:tc>
          <w:tcPr>
            <w:tcW w:w="430" w:type="pct"/>
            <w:vAlign w:val="center"/>
          </w:tcPr>
          <w:p w14:paraId="464A1926">
            <w:pPr>
              <w:tabs>
                <w:tab w:val="left" w:pos="4767"/>
              </w:tabs>
              <w:autoSpaceDE w:val="0"/>
              <w:autoSpaceDN w:val="0"/>
              <w:spacing w:line="0" w:lineRule="atLeast"/>
              <w:contextualSpacing/>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是否符合</w:t>
            </w:r>
          </w:p>
        </w:tc>
      </w:tr>
      <w:tr w14:paraId="2AAFC80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09" w:type="pct"/>
            <w:vMerge w:val="restart"/>
            <w:vAlign w:val="center"/>
          </w:tcPr>
          <w:p w14:paraId="698F1DCF">
            <w:pPr>
              <w:tabs>
                <w:tab w:val="left" w:pos="4767"/>
              </w:tabs>
              <w:autoSpaceDE w:val="0"/>
              <w:autoSpaceDN w:val="0"/>
              <w:spacing w:line="0" w:lineRule="atLeast"/>
              <w:contextualSpacing/>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A1空间布局约束</w:t>
            </w:r>
          </w:p>
        </w:tc>
        <w:tc>
          <w:tcPr>
            <w:tcW w:w="323" w:type="pct"/>
            <w:vAlign w:val="center"/>
          </w:tcPr>
          <w:p w14:paraId="300D82D8">
            <w:pPr>
              <w:tabs>
                <w:tab w:val="left" w:pos="4767"/>
              </w:tabs>
              <w:autoSpaceDE w:val="0"/>
              <w:autoSpaceDN w:val="0"/>
              <w:spacing w:line="0" w:lineRule="atLeast"/>
              <w:contextualSpacing/>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A1.1禁止开发建设活动的要求</w:t>
            </w:r>
          </w:p>
        </w:tc>
        <w:tc>
          <w:tcPr>
            <w:tcW w:w="2850" w:type="pct"/>
            <w:vAlign w:val="center"/>
          </w:tcPr>
          <w:p w14:paraId="72092720">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在黄河干流及主要支流临岸一定范围内新建“两高一资”项目和产业园区；</w:t>
            </w:r>
          </w:p>
          <w:p w14:paraId="08938669">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黄河沿线两岸3公里范围内不再新建养殖场；</w:t>
            </w:r>
          </w:p>
          <w:p w14:paraId="45400154">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所有工业企业原则上一律入园，工业园区（集聚区）以外不再新建、扩建工业项目；</w:t>
            </w:r>
          </w:p>
          <w:p w14:paraId="32CE7BE2">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4.</w:t>
            </w:r>
            <w:r>
              <w:rPr>
                <w:rFonts w:hint="default" w:ascii="Times New Roman" w:hAnsi="Times New Roman" w:cs="Times New Roman"/>
                <w:color w:val="auto"/>
                <w:szCs w:val="21"/>
              </w:rPr>
              <w:t>禁止露天焚烧产生有毒有害烟尘和恶臭气体的物质或将其用作燃料；</w:t>
            </w:r>
          </w:p>
          <w:p w14:paraId="102AB289">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除已列入计划内项目，“十四五”期间不再新增燃煤自备电厂（区域背压式供热机组除外）；</w:t>
            </w:r>
          </w:p>
          <w:p w14:paraId="3156CCC5">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6.</w:t>
            </w:r>
            <w:r>
              <w:rPr>
                <w:rFonts w:hint="default" w:ascii="Times New Roman" w:hAnsi="Times New Roman" w:cs="Times New Roman"/>
                <w:color w:val="auto"/>
                <w:szCs w:val="21"/>
              </w:rPr>
              <w:t>严禁在优先保护类耕地集中区域新建污染土壤的行业企业。</w:t>
            </w:r>
          </w:p>
        </w:tc>
        <w:tc>
          <w:tcPr>
            <w:tcW w:w="1187" w:type="pct"/>
            <w:vAlign w:val="center"/>
          </w:tcPr>
          <w:p w14:paraId="7D4FC11C">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1.本项目位于宁夏回族自治区中卫市沙坡头区常乐镇枣林村，不在黄河干流及主要支流临岸范围内；</w:t>
            </w:r>
          </w:p>
          <w:p w14:paraId="649B14A7">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2-3.本项目为沥青混凝土生产加工项目；</w:t>
            </w:r>
          </w:p>
          <w:p w14:paraId="15FC69F5">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4-6.本项目不涉及。</w:t>
            </w:r>
          </w:p>
        </w:tc>
        <w:tc>
          <w:tcPr>
            <w:tcW w:w="430" w:type="pct"/>
            <w:vAlign w:val="center"/>
          </w:tcPr>
          <w:p w14:paraId="143B176A">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54309BE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09" w:type="pct"/>
            <w:vMerge w:val="continue"/>
            <w:vAlign w:val="center"/>
          </w:tcPr>
          <w:p w14:paraId="60313C4E">
            <w:pPr>
              <w:tabs>
                <w:tab w:val="left" w:pos="4767"/>
              </w:tabs>
              <w:autoSpaceDE w:val="0"/>
              <w:autoSpaceDN w:val="0"/>
              <w:spacing w:line="0" w:lineRule="atLeast"/>
              <w:contextualSpacing/>
              <w:jc w:val="center"/>
              <w:rPr>
                <w:rFonts w:hint="default" w:ascii="Times New Roman" w:hAnsi="Times New Roman" w:cs="Times New Roman"/>
                <w:color w:val="auto"/>
                <w:kern w:val="0"/>
                <w:szCs w:val="21"/>
              </w:rPr>
            </w:pPr>
          </w:p>
        </w:tc>
        <w:tc>
          <w:tcPr>
            <w:tcW w:w="323" w:type="pct"/>
            <w:vAlign w:val="center"/>
          </w:tcPr>
          <w:p w14:paraId="065B0522">
            <w:pPr>
              <w:pStyle w:val="53"/>
              <w:widowControl/>
              <w:tabs>
                <w:tab w:val="left" w:pos="4767"/>
              </w:tabs>
              <w:spacing w:line="0" w:lineRule="atLeast"/>
              <w:contextualSpacing/>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A1.2限制开发建设活动的要求</w:t>
            </w:r>
          </w:p>
        </w:tc>
        <w:tc>
          <w:tcPr>
            <w:tcW w:w="2850" w:type="pct"/>
            <w:vAlign w:val="center"/>
          </w:tcPr>
          <w:p w14:paraId="71ABED0B">
            <w:pPr>
              <w:pStyle w:val="53"/>
              <w:keepNext w:val="0"/>
              <w:keepLines w:val="0"/>
              <w:pageBreakBefore w:val="0"/>
              <w:widowControl/>
              <w:tabs>
                <w:tab w:val="left" w:pos="4767"/>
              </w:tabs>
              <w:kinsoku/>
              <w:wordWrap/>
              <w:overflowPunct/>
              <w:topLinePunct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严格产业准入标准，建立联合审查机制，对新建项目进行综合评价，对不符合产业规划、产业政策、“三线一单”、规划环评、产能置换、污染物排放区域削减等要求的项目不予办理相关审批手续。</w:t>
            </w:r>
          </w:p>
          <w:p w14:paraId="2D380226">
            <w:pPr>
              <w:pStyle w:val="53"/>
              <w:keepNext w:val="0"/>
              <w:keepLines w:val="0"/>
              <w:pageBreakBefore w:val="0"/>
              <w:widowControl/>
              <w:tabs>
                <w:tab w:val="left" w:pos="4767"/>
              </w:tabs>
              <w:kinsoku/>
              <w:wordWrap/>
              <w:overflowPunct/>
              <w:topLinePunct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严格“两高”项目节能审查，对纳入目录的落后产能过剩行业原则上不再新增产能，对经过评估论证确有必要建设的“两高”项目，必须符合国家、自治区产业政策和产能及能耗等量减量置换要求。</w:t>
            </w:r>
          </w:p>
        </w:tc>
        <w:tc>
          <w:tcPr>
            <w:tcW w:w="1187" w:type="pct"/>
            <w:vAlign w:val="center"/>
          </w:tcPr>
          <w:p w14:paraId="1FA243BB">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本项目不属于“两高”行业；项目符合“三线一单”的相关要求；根据《产业结构调整指导目录（2024年本）》，本项目属于允许建设项目，符合国家当前产业政策要求。</w:t>
            </w:r>
          </w:p>
        </w:tc>
        <w:tc>
          <w:tcPr>
            <w:tcW w:w="430" w:type="pct"/>
            <w:vAlign w:val="center"/>
          </w:tcPr>
          <w:p w14:paraId="748E24DE">
            <w:pPr>
              <w:tabs>
                <w:tab w:val="left" w:pos="4767"/>
              </w:tabs>
              <w:autoSpaceDE w:val="0"/>
              <w:autoSpaceDN w:val="0"/>
              <w:spacing w:line="0" w:lineRule="atLeast"/>
              <w:contextualSpacing/>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符合</w:t>
            </w:r>
          </w:p>
        </w:tc>
      </w:tr>
      <w:tr w14:paraId="706CB0C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09" w:type="pct"/>
            <w:vMerge w:val="continue"/>
            <w:vAlign w:val="center"/>
          </w:tcPr>
          <w:p w14:paraId="70C8831B">
            <w:pPr>
              <w:tabs>
                <w:tab w:val="left" w:pos="4767"/>
              </w:tabs>
              <w:autoSpaceDE w:val="0"/>
              <w:autoSpaceDN w:val="0"/>
              <w:spacing w:line="0" w:lineRule="atLeast"/>
              <w:contextualSpacing/>
              <w:jc w:val="center"/>
              <w:rPr>
                <w:rFonts w:hint="default" w:ascii="Times New Roman" w:hAnsi="Times New Roman" w:cs="Times New Roman"/>
                <w:color w:val="auto"/>
                <w:kern w:val="0"/>
                <w:szCs w:val="21"/>
              </w:rPr>
            </w:pPr>
          </w:p>
        </w:tc>
        <w:tc>
          <w:tcPr>
            <w:tcW w:w="323" w:type="pct"/>
            <w:vAlign w:val="center"/>
          </w:tcPr>
          <w:p w14:paraId="5109A8B3">
            <w:pPr>
              <w:pStyle w:val="53"/>
              <w:widowControl/>
              <w:tabs>
                <w:tab w:val="left" w:pos="4767"/>
              </w:tabs>
              <w:spacing w:line="0" w:lineRule="atLeast"/>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A1.3不符合空间布局要求活动的退出要求</w:t>
            </w:r>
          </w:p>
        </w:tc>
        <w:tc>
          <w:tcPr>
            <w:tcW w:w="2850" w:type="pct"/>
            <w:vAlign w:val="center"/>
          </w:tcPr>
          <w:p w14:paraId="7B0D03D5">
            <w:pPr>
              <w:pStyle w:val="53"/>
              <w:keepNext w:val="0"/>
              <w:keepLines w:val="0"/>
              <w:pageBreakBefore w:val="0"/>
              <w:widowControl/>
              <w:tabs>
                <w:tab w:val="left" w:pos="266"/>
                <w:tab w:val="left" w:pos="4767"/>
              </w:tabs>
              <w:kinsoku/>
              <w:wordWrap/>
              <w:overflowPunct/>
              <w:topLinePunct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eastAsia="zh-CN"/>
              </w:rPr>
              <w:t>对列入建设用地土壤污染风险管控和修复名录需要实施修复的地块，土壤污染责任人应当按照规定编制修复方案，报所在地生态环境主管部门备案并实施；</w:t>
            </w:r>
          </w:p>
          <w:p w14:paraId="0AB9C905">
            <w:pPr>
              <w:pStyle w:val="53"/>
              <w:keepNext w:val="0"/>
              <w:keepLines w:val="0"/>
              <w:pageBreakBefore w:val="0"/>
              <w:widowControl/>
              <w:tabs>
                <w:tab w:val="left" w:pos="266"/>
                <w:tab w:val="left" w:pos="4767"/>
              </w:tabs>
              <w:kinsoku/>
              <w:wordWrap/>
              <w:overflowPunct/>
              <w:topLinePunct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eastAsia="zh-CN"/>
              </w:rPr>
              <w:t>严格管控自然保护地范围内非生态活动，稳妥推进核心区内居民、耕地、矿权有序退出。</w:t>
            </w:r>
          </w:p>
          <w:p w14:paraId="28038598">
            <w:pPr>
              <w:pStyle w:val="53"/>
              <w:keepNext w:val="0"/>
              <w:keepLines w:val="0"/>
              <w:pageBreakBefore w:val="0"/>
              <w:widowControl/>
              <w:tabs>
                <w:tab w:val="left" w:pos="266"/>
                <w:tab w:val="left" w:pos="4767"/>
              </w:tabs>
              <w:kinsoku/>
              <w:wordWrap/>
              <w:overflowPunct/>
              <w:topLinePunct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eastAsia="zh-CN"/>
              </w:rPr>
              <w:t>对所有现状不达标的养殖场，明确治理时限和治理措施，在规定时间内不能完成污染治理的养殖场，要按照有关规定实施严肃处罚；</w:t>
            </w:r>
          </w:p>
          <w:p w14:paraId="697BA27B">
            <w:pPr>
              <w:pStyle w:val="53"/>
              <w:keepNext w:val="0"/>
              <w:keepLines w:val="0"/>
              <w:pageBreakBefore w:val="0"/>
              <w:widowControl/>
              <w:tabs>
                <w:tab w:val="left" w:pos="266"/>
                <w:tab w:val="left" w:pos="4767"/>
              </w:tabs>
              <w:kinsoku/>
              <w:wordWrap/>
              <w:overflowPunct/>
              <w:topLinePunct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eastAsia="zh-CN"/>
              </w:rPr>
              <w:t>按照“一园区一热源”原则，全面淘汰工业园区（产业集聚区）内35蒸吨/小时及以下燃煤锅炉。城市建成区、集中供热覆盖区及天然气管网覆盖区一律禁止新建燃煤锅炉，逐步淘汰35蒸吨/小时及以下燃煤锅炉，保留及新建锅炉需达到特别排放限值要求。</w:t>
            </w:r>
          </w:p>
        </w:tc>
        <w:tc>
          <w:tcPr>
            <w:tcW w:w="1187" w:type="pct"/>
            <w:vAlign w:val="center"/>
          </w:tcPr>
          <w:p w14:paraId="2B22E731">
            <w:pPr>
              <w:pStyle w:val="53"/>
              <w:keepNext w:val="0"/>
              <w:keepLines w:val="0"/>
              <w:pageBreakBefore w:val="0"/>
              <w:widowControl w:val="0"/>
              <w:tabs>
                <w:tab w:val="left" w:pos="4767"/>
              </w:tabs>
              <w:kinsoku/>
              <w:wordWrap/>
              <w:overflowPunct/>
              <w:topLinePunct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1-4.本项目不涉及。</w:t>
            </w:r>
          </w:p>
        </w:tc>
        <w:tc>
          <w:tcPr>
            <w:tcW w:w="430" w:type="pct"/>
            <w:vAlign w:val="center"/>
          </w:tcPr>
          <w:p w14:paraId="1A1ADA30">
            <w:pPr>
              <w:pStyle w:val="53"/>
              <w:widowControl/>
              <w:tabs>
                <w:tab w:val="left" w:pos="4767"/>
              </w:tabs>
              <w:spacing w:line="0" w:lineRule="atLeast"/>
              <w:contextualSpacing/>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59B5CDF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09" w:type="pct"/>
            <w:vMerge w:val="restart"/>
            <w:vAlign w:val="center"/>
          </w:tcPr>
          <w:p w14:paraId="58524FF5">
            <w:pPr>
              <w:tabs>
                <w:tab w:val="left" w:pos="4767"/>
              </w:tabs>
              <w:autoSpaceDE w:val="0"/>
              <w:autoSpaceDN w:val="0"/>
              <w:spacing w:line="0" w:lineRule="atLeast"/>
              <w:contextualSpacing/>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A2污染物排放管控</w:t>
            </w:r>
          </w:p>
        </w:tc>
        <w:tc>
          <w:tcPr>
            <w:tcW w:w="323" w:type="pct"/>
            <w:vAlign w:val="center"/>
          </w:tcPr>
          <w:p w14:paraId="59CD02E8">
            <w:pPr>
              <w:tabs>
                <w:tab w:val="left" w:pos="4767"/>
              </w:tabs>
              <w:autoSpaceDE w:val="0"/>
              <w:autoSpaceDN w:val="0"/>
              <w:spacing w:line="0" w:lineRule="atLeast"/>
              <w:contextualSpacing/>
              <w:jc w:val="center"/>
              <w:rPr>
                <w:rFonts w:hint="default" w:ascii="Times New Roman" w:hAnsi="Times New Roman" w:cs="Times New Roman"/>
                <w:color w:val="auto"/>
                <w:kern w:val="0"/>
                <w:szCs w:val="21"/>
                <w:lang w:val="en-US"/>
              </w:rPr>
            </w:pPr>
            <w:r>
              <w:rPr>
                <w:rFonts w:hint="default" w:ascii="Times New Roman" w:hAnsi="Times New Roman" w:cs="Times New Roman"/>
                <w:color w:val="auto"/>
                <w:kern w:val="0"/>
                <w:szCs w:val="21"/>
              </w:rPr>
              <w:t>A2.1</w:t>
            </w:r>
            <w:r>
              <w:rPr>
                <w:rFonts w:hint="default" w:ascii="Times New Roman" w:hAnsi="Times New Roman" w:cs="Times New Roman"/>
                <w:color w:val="auto"/>
                <w:kern w:val="0"/>
                <w:szCs w:val="21"/>
                <w:lang w:val="en-US" w:eastAsia="zh-CN"/>
              </w:rPr>
              <w:t>允许排放量要求</w:t>
            </w:r>
          </w:p>
        </w:tc>
        <w:tc>
          <w:tcPr>
            <w:tcW w:w="2850" w:type="pct"/>
            <w:vAlign w:val="center"/>
          </w:tcPr>
          <w:p w14:paraId="32382F24">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w:t>
            </w:r>
            <w:r>
              <w:rPr>
                <w:rFonts w:hint="default" w:ascii="Times New Roman" w:hAnsi="Times New Roman" w:cs="Times New Roman"/>
                <w:color w:val="auto"/>
                <w:kern w:val="0"/>
                <w:szCs w:val="21"/>
              </w:rPr>
              <w:t>化学需氧量、氨氮、氮氧化物和挥发性有机物排放总量完成自治区下达任务；</w:t>
            </w:r>
          </w:p>
          <w:p w14:paraId="5E9B0204">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PM</w:t>
            </w:r>
            <w:r>
              <w:rPr>
                <w:rFonts w:hint="default" w:ascii="Times New Roman" w:hAnsi="Times New Roman" w:cs="Times New Roman"/>
                <w:color w:val="auto"/>
                <w:kern w:val="0"/>
                <w:szCs w:val="21"/>
                <w:vertAlign w:val="subscript"/>
              </w:rPr>
              <w:t>2.5</w:t>
            </w:r>
            <w:r>
              <w:rPr>
                <w:rFonts w:hint="default" w:ascii="Times New Roman" w:hAnsi="Times New Roman" w:cs="Times New Roman"/>
                <w:color w:val="auto"/>
                <w:kern w:val="0"/>
                <w:szCs w:val="21"/>
              </w:rPr>
              <w:t>和O</w:t>
            </w:r>
            <w:r>
              <w:rPr>
                <w:rFonts w:hint="default" w:ascii="Times New Roman" w:hAnsi="Times New Roman" w:cs="Times New Roman"/>
                <w:color w:val="auto"/>
                <w:kern w:val="0"/>
                <w:szCs w:val="21"/>
                <w:vertAlign w:val="subscript"/>
              </w:rPr>
              <w:t>3</w:t>
            </w:r>
            <w:r>
              <w:rPr>
                <w:rFonts w:hint="default" w:ascii="Times New Roman" w:hAnsi="Times New Roman" w:cs="Times New Roman"/>
                <w:color w:val="auto"/>
                <w:kern w:val="0"/>
                <w:szCs w:val="21"/>
              </w:rPr>
              <w:t>未达标城市，新、改、扩建项目实施更严格的污染物排放总量控制要求，所需二氧化硫、NOx、VOCs排放量指标要进行减量替代；</w:t>
            </w:r>
          </w:p>
          <w:p w14:paraId="42E31F7C">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rPr>
              <w:t>新、改、扩建重点行业建设项目按照《宁夏回族自治区建设项目重金属污染物排放指标核定办法》要求，遵循重点重金属污染物排放“等量替代”原则，各地级市可自行确定重点区域，重点区域遵循“减量替代”原则，减量替代比例不低于1.2:1；</w:t>
            </w:r>
          </w:p>
          <w:p w14:paraId="0EF38408">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4.</w:t>
            </w:r>
            <w:r>
              <w:rPr>
                <w:rFonts w:hint="default" w:ascii="Times New Roman" w:hAnsi="Times New Roman" w:cs="Times New Roman"/>
                <w:color w:val="auto"/>
                <w:kern w:val="0"/>
                <w:szCs w:val="21"/>
              </w:rPr>
              <w:t>到2025年，中卫市畜禽养殖废物综合利用率达到95%，规模养殖场粪污处理设施装备配套率达到100%。</w:t>
            </w:r>
          </w:p>
        </w:tc>
        <w:tc>
          <w:tcPr>
            <w:tcW w:w="1187" w:type="pct"/>
            <w:vAlign w:val="center"/>
          </w:tcPr>
          <w:p w14:paraId="52FF6AF2">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1-4.本项目不涉及。</w:t>
            </w:r>
          </w:p>
        </w:tc>
        <w:tc>
          <w:tcPr>
            <w:tcW w:w="430" w:type="pct"/>
            <w:vAlign w:val="center"/>
          </w:tcPr>
          <w:p w14:paraId="0870BC7D">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36B6D0A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09" w:type="pct"/>
            <w:vMerge w:val="continue"/>
            <w:vAlign w:val="center"/>
          </w:tcPr>
          <w:p w14:paraId="3391AFA2">
            <w:pPr>
              <w:tabs>
                <w:tab w:val="left" w:pos="4767"/>
              </w:tabs>
              <w:autoSpaceDE w:val="0"/>
              <w:autoSpaceDN w:val="0"/>
              <w:spacing w:line="0" w:lineRule="atLeast"/>
              <w:contextualSpacing/>
              <w:jc w:val="center"/>
              <w:rPr>
                <w:rFonts w:hint="default" w:ascii="Times New Roman" w:hAnsi="Times New Roman" w:cs="Times New Roman"/>
                <w:color w:val="auto"/>
                <w:kern w:val="0"/>
                <w:szCs w:val="21"/>
              </w:rPr>
            </w:pPr>
          </w:p>
        </w:tc>
        <w:tc>
          <w:tcPr>
            <w:tcW w:w="323" w:type="pct"/>
            <w:vAlign w:val="center"/>
          </w:tcPr>
          <w:p w14:paraId="12565110">
            <w:pPr>
              <w:tabs>
                <w:tab w:val="left" w:pos="4767"/>
              </w:tabs>
              <w:autoSpaceDE w:val="0"/>
              <w:autoSpaceDN w:val="0"/>
              <w:spacing w:line="0" w:lineRule="atLeast"/>
              <w:contextualSpacing/>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A2.</w:t>
            </w:r>
            <w:r>
              <w:rPr>
                <w:rFonts w:hint="default" w:ascii="Times New Roman" w:hAnsi="Times New Roman" w:cs="Times New Roman"/>
                <w:color w:val="auto"/>
                <w:kern w:val="0"/>
                <w:szCs w:val="21"/>
                <w:lang w:val="en-US" w:eastAsia="zh-CN"/>
              </w:rPr>
              <w:t>2现有源提标升级改造</w:t>
            </w:r>
          </w:p>
        </w:tc>
        <w:tc>
          <w:tcPr>
            <w:tcW w:w="2850" w:type="pct"/>
            <w:vAlign w:val="center"/>
          </w:tcPr>
          <w:p w14:paraId="1B66D818">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w:t>
            </w:r>
            <w:r>
              <w:rPr>
                <w:rFonts w:hint="default" w:ascii="Times New Roman" w:hAnsi="Times New Roman" w:cs="Times New Roman"/>
                <w:color w:val="auto"/>
                <w:kern w:val="0"/>
                <w:szCs w:val="21"/>
              </w:rPr>
              <w:t>力争到2024年底，所有钢铁企业主要大气污染物基本达到超低排放指标限值；有序推进水泥行业超低排放改造计划，水泥熟料窑改造后氮氧化物排放浓度不高于100毫克/立方米；焦化企业参照《关于推进实施钢铁行业超低排放的意见》要求实施升级改造，改造后氮氧化物排放浓度不高于150毫克/立方米。</w:t>
            </w:r>
          </w:p>
          <w:p w14:paraId="45EE3629">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2024年底前，烧结、炼铁、炼钢轧钢、自备电厂等有组织排放污染物实行超低排放限值。</w:t>
            </w:r>
          </w:p>
        </w:tc>
        <w:tc>
          <w:tcPr>
            <w:tcW w:w="1187" w:type="pct"/>
            <w:vAlign w:val="center"/>
          </w:tcPr>
          <w:p w14:paraId="2AF3BB1A">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1-2.本项目不涉及。</w:t>
            </w:r>
          </w:p>
        </w:tc>
        <w:tc>
          <w:tcPr>
            <w:tcW w:w="430" w:type="pct"/>
            <w:vAlign w:val="center"/>
          </w:tcPr>
          <w:p w14:paraId="74C1809D">
            <w:pPr>
              <w:tabs>
                <w:tab w:val="left" w:pos="4767"/>
              </w:tabs>
              <w:autoSpaceDE w:val="0"/>
              <w:autoSpaceDN w:val="0"/>
              <w:spacing w:line="0" w:lineRule="atLeast"/>
              <w:contextualSpacing/>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71F447F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09" w:type="pct"/>
            <w:vMerge w:val="restart"/>
            <w:vAlign w:val="center"/>
          </w:tcPr>
          <w:p w14:paraId="0F4C2317">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A3环境风险</w:t>
            </w:r>
            <w:r>
              <w:rPr>
                <w:rFonts w:hint="default" w:ascii="Times New Roman" w:hAnsi="Times New Roman" w:cs="Times New Roman"/>
                <w:color w:val="auto"/>
                <w:kern w:val="0"/>
                <w:szCs w:val="21"/>
                <w:lang w:val="en-US" w:eastAsia="zh-CN"/>
              </w:rPr>
              <w:t>防控</w:t>
            </w:r>
          </w:p>
        </w:tc>
        <w:tc>
          <w:tcPr>
            <w:tcW w:w="323" w:type="pct"/>
            <w:vAlign w:val="center"/>
          </w:tcPr>
          <w:p w14:paraId="3F1B6AC7">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A3.1联防联控</w:t>
            </w:r>
            <w:r>
              <w:rPr>
                <w:rFonts w:hint="default" w:ascii="Times New Roman" w:hAnsi="Times New Roman" w:cs="Times New Roman"/>
                <w:color w:val="auto"/>
                <w:kern w:val="0"/>
                <w:szCs w:val="21"/>
                <w:lang w:val="en-US" w:eastAsia="zh-CN"/>
              </w:rPr>
              <w:t>要求</w:t>
            </w:r>
          </w:p>
        </w:tc>
        <w:tc>
          <w:tcPr>
            <w:tcW w:w="2850" w:type="pct"/>
            <w:vAlign w:val="center"/>
          </w:tcPr>
          <w:p w14:paraId="4E97D2DC">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健全市生态环境局与公安、交通、应急、气象、水务等部门联动机制，细化落实各相关部门之间联防联控责任与任务分工，联合开展突发环境污染事件处置应急演练，提高联防联控实战能力。</w:t>
            </w:r>
          </w:p>
          <w:p w14:paraId="6F443CE5">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以黄河干流和主要支流为重点，严控石化、化工、有色金属、印染、原料药制造等行业企业环境风险，加强油气管道环境风险防范，开展新污染物环境调查监测和环境风险评估，推进流域突发环境风险调查与监控预警体系建设，构建市-县(区)-区域-企业四级应急物资储备网络。</w:t>
            </w:r>
          </w:p>
        </w:tc>
        <w:tc>
          <w:tcPr>
            <w:tcW w:w="1187" w:type="pct"/>
            <w:vMerge w:val="restart"/>
            <w:shd w:val="clear" w:color="auto" w:fill="auto"/>
            <w:vAlign w:val="center"/>
          </w:tcPr>
          <w:p w14:paraId="766CC257">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本项目不构成重大危险源，建设单位应根据《企业事业单位突发环境事件应急预案备案管理办法（试行）》（环发[2015]4号）制定企业突发环境事件应急预案，建成后并按照预案要求开展演练</w:t>
            </w:r>
            <w:r>
              <w:rPr>
                <w:rFonts w:hint="default" w:ascii="Times New Roman" w:hAnsi="Times New Roman" w:cs="Times New Roman"/>
                <w:color w:val="auto"/>
                <w:kern w:val="0"/>
                <w:sz w:val="21"/>
                <w:szCs w:val="21"/>
                <w:lang w:val="en-US" w:eastAsia="zh-CN" w:bidi="ar-SA"/>
              </w:rPr>
              <w:t>。</w:t>
            </w:r>
          </w:p>
        </w:tc>
        <w:tc>
          <w:tcPr>
            <w:tcW w:w="430" w:type="pct"/>
            <w:shd w:val="clear" w:color="auto" w:fill="auto"/>
            <w:vAlign w:val="center"/>
          </w:tcPr>
          <w:p w14:paraId="5429BC44">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符合</w:t>
            </w:r>
          </w:p>
        </w:tc>
      </w:tr>
      <w:tr w14:paraId="13789A1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09" w:type="pct"/>
            <w:vMerge w:val="continue"/>
            <w:vAlign w:val="center"/>
          </w:tcPr>
          <w:p w14:paraId="0BA33DC4">
            <w:pPr>
              <w:tabs>
                <w:tab w:val="left" w:pos="4767"/>
              </w:tabs>
              <w:autoSpaceDE w:val="0"/>
              <w:autoSpaceDN w:val="0"/>
              <w:spacing w:line="0" w:lineRule="atLeast"/>
              <w:contextualSpacing/>
              <w:rPr>
                <w:rFonts w:hint="default" w:ascii="Times New Roman" w:hAnsi="Times New Roman" w:cs="Times New Roman"/>
                <w:color w:val="auto"/>
                <w:kern w:val="0"/>
                <w:szCs w:val="21"/>
              </w:rPr>
            </w:pPr>
          </w:p>
        </w:tc>
        <w:tc>
          <w:tcPr>
            <w:tcW w:w="323" w:type="pct"/>
            <w:vAlign w:val="center"/>
          </w:tcPr>
          <w:p w14:paraId="16482E9B">
            <w:pPr>
              <w:tabs>
                <w:tab w:val="left" w:pos="4767"/>
              </w:tabs>
              <w:autoSpaceDE w:val="0"/>
              <w:autoSpaceDN w:val="0"/>
              <w:spacing w:line="0" w:lineRule="atLeast"/>
              <w:contextualSpacing/>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A3.2企业环境风险防控要求</w:t>
            </w:r>
          </w:p>
        </w:tc>
        <w:tc>
          <w:tcPr>
            <w:tcW w:w="2850" w:type="pct"/>
            <w:vAlign w:val="center"/>
          </w:tcPr>
          <w:p w14:paraId="1992D3D6">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紧盯涉危险废物涉重金属企业、化工园区、水源地，强化环境应急三级防控体系建设，落实企业环境安全主体责任，推行企业突发环境事件应急预案电子备案。</w:t>
            </w:r>
          </w:p>
        </w:tc>
        <w:tc>
          <w:tcPr>
            <w:tcW w:w="1187" w:type="pct"/>
            <w:vMerge w:val="continue"/>
            <w:vAlign w:val="center"/>
          </w:tcPr>
          <w:p w14:paraId="444E7F8B">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eastAsia="宋体" w:cs="Times New Roman"/>
                <w:color w:val="auto"/>
                <w:kern w:val="0"/>
                <w:szCs w:val="21"/>
                <w:lang w:val="en-US" w:eastAsia="zh-CN"/>
              </w:rPr>
            </w:pPr>
          </w:p>
        </w:tc>
        <w:tc>
          <w:tcPr>
            <w:tcW w:w="430" w:type="pct"/>
            <w:vAlign w:val="center"/>
          </w:tcPr>
          <w:p w14:paraId="6D415CF5">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3852850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09" w:type="pct"/>
            <w:vMerge w:val="restart"/>
            <w:vAlign w:val="center"/>
          </w:tcPr>
          <w:p w14:paraId="7E843BD3">
            <w:pPr>
              <w:tabs>
                <w:tab w:val="left" w:pos="4767"/>
              </w:tabs>
              <w:autoSpaceDE w:val="0"/>
              <w:autoSpaceDN w:val="0"/>
              <w:spacing w:line="0" w:lineRule="atLeast"/>
              <w:contextualSpacing/>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A4资源利用效率要求</w:t>
            </w:r>
          </w:p>
        </w:tc>
        <w:tc>
          <w:tcPr>
            <w:tcW w:w="323" w:type="pct"/>
            <w:vAlign w:val="center"/>
          </w:tcPr>
          <w:p w14:paraId="03326652">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A4.1</w:t>
            </w:r>
            <w:r>
              <w:rPr>
                <w:rFonts w:hint="default" w:ascii="Times New Roman" w:hAnsi="Times New Roman" w:cs="Times New Roman"/>
                <w:color w:val="auto"/>
                <w:kern w:val="0"/>
                <w:szCs w:val="21"/>
                <w:lang w:val="en-US" w:eastAsia="zh-CN"/>
              </w:rPr>
              <w:t>能源利用总量及效率要求</w:t>
            </w:r>
          </w:p>
        </w:tc>
        <w:tc>
          <w:tcPr>
            <w:tcW w:w="2850" w:type="pct"/>
            <w:vAlign w:val="center"/>
          </w:tcPr>
          <w:p w14:paraId="5686C293">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w:t>
            </w:r>
            <w:r>
              <w:rPr>
                <w:rFonts w:hint="default" w:ascii="Times New Roman" w:hAnsi="Times New Roman" w:cs="Times New Roman"/>
                <w:color w:val="auto"/>
                <w:kern w:val="0"/>
                <w:szCs w:val="21"/>
              </w:rPr>
              <w:t>全面贯彻落实国家和自治区下达煤炭消费总量目标，严格控制耗煤行业煤炭新增量，优先保障民生供暖新增用煤需求。</w:t>
            </w:r>
          </w:p>
          <w:p w14:paraId="569DAD24">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新增产能必须符合国内先进能效标准。</w:t>
            </w:r>
          </w:p>
          <w:p w14:paraId="74C81761">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rPr>
              <w:t>国家大气污染防治重点区域内新建耗煤项目应严格按规定采取煤炭消费减量替代措施，不得使用高污染燃料作为煤炭减量替代措施。</w:t>
            </w:r>
          </w:p>
        </w:tc>
        <w:tc>
          <w:tcPr>
            <w:tcW w:w="1187" w:type="pct"/>
            <w:vAlign w:val="center"/>
          </w:tcPr>
          <w:p w14:paraId="77BE328E">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1-3.本项目不涉及。</w:t>
            </w:r>
          </w:p>
        </w:tc>
        <w:tc>
          <w:tcPr>
            <w:tcW w:w="430" w:type="pct"/>
            <w:vAlign w:val="center"/>
          </w:tcPr>
          <w:p w14:paraId="2D94CC8E">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596C9FD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209" w:type="pct"/>
            <w:vMerge w:val="continue"/>
            <w:vAlign w:val="center"/>
          </w:tcPr>
          <w:p w14:paraId="7F54E8F9">
            <w:pPr>
              <w:tabs>
                <w:tab w:val="left" w:pos="4767"/>
              </w:tabs>
              <w:spacing w:line="0" w:lineRule="atLeast"/>
              <w:jc w:val="center"/>
              <w:rPr>
                <w:rFonts w:hint="default" w:ascii="Times New Roman" w:hAnsi="Times New Roman" w:cs="Times New Roman"/>
                <w:color w:val="auto"/>
                <w:szCs w:val="21"/>
              </w:rPr>
            </w:pPr>
          </w:p>
        </w:tc>
        <w:tc>
          <w:tcPr>
            <w:tcW w:w="323" w:type="pct"/>
            <w:vAlign w:val="center"/>
          </w:tcPr>
          <w:p w14:paraId="2BC4F26B">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A4.2</w:t>
            </w:r>
            <w:r>
              <w:rPr>
                <w:rFonts w:hint="default" w:ascii="Times New Roman" w:hAnsi="Times New Roman" w:cs="Times New Roman"/>
                <w:color w:val="auto"/>
                <w:kern w:val="0"/>
                <w:szCs w:val="21"/>
                <w:lang w:val="en-US" w:eastAsia="zh-CN"/>
              </w:rPr>
              <w:t>水资源利用总量及效率要求</w:t>
            </w:r>
          </w:p>
        </w:tc>
        <w:tc>
          <w:tcPr>
            <w:tcW w:w="2850" w:type="pct"/>
            <w:vAlign w:val="center"/>
          </w:tcPr>
          <w:p w14:paraId="62AC4E45">
            <w:pPr>
              <w:keepNext w:val="0"/>
              <w:keepLines w:val="0"/>
              <w:pageBreakBefore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建立水资源刚性约束制度，严格准入条件，按照地区取水总量限值审核新、改、扩建项目，取水总量不得超过地区水资源取用上限或承载能力。</w:t>
            </w:r>
          </w:p>
        </w:tc>
        <w:tc>
          <w:tcPr>
            <w:tcW w:w="1187" w:type="pct"/>
            <w:vAlign w:val="center"/>
          </w:tcPr>
          <w:p w14:paraId="59FB8401">
            <w:pPr>
              <w:keepNext w:val="0"/>
              <w:keepLines w:val="0"/>
              <w:pageBreakBefore w:val="0"/>
              <w:widowControl w:val="0"/>
              <w:numPr>
                <w:ilvl w:val="0"/>
                <w:numId w:val="0"/>
              </w:numPr>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本项目站内最高用水量为</w:t>
            </w:r>
            <w:r>
              <w:rPr>
                <w:rFonts w:hint="default" w:ascii="Times New Roman" w:hAnsi="Times New Roman" w:cs="Times New Roman"/>
                <w:color w:val="auto"/>
                <w:kern w:val="0"/>
                <w:szCs w:val="21"/>
                <w:lang w:val="en-US" w:eastAsia="zh-CN"/>
              </w:rPr>
              <w:t>512</w:t>
            </w:r>
            <w:r>
              <w:rPr>
                <w:rFonts w:hint="default" w:ascii="Times New Roman" w:hAnsi="Times New Roman" w:eastAsia="宋体" w:cs="Times New Roman"/>
                <w:color w:val="auto"/>
                <w:kern w:val="0"/>
                <w:szCs w:val="21"/>
                <w:lang w:val="en-US" w:eastAsia="zh-CN"/>
              </w:rPr>
              <w:t>m³/a</w:t>
            </w:r>
            <w:r>
              <w:rPr>
                <w:rFonts w:hint="default" w:ascii="Times New Roman" w:hAnsi="Times New Roman" w:cs="Times New Roman"/>
                <w:color w:val="auto"/>
                <w:kern w:val="0"/>
                <w:szCs w:val="21"/>
                <w:lang w:val="en-US" w:eastAsia="zh-CN"/>
              </w:rPr>
              <w:t>，用水量较小，不会超过水资源利用上线或承载能力。</w:t>
            </w:r>
          </w:p>
        </w:tc>
        <w:tc>
          <w:tcPr>
            <w:tcW w:w="430" w:type="pct"/>
            <w:vAlign w:val="center"/>
          </w:tcPr>
          <w:p w14:paraId="2C4488AE">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bl>
    <w:p w14:paraId="2987F9C7">
      <w:pPr>
        <w:tabs>
          <w:tab w:val="left" w:pos="4767"/>
        </w:tabs>
        <w:jc w:val="center"/>
        <w:rPr>
          <w:rFonts w:hint="default" w:ascii="Times New Roman" w:hAnsi="Times New Roman" w:eastAsia="黑体" w:cs="Times New Roman"/>
          <w:color w:val="auto"/>
          <w:sz w:val="24"/>
        </w:rPr>
      </w:pPr>
    </w:p>
    <w:p w14:paraId="36CA6D5A">
      <w:pPr>
        <w:tabs>
          <w:tab w:val="left" w:pos="4767"/>
        </w:tabs>
        <w:jc w:val="center"/>
        <w:rPr>
          <w:rFonts w:hint="default" w:ascii="Times New Roman" w:hAnsi="Times New Roman" w:eastAsia="黑体" w:cs="Times New Roman"/>
          <w:color w:val="auto"/>
          <w:sz w:val="24"/>
        </w:rPr>
        <w:sectPr>
          <w:pgSz w:w="16838" w:h="11905" w:orient="landscape"/>
          <w:pgMar w:top="1418" w:right="1418" w:bottom="1418" w:left="1418" w:header="851" w:footer="964" w:gutter="0"/>
          <w:pgBorders>
            <w:top w:val="none" w:sz="0" w:space="0"/>
            <w:left w:val="none" w:sz="0" w:space="0"/>
            <w:bottom w:val="none" w:sz="0" w:space="0"/>
            <w:right w:val="none" w:sz="0" w:space="0"/>
          </w:pgBorders>
          <w:pgNumType w:fmt="decimal"/>
          <w:cols w:space="0" w:num="1"/>
          <w:docGrid w:type="lines" w:linePitch="466" w:charSpace="3482"/>
        </w:sectPr>
      </w:pPr>
    </w:p>
    <w:p w14:paraId="2B9FFEEB">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表1-</w:t>
      </w:r>
      <w:r>
        <w:rPr>
          <w:rFonts w:hint="default" w:ascii="Times New Roman" w:hAnsi="Times New Roman" w:eastAsia="黑体" w:cs="Times New Roman"/>
          <w:color w:val="auto"/>
          <w:sz w:val="24"/>
          <w:lang w:val="en-US" w:eastAsia="zh-CN"/>
        </w:rPr>
        <w:t>3</w:t>
      </w:r>
      <w:r>
        <w:rPr>
          <w:rFonts w:hint="default" w:ascii="Times New Roman" w:hAnsi="Times New Roman" w:eastAsia="黑体" w:cs="Times New Roman"/>
          <w:color w:val="auto"/>
          <w:sz w:val="24"/>
        </w:rPr>
        <w:t xml:space="preserve">  项目与《中卫市环境管控单元生态环境准入清单》相符性分析一览表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91"/>
        <w:gridCol w:w="1191"/>
        <w:gridCol w:w="6144"/>
        <w:gridCol w:w="1710"/>
        <w:gridCol w:w="1635"/>
        <w:gridCol w:w="1547"/>
      </w:tblGrid>
      <w:tr w14:paraId="48134D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0" w:type="pct"/>
            <w:vMerge w:val="restart"/>
            <w:vAlign w:val="center"/>
          </w:tcPr>
          <w:p w14:paraId="0F30EB7B">
            <w:pPr>
              <w:widowControl/>
              <w:tabs>
                <w:tab w:val="left" w:pos="4767"/>
              </w:tabs>
              <w:adjustRightInd w:val="0"/>
              <w:spacing w:line="0" w:lineRule="atLeast"/>
              <w:jc w:val="center"/>
              <w:rPr>
                <w:rFonts w:hint="default" w:ascii="Times New Roman" w:hAnsi="Times New Roman" w:cs="Times New Roman" w:eastAsiaTheme="minorEastAsia"/>
                <w:b/>
                <w:color w:val="auto"/>
                <w:szCs w:val="21"/>
              </w:rPr>
            </w:pPr>
            <w:r>
              <w:rPr>
                <w:rFonts w:hint="default" w:ascii="Times New Roman" w:hAnsi="Times New Roman" w:cs="Times New Roman" w:eastAsiaTheme="minorEastAsia"/>
                <w:b/>
                <w:color w:val="auto"/>
                <w:szCs w:val="21"/>
              </w:rPr>
              <w:t>环境管控单元名称</w:t>
            </w:r>
          </w:p>
        </w:tc>
        <w:tc>
          <w:tcPr>
            <w:tcW w:w="418" w:type="pct"/>
            <w:vMerge w:val="restart"/>
            <w:vAlign w:val="center"/>
          </w:tcPr>
          <w:p w14:paraId="08BA35DE">
            <w:pPr>
              <w:widowControl/>
              <w:tabs>
                <w:tab w:val="left" w:pos="4767"/>
              </w:tabs>
              <w:adjustRightInd w:val="0"/>
              <w:spacing w:line="0" w:lineRule="atLeast"/>
              <w:jc w:val="center"/>
              <w:rPr>
                <w:rFonts w:hint="default" w:ascii="Times New Roman" w:hAnsi="Times New Roman" w:cs="Times New Roman" w:eastAsiaTheme="minorEastAsia"/>
                <w:b/>
                <w:color w:val="auto"/>
                <w:szCs w:val="21"/>
              </w:rPr>
            </w:pPr>
            <w:r>
              <w:rPr>
                <w:rFonts w:hint="default" w:ascii="Times New Roman" w:hAnsi="Times New Roman" w:cs="Times New Roman" w:eastAsiaTheme="minorEastAsia"/>
                <w:b/>
                <w:color w:val="auto"/>
                <w:szCs w:val="21"/>
              </w:rPr>
              <w:t>要素属性</w:t>
            </w:r>
          </w:p>
        </w:tc>
        <w:tc>
          <w:tcPr>
            <w:tcW w:w="3880" w:type="pct"/>
            <w:gridSpan w:val="4"/>
            <w:vAlign w:val="center"/>
          </w:tcPr>
          <w:p w14:paraId="3E03C8C5">
            <w:pPr>
              <w:widowControl/>
              <w:tabs>
                <w:tab w:val="left" w:pos="4767"/>
              </w:tabs>
              <w:adjustRightInd w:val="0"/>
              <w:spacing w:line="0" w:lineRule="atLeast"/>
              <w:jc w:val="center"/>
              <w:rPr>
                <w:rFonts w:hint="default" w:ascii="Times New Roman" w:hAnsi="Times New Roman" w:cs="Times New Roman" w:eastAsiaTheme="minorEastAsia"/>
                <w:b/>
                <w:color w:val="auto"/>
                <w:kern w:val="0"/>
                <w:szCs w:val="21"/>
                <w:lang w:bidi="ar"/>
              </w:rPr>
            </w:pPr>
            <w:r>
              <w:rPr>
                <w:rFonts w:hint="default" w:ascii="Times New Roman" w:hAnsi="Times New Roman" w:cs="Times New Roman" w:eastAsiaTheme="minorEastAsia"/>
                <w:b/>
                <w:color w:val="auto"/>
                <w:kern w:val="0"/>
                <w:szCs w:val="21"/>
                <w:lang w:val="en-US" w:eastAsia="zh-CN" w:bidi="ar"/>
              </w:rPr>
              <w:t>管控</w:t>
            </w:r>
            <w:r>
              <w:rPr>
                <w:rFonts w:hint="default" w:ascii="Times New Roman" w:hAnsi="Times New Roman" w:cs="Times New Roman" w:eastAsiaTheme="minorEastAsia"/>
                <w:b/>
                <w:color w:val="auto"/>
                <w:kern w:val="0"/>
                <w:szCs w:val="21"/>
                <w:lang w:bidi="ar"/>
              </w:rPr>
              <w:t>要求</w:t>
            </w:r>
          </w:p>
        </w:tc>
      </w:tr>
      <w:tr w14:paraId="52AA07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0" w:type="pct"/>
            <w:vMerge w:val="continue"/>
            <w:vAlign w:val="center"/>
          </w:tcPr>
          <w:p w14:paraId="17AAE4F1">
            <w:pPr>
              <w:widowControl/>
              <w:tabs>
                <w:tab w:val="left" w:pos="4767"/>
              </w:tabs>
              <w:adjustRightInd w:val="0"/>
              <w:spacing w:line="0" w:lineRule="atLeast"/>
              <w:jc w:val="center"/>
              <w:rPr>
                <w:rFonts w:hint="default" w:ascii="Times New Roman" w:hAnsi="Times New Roman" w:cs="Times New Roman" w:eastAsiaTheme="minorEastAsia"/>
                <w:bCs/>
                <w:color w:val="auto"/>
                <w:szCs w:val="21"/>
              </w:rPr>
            </w:pPr>
          </w:p>
        </w:tc>
        <w:tc>
          <w:tcPr>
            <w:tcW w:w="418" w:type="pct"/>
            <w:vMerge w:val="continue"/>
            <w:vAlign w:val="center"/>
          </w:tcPr>
          <w:p w14:paraId="4742C3B5">
            <w:pPr>
              <w:widowControl/>
              <w:tabs>
                <w:tab w:val="left" w:pos="4767"/>
              </w:tabs>
              <w:adjustRightInd w:val="0"/>
              <w:spacing w:line="0" w:lineRule="atLeast"/>
              <w:jc w:val="center"/>
              <w:rPr>
                <w:rFonts w:hint="default" w:ascii="Times New Roman" w:hAnsi="Times New Roman" w:cs="Times New Roman" w:eastAsiaTheme="minorEastAsia"/>
                <w:bCs/>
                <w:color w:val="auto"/>
                <w:szCs w:val="21"/>
              </w:rPr>
            </w:pPr>
          </w:p>
        </w:tc>
        <w:tc>
          <w:tcPr>
            <w:tcW w:w="2160" w:type="pct"/>
            <w:vAlign w:val="center"/>
          </w:tcPr>
          <w:p w14:paraId="25D6E05A">
            <w:pPr>
              <w:widowControl/>
              <w:tabs>
                <w:tab w:val="left" w:pos="4767"/>
              </w:tabs>
              <w:adjustRightInd w:val="0"/>
              <w:spacing w:line="0" w:lineRule="atLeast"/>
              <w:jc w:val="center"/>
              <w:rPr>
                <w:rFonts w:hint="default" w:ascii="Times New Roman" w:hAnsi="Times New Roman" w:cs="Times New Roman" w:eastAsiaTheme="minorEastAsia"/>
                <w:bCs/>
                <w:color w:val="auto"/>
                <w:szCs w:val="21"/>
              </w:rPr>
            </w:pPr>
            <w:r>
              <w:rPr>
                <w:rFonts w:hint="default" w:ascii="Times New Roman" w:hAnsi="Times New Roman" w:cs="Times New Roman" w:eastAsiaTheme="minorEastAsia"/>
                <w:b/>
                <w:color w:val="auto"/>
                <w:szCs w:val="21"/>
              </w:rPr>
              <w:t>空间布局约束</w:t>
            </w:r>
          </w:p>
        </w:tc>
        <w:tc>
          <w:tcPr>
            <w:tcW w:w="601" w:type="pct"/>
            <w:vAlign w:val="center"/>
          </w:tcPr>
          <w:p w14:paraId="6C4D31DF">
            <w:pPr>
              <w:widowControl/>
              <w:tabs>
                <w:tab w:val="left" w:pos="4767"/>
              </w:tabs>
              <w:adjustRightInd w:val="0"/>
              <w:spacing w:line="0" w:lineRule="atLeast"/>
              <w:jc w:val="center"/>
              <w:rPr>
                <w:rFonts w:hint="default" w:ascii="Times New Roman" w:hAnsi="Times New Roman" w:cs="Times New Roman" w:eastAsiaTheme="minorEastAsia"/>
                <w:bCs/>
                <w:color w:val="auto"/>
                <w:szCs w:val="21"/>
              </w:rPr>
            </w:pPr>
            <w:r>
              <w:rPr>
                <w:rFonts w:hint="default" w:ascii="Times New Roman" w:hAnsi="Times New Roman" w:cs="Times New Roman" w:eastAsiaTheme="minorEastAsia"/>
                <w:b/>
                <w:color w:val="auto"/>
                <w:kern w:val="0"/>
                <w:szCs w:val="21"/>
                <w:lang w:bidi="ar"/>
              </w:rPr>
              <w:t>污染物排放管控</w:t>
            </w:r>
          </w:p>
        </w:tc>
        <w:tc>
          <w:tcPr>
            <w:tcW w:w="574" w:type="pct"/>
            <w:vAlign w:val="center"/>
          </w:tcPr>
          <w:p w14:paraId="3357656F">
            <w:pPr>
              <w:widowControl/>
              <w:tabs>
                <w:tab w:val="left" w:pos="4767"/>
              </w:tabs>
              <w:adjustRightInd w:val="0"/>
              <w:spacing w:line="0" w:lineRule="atLeast"/>
              <w:jc w:val="center"/>
              <w:rPr>
                <w:rFonts w:hint="default" w:ascii="Times New Roman" w:hAnsi="Times New Roman" w:cs="Times New Roman" w:eastAsiaTheme="minorEastAsia"/>
                <w:bCs/>
                <w:color w:val="auto"/>
                <w:szCs w:val="21"/>
              </w:rPr>
            </w:pPr>
            <w:r>
              <w:rPr>
                <w:rFonts w:hint="default" w:ascii="Times New Roman" w:hAnsi="Times New Roman" w:cs="Times New Roman" w:eastAsiaTheme="minorEastAsia"/>
                <w:b/>
                <w:color w:val="auto"/>
                <w:kern w:val="0"/>
                <w:szCs w:val="21"/>
                <w:lang w:bidi="ar"/>
              </w:rPr>
              <w:t>环境风险防控</w:t>
            </w:r>
          </w:p>
        </w:tc>
        <w:tc>
          <w:tcPr>
            <w:tcW w:w="544" w:type="pct"/>
            <w:vAlign w:val="center"/>
          </w:tcPr>
          <w:p w14:paraId="092C8F6E">
            <w:pPr>
              <w:widowControl/>
              <w:tabs>
                <w:tab w:val="left" w:pos="4767"/>
              </w:tabs>
              <w:adjustRightInd w:val="0"/>
              <w:spacing w:line="0" w:lineRule="atLeast"/>
              <w:jc w:val="center"/>
              <w:rPr>
                <w:rFonts w:hint="default" w:ascii="Times New Roman" w:hAnsi="Times New Roman" w:cs="Times New Roman" w:eastAsiaTheme="minorEastAsia"/>
                <w:b/>
                <w:color w:val="auto"/>
                <w:kern w:val="0"/>
                <w:szCs w:val="21"/>
                <w:lang w:bidi="ar"/>
              </w:rPr>
            </w:pPr>
            <w:r>
              <w:rPr>
                <w:rFonts w:hint="default" w:ascii="Times New Roman" w:hAnsi="Times New Roman" w:cs="Times New Roman" w:eastAsiaTheme="minorEastAsia"/>
                <w:b/>
                <w:color w:val="auto"/>
                <w:kern w:val="0"/>
                <w:szCs w:val="21"/>
                <w:lang w:bidi="ar"/>
              </w:rPr>
              <w:t>资源开发效率</w:t>
            </w:r>
          </w:p>
        </w:tc>
      </w:tr>
      <w:tr w14:paraId="573CDF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0" w:type="pct"/>
            <w:vAlign w:val="center"/>
          </w:tcPr>
          <w:p w14:paraId="20430A54">
            <w:pPr>
              <w:tabs>
                <w:tab w:val="left" w:pos="4767"/>
              </w:tabs>
              <w:spacing w:line="0" w:lineRule="atLeas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沙坡头区一般管控单元</w:t>
            </w:r>
            <w:r>
              <w:rPr>
                <w:rFonts w:hint="default" w:ascii="Times New Roman" w:hAnsi="Times New Roman" w:cs="Times New Roman" w:eastAsiaTheme="minorEastAsia"/>
                <w:color w:val="auto"/>
                <w:szCs w:val="21"/>
                <w:lang w:val="en-US" w:eastAsia="zh-CN"/>
              </w:rPr>
              <w:t>1</w:t>
            </w:r>
            <w:r>
              <w:rPr>
                <w:rFonts w:hint="default" w:ascii="Times New Roman" w:hAnsi="Times New Roman" w:cs="Times New Roman" w:eastAsiaTheme="minorEastAsia"/>
                <w:color w:val="auto"/>
                <w:szCs w:val="21"/>
              </w:rPr>
              <w:t>（ZH6405023000</w:t>
            </w:r>
            <w:r>
              <w:rPr>
                <w:rFonts w:hint="default" w:ascii="Times New Roman" w:hAnsi="Times New Roman" w:cs="Times New Roman" w:eastAsiaTheme="minorEastAsia"/>
                <w:color w:val="auto"/>
                <w:szCs w:val="21"/>
                <w:lang w:val="en-US" w:eastAsia="zh-CN"/>
              </w:rPr>
              <w:t>1</w:t>
            </w:r>
            <w:r>
              <w:rPr>
                <w:rFonts w:hint="default" w:ascii="Times New Roman" w:hAnsi="Times New Roman" w:cs="Times New Roman" w:eastAsiaTheme="minorEastAsia"/>
                <w:color w:val="auto"/>
                <w:szCs w:val="21"/>
              </w:rPr>
              <w:t>）</w:t>
            </w:r>
          </w:p>
        </w:tc>
        <w:tc>
          <w:tcPr>
            <w:tcW w:w="418" w:type="pct"/>
            <w:vAlign w:val="center"/>
          </w:tcPr>
          <w:p w14:paraId="7348399D">
            <w:pPr>
              <w:tabs>
                <w:tab w:val="left" w:pos="4767"/>
              </w:tabs>
              <w:spacing w:line="0" w:lineRule="atLeas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水环境一般管控区-大气环境一般管控区等</w:t>
            </w:r>
          </w:p>
        </w:tc>
        <w:tc>
          <w:tcPr>
            <w:tcW w:w="2160" w:type="pct"/>
            <w:vAlign w:val="center"/>
          </w:tcPr>
          <w:p w14:paraId="73E2A97E">
            <w:pPr>
              <w:tabs>
                <w:tab w:val="left" w:pos="4767"/>
              </w:tabs>
              <w:spacing w:line="0" w:lineRule="atLeast"/>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1.禁止新建项目乱征滥占草地、破坏沙生植被，严格限制在区域内采砂取土。</w:t>
            </w:r>
          </w:p>
          <w:p w14:paraId="629962FB">
            <w:pPr>
              <w:tabs>
                <w:tab w:val="left" w:pos="4767"/>
              </w:tabs>
              <w:spacing w:line="0" w:lineRule="atLeast"/>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2.限制无序发展光伏产业。严格限制在农用地优先保护区集中区域新建医药、垃圾焚烧、铅酸蓄电池制造回收、电子废弃物拆解、危险废物处置和危险化学品生产、储存、使用等行业项目。</w:t>
            </w:r>
          </w:p>
          <w:p w14:paraId="7E12E2F1">
            <w:pPr>
              <w:tabs>
                <w:tab w:val="left" w:pos="4767"/>
              </w:tabs>
              <w:spacing w:line="0" w:lineRule="atLeast"/>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3.在满足产业准入、总量控制、排放标准等国家和地方相关管理制度要求的前提下，集约发展。</w:t>
            </w:r>
          </w:p>
          <w:p w14:paraId="3F4FC699">
            <w:pPr>
              <w:tabs>
                <w:tab w:val="left" w:pos="4767"/>
              </w:tabs>
              <w:spacing w:line="0" w:lineRule="atLeast"/>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4.深入推进“散乱污”工业企业整治工作，对不符合国家或自治区产业政策、依法应办理而未办理相关审批或登记手续、违法排污严重的工业企业，限期关停拆除。</w:t>
            </w:r>
          </w:p>
        </w:tc>
        <w:tc>
          <w:tcPr>
            <w:tcW w:w="601" w:type="pct"/>
            <w:vAlign w:val="center"/>
          </w:tcPr>
          <w:p w14:paraId="2A1CE1B1">
            <w:pPr>
              <w:tabs>
                <w:tab w:val="left" w:pos="4767"/>
              </w:tabs>
              <w:spacing w:line="0" w:lineRule="atLeast"/>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w:t>
            </w:r>
          </w:p>
        </w:tc>
        <w:tc>
          <w:tcPr>
            <w:tcW w:w="574" w:type="pct"/>
            <w:vAlign w:val="center"/>
          </w:tcPr>
          <w:p w14:paraId="297A7EC8">
            <w:pPr>
              <w:tabs>
                <w:tab w:val="left" w:pos="4767"/>
              </w:tabs>
              <w:spacing w:line="0" w:lineRule="atLeast"/>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w:t>
            </w:r>
          </w:p>
        </w:tc>
        <w:tc>
          <w:tcPr>
            <w:tcW w:w="544" w:type="pct"/>
            <w:vAlign w:val="center"/>
          </w:tcPr>
          <w:p w14:paraId="5FD028EA">
            <w:pPr>
              <w:tabs>
                <w:tab w:val="left" w:pos="4767"/>
              </w:tabs>
              <w:spacing w:line="0" w:lineRule="atLeast"/>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w:t>
            </w:r>
          </w:p>
        </w:tc>
      </w:tr>
      <w:tr w14:paraId="642F7B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119" w:type="pct"/>
            <w:gridSpan w:val="2"/>
            <w:vAlign w:val="center"/>
          </w:tcPr>
          <w:p w14:paraId="2EA935E0">
            <w:pPr>
              <w:tabs>
                <w:tab w:val="left" w:pos="4767"/>
              </w:tabs>
              <w:spacing w:line="0" w:lineRule="atLeas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本项目情况</w:t>
            </w:r>
          </w:p>
        </w:tc>
        <w:tc>
          <w:tcPr>
            <w:tcW w:w="2160" w:type="pct"/>
            <w:vAlign w:val="center"/>
          </w:tcPr>
          <w:p w14:paraId="2FAEAEA1">
            <w:pPr>
              <w:numPr>
                <w:ilvl w:val="0"/>
                <w:numId w:val="0"/>
              </w:numPr>
              <w:tabs>
                <w:tab w:val="left" w:pos="4767"/>
              </w:tabs>
              <w:spacing w:line="0" w:lineRule="atLeast"/>
              <w:jc w:val="both"/>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1.本项目不涉及；</w:t>
            </w:r>
          </w:p>
          <w:p w14:paraId="4E7A2612">
            <w:pPr>
              <w:numPr>
                <w:ilvl w:val="0"/>
                <w:numId w:val="0"/>
              </w:numPr>
              <w:tabs>
                <w:tab w:val="left" w:pos="4767"/>
              </w:tabs>
              <w:spacing w:line="0" w:lineRule="atLeast"/>
              <w:jc w:val="both"/>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2.本项目为沥青混凝土生产加工项目，不属于光伏产业、医药、垃圾焚烧、铅酸蓄电池制造回收、电子废弃物拆解、危险废物处置和危险化学品生产、储存、使用等行业，且不在农用地优先保护区；</w:t>
            </w:r>
          </w:p>
          <w:p w14:paraId="6BE8BD70">
            <w:pPr>
              <w:numPr>
                <w:ilvl w:val="0"/>
                <w:numId w:val="0"/>
              </w:numPr>
              <w:tabs>
                <w:tab w:val="left" w:pos="4767"/>
              </w:tabs>
              <w:spacing w:line="0" w:lineRule="atLeast"/>
              <w:jc w:val="both"/>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3-4.本项目不涉及。</w:t>
            </w:r>
          </w:p>
        </w:tc>
        <w:tc>
          <w:tcPr>
            <w:tcW w:w="601" w:type="pct"/>
            <w:vAlign w:val="center"/>
          </w:tcPr>
          <w:p w14:paraId="218FE66B">
            <w:pPr>
              <w:tabs>
                <w:tab w:val="left" w:pos="4767"/>
              </w:tabs>
              <w:spacing w:line="0" w:lineRule="atLeast"/>
              <w:jc w:val="center"/>
              <w:rPr>
                <w:rFonts w:hint="default" w:ascii="Times New Roman" w:hAnsi="Times New Roman" w:cs="Times New Roman" w:eastAsiaTheme="minorEastAsia"/>
                <w:color w:val="auto"/>
                <w:szCs w:val="21"/>
                <w:lang w:val="en-US"/>
              </w:rPr>
            </w:pPr>
            <w:r>
              <w:rPr>
                <w:rFonts w:hint="default" w:ascii="Times New Roman" w:hAnsi="Times New Roman" w:cs="Times New Roman" w:eastAsiaTheme="minorEastAsia"/>
                <w:color w:val="auto"/>
                <w:szCs w:val="21"/>
                <w:lang w:val="en-US" w:eastAsia="zh-CN"/>
              </w:rPr>
              <w:t>/</w:t>
            </w:r>
          </w:p>
        </w:tc>
        <w:tc>
          <w:tcPr>
            <w:tcW w:w="574" w:type="pct"/>
            <w:vAlign w:val="center"/>
          </w:tcPr>
          <w:p w14:paraId="71AA89B2">
            <w:pPr>
              <w:tabs>
                <w:tab w:val="left" w:pos="4767"/>
              </w:tabs>
              <w:spacing w:line="0" w:lineRule="atLeast"/>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w:t>
            </w:r>
          </w:p>
        </w:tc>
        <w:tc>
          <w:tcPr>
            <w:tcW w:w="544" w:type="pct"/>
            <w:vAlign w:val="center"/>
          </w:tcPr>
          <w:p w14:paraId="14716E1D">
            <w:pPr>
              <w:tabs>
                <w:tab w:val="left" w:pos="4767"/>
              </w:tabs>
              <w:spacing w:line="0" w:lineRule="atLeast"/>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w:t>
            </w:r>
          </w:p>
        </w:tc>
      </w:tr>
      <w:tr w14:paraId="302B35A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279" w:type="pct"/>
            <w:gridSpan w:val="3"/>
            <w:shd w:val="clear" w:color="auto" w:fill="BEBEBE" w:themeFill="background1" w:themeFillShade="BF"/>
            <w:vAlign w:val="center"/>
          </w:tcPr>
          <w:p w14:paraId="4255B343">
            <w:pPr>
              <w:tabs>
                <w:tab w:val="left" w:pos="4767"/>
              </w:tabs>
              <w:spacing w:line="0" w:lineRule="atLeas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符合性</w:t>
            </w:r>
          </w:p>
        </w:tc>
        <w:tc>
          <w:tcPr>
            <w:tcW w:w="601" w:type="pct"/>
            <w:shd w:val="clear" w:color="auto" w:fill="BEBEBE" w:themeFill="background1" w:themeFillShade="BF"/>
            <w:vAlign w:val="center"/>
          </w:tcPr>
          <w:p w14:paraId="40DB0610">
            <w:pPr>
              <w:tabs>
                <w:tab w:val="left" w:pos="4767"/>
              </w:tabs>
              <w:spacing w:line="0" w:lineRule="atLeas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符合</w:t>
            </w:r>
          </w:p>
        </w:tc>
        <w:tc>
          <w:tcPr>
            <w:tcW w:w="574" w:type="pct"/>
            <w:shd w:val="clear" w:color="auto" w:fill="BEBEBE" w:themeFill="background1" w:themeFillShade="BF"/>
            <w:vAlign w:val="center"/>
          </w:tcPr>
          <w:p w14:paraId="1D4E3D74">
            <w:pPr>
              <w:tabs>
                <w:tab w:val="left" w:pos="4767"/>
              </w:tabs>
              <w:spacing w:line="0" w:lineRule="atLeas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符合</w:t>
            </w:r>
          </w:p>
        </w:tc>
        <w:tc>
          <w:tcPr>
            <w:tcW w:w="544" w:type="pct"/>
            <w:shd w:val="clear" w:color="auto" w:fill="BEBEBE" w:themeFill="background1" w:themeFillShade="BF"/>
            <w:vAlign w:val="center"/>
          </w:tcPr>
          <w:p w14:paraId="4F3651F7">
            <w:pPr>
              <w:tabs>
                <w:tab w:val="left" w:pos="4767"/>
              </w:tabs>
              <w:spacing w:line="0" w:lineRule="atLeast"/>
              <w:jc w:val="center"/>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符合</w:t>
            </w:r>
          </w:p>
        </w:tc>
      </w:tr>
    </w:tbl>
    <w:p w14:paraId="07FC3035">
      <w:pPr>
        <w:tabs>
          <w:tab w:val="left" w:pos="4767"/>
        </w:tabs>
        <w:rPr>
          <w:rFonts w:hint="default" w:ascii="Times New Roman" w:hAnsi="Times New Roman" w:cs="Times New Roman"/>
          <w:color w:val="auto"/>
        </w:rPr>
        <w:sectPr>
          <w:pgSz w:w="16838" w:h="11905" w:orient="landscape"/>
          <w:pgMar w:top="1418" w:right="1418" w:bottom="1418" w:left="1418" w:header="851" w:footer="964" w:gutter="0"/>
          <w:pgBorders>
            <w:top w:val="none" w:sz="0" w:space="0"/>
            <w:left w:val="none" w:sz="0" w:space="0"/>
            <w:bottom w:val="none" w:sz="0" w:space="0"/>
            <w:right w:val="none" w:sz="0" w:space="0"/>
          </w:pgBorders>
          <w:pgNumType w:fmt="decimal"/>
          <w:cols w:space="0" w:num="1"/>
          <w:docGrid w:type="lines" w:linePitch="466" w:charSpace="3482"/>
        </w:sectPr>
      </w:pPr>
    </w:p>
    <w:p w14:paraId="5F7EC132">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表1-</w:t>
      </w:r>
      <w:r>
        <w:rPr>
          <w:rFonts w:hint="default" w:ascii="Times New Roman" w:hAnsi="Times New Roman" w:eastAsia="黑体" w:cs="Times New Roman"/>
          <w:color w:val="auto"/>
          <w:sz w:val="24"/>
          <w:lang w:val="en-US" w:eastAsia="zh-CN"/>
        </w:rPr>
        <w:t>4</w:t>
      </w:r>
      <w:r>
        <w:rPr>
          <w:rFonts w:hint="default" w:ascii="Times New Roman" w:hAnsi="Times New Roman" w:eastAsia="黑体" w:cs="Times New Roman"/>
          <w:color w:val="auto"/>
          <w:sz w:val="24"/>
        </w:rPr>
        <w:t xml:space="preserve">    项目与相关生态环境保护规划符合性分析</w:t>
      </w:r>
    </w:p>
    <w:tbl>
      <w:tblPr>
        <w:tblStyle w:val="26"/>
        <w:tblW w:w="4996"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2632"/>
        <w:gridCol w:w="6049"/>
        <w:gridCol w:w="4500"/>
        <w:gridCol w:w="1026"/>
      </w:tblGrid>
      <w:tr w14:paraId="17E1A00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926" w:type="pct"/>
            <w:tcBorders>
              <w:right w:val="single" w:color="auto" w:sz="4" w:space="0"/>
            </w:tcBorders>
            <w:vAlign w:val="center"/>
          </w:tcPr>
          <w:p w14:paraId="5D56388E">
            <w:pPr>
              <w:tabs>
                <w:tab w:val="left" w:pos="4767"/>
              </w:tabs>
              <w:autoSpaceDE w:val="0"/>
              <w:autoSpaceDN w:val="0"/>
              <w:spacing w:line="0" w:lineRule="atLeast"/>
              <w:contextualSpacing/>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lang w:val="en-US" w:eastAsia="zh-CN"/>
              </w:rPr>
              <w:t>政策</w:t>
            </w:r>
          </w:p>
        </w:tc>
        <w:tc>
          <w:tcPr>
            <w:tcW w:w="2128" w:type="pct"/>
            <w:tcBorders>
              <w:left w:val="single" w:color="auto" w:sz="4" w:space="0"/>
            </w:tcBorders>
            <w:vAlign w:val="center"/>
          </w:tcPr>
          <w:p w14:paraId="5656F1EB">
            <w:pPr>
              <w:tabs>
                <w:tab w:val="left" w:pos="4767"/>
              </w:tabs>
              <w:autoSpaceDE w:val="0"/>
              <w:autoSpaceDN w:val="0"/>
              <w:spacing w:line="0" w:lineRule="atLeast"/>
              <w:contextualSpacing/>
              <w:jc w:val="center"/>
              <w:rPr>
                <w:rFonts w:hint="default" w:ascii="Times New Roman" w:hAnsi="Times New Roman" w:cs="Times New Roman"/>
                <w:b/>
                <w:bCs/>
                <w:color w:val="auto"/>
                <w:kern w:val="0"/>
                <w:szCs w:val="21"/>
                <w:lang w:val="en-US" w:eastAsia="zh-CN"/>
              </w:rPr>
            </w:pPr>
            <w:r>
              <w:rPr>
                <w:rFonts w:hint="default" w:ascii="Times New Roman" w:hAnsi="Times New Roman" w:cs="Times New Roman"/>
                <w:b/>
                <w:bCs/>
                <w:color w:val="auto"/>
                <w:kern w:val="0"/>
                <w:szCs w:val="21"/>
                <w:lang w:val="en-US" w:eastAsia="zh-CN"/>
              </w:rPr>
              <w:t>有关条款内容</w:t>
            </w:r>
          </w:p>
        </w:tc>
        <w:tc>
          <w:tcPr>
            <w:tcW w:w="1583" w:type="pct"/>
            <w:vAlign w:val="center"/>
          </w:tcPr>
          <w:p w14:paraId="567A6464">
            <w:pPr>
              <w:tabs>
                <w:tab w:val="left" w:pos="4767"/>
              </w:tabs>
              <w:autoSpaceDE w:val="0"/>
              <w:autoSpaceDN w:val="0"/>
              <w:spacing w:line="0" w:lineRule="atLeast"/>
              <w:contextualSpacing/>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本项目情况</w:t>
            </w:r>
          </w:p>
        </w:tc>
        <w:tc>
          <w:tcPr>
            <w:tcW w:w="361" w:type="pct"/>
            <w:vAlign w:val="center"/>
          </w:tcPr>
          <w:p w14:paraId="61C0F2A1">
            <w:pPr>
              <w:tabs>
                <w:tab w:val="left" w:pos="4767"/>
              </w:tabs>
              <w:autoSpaceDE w:val="0"/>
              <w:autoSpaceDN w:val="0"/>
              <w:spacing w:line="0" w:lineRule="atLeast"/>
              <w:contextualSpacing/>
              <w:jc w:val="center"/>
              <w:rPr>
                <w:rFonts w:hint="default" w:ascii="Times New Roman" w:hAnsi="Times New Roman" w:eastAsia="宋体" w:cs="Times New Roman"/>
                <w:b/>
                <w:bCs/>
                <w:color w:val="auto"/>
                <w:kern w:val="0"/>
                <w:szCs w:val="21"/>
                <w:lang w:val="en-US" w:eastAsia="zh-CN"/>
              </w:rPr>
            </w:pPr>
            <w:r>
              <w:rPr>
                <w:rFonts w:hint="default" w:ascii="Times New Roman" w:hAnsi="Times New Roman" w:cs="Times New Roman"/>
                <w:b/>
                <w:bCs/>
                <w:color w:val="auto"/>
                <w:kern w:val="0"/>
                <w:szCs w:val="21"/>
                <w:lang w:val="en-US" w:eastAsia="zh-CN"/>
              </w:rPr>
              <w:t>符合性</w:t>
            </w:r>
          </w:p>
        </w:tc>
      </w:tr>
      <w:tr w14:paraId="40616D2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926" w:type="pct"/>
            <w:tcBorders>
              <w:right w:val="single" w:color="auto" w:sz="4" w:space="0"/>
            </w:tcBorders>
            <w:vAlign w:val="center"/>
          </w:tcPr>
          <w:p w14:paraId="00151CDE">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0" w:firstLineChars="0"/>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《宁夏回族自治区空气质量改善“十四五”规划》</w:t>
            </w:r>
          </w:p>
        </w:tc>
        <w:tc>
          <w:tcPr>
            <w:tcW w:w="2128" w:type="pct"/>
            <w:tcBorders>
              <w:left w:val="single" w:color="auto" w:sz="4" w:space="0"/>
            </w:tcBorders>
            <w:vAlign w:val="center"/>
          </w:tcPr>
          <w:p w14:paraId="3435D02A">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严格环境准入要求：新、改、扩建煤电、钢铁、建材、石化、化工、煤化工、有色等高耗能、高排放（以下简称“两高”）项目、严格落实国家、自治区产业规划、产业政策、“三线一单”、规划环评，以及产能置换置换、煤炭消费减量替代、区域污染物削减等相关要求</w:t>
            </w:r>
            <w:r>
              <w:rPr>
                <w:rFonts w:hint="default" w:ascii="Times New Roman" w:hAnsi="Times New Roman" w:cs="Times New Roman"/>
                <w:color w:val="auto"/>
                <w:kern w:val="0"/>
                <w:szCs w:val="21"/>
                <w:lang w:eastAsia="zh-CN"/>
              </w:rPr>
              <w:t>。</w:t>
            </w:r>
          </w:p>
        </w:tc>
        <w:tc>
          <w:tcPr>
            <w:tcW w:w="1583" w:type="pct"/>
            <w:vAlign w:val="center"/>
          </w:tcPr>
          <w:p w14:paraId="6E2F4162">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本项目建设符合国家、自治区产业规划、产业政策、“三线一单”、规划环评要求，不涉及限制淘汰类产能置换。</w:t>
            </w:r>
          </w:p>
        </w:tc>
        <w:tc>
          <w:tcPr>
            <w:tcW w:w="361" w:type="pct"/>
            <w:vAlign w:val="center"/>
          </w:tcPr>
          <w:p w14:paraId="7369D16B">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30A4E14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926" w:type="pct"/>
            <w:tcBorders>
              <w:right w:val="single" w:color="auto" w:sz="4" w:space="0"/>
            </w:tcBorders>
            <w:vAlign w:val="center"/>
          </w:tcPr>
          <w:p w14:paraId="3F37A200">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0" w:firstLineChars="0"/>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《宁夏回族自治区水生态环境保护“十四五”规划》</w:t>
            </w:r>
          </w:p>
        </w:tc>
        <w:tc>
          <w:tcPr>
            <w:tcW w:w="2128" w:type="pct"/>
            <w:tcBorders>
              <w:left w:val="single" w:color="auto" w:sz="4" w:space="0"/>
            </w:tcBorders>
            <w:vAlign w:val="center"/>
          </w:tcPr>
          <w:p w14:paraId="31A1008E">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优化空间布局：坚持以水定城、以水定地、以水定人、以水定产，严格控制高耗水、高污染行业发展，鼓励推动高耗水企业向水资源条件允许的工业园区集中，提高化工、有色金属、农副食品加工、印染、制革、原料药制造、冶金等行业园区集聚水平。</w:t>
            </w:r>
          </w:p>
        </w:tc>
        <w:tc>
          <w:tcPr>
            <w:tcW w:w="1583" w:type="pct"/>
            <w:vAlign w:val="center"/>
          </w:tcPr>
          <w:p w14:paraId="1E44FDD6">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本项目不属于高耗水、高污染行业。</w:t>
            </w:r>
          </w:p>
        </w:tc>
        <w:tc>
          <w:tcPr>
            <w:tcW w:w="361" w:type="pct"/>
            <w:vAlign w:val="center"/>
          </w:tcPr>
          <w:p w14:paraId="69A9A335">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2B98FF9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926" w:type="pct"/>
            <w:tcBorders>
              <w:right w:val="single" w:color="auto" w:sz="4" w:space="0"/>
            </w:tcBorders>
            <w:vAlign w:val="center"/>
          </w:tcPr>
          <w:p w14:paraId="32449976">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0" w:firstLineChars="0"/>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《宁夏回族自治区生态环境保护“十四五”规划》</w:t>
            </w:r>
          </w:p>
        </w:tc>
        <w:tc>
          <w:tcPr>
            <w:tcW w:w="2128" w:type="pct"/>
            <w:tcBorders>
              <w:left w:val="single" w:color="auto" w:sz="4" w:space="0"/>
            </w:tcBorders>
            <w:vAlign w:val="center"/>
          </w:tcPr>
          <w:p w14:paraId="4EC4437B">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推进工业污染防治。严格执行行业水污染物排放标准，常态化开展纳管企业废水排放情况检查，严禁工业废水未经处理或未有效处理直接排入集中式污水处理设施收集系统，严查偷排漏排、超标排放。开展企业排水特征污染物和新污染物调查，探索纳入监督性监测。推进工业园区污水处理设施配套管网建设，到2025年，工业园区废水实现全收集、全处理。</w:t>
            </w:r>
          </w:p>
        </w:tc>
        <w:tc>
          <w:tcPr>
            <w:tcW w:w="1583" w:type="pct"/>
            <w:vAlign w:val="center"/>
          </w:tcPr>
          <w:p w14:paraId="7D9F089E">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本项目为沥青混凝土生产加工项目，不涉及工业污染；本项目用水由用水车定期拉运，总用水量为1316m³/a。其中洒水抑尘用水量400m³/a；车辆冲洗用水800m³/a；设备冲洗用水4m³/a；职工生活用水量112m³/a。排水主要为生活污水、车辆冲洗废水以及设备清洗废水，车辆冲洗废水以及设备清洗废水通过沉淀池沉淀后用于厂区内洒水抑尘，</w:t>
            </w:r>
            <w:r>
              <w:rPr>
                <w:rFonts w:hint="eastAsia" w:cs="Times New Roman"/>
                <w:color w:val="auto"/>
                <w:kern w:val="0"/>
                <w:szCs w:val="21"/>
                <w:lang w:val="en-US" w:eastAsia="zh-CN"/>
              </w:rPr>
              <w:t>生活污水中</w:t>
            </w:r>
            <w:r>
              <w:rPr>
                <w:rFonts w:hint="default" w:ascii="Times New Roman" w:hAnsi="Times New Roman" w:cs="Times New Roman"/>
                <w:color w:val="auto"/>
                <w:kern w:val="0"/>
                <w:szCs w:val="21"/>
                <w:lang w:val="en-US" w:eastAsia="zh-CN"/>
              </w:rPr>
              <w:t>如厕利用砖厂原有旱厕，旱厕定时清掏，清掏物用于周边农田施肥，洗漱废水用于厂区泼洒抑尘。</w:t>
            </w:r>
          </w:p>
        </w:tc>
        <w:tc>
          <w:tcPr>
            <w:tcW w:w="361" w:type="pct"/>
            <w:vAlign w:val="center"/>
          </w:tcPr>
          <w:p w14:paraId="5CF21453">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11B6522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926" w:type="pct"/>
            <w:tcBorders>
              <w:right w:val="single" w:color="auto" w:sz="4" w:space="0"/>
            </w:tcBorders>
            <w:vAlign w:val="center"/>
          </w:tcPr>
          <w:p w14:paraId="2E9989CF">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0" w:firstLineChars="0"/>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《中卫市生态环境保护“十四五”规划》</w:t>
            </w:r>
          </w:p>
        </w:tc>
        <w:tc>
          <w:tcPr>
            <w:tcW w:w="2128" w:type="pct"/>
            <w:tcBorders>
              <w:left w:val="single" w:color="auto" w:sz="4" w:space="0"/>
            </w:tcBorders>
            <w:vAlign w:val="center"/>
          </w:tcPr>
          <w:p w14:paraId="70DB0E7C">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严格建设项目环境准入。落实“生态保护红线、环境质量底线、资源利用上线和生态环境准入清单”和工业园区规划环评约束，所有新、改、扩建项目严格执行《产业结构调整指导目录》，严禁引进淘汰类和限制类工艺产品。所有工业企业原则上一律入园，工业园区（集聚区）以外不再新建、扩建工业项目。</w:t>
            </w:r>
          </w:p>
        </w:tc>
        <w:tc>
          <w:tcPr>
            <w:tcW w:w="1583" w:type="pct"/>
            <w:vAlign w:val="center"/>
          </w:tcPr>
          <w:p w14:paraId="2E6BC7D9">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本项目位于宁夏回族自治区中卫市沙坡头区常乐镇枣林村，项目建设符合生态保护红线、环境质量底线、资源利用上线和生态环境准入清单”以及工业园区规划环评约束要求；根据《产业结构调整指导目录（2024年本）》，本项目属于允许建设项目；符合建设项目环境准入要求。</w:t>
            </w:r>
          </w:p>
        </w:tc>
        <w:tc>
          <w:tcPr>
            <w:tcW w:w="361" w:type="pct"/>
            <w:vAlign w:val="center"/>
          </w:tcPr>
          <w:p w14:paraId="0B5FF472">
            <w:pPr>
              <w:tabs>
                <w:tab w:val="left" w:pos="4767"/>
              </w:tabs>
              <w:autoSpaceDE w:val="0"/>
              <w:autoSpaceDN w:val="0"/>
              <w:spacing w:line="0" w:lineRule="atLeast"/>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21CD2E8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926" w:type="pct"/>
            <w:tcBorders>
              <w:right w:val="single" w:color="auto" w:sz="4" w:space="0"/>
            </w:tcBorders>
            <w:vAlign w:val="center"/>
          </w:tcPr>
          <w:p w14:paraId="3243D613">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0" w:firstLineChars="0"/>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《预拌混凝土绿色生产及管理技术规程》</w:t>
            </w:r>
          </w:p>
        </w:tc>
        <w:tc>
          <w:tcPr>
            <w:tcW w:w="2128" w:type="pct"/>
            <w:tcBorders>
              <w:left w:val="single" w:color="auto" w:sz="4" w:space="0"/>
            </w:tcBorders>
            <w:vAlign w:val="center"/>
          </w:tcPr>
          <w:p w14:paraId="2DDB76EC">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该规程对预拌混凝土（及类似建材制品）的厂区建设、设备设施、生产控制、污染控制、监测管理等提出了绿色生产要求，强调对粉尘、噪声、废水、固废等的有效防治。</w:t>
            </w:r>
          </w:p>
        </w:tc>
        <w:tc>
          <w:tcPr>
            <w:tcW w:w="1583" w:type="pct"/>
            <w:vAlign w:val="center"/>
          </w:tcPr>
          <w:p w14:paraId="7C68E354">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本项目为沥青混凝土生产项目，性质类似。厂区对料仓、搅拌楼等进行全封闭，废气经布袋除尘、水喷淋+低温等离子等高效净化设施处理后达标排放；生产废水经沉淀池处理后全部回用于洒水抑尘，生活污水经旱厕处置；厂区地面进行硬化防渗；选用低噪声设备并采取隔声减振措施；固废分类妥善处置。其建设与运行管理模式符合绿色生产、清洁生产及污染防治要求。</w:t>
            </w:r>
          </w:p>
        </w:tc>
        <w:tc>
          <w:tcPr>
            <w:tcW w:w="361" w:type="pct"/>
            <w:vAlign w:val="center"/>
          </w:tcPr>
          <w:p w14:paraId="7C9C30B5">
            <w:pPr>
              <w:tabs>
                <w:tab w:val="left" w:pos="4767"/>
              </w:tabs>
              <w:autoSpaceDE w:val="0"/>
              <w:autoSpaceDN w:val="0"/>
              <w:spacing w:line="0" w:lineRule="atLeast"/>
              <w:contextualSpacing/>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r w14:paraId="166E8F0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926" w:type="pct"/>
            <w:tcBorders>
              <w:right w:val="single" w:color="auto" w:sz="4" w:space="0"/>
            </w:tcBorders>
            <w:vAlign w:val="center"/>
          </w:tcPr>
          <w:p w14:paraId="5DDD135E">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0" w:firstLineChars="0"/>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《宁夏回族自治区预拌商品混凝土管理办法》（宁建发[2011]142号）</w:t>
            </w:r>
          </w:p>
        </w:tc>
        <w:tc>
          <w:tcPr>
            <w:tcW w:w="2128" w:type="pct"/>
            <w:tcBorders>
              <w:left w:val="single" w:color="auto" w:sz="4" w:space="0"/>
            </w:tcBorders>
            <w:vAlign w:val="center"/>
          </w:tcPr>
          <w:p w14:paraId="0E0D8552">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该办法旨在规范预拌商品混凝土的生产、运输和使用，保证工程质量，其中涉及对生产企业资质、质量管理、环境保护等方面的要求。</w:t>
            </w:r>
          </w:p>
        </w:tc>
        <w:tc>
          <w:tcPr>
            <w:tcW w:w="1583" w:type="pct"/>
            <w:vAlign w:val="center"/>
          </w:tcPr>
          <w:p w14:paraId="796AAB80">
            <w:pPr>
              <w:keepNext w:val="0"/>
              <w:keepLines w:val="0"/>
              <w:pageBreakBefore w:val="0"/>
              <w:widowControl w:val="0"/>
              <w:tabs>
                <w:tab w:val="left" w:pos="4767"/>
              </w:tabs>
              <w:kinsoku/>
              <w:wordWrap/>
              <w:overflowPunct/>
              <w:topLinePunct w:val="0"/>
              <w:autoSpaceDE w:val="0"/>
              <w:autoSpaceDN w:val="0"/>
              <w:bidi w:val="0"/>
              <w:adjustRightInd/>
              <w:snapToGrid/>
              <w:spacing w:line="0" w:lineRule="atLeast"/>
              <w:ind w:firstLine="420" w:firstLineChars="200"/>
              <w:contextualSpacing/>
              <w:jc w:val="both"/>
              <w:textAlignment w:val="auto"/>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本项目是服务于特定公路工程（国道629线A2标段）的临时性配套沥青拌合站，其产品全部用于该工程建设，不对外销售。项目在临时用地内建设，履行了环境影响评价程序，对生产过程中的质量控制和环境保护（废气、废水、噪声、固废防治）制定了严格的技术方案和管理措施，确保工程所需沥青混凝土质量及生产活动符合环保要求。其作为重点工程的配套临时设施，其定位和管理目标与该办法规范商品混凝土行业、保障工程质量和环境的要求一致。</w:t>
            </w:r>
          </w:p>
        </w:tc>
        <w:tc>
          <w:tcPr>
            <w:tcW w:w="361" w:type="pct"/>
            <w:vAlign w:val="center"/>
          </w:tcPr>
          <w:p w14:paraId="4137D126">
            <w:pPr>
              <w:tabs>
                <w:tab w:val="left" w:pos="4767"/>
              </w:tabs>
              <w:autoSpaceDE w:val="0"/>
              <w:autoSpaceDN w:val="0"/>
              <w:spacing w:line="0" w:lineRule="atLeast"/>
              <w:contextualSpacing/>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符合</w:t>
            </w:r>
          </w:p>
        </w:tc>
      </w:tr>
    </w:tbl>
    <w:p w14:paraId="601EB964">
      <w:pPr>
        <w:tabs>
          <w:tab w:val="left" w:pos="4767"/>
        </w:tabs>
        <w:rPr>
          <w:rFonts w:hint="default" w:ascii="Times New Roman" w:hAnsi="Times New Roman" w:cs="Times New Roman"/>
          <w:color w:val="auto"/>
        </w:rPr>
        <w:sectPr>
          <w:pgSz w:w="16838" w:h="11905" w:orient="landscape"/>
          <w:pgMar w:top="1418" w:right="1418" w:bottom="1418" w:left="1418" w:header="851" w:footer="964" w:gutter="0"/>
          <w:pgBorders>
            <w:top w:val="none" w:sz="0" w:space="0"/>
            <w:left w:val="none" w:sz="0" w:space="0"/>
            <w:bottom w:val="none" w:sz="0" w:space="0"/>
            <w:right w:val="none" w:sz="0" w:space="0"/>
          </w:pgBorders>
          <w:pgNumType w:fmt="decimal"/>
          <w:cols w:space="0" w:num="1"/>
          <w:docGrid w:type="lines" w:linePitch="466" w:charSpace="3482"/>
        </w:sectPr>
      </w:pPr>
    </w:p>
    <w:p w14:paraId="108A8FCC">
      <w:pPr>
        <w:tabs>
          <w:tab w:val="left" w:pos="4767"/>
        </w:tabs>
        <w:spacing w:before="240" w:after="60"/>
        <w:jc w:val="center"/>
        <w:outlineLvl w:val="0"/>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二、建设项目工程分析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8713"/>
      </w:tblGrid>
      <w:tr w14:paraId="3F94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09" w:type="pct"/>
            <w:vAlign w:val="center"/>
          </w:tcPr>
          <w:p w14:paraId="2EBB2D33">
            <w:pPr>
              <w:tabs>
                <w:tab w:val="left" w:pos="4767"/>
              </w:tabs>
              <w:spacing w:line="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建设内容</w:t>
            </w:r>
          </w:p>
        </w:tc>
        <w:tc>
          <w:tcPr>
            <w:tcW w:w="4690" w:type="pct"/>
          </w:tcPr>
          <w:p w14:paraId="53402398">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1、建设背景</w:t>
            </w:r>
          </w:p>
          <w:p w14:paraId="377E373A">
            <w:pPr>
              <w:tabs>
                <w:tab w:val="left" w:pos="4767"/>
              </w:tabs>
              <w:ind w:firstLine="514" w:firstLineChars="200"/>
              <w:rPr>
                <w:rFonts w:hint="default" w:ascii="Times New Roman" w:hAnsi="Times New Roman" w:cs="Times New Roman"/>
                <w:color w:val="auto"/>
                <w:sz w:val="24"/>
              </w:rPr>
            </w:pPr>
            <w:r>
              <w:rPr>
                <w:rFonts w:hint="eastAsia" w:cs="Times New Roman"/>
                <w:color w:val="auto"/>
                <w:sz w:val="24"/>
                <w:lang w:val="en-US" w:eastAsia="zh-CN"/>
              </w:rPr>
              <w:t>项目场地为原砖厂建设场地，目前砖厂已停产，砖厂车间均已拆除，本项目</w:t>
            </w:r>
            <w:r>
              <w:rPr>
                <w:rFonts w:hint="default" w:ascii="Times New Roman" w:hAnsi="Times New Roman" w:cs="Times New Roman"/>
                <w:color w:val="auto"/>
                <w:sz w:val="24"/>
                <w:lang w:val="en-US" w:eastAsia="zh-CN"/>
              </w:rPr>
              <w:t>自2025年10月至2028年10月为国道629线中卫至下小河段公路建设中配套的临时沥青拌合站</w:t>
            </w:r>
            <w:r>
              <w:rPr>
                <w:rFonts w:hint="eastAsia" w:cs="Times New Roman"/>
                <w:color w:val="auto"/>
                <w:sz w:val="24"/>
                <w:lang w:val="en-US" w:eastAsia="zh-CN"/>
              </w:rPr>
              <w:t>，为临时工程，运营期为3年，国道629线中卫至下小河段公路建设完成后本项目无条件拆除，</w:t>
            </w:r>
            <w:r>
              <w:rPr>
                <w:rFonts w:hint="default" w:ascii="Times New Roman" w:hAnsi="Times New Roman" w:cs="Times New Roman"/>
                <w:color w:val="auto"/>
                <w:sz w:val="24"/>
                <w:lang w:val="en-US" w:eastAsia="zh-CN"/>
              </w:rPr>
              <w:t>所有产品只用于国道629线中卫至下小河段公路建设，不外售。</w:t>
            </w:r>
          </w:p>
          <w:p w14:paraId="762F85EC">
            <w:pPr>
              <w:tabs>
                <w:tab w:val="left" w:pos="4767"/>
              </w:tabs>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2、项目组成</w:t>
            </w:r>
          </w:p>
          <w:p w14:paraId="4AC4BDED">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eastAsiaTheme="minorEastAsia"/>
                <w:color w:val="auto"/>
                <w:sz w:val="24"/>
              </w:rPr>
              <w:t>本项目组成情况见表2-1。</w:t>
            </w:r>
          </w:p>
          <w:p w14:paraId="3A5CE7B6">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表2-1  本项目组成情况表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72"/>
              <w:gridCol w:w="1273"/>
              <w:gridCol w:w="5312"/>
              <w:gridCol w:w="1137"/>
            </w:tblGrid>
            <w:tr w14:paraId="288579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5" w:type="pct"/>
                  <w:vAlign w:val="center"/>
                </w:tcPr>
                <w:p w14:paraId="1931FB13">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项目</w:t>
                  </w:r>
                </w:p>
                <w:p w14:paraId="2D79C618">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组成</w:t>
                  </w:r>
                </w:p>
              </w:tc>
              <w:tc>
                <w:tcPr>
                  <w:tcW w:w="3875" w:type="pct"/>
                  <w:gridSpan w:val="2"/>
                  <w:tcBorders>
                    <w:right w:val="single" w:color="auto" w:sz="4" w:space="0"/>
                  </w:tcBorders>
                  <w:vAlign w:val="center"/>
                </w:tcPr>
                <w:p w14:paraId="33B1576B">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建设内容</w:t>
                  </w:r>
                </w:p>
              </w:tc>
              <w:tc>
                <w:tcPr>
                  <w:tcW w:w="669" w:type="pct"/>
                  <w:tcBorders>
                    <w:left w:val="single" w:color="auto" w:sz="4" w:space="0"/>
                  </w:tcBorders>
                  <w:vAlign w:val="center"/>
                </w:tcPr>
                <w:p w14:paraId="35736F66">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备注</w:t>
                  </w:r>
                </w:p>
              </w:tc>
            </w:tr>
            <w:tr w14:paraId="3D50D1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5" w:hRule="atLeast"/>
                <w:jc w:val="center"/>
              </w:trPr>
              <w:tc>
                <w:tcPr>
                  <w:tcW w:w="455" w:type="pct"/>
                  <w:vMerge w:val="restart"/>
                  <w:vAlign w:val="center"/>
                </w:tcPr>
                <w:p w14:paraId="23929DA8">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主体工程</w:t>
                  </w:r>
                </w:p>
              </w:tc>
              <w:tc>
                <w:tcPr>
                  <w:tcW w:w="749" w:type="pct"/>
                  <w:vAlign w:val="center"/>
                </w:tcPr>
                <w:p w14:paraId="6FF5C588">
                  <w:pPr>
                    <w:pStyle w:val="45"/>
                    <w:tabs>
                      <w:tab w:val="left" w:pos="4767"/>
                    </w:tabs>
                    <w:snapToGrid/>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搅拌主楼</w:t>
                  </w:r>
                </w:p>
              </w:tc>
              <w:tc>
                <w:tcPr>
                  <w:tcW w:w="3125" w:type="pct"/>
                  <w:tcBorders>
                    <w:right w:val="single" w:color="auto" w:sz="4" w:space="0"/>
                  </w:tcBorders>
                  <w:vAlign w:val="center"/>
                </w:tcPr>
                <w:p w14:paraId="6AF17ACE">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栋，高度25.7m，内设1条沥青混凝土生产线，配套矿石提升机、振动筛、热矿石仓、计量搅拌系统、搅拌主机、主楼配套件、成套主楼框架等设施，将沥青、矿石、矿粉等原料按照一定的比例在搅拌主机中进行搅拌成品。</w:t>
                  </w:r>
                </w:p>
              </w:tc>
              <w:tc>
                <w:tcPr>
                  <w:tcW w:w="669" w:type="pct"/>
                  <w:tcBorders>
                    <w:left w:val="single" w:color="auto" w:sz="4" w:space="0"/>
                  </w:tcBorders>
                  <w:vAlign w:val="center"/>
                </w:tcPr>
                <w:p w14:paraId="4D01135E">
                  <w:pPr>
                    <w:pStyle w:val="45"/>
                    <w:tabs>
                      <w:tab w:val="left" w:pos="4767"/>
                    </w:tabs>
                    <w:snapToGrid/>
                    <w:spacing w:line="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新建</w:t>
                  </w:r>
                </w:p>
              </w:tc>
            </w:tr>
            <w:tr w14:paraId="5BA040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455" w:type="pct"/>
                  <w:vMerge w:val="continue"/>
                  <w:vAlign w:val="center"/>
                </w:tcPr>
                <w:p w14:paraId="35289164">
                  <w:pPr>
                    <w:pStyle w:val="45"/>
                    <w:tabs>
                      <w:tab w:val="left" w:pos="4767"/>
                    </w:tabs>
                    <w:snapToGrid/>
                    <w:spacing w:line="0" w:lineRule="atLeast"/>
                    <w:jc w:val="center"/>
                    <w:rPr>
                      <w:rFonts w:hint="default" w:ascii="Times New Roman" w:hAnsi="Times New Roman" w:cs="Times New Roman"/>
                      <w:color w:val="auto"/>
                    </w:rPr>
                  </w:pPr>
                </w:p>
              </w:tc>
              <w:tc>
                <w:tcPr>
                  <w:tcW w:w="749" w:type="pct"/>
                  <w:vAlign w:val="center"/>
                </w:tcPr>
                <w:p w14:paraId="2B605722">
                  <w:pPr>
                    <w:pStyle w:val="45"/>
                    <w:tabs>
                      <w:tab w:val="left" w:pos="4767"/>
                    </w:tabs>
                    <w:snapToGrid/>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冷料供给</w:t>
                  </w:r>
                </w:p>
              </w:tc>
              <w:tc>
                <w:tcPr>
                  <w:tcW w:w="3125" w:type="pct"/>
                  <w:tcBorders>
                    <w:right w:val="single" w:color="auto" w:sz="4" w:space="0"/>
                  </w:tcBorders>
                  <w:vAlign w:val="center"/>
                </w:tcPr>
                <w:p w14:paraId="1E226B4A">
                  <w:pPr>
                    <w:pStyle w:val="45"/>
                    <w:tabs>
                      <w:tab w:val="left" w:pos="4767"/>
                    </w:tabs>
                    <w:snapToGrid/>
                    <w:spacing w:line="0" w:lineRule="atLeast"/>
                    <w:ind w:firstLine="454"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含冷料仓、集料皮带机、上料皮带机等，主要储存冷矿石及输送冷矿石至烘干滚筒进行预热，在冷料斗上风设置吸风罩且输送皮带均处于密封状态。</w:t>
                  </w:r>
                </w:p>
              </w:tc>
              <w:tc>
                <w:tcPr>
                  <w:tcW w:w="669" w:type="pct"/>
                  <w:tcBorders>
                    <w:left w:val="single" w:color="auto" w:sz="4" w:space="0"/>
                  </w:tcBorders>
                  <w:vAlign w:val="center"/>
                </w:tcPr>
                <w:p w14:paraId="5DC8BC3A">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新建</w:t>
                  </w:r>
                </w:p>
              </w:tc>
            </w:tr>
            <w:tr w14:paraId="4E8163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5" w:hRule="atLeast"/>
                <w:jc w:val="center"/>
              </w:trPr>
              <w:tc>
                <w:tcPr>
                  <w:tcW w:w="455" w:type="pct"/>
                  <w:vMerge w:val="continue"/>
                  <w:vAlign w:val="center"/>
                </w:tcPr>
                <w:p w14:paraId="7675F51C">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4BEF8217">
                  <w:pPr>
                    <w:pStyle w:val="45"/>
                    <w:tabs>
                      <w:tab w:val="left" w:pos="4767"/>
                    </w:tabs>
                    <w:snapToGrid/>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矿石加热</w:t>
                  </w:r>
                </w:p>
              </w:tc>
              <w:tc>
                <w:tcPr>
                  <w:tcW w:w="3125" w:type="pct"/>
                  <w:tcBorders>
                    <w:right w:val="single" w:color="auto" w:sz="4" w:space="0"/>
                  </w:tcBorders>
                  <w:vAlign w:val="center"/>
                </w:tcPr>
                <w:p w14:paraId="152FA4F9">
                  <w:pPr>
                    <w:pStyle w:val="45"/>
                    <w:tabs>
                      <w:tab w:val="left" w:pos="4767"/>
                    </w:tabs>
                    <w:snapToGrid/>
                    <w:spacing w:line="0" w:lineRule="atLeast"/>
                    <w:ind w:firstLine="454"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含烘干滚筒、燃烧器，冷矿石在烘干滚筒内通过燃烧器燃烧天然气预热处理。</w:t>
                  </w:r>
                </w:p>
              </w:tc>
              <w:tc>
                <w:tcPr>
                  <w:tcW w:w="669" w:type="pct"/>
                  <w:tcBorders>
                    <w:left w:val="single" w:color="auto" w:sz="4" w:space="0"/>
                  </w:tcBorders>
                  <w:vAlign w:val="center"/>
                </w:tcPr>
                <w:p w14:paraId="1F886E2F">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新建</w:t>
                  </w:r>
                </w:p>
              </w:tc>
            </w:tr>
            <w:tr w14:paraId="5A3610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5" w:hRule="atLeast"/>
                <w:jc w:val="center"/>
              </w:trPr>
              <w:tc>
                <w:tcPr>
                  <w:tcW w:w="455" w:type="pct"/>
                  <w:vMerge w:val="continue"/>
                  <w:vAlign w:val="center"/>
                </w:tcPr>
                <w:p w14:paraId="68169982">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27A01F91">
                  <w:pPr>
                    <w:pStyle w:val="45"/>
                    <w:tabs>
                      <w:tab w:val="left" w:pos="4767"/>
                    </w:tabs>
                    <w:snapToGrid/>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成品系统</w:t>
                  </w:r>
                </w:p>
              </w:tc>
              <w:tc>
                <w:tcPr>
                  <w:tcW w:w="3125" w:type="pct"/>
                  <w:tcBorders>
                    <w:right w:val="single" w:color="auto" w:sz="4" w:space="0"/>
                  </w:tcBorders>
                  <w:vAlign w:val="center"/>
                </w:tcPr>
                <w:p w14:paraId="3336F44A">
                  <w:pPr>
                    <w:pStyle w:val="45"/>
                    <w:tabs>
                      <w:tab w:val="left" w:pos="4767"/>
                    </w:tabs>
                    <w:snapToGrid/>
                    <w:spacing w:line="0" w:lineRule="atLeast"/>
                    <w:ind w:firstLine="454"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边生产边拉运，不在场内进行储存，采用专用的运输车运输成品沥青混凝土。</w:t>
                  </w:r>
                </w:p>
              </w:tc>
              <w:tc>
                <w:tcPr>
                  <w:tcW w:w="669" w:type="pct"/>
                  <w:tcBorders>
                    <w:left w:val="single" w:color="auto" w:sz="4" w:space="0"/>
                  </w:tcBorders>
                  <w:vAlign w:val="center"/>
                </w:tcPr>
                <w:p w14:paraId="5067C3AC">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新建</w:t>
                  </w:r>
                </w:p>
              </w:tc>
            </w:tr>
            <w:tr w14:paraId="4E3ACB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5" w:hRule="atLeast"/>
                <w:jc w:val="center"/>
              </w:trPr>
              <w:tc>
                <w:tcPr>
                  <w:tcW w:w="455" w:type="pct"/>
                  <w:vMerge w:val="continue"/>
                  <w:vAlign w:val="center"/>
                </w:tcPr>
                <w:p w14:paraId="1FADA64E">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436BDE5B">
                  <w:pPr>
                    <w:pStyle w:val="45"/>
                    <w:tabs>
                      <w:tab w:val="left" w:pos="4767"/>
                    </w:tabs>
                    <w:snapToGrid/>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输送系统</w:t>
                  </w:r>
                </w:p>
              </w:tc>
              <w:tc>
                <w:tcPr>
                  <w:tcW w:w="3125" w:type="pct"/>
                  <w:tcBorders>
                    <w:right w:val="single" w:color="auto" w:sz="4" w:space="0"/>
                  </w:tcBorders>
                  <w:vAlign w:val="center"/>
                </w:tcPr>
                <w:p w14:paraId="430A6FD8">
                  <w:pPr>
                    <w:pStyle w:val="45"/>
                    <w:tabs>
                      <w:tab w:val="left" w:pos="4767"/>
                    </w:tabs>
                    <w:snapToGrid/>
                    <w:spacing w:line="0" w:lineRule="atLeast"/>
                    <w:ind w:firstLine="454"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通过密闭的输送通道进行物料的输送。</w:t>
                  </w:r>
                </w:p>
              </w:tc>
              <w:tc>
                <w:tcPr>
                  <w:tcW w:w="669" w:type="pct"/>
                  <w:tcBorders>
                    <w:left w:val="single" w:color="auto" w:sz="4" w:space="0"/>
                  </w:tcBorders>
                  <w:vAlign w:val="center"/>
                </w:tcPr>
                <w:p w14:paraId="252B996E">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新建</w:t>
                  </w:r>
                </w:p>
              </w:tc>
            </w:tr>
            <w:tr w14:paraId="7F47F7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5" w:type="pct"/>
                  <w:vAlign w:val="center"/>
                </w:tcPr>
                <w:p w14:paraId="608582E4">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辅助工程</w:t>
                  </w:r>
                </w:p>
              </w:tc>
              <w:tc>
                <w:tcPr>
                  <w:tcW w:w="749" w:type="pct"/>
                  <w:vAlign w:val="center"/>
                </w:tcPr>
                <w:p w14:paraId="7CFB5A63">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办公用房</w:t>
                  </w:r>
                </w:p>
              </w:tc>
              <w:tc>
                <w:tcPr>
                  <w:tcW w:w="3125" w:type="pct"/>
                  <w:tcBorders>
                    <w:right w:val="single" w:color="auto" w:sz="4" w:space="0"/>
                  </w:tcBorders>
                  <w:vAlign w:val="center"/>
                </w:tcPr>
                <w:p w14:paraId="51C787F1">
                  <w:pPr>
                    <w:pStyle w:val="45"/>
                    <w:tabs>
                      <w:tab w:val="left" w:pos="4767"/>
                    </w:tabs>
                    <w:snapToGrid/>
                    <w:spacing w:line="0" w:lineRule="atLeast"/>
                    <w:ind w:firstLine="454" w:firstLineChars="200"/>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本项目于厂区北侧长53m，宽10m，占地530m²，包括12间砖房。</w:t>
                  </w:r>
                </w:p>
              </w:tc>
              <w:tc>
                <w:tcPr>
                  <w:tcW w:w="669" w:type="pct"/>
                  <w:tcBorders>
                    <w:left w:val="single" w:color="auto" w:sz="4" w:space="0"/>
                  </w:tcBorders>
                  <w:vAlign w:val="center"/>
                </w:tcPr>
                <w:p w14:paraId="6EB70BAE">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新建</w:t>
                  </w:r>
                </w:p>
              </w:tc>
            </w:tr>
            <w:tr w14:paraId="4A3296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5" w:type="pct"/>
                  <w:vMerge w:val="restart"/>
                  <w:vAlign w:val="center"/>
                </w:tcPr>
                <w:p w14:paraId="07008BFC">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公用工程</w:t>
                  </w:r>
                </w:p>
              </w:tc>
              <w:tc>
                <w:tcPr>
                  <w:tcW w:w="749" w:type="pct"/>
                  <w:vAlign w:val="center"/>
                </w:tcPr>
                <w:p w14:paraId="3B070083">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给水</w:t>
                  </w:r>
                </w:p>
              </w:tc>
              <w:tc>
                <w:tcPr>
                  <w:tcW w:w="3125" w:type="pct"/>
                  <w:tcBorders>
                    <w:right w:val="single" w:color="auto" w:sz="4" w:space="0"/>
                  </w:tcBorders>
                  <w:vAlign w:val="center"/>
                </w:tcPr>
                <w:p w14:paraId="16AB83C0">
                  <w:pPr>
                    <w:pStyle w:val="45"/>
                    <w:tabs>
                      <w:tab w:val="left" w:pos="4767"/>
                    </w:tabs>
                    <w:snapToGrid/>
                    <w:spacing w:line="0" w:lineRule="atLeast"/>
                    <w:ind w:firstLine="454" w:firstLineChars="200"/>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本项目用水由用水车定期拉运，总用水量为1316m³/a</w:t>
                  </w:r>
                  <w:r>
                    <w:rPr>
                      <w:rFonts w:hint="eastAsia" w:cs="Times New Roman"/>
                      <w:color w:val="auto"/>
                      <w:szCs w:val="21"/>
                      <w:lang w:val="en-US" w:eastAsia="zh-CN"/>
                    </w:rPr>
                    <w:t>，配置1个50</w:t>
                  </w:r>
                  <w:r>
                    <w:rPr>
                      <w:rFonts w:hint="default" w:ascii="Times New Roman" w:hAnsi="Times New Roman" w:cs="Times New Roman"/>
                      <w:color w:val="auto"/>
                      <w:szCs w:val="21"/>
                      <w:lang w:val="en-US" w:eastAsia="zh-CN"/>
                    </w:rPr>
                    <w:t>m³</w:t>
                  </w:r>
                  <w:r>
                    <w:rPr>
                      <w:rFonts w:hint="eastAsia" w:ascii="Times New Roman" w:hAnsi="Times New Roman" w:cs="Times New Roman"/>
                      <w:color w:val="auto"/>
                      <w:szCs w:val="21"/>
                      <w:lang w:val="en-US" w:eastAsia="zh-CN"/>
                    </w:rPr>
                    <w:t>的储水罐</w:t>
                  </w:r>
                  <w:r>
                    <w:rPr>
                      <w:rFonts w:hint="default" w:ascii="Times New Roman" w:hAnsi="Times New Roman" w:cs="Times New Roman"/>
                      <w:color w:val="auto"/>
                      <w:szCs w:val="21"/>
                      <w:lang w:val="en-US" w:eastAsia="zh-CN"/>
                    </w:rPr>
                    <w:t>。其中洒水抑尘用水量400m³/a、车辆冲洗用水量800m³/a、设备冲洗用水量4m³/a；职工生活用水量112m³/a。</w:t>
                  </w:r>
                </w:p>
              </w:tc>
              <w:tc>
                <w:tcPr>
                  <w:tcW w:w="669" w:type="pct"/>
                  <w:tcBorders>
                    <w:left w:val="single" w:color="auto" w:sz="4" w:space="0"/>
                  </w:tcBorders>
                  <w:vAlign w:val="center"/>
                </w:tcPr>
                <w:p w14:paraId="4CEA0E47">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新建</w:t>
                  </w:r>
                </w:p>
              </w:tc>
            </w:tr>
            <w:tr w14:paraId="01E719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5" w:type="pct"/>
                  <w:vMerge w:val="continue"/>
                  <w:vAlign w:val="center"/>
                </w:tcPr>
                <w:p w14:paraId="11B55B42">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757AB775">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排水</w:t>
                  </w:r>
                </w:p>
              </w:tc>
              <w:tc>
                <w:tcPr>
                  <w:tcW w:w="3125" w:type="pct"/>
                  <w:tcBorders>
                    <w:right w:val="single" w:color="auto" w:sz="4" w:space="0"/>
                  </w:tcBorders>
                  <w:vAlign w:val="center"/>
                </w:tcPr>
                <w:p w14:paraId="7FDD0474">
                  <w:pPr>
                    <w:pStyle w:val="45"/>
                    <w:tabs>
                      <w:tab w:val="left" w:pos="4767"/>
                    </w:tabs>
                    <w:snapToGrid/>
                    <w:spacing w:line="0" w:lineRule="atLeast"/>
                    <w:ind w:firstLine="454" w:firstLineChars="200"/>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本项目排水主要为生活污水、车辆冲洗废水以及设备清洗废水，车辆冲洗废水以及设备清洗废水通过沉淀池沉淀后用于厂区内洒水抑尘，生活污水中如厕利用砖厂原有旱厕，旱厕定时清掏，清掏物用于周边农田施肥，洗漱废水用于厂区泼洒抑尘</w:t>
                  </w:r>
                  <w:r>
                    <w:rPr>
                      <w:rFonts w:hint="default" w:ascii="Times New Roman" w:hAnsi="Times New Roman" w:cs="Times New Roman"/>
                      <w:color w:val="auto"/>
                      <w:szCs w:val="21"/>
                    </w:rPr>
                    <w:t>。</w:t>
                  </w:r>
                </w:p>
              </w:tc>
              <w:tc>
                <w:tcPr>
                  <w:tcW w:w="669" w:type="pct"/>
                  <w:tcBorders>
                    <w:left w:val="single" w:color="auto" w:sz="4" w:space="0"/>
                  </w:tcBorders>
                  <w:vAlign w:val="center"/>
                </w:tcPr>
                <w:p w14:paraId="5D00C735">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利用砖厂原有的旱厕</w:t>
                  </w:r>
                </w:p>
              </w:tc>
            </w:tr>
            <w:tr w14:paraId="5341F6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5" w:type="pct"/>
                  <w:vMerge w:val="continue"/>
                  <w:vAlign w:val="center"/>
                </w:tcPr>
                <w:p w14:paraId="19D721ED">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6D3D4C40">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供电</w:t>
                  </w:r>
                </w:p>
              </w:tc>
              <w:tc>
                <w:tcPr>
                  <w:tcW w:w="3125" w:type="pct"/>
                  <w:tcBorders>
                    <w:right w:val="single" w:color="auto" w:sz="4" w:space="0"/>
                  </w:tcBorders>
                  <w:vAlign w:val="center"/>
                </w:tcPr>
                <w:p w14:paraId="63A32B35">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本项目用电由枣林村的变电站配电柜接入。</w:t>
                  </w:r>
                </w:p>
              </w:tc>
              <w:tc>
                <w:tcPr>
                  <w:tcW w:w="669" w:type="pct"/>
                  <w:tcBorders>
                    <w:left w:val="single" w:color="auto" w:sz="4" w:space="0"/>
                  </w:tcBorders>
                  <w:vAlign w:val="center"/>
                </w:tcPr>
                <w:p w14:paraId="05BD891E">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新建</w:t>
                  </w:r>
                </w:p>
              </w:tc>
            </w:tr>
            <w:tr w14:paraId="6B8CA4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8" w:hRule="atLeast"/>
                <w:jc w:val="center"/>
              </w:trPr>
              <w:tc>
                <w:tcPr>
                  <w:tcW w:w="455" w:type="pct"/>
                  <w:vMerge w:val="continue"/>
                  <w:vAlign w:val="center"/>
                </w:tcPr>
                <w:p w14:paraId="24A7D074">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Merge w:val="restart"/>
                  <w:vAlign w:val="center"/>
                </w:tcPr>
                <w:p w14:paraId="54F4C203">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供暖</w:t>
                  </w:r>
                </w:p>
              </w:tc>
              <w:tc>
                <w:tcPr>
                  <w:tcW w:w="3125" w:type="pct"/>
                  <w:tcBorders>
                    <w:right w:val="single" w:color="auto" w:sz="4" w:space="0"/>
                  </w:tcBorders>
                  <w:vAlign w:val="center"/>
                </w:tcPr>
                <w:p w14:paraId="4CC3DF0E">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本项目冬季不生产，无需供暖。</w:t>
                  </w:r>
                </w:p>
              </w:tc>
              <w:tc>
                <w:tcPr>
                  <w:tcW w:w="669" w:type="pct"/>
                  <w:tcBorders>
                    <w:left w:val="single" w:color="auto" w:sz="4" w:space="0"/>
                  </w:tcBorders>
                  <w:vAlign w:val="center"/>
                </w:tcPr>
                <w:p w14:paraId="1151007E">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新建</w:t>
                  </w:r>
                </w:p>
              </w:tc>
            </w:tr>
            <w:tr w14:paraId="7C1E48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8" w:hRule="atLeast"/>
                <w:jc w:val="center"/>
              </w:trPr>
              <w:tc>
                <w:tcPr>
                  <w:tcW w:w="455" w:type="pct"/>
                  <w:vMerge w:val="continue"/>
                  <w:vAlign w:val="center"/>
                </w:tcPr>
                <w:p w14:paraId="0969C4D6">
                  <w:pPr>
                    <w:pStyle w:val="45"/>
                    <w:tabs>
                      <w:tab w:val="left" w:pos="4767"/>
                    </w:tabs>
                    <w:snapToGrid/>
                    <w:spacing w:line="0" w:lineRule="atLeast"/>
                    <w:jc w:val="center"/>
                    <w:rPr>
                      <w:rFonts w:hint="default" w:ascii="Times New Roman" w:hAnsi="Times New Roman" w:cs="Times New Roman"/>
                      <w:color w:val="auto"/>
                    </w:rPr>
                  </w:pPr>
                </w:p>
              </w:tc>
              <w:tc>
                <w:tcPr>
                  <w:tcW w:w="749" w:type="pct"/>
                  <w:vMerge w:val="continue"/>
                  <w:vAlign w:val="center"/>
                </w:tcPr>
                <w:p w14:paraId="5F898147">
                  <w:pPr>
                    <w:pStyle w:val="45"/>
                    <w:tabs>
                      <w:tab w:val="left" w:pos="4767"/>
                    </w:tabs>
                    <w:snapToGrid/>
                    <w:spacing w:line="0" w:lineRule="atLeast"/>
                    <w:jc w:val="center"/>
                    <w:rPr>
                      <w:rFonts w:hint="default" w:ascii="Times New Roman" w:hAnsi="Times New Roman" w:cs="Times New Roman"/>
                      <w:color w:val="auto"/>
                    </w:rPr>
                  </w:pPr>
                </w:p>
              </w:tc>
              <w:tc>
                <w:tcPr>
                  <w:tcW w:w="3125" w:type="pct"/>
                  <w:tcBorders>
                    <w:right w:val="single" w:color="auto" w:sz="4" w:space="0"/>
                  </w:tcBorders>
                  <w:vAlign w:val="center"/>
                </w:tcPr>
                <w:p w14:paraId="64932665">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本项目矿石、矿粉加热由热风炉燃烧器（以天然气为燃料）；沥青加热由1台低氮导热油炉（以天然气为燃料）供热。</w:t>
                  </w:r>
                </w:p>
              </w:tc>
              <w:tc>
                <w:tcPr>
                  <w:tcW w:w="669" w:type="pct"/>
                  <w:tcBorders>
                    <w:left w:val="single" w:color="auto" w:sz="4" w:space="0"/>
                  </w:tcBorders>
                  <w:vAlign w:val="center"/>
                </w:tcPr>
                <w:p w14:paraId="18CAA5D8">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新建</w:t>
                  </w:r>
                </w:p>
              </w:tc>
            </w:tr>
            <w:tr w14:paraId="15B312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455" w:type="pct"/>
                  <w:vMerge w:val="restart"/>
                  <w:vAlign w:val="center"/>
                </w:tcPr>
                <w:p w14:paraId="0D90EF8B">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储运工程</w:t>
                  </w:r>
                </w:p>
              </w:tc>
              <w:tc>
                <w:tcPr>
                  <w:tcW w:w="749" w:type="pct"/>
                  <w:vAlign w:val="center"/>
                </w:tcPr>
                <w:p w14:paraId="06905523">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矿石堆棚</w:t>
                  </w:r>
                </w:p>
              </w:tc>
              <w:tc>
                <w:tcPr>
                  <w:tcW w:w="3125" w:type="pct"/>
                  <w:tcBorders>
                    <w:right w:val="single" w:color="auto" w:sz="4" w:space="0"/>
                  </w:tcBorders>
                  <w:vAlign w:val="center"/>
                </w:tcPr>
                <w:p w14:paraId="691BCEF4">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用于</w:t>
                  </w:r>
                  <w:r>
                    <w:rPr>
                      <w:rFonts w:hint="default" w:ascii="Times New Roman" w:hAnsi="Times New Roman" w:eastAsia="宋体" w:cs="Times New Roman"/>
                      <w:color w:val="auto"/>
                      <w:szCs w:val="21"/>
                      <w:lang w:val="en-US" w:eastAsia="zh-CN"/>
                    </w:rPr>
                    <w:t>储存碎石，料仓分为5个，占地面积2400m²，全密闭钢结构厂房。</w:t>
                  </w:r>
                </w:p>
              </w:tc>
              <w:tc>
                <w:tcPr>
                  <w:tcW w:w="669" w:type="pct"/>
                  <w:tcBorders>
                    <w:left w:val="single" w:color="auto" w:sz="4" w:space="0"/>
                  </w:tcBorders>
                  <w:vAlign w:val="center"/>
                </w:tcPr>
                <w:p w14:paraId="6ADF5B01">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新建</w:t>
                  </w:r>
                </w:p>
              </w:tc>
            </w:tr>
            <w:tr w14:paraId="369CFA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455" w:type="pct"/>
                  <w:vMerge w:val="continue"/>
                  <w:vAlign w:val="center"/>
                </w:tcPr>
                <w:p w14:paraId="11DC69BF">
                  <w:pPr>
                    <w:pStyle w:val="45"/>
                    <w:tabs>
                      <w:tab w:val="left" w:pos="4767"/>
                    </w:tabs>
                    <w:snapToGrid/>
                    <w:spacing w:line="0" w:lineRule="atLeast"/>
                    <w:jc w:val="center"/>
                    <w:rPr>
                      <w:rFonts w:hint="default" w:ascii="Times New Roman" w:hAnsi="Times New Roman" w:cs="Times New Roman"/>
                      <w:color w:val="auto"/>
                    </w:rPr>
                  </w:pPr>
                </w:p>
              </w:tc>
              <w:tc>
                <w:tcPr>
                  <w:tcW w:w="749" w:type="pct"/>
                  <w:vAlign w:val="center"/>
                </w:tcPr>
                <w:p w14:paraId="4FD17DC8">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沥青罐</w:t>
                  </w:r>
                </w:p>
              </w:tc>
              <w:tc>
                <w:tcPr>
                  <w:tcW w:w="3125" w:type="pct"/>
                  <w:tcBorders>
                    <w:right w:val="single" w:color="auto" w:sz="4" w:space="0"/>
                  </w:tcBorders>
                  <w:vAlign w:val="center"/>
                </w:tcPr>
                <w:p w14:paraId="32D340BE">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容量为55.8m³的沥青储罐3个。</w:t>
                  </w:r>
                </w:p>
              </w:tc>
              <w:tc>
                <w:tcPr>
                  <w:tcW w:w="669" w:type="pct"/>
                  <w:tcBorders>
                    <w:left w:val="single" w:color="auto" w:sz="4" w:space="0"/>
                  </w:tcBorders>
                  <w:vAlign w:val="center"/>
                </w:tcPr>
                <w:p w14:paraId="6D677FC1">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新建</w:t>
                  </w:r>
                </w:p>
              </w:tc>
            </w:tr>
            <w:tr w14:paraId="580A76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455" w:type="pct"/>
                  <w:vMerge w:val="continue"/>
                  <w:vAlign w:val="center"/>
                </w:tcPr>
                <w:p w14:paraId="3F538B59">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0315BE16">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矿粉罐</w:t>
                  </w:r>
                </w:p>
              </w:tc>
              <w:tc>
                <w:tcPr>
                  <w:tcW w:w="3125" w:type="pct"/>
                  <w:tcBorders>
                    <w:right w:val="single" w:color="auto" w:sz="4" w:space="0"/>
                  </w:tcBorders>
                  <w:vAlign w:val="center"/>
                </w:tcPr>
                <w:p w14:paraId="742A02EB">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设置容积为39.5m³粉料罐1个，</w:t>
                  </w:r>
                  <w:r>
                    <w:rPr>
                      <w:rFonts w:hint="default" w:ascii="Times New Roman" w:hAnsi="Times New Roman" w:cs="Times New Roman"/>
                      <w:color w:val="auto"/>
                      <w:szCs w:val="21"/>
                      <w:lang w:val="en-US" w:eastAsia="zh-CN"/>
                    </w:rPr>
                    <w:t>用于</w:t>
                  </w:r>
                  <w:r>
                    <w:rPr>
                      <w:rFonts w:hint="default" w:ascii="Times New Roman" w:hAnsi="Times New Roman" w:eastAsia="宋体" w:cs="Times New Roman"/>
                      <w:color w:val="auto"/>
                      <w:szCs w:val="21"/>
                      <w:lang w:val="en-US" w:eastAsia="zh-CN"/>
                    </w:rPr>
                    <w:t>储存矿粉。</w:t>
                  </w:r>
                </w:p>
              </w:tc>
              <w:tc>
                <w:tcPr>
                  <w:tcW w:w="669" w:type="pct"/>
                  <w:tcBorders>
                    <w:left w:val="single" w:color="auto" w:sz="4" w:space="0"/>
                  </w:tcBorders>
                  <w:vAlign w:val="center"/>
                </w:tcPr>
                <w:p w14:paraId="0ABEE2AB">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新建</w:t>
                  </w:r>
                </w:p>
              </w:tc>
            </w:tr>
            <w:tr w14:paraId="700630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55" w:type="pct"/>
                  <w:vMerge w:val="continue"/>
                  <w:vAlign w:val="center"/>
                </w:tcPr>
                <w:p w14:paraId="247FC838">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5530D97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天然气</w:t>
                  </w:r>
                </w:p>
              </w:tc>
              <w:tc>
                <w:tcPr>
                  <w:tcW w:w="3125" w:type="pct"/>
                  <w:tcBorders>
                    <w:right w:val="single" w:color="auto" w:sz="4" w:space="0"/>
                  </w:tcBorders>
                  <w:vAlign w:val="center"/>
                </w:tcPr>
                <w:p w14:paraId="4E12C0BB">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设置天然气槽车1个，容积为52.6m³，密度按0.42t/m³计，最大存储量22t。</w:t>
                  </w:r>
                </w:p>
              </w:tc>
              <w:tc>
                <w:tcPr>
                  <w:tcW w:w="669" w:type="pct"/>
                  <w:tcBorders>
                    <w:left w:val="single" w:color="auto" w:sz="4" w:space="0"/>
                  </w:tcBorders>
                  <w:vAlign w:val="center"/>
                </w:tcPr>
                <w:p w14:paraId="4078A95D">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新建</w:t>
                  </w:r>
                </w:p>
              </w:tc>
            </w:tr>
            <w:tr w14:paraId="78740F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55" w:type="pct"/>
                  <w:vMerge w:val="restart"/>
                  <w:vAlign w:val="center"/>
                </w:tcPr>
                <w:p w14:paraId="049AB02E">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环保工程</w:t>
                  </w:r>
                </w:p>
              </w:tc>
              <w:tc>
                <w:tcPr>
                  <w:tcW w:w="749" w:type="pct"/>
                  <w:vMerge w:val="restart"/>
                  <w:vAlign w:val="center"/>
                </w:tcPr>
                <w:p w14:paraId="3D6578FA">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3125" w:type="pct"/>
                  <w:vAlign w:val="center"/>
                </w:tcPr>
                <w:p w14:paraId="3D9ACB87">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矿石加料及输送时会产生废气，主要污染物为颗粒物，本项目皮带输送为全封闭装置，建设单位在上料口上方安装1套负压式集气罩，对加料及输送废气进行收集，引入1#布袋除尘器处理后通过1根15m高排气筒(DA001)排放。</w:t>
                  </w:r>
                </w:p>
              </w:tc>
              <w:tc>
                <w:tcPr>
                  <w:tcW w:w="669" w:type="pct"/>
                  <w:tcBorders>
                    <w:right w:val="nil"/>
                  </w:tcBorders>
                  <w:vAlign w:val="center"/>
                </w:tcPr>
                <w:p w14:paraId="767EC5B8">
                  <w:pPr>
                    <w:pStyle w:val="45"/>
                    <w:tabs>
                      <w:tab w:val="left" w:pos="4767"/>
                    </w:tabs>
                    <w:snapToGrid/>
                    <w:spacing w:line="0" w:lineRule="atLeast"/>
                    <w:jc w:val="center"/>
                    <w:rPr>
                      <w:rFonts w:hint="default" w:ascii="Times New Roman" w:hAnsi="Times New Roman" w:cs="Times New Roman"/>
                      <w:color w:val="auto"/>
                    </w:rPr>
                  </w:pPr>
                  <w:r>
                    <w:rPr>
                      <w:rFonts w:hint="default" w:ascii="Times New Roman" w:hAnsi="Times New Roman" w:cs="Times New Roman"/>
                      <w:color w:val="auto"/>
                      <w:szCs w:val="21"/>
                      <w:lang w:val="en-US" w:eastAsia="zh-CN"/>
                    </w:rPr>
                    <w:t>新建</w:t>
                  </w:r>
                </w:p>
              </w:tc>
            </w:tr>
            <w:tr w14:paraId="3D2EBC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55" w:type="pct"/>
                  <w:vMerge w:val="continue"/>
                  <w:vAlign w:val="center"/>
                </w:tcPr>
                <w:p w14:paraId="17789610">
                  <w:pPr>
                    <w:pStyle w:val="45"/>
                    <w:tabs>
                      <w:tab w:val="left" w:pos="4767"/>
                    </w:tabs>
                    <w:snapToGrid/>
                    <w:spacing w:line="0" w:lineRule="atLeast"/>
                    <w:jc w:val="center"/>
                    <w:rPr>
                      <w:rFonts w:hint="default" w:ascii="Times New Roman" w:hAnsi="Times New Roman" w:cs="Times New Roman"/>
                      <w:color w:val="auto"/>
                    </w:rPr>
                  </w:pPr>
                </w:p>
              </w:tc>
              <w:tc>
                <w:tcPr>
                  <w:tcW w:w="749" w:type="pct"/>
                  <w:vMerge w:val="continue"/>
                  <w:vAlign w:val="center"/>
                </w:tcPr>
                <w:p w14:paraId="082198A4">
                  <w:pPr>
                    <w:pStyle w:val="45"/>
                    <w:tabs>
                      <w:tab w:val="left" w:pos="4767"/>
                    </w:tabs>
                    <w:snapToGrid/>
                    <w:spacing w:line="0" w:lineRule="atLeast"/>
                    <w:jc w:val="center"/>
                    <w:rPr>
                      <w:rFonts w:hint="default" w:ascii="Times New Roman" w:hAnsi="Times New Roman" w:cs="Times New Roman"/>
                      <w:color w:val="auto"/>
                    </w:rPr>
                  </w:pPr>
                </w:p>
              </w:tc>
              <w:tc>
                <w:tcPr>
                  <w:tcW w:w="3125" w:type="pct"/>
                  <w:vAlign w:val="center"/>
                </w:tcPr>
                <w:p w14:paraId="32EA497A">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①本项目矿石在烘干滚筒内翻滚烘干过程产生废气，主要污染物为颗粒物，燃烧器燃烧天然气会产生废气，主要污染物为颗粒物、二氧化硫及氮氧化物。本项目烘干筒天然气燃烧及烘干过程废气经水喷淋+低温等离子净化处理后通过1根15m高排气筒(DA002)排放。</w:t>
                  </w:r>
                </w:p>
                <w:p w14:paraId="7C2AAD81">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②本项目搅拌楼内振动筛分过程及矿粉加料过程会产生废气，主要污染物为颗粒物。本项目搅拌楼为全封闭结构，有较完备的废气收集系统，经收集后的废气废气经水喷淋+低温等离子净化处理后通过1根15m高排气</w:t>
                  </w:r>
                  <w:r>
                    <w:rPr>
                      <w:rFonts w:hint="default" w:ascii="Times New Roman" w:hAnsi="Times New Roman" w:cs="Times New Roman"/>
                      <w:color w:val="auto"/>
                      <w:szCs w:val="21"/>
                      <w:lang w:val="en-US" w:eastAsia="zh-CN"/>
                    </w:rPr>
                    <w:t>筒</w:t>
                  </w:r>
                  <w:r>
                    <w:rPr>
                      <w:rFonts w:hint="default" w:ascii="Times New Roman" w:hAnsi="Times New Roman" w:eastAsia="宋体" w:cs="Times New Roman"/>
                      <w:color w:val="auto"/>
                      <w:szCs w:val="21"/>
                      <w:lang w:val="en-US" w:eastAsia="zh-CN"/>
                    </w:rPr>
                    <w:t>(DA002)排放。</w:t>
                  </w:r>
                </w:p>
                <w:p w14:paraId="180F6A03">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③本项目沥青储罐、搅拌系统会产生度气，主要污染物为沥青烟气、苯并[a]芘。本项目沥青</w:t>
                  </w:r>
                  <w:r>
                    <w:rPr>
                      <w:rFonts w:hint="default" w:ascii="Times New Roman" w:hAnsi="Times New Roman" w:cs="Times New Roman"/>
                      <w:color w:val="auto"/>
                      <w:szCs w:val="21"/>
                      <w:lang w:val="en-US" w:eastAsia="zh-CN"/>
                    </w:rPr>
                    <w:t>储罐</w:t>
                  </w:r>
                  <w:r>
                    <w:rPr>
                      <w:rFonts w:hint="default" w:ascii="Times New Roman" w:hAnsi="Times New Roman" w:eastAsia="宋体" w:cs="Times New Roman"/>
                      <w:color w:val="auto"/>
                      <w:szCs w:val="21"/>
                      <w:lang w:val="en-US" w:eastAsia="zh-CN"/>
                    </w:rPr>
                    <w:t>为全密闭罐，沥青搅拌系统为密闭装置，产生的沥青烟由导气管道引至烘干滚</w:t>
                  </w:r>
                  <w:r>
                    <w:rPr>
                      <w:rFonts w:hint="default" w:ascii="Times New Roman" w:hAnsi="Times New Roman" w:cs="Times New Roman"/>
                      <w:color w:val="auto"/>
                      <w:szCs w:val="21"/>
                      <w:lang w:val="en-US" w:eastAsia="zh-CN"/>
                    </w:rPr>
                    <w:t>筒</w:t>
                  </w:r>
                  <w:r>
                    <w:rPr>
                      <w:rFonts w:hint="default" w:ascii="Times New Roman" w:hAnsi="Times New Roman" w:eastAsia="宋体" w:cs="Times New Roman"/>
                      <w:color w:val="auto"/>
                      <w:szCs w:val="21"/>
                      <w:lang w:val="en-US" w:eastAsia="zh-CN"/>
                    </w:rPr>
                    <w:t>燃烧室燃烧处理，经燃烧处理后的废气，再经水喷淋+低温等离子净化处理后通过1根15m高排气筒(DA002)排放。</w:t>
                  </w:r>
                </w:p>
              </w:tc>
              <w:tc>
                <w:tcPr>
                  <w:tcW w:w="669" w:type="pct"/>
                  <w:tcBorders>
                    <w:right w:val="nil"/>
                  </w:tcBorders>
                  <w:vAlign w:val="center"/>
                </w:tcPr>
                <w:p w14:paraId="2262A3B3">
                  <w:pPr>
                    <w:pStyle w:val="45"/>
                    <w:tabs>
                      <w:tab w:val="left" w:pos="4767"/>
                    </w:tabs>
                    <w:snapToGrid/>
                    <w:spacing w:line="0" w:lineRule="atLeast"/>
                    <w:jc w:val="center"/>
                    <w:rPr>
                      <w:rFonts w:hint="default" w:ascii="Times New Roman" w:hAnsi="Times New Roman" w:cs="Times New Roman"/>
                      <w:color w:val="auto"/>
                    </w:rPr>
                  </w:pPr>
                  <w:r>
                    <w:rPr>
                      <w:rFonts w:hint="default" w:ascii="Times New Roman" w:hAnsi="Times New Roman" w:cs="Times New Roman"/>
                      <w:color w:val="auto"/>
                      <w:szCs w:val="21"/>
                      <w:lang w:val="en-US" w:eastAsia="zh-CN"/>
                    </w:rPr>
                    <w:t>新建</w:t>
                  </w:r>
                </w:p>
              </w:tc>
            </w:tr>
            <w:tr w14:paraId="4751F5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55" w:type="pct"/>
                  <w:vMerge w:val="continue"/>
                  <w:vAlign w:val="center"/>
                </w:tcPr>
                <w:p w14:paraId="2667D6E1">
                  <w:pPr>
                    <w:pStyle w:val="45"/>
                    <w:tabs>
                      <w:tab w:val="left" w:pos="4767"/>
                    </w:tabs>
                    <w:snapToGrid/>
                    <w:spacing w:line="0" w:lineRule="atLeast"/>
                    <w:jc w:val="center"/>
                    <w:rPr>
                      <w:rFonts w:hint="default" w:ascii="Times New Roman" w:hAnsi="Times New Roman" w:cs="Times New Roman"/>
                      <w:color w:val="auto"/>
                    </w:rPr>
                  </w:pPr>
                </w:p>
              </w:tc>
              <w:tc>
                <w:tcPr>
                  <w:tcW w:w="749" w:type="pct"/>
                  <w:vMerge w:val="continue"/>
                  <w:vAlign w:val="center"/>
                </w:tcPr>
                <w:p w14:paraId="3B7711D4">
                  <w:pPr>
                    <w:pStyle w:val="45"/>
                    <w:tabs>
                      <w:tab w:val="left" w:pos="4767"/>
                    </w:tabs>
                    <w:snapToGrid/>
                    <w:spacing w:line="0" w:lineRule="atLeast"/>
                    <w:jc w:val="center"/>
                    <w:rPr>
                      <w:rFonts w:hint="default" w:ascii="Times New Roman" w:hAnsi="Times New Roman" w:cs="Times New Roman"/>
                      <w:color w:val="auto"/>
                    </w:rPr>
                  </w:pPr>
                </w:p>
              </w:tc>
              <w:tc>
                <w:tcPr>
                  <w:tcW w:w="3125" w:type="pct"/>
                  <w:vAlign w:val="center"/>
                </w:tcPr>
                <w:p w14:paraId="454E08DF">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本项目矿粉进入全密闭矿粉仓产生的粉尘经</w:t>
                  </w:r>
                  <w:r>
                    <w:rPr>
                      <w:rFonts w:hint="default" w:ascii="Times New Roman" w:hAnsi="Times New Roman" w:cs="Times New Roman"/>
                      <w:color w:val="auto"/>
                      <w:szCs w:val="21"/>
                      <w:lang w:val="en-US" w:eastAsia="zh-CN"/>
                    </w:rPr>
                    <w:t>2</w:t>
                  </w:r>
                  <w:r>
                    <w:rPr>
                      <w:rFonts w:hint="default" w:ascii="Times New Roman" w:hAnsi="Times New Roman" w:eastAsia="宋体" w:cs="Times New Roman"/>
                      <w:color w:val="auto"/>
                      <w:szCs w:val="21"/>
                      <w:lang w:val="en-US" w:eastAsia="zh-CN"/>
                    </w:rPr>
                    <w:t>#布袋除尘器处理后通过15m高的</w:t>
                  </w:r>
                  <w:r>
                    <w:rPr>
                      <w:rFonts w:hint="eastAsia" w:cs="Times New Roman"/>
                      <w:color w:val="auto"/>
                      <w:szCs w:val="21"/>
                      <w:lang w:val="en-US" w:eastAsia="zh-CN"/>
                    </w:rPr>
                    <w:t>排气筒</w:t>
                  </w:r>
                  <w:r>
                    <w:rPr>
                      <w:rFonts w:hint="default" w:ascii="Times New Roman" w:hAnsi="Times New Roman" w:eastAsia="宋体" w:cs="Times New Roman"/>
                      <w:color w:val="auto"/>
                      <w:szCs w:val="21"/>
                      <w:lang w:val="en-US" w:eastAsia="zh-CN"/>
                    </w:rPr>
                    <w:t>(DA002)达标排放。</w:t>
                  </w:r>
                </w:p>
              </w:tc>
              <w:tc>
                <w:tcPr>
                  <w:tcW w:w="669" w:type="pct"/>
                  <w:tcBorders>
                    <w:right w:val="nil"/>
                  </w:tcBorders>
                  <w:vAlign w:val="center"/>
                </w:tcPr>
                <w:p w14:paraId="70ABE663">
                  <w:pPr>
                    <w:pStyle w:val="45"/>
                    <w:tabs>
                      <w:tab w:val="left" w:pos="4767"/>
                    </w:tabs>
                    <w:snapToGrid/>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新建</w:t>
                  </w:r>
                </w:p>
              </w:tc>
            </w:tr>
            <w:tr w14:paraId="6D1EAC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455" w:type="pct"/>
                  <w:vMerge w:val="continue"/>
                  <w:vAlign w:val="center"/>
                </w:tcPr>
                <w:p w14:paraId="33C973D7">
                  <w:pPr>
                    <w:pStyle w:val="45"/>
                    <w:tabs>
                      <w:tab w:val="left" w:pos="4767"/>
                    </w:tabs>
                    <w:snapToGrid/>
                    <w:spacing w:line="0" w:lineRule="atLeast"/>
                    <w:jc w:val="center"/>
                    <w:rPr>
                      <w:rFonts w:hint="default" w:ascii="Times New Roman" w:hAnsi="Times New Roman" w:cs="Times New Roman"/>
                      <w:color w:val="auto"/>
                    </w:rPr>
                  </w:pPr>
                </w:p>
              </w:tc>
              <w:tc>
                <w:tcPr>
                  <w:tcW w:w="749" w:type="pct"/>
                  <w:vMerge w:val="continue"/>
                  <w:vAlign w:val="center"/>
                </w:tcPr>
                <w:p w14:paraId="7AEE7140">
                  <w:pPr>
                    <w:pStyle w:val="45"/>
                    <w:tabs>
                      <w:tab w:val="left" w:pos="4767"/>
                    </w:tabs>
                    <w:snapToGrid/>
                    <w:spacing w:line="0" w:lineRule="atLeast"/>
                    <w:jc w:val="center"/>
                    <w:rPr>
                      <w:rFonts w:hint="default" w:ascii="Times New Roman" w:hAnsi="Times New Roman" w:cs="Times New Roman"/>
                      <w:color w:val="auto"/>
                    </w:rPr>
                  </w:pPr>
                </w:p>
              </w:tc>
              <w:tc>
                <w:tcPr>
                  <w:tcW w:w="3125" w:type="pct"/>
                  <w:vAlign w:val="center"/>
                </w:tcPr>
                <w:p w14:paraId="2813827A">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本项目导热油炉燃料为天然气，天然气燃烧会产生废气，主要污染物为颗粒物、二氧化硫及氮氧化物。本项目导热油炉安装低氮燃烧装置，燃烧废气经1根15m高</w:t>
                  </w:r>
                  <w:r>
                    <w:rPr>
                      <w:rFonts w:hint="eastAsia" w:cs="Times New Roman"/>
                      <w:color w:val="auto"/>
                      <w:szCs w:val="21"/>
                      <w:lang w:val="en-US" w:eastAsia="zh-CN"/>
                    </w:rPr>
                    <w:t>排气筒</w:t>
                  </w:r>
                  <w:r>
                    <w:rPr>
                      <w:rFonts w:hint="default" w:ascii="Times New Roman" w:hAnsi="Times New Roman" w:eastAsia="宋体" w:cs="Times New Roman"/>
                      <w:color w:val="auto"/>
                      <w:szCs w:val="21"/>
                      <w:lang w:val="en-US" w:eastAsia="zh-CN"/>
                    </w:rPr>
                    <w:t>(DA003)排放。</w:t>
                  </w:r>
                </w:p>
              </w:tc>
              <w:tc>
                <w:tcPr>
                  <w:tcW w:w="669" w:type="pct"/>
                  <w:tcBorders>
                    <w:right w:val="nil"/>
                  </w:tcBorders>
                  <w:vAlign w:val="center"/>
                </w:tcPr>
                <w:p w14:paraId="0F81441C">
                  <w:pPr>
                    <w:pStyle w:val="45"/>
                    <w:tabs>
                      <w:tab w:val="left" w:pos="4767"/>
                    </w:tabs>
                    <w:snapToGrid/>
                    <w:spacing w:line="0" w:lineRule="atLeast"/>
                    <w:jc w:val="center"/>
                    <w:rPr>
                      <w:rFonts w:hint="default" w:ascii="Times New Roman" w:hAnsi="Times New Roman" w:cs="Times New Roman"/>
                      <w:color w:val="auto"/>
                    </w:rPr>
                  </w:pPr>
                  <w:r>
                    <w:rPr>
                      <w:rFonts w:hint="default" w:ascii="Times New Roman" w:hAnsi="Times New Roman" w:cs="Times New Roman"/>
                      <w:color w:val="auto"/>
                      <w:szCs w:val="21"/>
                      <w:lang w:val="en-US" w:eastAsia="zh-CN"/>
                    </w:rPr>
                    <w:t>新建</w:t>
                  </w:r>
                </w:p>
              </w:tc>
            </w:tr>
            <w:tr w14:paraId="02A426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588" w:hRule="atLeast"/>
                <w:jc w:val="center"/>
              </w:trPr>
              <w:tc>
                <w:tcPr>
                  <w:tcW w:w="455" w:type="pct"/>
                  <w:vMerge w:val="continue"/>
                  <w:vAlign w:val="center"/>
                </w:tcPr>
                <w:p w14:paraId="4CBC6729">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72CE7F4F">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废水</w:t>
                  </w:r>
                </w:p>
              </w:tc>
              <w:tc>
                <w:tcPr>
                  <w:tcW w:w="3125" w:type="pct"/>
                  <w:tcBorders>
                    <w:right w:val="single" w:color="auto" w:sz="4" w:space="0"/>
                  </w:tcBorders>
                  <w:vAlign w:val="center"/>
                </w:tcPr>
                <w:p w14:paraId="2982AD7C">
                  <w:pPr>
                    <w:pStyle w:val="45"/>
                    <w:tabs>
                      <w:tab w:val="left" w:pos="4767"/>
                    </w:tabs>
                    <w:snapToGrid/>
                    <w:spacing w:line="0" w:lineRule="atLeast"/>
                    <w:ind w:firstLine="454"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本项目职工如厕利用砖厂原有早厕，定期清掏，废水主要为车辆冲洗废水及设备冲洗废水。本项目设置1座车辆冲洗平台，配套建设1座容积为500m³沉淀池，车辆冲洗废水</w:t>
                  </w:r>
                  <w:r>
                    <w:rPr>
                      <w:rFonts w:hint="eastAsia" w:cs="Times New Roman"/>
                      <w:color w:val="auto"/>
                      <w:szCs w:val="21"/>
                      <w:lang w:val="en-US" w:eastAsia="zh-CN"/>
                    </w:rPr>
                    <w:t>及设备冲洗废水</w:t>
                  </w:r>
                  <w:r>
                    <w:rPr>
                      <w:rFonts w:hint="default" w:ascii="Times New Roman" w:hAnsi="Times New Roman" w:eastAsia="宋体" w:cs="Times New Roman"/>
                      <w:color w:val="auto"/>
                      <w:szCs w:val="21"/>
                      <w:lang w:val="en-US" w:eastAsia="zh-CN"/>
                    </w:rPr>
                    <w:t>收集于沉淀池沉淀后，用于厂区内洒水抑尘</w:t>
                  </w:r>
                  <w:r>
                    <w:rPr>
                      <w:rFonts w:hint="eastAsia" w:cs="Times New Roman"/>
                      <w:color w:val="auto"/>
                      <w:szCs w:val="21"/>
                      <w:lang w:val="en-US" w:eastAsia="zh-CN"/>
                    </w:rPr>
                    <w:t>、车辆冲洗及设备冲洗，</w:t>
                  </w:r>
                  <w:r>
                    <w:rPr>
                      <w:rFonts w:hint="default" w:ascii="Times New Roman" w:hAnsi="Times New Roman" w:eastAsia="宋体" w:cs="Times New Roman"/>
                      <w:color w:val="auto"/>
                      <w:szCs w:val="21"/>
                      <w:lang w:val="en-US" w:eastAsia="zh-CN"/>
                    </w:rPr>
                    <w:t>不外排。</w:t>
                  </w:r>
                </w:p>
              </w:tc>
              <w:tc>
                <w:tcPr>
                  <w:tcW w:w="669" w:type="pct"/>
                  <w:tcBorders>
                    <w:left w:val="single" w:color="auto" w:sz="4" w:space="0"/>
                  </w:tcBorders>
                  <w:vAlign w:val="center"/>
                </w:tcPr>
                <w:p w14:paraId="38157DA9">
                  <w:pPr>
                    <w:pStyle w:val="45"/>
                    <w:tabs>
                      <w:tab w:val="left" w:pos="4767"/>
                    </w:tabs>
                    <w:snapToGrid/>
                    <w:spacing w:line="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利用砖厂原有旱厕</w:t>
                  </w:r>
                </w:p>
              </w:tc>
            </w:tr>
            <w:tr w14:paraId="287479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455" w:type="pct"/>
                  <w:vMerge w:val="continue"/>
                  <w:vAlign w:val="center"/>
                </w:tcPr>
                <w:p w14:paraId="6E65432D">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3DCF1747">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3125" w:type="pct"/>
                  <w:tcBorders>
                    <w:right w:val="single" w:color="auto" w:sz="4" w:space="0"/>
                  </w:tcBorders>
                  <w:vAlign w:val="center"/>
                </w:tcPr>
                <w:p w14:paraId="01516D3D">
                  <w:pPr>
                    <w:pStyle w:val="45"/>
                    <w:tabs>
                      <w:tab w:val="left" w:pos="4767"/>
                    </w:tabs>
                    <w:snapToGrid/>
                    <w:spacing w:line="0" w:lineRule="atLeast"/>
                    <w:ind w:firstLine="454" w:firstLineChars="200"/>
                    <w:rPr>
                      <w:rFonts w:hint="default" w:ascii="Times New Roman" w:hAnsi="Times New Roman" w:cs="Times New Roman"/>
                      <w:color w:val="auto"/>
                      <w:szCs w:val="21"/>
                    </w:rPr>
                  </w:pPr>
                  <w:r>
                    <w:rPr>
                      <w:rFonts w:hint="default" w:ascii="Times New Roman" w:hAnsi="Times New Roman" w:cs="Times New Roman"/>
                      <w:color w:val="auto"/>
                      <w:szCs w:val="21"/>
                    </w:rPr>
                    <w:t>生活垃圾集中后交由当地环卫部门处理</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导热油</w:t>
                  </w:r>
                  <w:r>
                    <w:rPr>
                      <w:rFonts w:hint="eastAsia" w:cs="Times New Roman"/>
                      <w:color w:val="auto"/>
                      <w:szCs w:val="21"/>
                      <w:lang w:val="en-US" w:eastAsia="zh-CN"/>
                    </w:rPr>
                    <w:t>5年更换一次，更换完的废导热油委托有资质的单位处置，厂内不暂存</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除尘装置收集的粉尘回用于生产</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滴漏的沥青及拌和残渣收集后回用于生产，不合格的废石料由厂家回收带回。</w:t>
                  </w:r>
                </w:p>
              </w:tc>
              <w:tc>
                <w:tcPr>
                  <w:tcW w:w="669" w:type="pct"/>
                  <w:tcBorders>
                    <w:left w:val="single" w:color="auto" w:sz="4" w:space="0"/>
                  </w:tcBorders>
                  <w:vAlign w:val="center"/>
                </w:tcPr>
                <w:p w14:paraId="2BD86A58">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新建</w:t>
                  </w:r>
                </w:p>
              </w:tc>
            </w:tr>
            <w:tr w14:paraId="50A8EF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5" w:type="pct"/>
                  <w:vMerge w:val="continue"/>
                  <w:vAlign w:val="center"/>
                </w:tcPr>
                <w:p w14:paraId="4A841337">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47E20291">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3125" w:type="pct"/>
                  <w:tcBorders>
                    <w:right w:val="single" w:color="auto" w:sz="4" w:space="0"/>
                  </w:tcBorders>
                  <w:vAlign w:val="center"/>
                </w:tcPr>
                <w:p w14:paraId="4489497F">
                  <w:pPr>
                    <w:pStyle w:val="45"/>
                    <w:tabs>
                      <w:tab w:val="left" w:pos="4767"/>
                    </w:tabs>
                    <w:snapToGrid/>
                    <w:spacing w:line="0" w:lineRule="atLeast"/>
                    <w:ind w:firstLine="454" w:firstLineChars="200"/>
                    <w:rPr>
                      <w:rFonts w:hint="default" w:ascii="Times New Roman" w:hAnsi="Times New Roman" w:cs="Times New Roman"/>
                      <w:color w:val="auto"/>
                      <w:szCs w:val="21"/>
                    </w:rPr>
                  </w:pPr>
                  <w:r>
                    <w:rPr>
                      <w:rFonts w:hint="default" w:ascii="Times New Roman" w:hAnsi="Times New Roman" w:cs="Times New Roman"/>
                      <w:color w:val="auto"/>
                      <w:szCs w:val="21"/>
                    </w:rPr>
                    <w:t>设备采取隔音、减震等措施。</w:t>
                  </w:r>
                </w:p>
              </w:tc>
              <w:tc>
                <w:tcPr>
                  <w:tcW w:w="669" w:type="pct"/>
                  <w:tcBorders>
                    <w:left w:val="single" w:color="auto" w:sz="4" w:space="0"/>
                  </w:tcBorders>
                  <w:vAlign w:val="center"/>
                </w:tcPr>
                <w:p w14:paraId="61D5584A">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新建</w:t>
                  </w:r>
                </w:p>
              </w:tc>
            </w:tr>
            <w:tr w14:paraId="4AF085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5" w:type="pct"/>
                  <w:vMerge w:val="continue"/>
                  <w:vAlign w:val="center"/>
                </w:tcPr>
                <w:p w14:paraId="626DBA35">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61CE7DE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防渗</w:t>
                  </w:r>
                </w:p>
              </w:tc>
              <w:tc>
                <w:tcPr>
                  <w:tcW w:w="3125" w:type="pct"/>
                  <w:tcBorders>
                    <w:right w:val="single" w:color="auto" w:sz="4" w:space="0"/>
                  </w:tcBorders>
                  <w:vAlign w:val="center"/>
                </w:tcPr>
                <w:p w14:paraId="519D49F9">
                  <w:pPr>
                    <w:pStyle w:val="45"/>
                    <w:tabs>
                      <w:tab w:val="left" w:pos="4767"/>
                    </w:tabs>
                    <w:snapToGrid/>
                    <w:spacing w:line="0" w:lineRule="atLeast"/>
                    <w:ind w:firstLine="454" w:firstLineChars="200"/>
                    <w:rPr>
                      <w:rFonts w:hint="default" w:ascii="Times New Roman" w:hAnsi="Times New Roman" w:cs="Times New Roman"/>
                      <w:color w:val="auto"/>
                      <w:szCs w:val="21"/>
                    </w:rPr>
                  </w:pPr>
                  <w:r>
                    <w:rPr>
                      <w:rFonts w:hint="default" w:ascii="Times New Roman" w:hAnsi="Times New Roman" w:cs="Times New Roman"/>
                      <w:color w:val="auto"/>
                      <w:szCs w:val="21"/>
                    </w:rPr>
                    <w:t>项目区内全厂进行硬化，采用水泥硬化地面，储罐区、天然气槽车停止区及生产区域进行重点防渗，防渗层的防渗性能不应低于6.0m厚渗透系数为1.0</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rPr>
                    <w:t>10</w:t>
                  </w:r>
                  <w:r>
                    <w:rPr>
                      <w:rFonts w:hint="default" w:ascii="Times New Roman" w:hAnsi="Times New Roman" w:cs="Times New Roman"/>
                      <w:color w:val="auto"/>
                      <w:szCs w:val="21"/>
                      <w:vertAlign w:val="superscript"/>
                    </w:rPr>
                    <w:t>-</w:t>
                  </w:r>
                  <w:r>
                    <w:rPr>
                      <w:rFonts w:hint="default" w:ascii="Times New Roman" w:hAnsi="Times New Roman" w:cs="Times New Roman"/>
                      <w:color w:val="auto"/>
                      <w:szCs w:val="21"/>
                      <w:vertAlign w:val="superscript"/>
                      <w:lang w:val="en-US" w:eastAsia="zh-CN"/>
                    </w:rPr>
                    <w:t>7</w:t>
                  </w:r>
                  <w:r>
                    <w:rPr>
                      <w:rFonts w:hint="default" w:ascii="Times New Roman" w:hAnsi="Times New Roman" w:cs="Times New Roman"/>
                      <w:color w:val="auto"/>
                      <w:szCs w:val="21"/>
                    </w:rPr>
                    <w:t>cm/s的粘土层的防渗性能。</w:t>
                  </w:r>
                </w:p>
              </w:tc>
              <w:tc>
                <w:tcPr>
                  <w:tcW w:w="669" w:type="pct"/>
                  <w:tcBorders>
                    <w:left w:val="single" w:color="auto" w:sz="4" w:space="0"/>
                  </w:tcBorders>
                  <w:vAlign w:val="center"/>
                </w:tcPr>
                <w:p w14:paraId="4F097001">
                  <w:pPr>
                    <w:pStyle w:val="45"/>
                    <w:tabs>
                      <w:tab w:val="left" w:pos="4767"/>
                    </w:tabs>
                    <w:snapToGrid/>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新建</w:t>
                  </w:r>
                </w:p>
              </w:tc>
            </w:tr>
            <w:tr w14:paraId="2CBF6D4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55" w:type="pct"/>
                  <w:vMerge w:val="continue"/>
                  <w:vAlign w:val="center"/>
                </w:tcPr>
                <w:p w14:paraId="451ACE05">
                  <w:pPr>
                    <w:pStyle w:val="45"/>
                    <w:tabs>
                      <w:tab w:val="left" w:pos="4767"/>
                    </w:tabs>
                    <w:snapToGrid/>
                    <w:spacing w:line="0" w:lineRule="atLeast"/>
                    <w:jc w:val="center"/>
                    <w:rPr>
                      <w:rFonts w:hint="default" w:ascii="Times New Roman" w:hAnsi="Times New Roman" w:cs="Times New Roman"/>
                      <w:color w:val="auto"/>
                      <w:szCs w:val="21"/>
                    </w:rPr>
                  </w:pPr>
                </w:p>
              </w:tc>
              <w:tc>
                <w:tcPr>
                  <w:tcW w:w="749" w:type="pct"/>
                  <w:vAlign w:val="center"/>
                </w:tcPr>
                <w:p w14:paraId="25A45A7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环境风险</w:t>
                  </w:r>
                </w:p>
              </w:tc>
              <w:tc>
                <w:tcPr>
                  <w:tcW w:w="3125" w:type="pct"/>
                  <w:tcBorders>
                    <w:right w:val="single" w:color="auto" w:sz="4" w:space="0"/>
                  </w:tcBorders>
                  <w:vAlign w:val="center"/>
                </w:tcPr>
                <w:p w14:paraId="46530563">
                  <w:pPr>
                    <w:pStyle w:val="45"/>
                    <w:tabs>
                      <w:tab w:val="left" w:pos="4767"/>
                    </w:tabs>
                    <w:snapToGrid/>
                    <w:spacing w:line="0" w:lineRule="atLeast"/>
                    <w:ind w:firstLine="454" w:firstLineChars="200"/>
                    <w:rPr>
                      <w:rFonts w:hint="default" w:ascii="Times New Roman" w:hAnsi="Times New Roman" w:cs="Times New Roman"/>
                      <w:color w:val="auto"/>
                      <w:szCs w:val="21"/>
                    </w:rPr>
                  </w:pPr>
                  <w:r>
                    <w:rPr>
                      <w:rFonts w:hint="default" w:ascii="Times New Roman" w:hAnsi="Times New Roman" w:cs="Times New Roman"/>
                      <w:color w:val="auto"/>
                      <w:szCs w:val="21"/>
                    </w:rPr>
                    <w:t>对环境风险源、应急处置措施均设置标志牌</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对沥青罐附近地面进行硬化防渗处理，四周设置</w:t>
                  </w:r>
                  <w:r>
                    <w:rPr>
                      <w:rFonts w:hint="eastAsia" w:cs="Times New Roman"/>
                      <w:color w:val="auto"/>
                      <w:szCs w:val="21"/>
                      <w:lang w:val="en-US" w:eastAsia="zh-CN"/>
                    </w:rPr>
                    <w:t>0.5m高</w:t>
                  </w:r>
                  <w:r>
                    <w:rPr>
                      <w:rFonts w:hint="default" w:ascii="Times New Roman" w:hAnsi="Times New Roman" w:cs="Times New Roman"/>
                      <w:color w:val="auto"/>
                      <w:szCs w:val="21"/>
                    </w:rPr>
                    <w:t>围堰</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并设置防火警告牌，配置消防应急器材</w:t>
                  </w:r>
                  <w:r>
                    <w:rPr>
                      <w:rFonts w:hint="eastAsia" w:cs="Times New Roman"/>
                      <w:color w:val="auto"/>
                      <w:szCs w:val="21"/>
                      <w:lang w:eastAsia="zh-CN"/>
                    </w:rPr>
                    <w:t>，</w:t>
                  </w:r>
                  <w:r>
                    <w:rPr>
                      <w:rFonts w:hint="eastAsia" w:cs="Times New Roman"/>
                      <w:color w:val="auto"/>
                      <w:szCs w:val="21"/>
                      <w:lang w:val="en-US" w:eastAsia="zh-CN"/>
                    </w:rPr>
                    <w:t>设置消防水暂存池，初期雨水池</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天然气气化撬附近设置消防棚，并配备相应的应急物质，包括推车式干粉灭火器、于提式干粉灭火器和医用急救包、报警装置等，工作人员定期进行消防、安全技术培训、提高安全防范意识</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建立、完善安全管理制度、做好防雷工作、加强设备管理和日常巡查、消除静电危害、加强作业现场的安全管理、设立安全标识、规范安全操作、灭火设施、加强日常防火巡查、加大培训力度，提高员工素质，增加安全意识。</w:t>
                  </w:r>
                </w:p>
              </w:tc>
              <w:tc>
                <w:tcPr>
                  <w:tcW w:w="669" w:type="pct"/>
                  <w:tcBorders>
                    <w:left w:val="single" w:color="auto" w:sz="4" w:space="0"/>
                  </w:tcBorders>
                  <w:vAlign w:val="center"/>
                </w:tcPr>
                <w:p w14:paraId="63417DEB">
                  <w:pPr>
                    <w:pStyle w:val="45"/>
                    <w:tabs>
                      <w:tab w:val="left" w:pos="4767"/>
                    </w:tabs>
                    <w:snapToGrid/>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新建</w:t>
                  </w:r>
                </w:p>
              </w:tc>
            </w:tr>
          </w:tbl>
          <w:p w14:paraId="7C05E697">
            <w:pPr>
              <w:tabs>
                <w:tab w:val="left" w:pos="4767"/>
              </w:tabs>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lang w:val="en-US" w:eastAsia="zh-CN"/>
              </w:rPr>
              <w:t>3</w:t>
            </w:r>
            <w:r>
              <w:rPr>
                <w:rFonts w:hint="default" w:ascii="Times New Roman" w:hAnsi="Times New Roman" w:eastAsia="黑体" w:cs="Times New Roman"/>
                <w:bCs/>
                <w:color w:val="auto"/>
                <w:sz w:val="24"/>
              </w:rPr>
              <w:t>、主要产品及产能</w:t>
            </w:r>
          </w:p>
          <w:p w14:paraId="096C26BF">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本项目以沥青、矿石及矿粉为原料生产沥青混凝土，最终产能为年产15万吨粒径规格为S8（10mm）的沥青混凝土，主要产品及产能情况</w:t>
            </w:r>
            <w:r>
              <w:rPr>
                <w:rFonts w:hint="default" w:ascii="Times New Roman" w:hAnsi="Times New Roman" w:cs="Times New Roman"/>
                <w:color w:val="auto"/>
                <w:sz w:val="24"/>
              </w:rPr>
              <w:t>见下表。</w:t>
            </w:r>
          </w:p>
          <w:p w14:paraId="1517127B">
            <w:pPr>
              <w:pStyle w:val="73"/>
              <w:tabs>
                <w:tab w:val="left" w:pos="4767"/>
              </w:tabs>
              <w:spacing w:before="0" w:beforeLines="0" w:after="0" w:afterLines="0"/>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rPr>
              <w:t>表2-2  主要产品及产能一览表</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szCs w:val="24"/>
                <w:lang w:val="en-US" w:eastAsia="zh-CN"/>
              </w:rPr>
              <w:t>单位：万m³/a</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337"/>
              <w:gridCol w:w="2879"/>
              <w:gridCol w:w="2252"/>
            </w:tblGrid>
            <w:tr w14:paraId="6509B0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04" w:type="pct"/>
                  <w:tcBorders>
                    <w:tl2br w:val="nil"/>
                    <w:tr2bl w:val="nil"/>
                  </w:tcBorders>
                  <w:shd w:val="clear" w:color="auto" w:fill="auto"/>
                  <w:vAlign w:val="center"/>
                </w:tcPr>
                <w:p w14:paraId="312CA8CA">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1375" w:type="pct"/>
                  <w:tcBorders>
                    <w:tl2br w:val="nil"/>
                    <w:tr2bl w:val="nil"/>
                  </w:tcBorders>
                  <w:shd w:val="clear" w:color="auto" w:fill="auto"/>
                  <w:vAlign w:val="center"/>
                </w:tcPr>
                <w:p w14:paraId="19541864">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产品</w:t>
                  </w:r>
                </w:p>
              </w:tc>
              <w:tc>
                <w:tcPr>
                  <w:tcW w:w="1694" w:type="pct"/>
                  <w:tcBorders>
                    <w:tl2br w:val="nil"/>
                    <w:tr2bl w:val="nil"/>
                  </w:tcBorders>
                  <w:shd w:val="clear" w:color="auto" w:fill="auto"/>
                  <w:vAlign w:val="center"/>
                </w:tcPr>
                <w:p w14:paraId="4A3860FC">
                  <w:pPr>
                    <w:pStyle w:val="45"/>
                    <w:tabs>
                      <w:tab w:val="left" w:pos="4767"/>
                    </w:tabs>
                    <w:snapToGrid/>
                    <w:spacing w:line="0" w:lineRule="atLeast"/>
                    <w:jc w:val="center"/>
                    <w:rPr>
                      <w:rFonts w:hint="default" w:ascii="Times New Roman" w:hAnsi="Times New Roman" w:eastAsia="宋体" w:cs="Times New Roman"/>
                      <w:b/>
                      <w:bCs/>
                      <w:color w:val="auto"/>
                      <w:szCs w:val="21"/>
                      <w:lang w:eastAsia="zh-CN"/>
                    </w:rPr>
                  </w:pPr>
                  <w:r>
                    <w:rPr>
                      <w:rFonts w:hint="default" w:ascii="Times New Roman" w:hAnsi="Times New Roman" w:cs="Times New Roman"/>
                      <w:b/>
                      <w:bCs/>
                      <w:color w:val="auto"/>
                      <w:szCs w:val="21"/>
                      <w:lang w:val="en-US" w:eastAsia="zh-CN"/>
                    </w:rPr>
                    <w:t>产能</w:t>
                  </w:r>
                </w:p>
              </w:tc>
              <w:tc>
                <w:tcPr>
                  <w:tcW w:w="1325" w:type="pct"/>
                  <w:tcBorders>
                    <w:left w:val="single" w:color="000000" w:sz="6" w:space="0"/>
                    <w:tl2br w:val="nil"/>
                    <w:tr2bl w:val="nil"/>
                  </w:tcBorders>
                  <w:shd w:val="clear" w:color="auto" w:fill="auto"/>
                  <w:vAlign w:val="center"/>
                </w:tcPr>
                <w:p w14:paraId="5E18C253">
                  <w:pPr>
                    <w:pStyle w:val="45"/>
                    <w:tabs>
                      <w:tab w:val="left" w:pos="4767"/>
                    </w:tabs>
                    <w:snapToGrid/>
                    <w:spacing w:line="0" w:lineRule="atLeast"/>
                    <w:jc w:val="center"/>
                    <w:rPr>
                      <w:rFonts w:hint="default" w:ascii="Times New Roman" w:hAnsi="Times New Roman" w:cs="Times New Roman"/>
                      <w:b/>
                      <w:bCs/>
                      <w:color w:val="auto"/>
                      <w:szCs w:val="21"/>
                      <w:lang w:val="en-US" w:eastAsia="zh-CN"/>
                    </w:rPr>
                  </w:pPr>
                  <w:r>
                    <w:rPr>
                      <w:rFonts w:hint="default" w:ascii="Times New Roman" w:hAnsi="Times New Roman" w:cs="Times New Roman"/>
                      <w:b/>
                      <w:bCs/>
                      <w:color w:val="auto"/>
                      <w:szCs w:val="21"/>
                      <w:lang w:val="en-US" w:eastAsia="zh-CN"/>
                    </w:rPr>
                    <w:t>规格</w:t>
                  </w:r>
                </w:p>
              </w:tc>
            </w:tr>
            <w:tr w14:paraId="4EAD25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4" w:type="pct"/>
                  <w:tcBorders>
                    <w:tl2br w:val="nil"/>
                    <w:tr2bl w:val="nil"/>
                  </w:tcBorders>
                  <w:shd w:val="clear" w:color="auto" w:fill="auto"/>
                  <w:vAlign w:val="center"/>
                </w:tcPr>
                <w:p w14:paraId="3FBE210A">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375" w:type="pct"/>
                  <w:tcBorders>
                    <w:tl2br w:val="nil"/>
                    <w:tr2bl w:val="nil"/>
                  </w:tcBorders>
                  <w:shd w:val="clear" w:color="auto" w:fill="auto"/>
                  <w:vAlign w:val="center"/>
                </w:tcPr>
                <w:p w14:paraId="7C066202">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沥青</w:t>
                  </w:r>
                  <w:r>
                    <w:rPr>
                      <w:rFonts w:hint="default" w:ascii="Times New Roman" w:hAnsi="Times New Roman" w:cs="Times New Roman"/>
                      <w:color w:val="auto"/>
                      <w:szCs w:val="21"/>
                    </w:rPr>
                    <w:t>混凝土</w:t>
                  </w:r>
                </w:p>
              </w:tc>
              <w:tc>
                <w:tcPr>
                  <w:tcW w:w="1694" w:type="pct"/>
                  <w:tcBorders>
                    <w:tl2br w:val="nil"/>
                    <w:tr2bl w:val="nil"/>
                  </w:tcBorders>
                  <w:shd w:val="clear" w:color="auto" w:fill="auto"/>
                  <w:vAlign w:val="center"/>
                </w:tcPr>
                <w:p w14:paraId="22BA7CD9">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15万吨</w:t>
                  </w:r>
                </w:p>
              </w:tc>
              <w:tc>
                <w:tcPr>
                  <w:tcW w:w="1325" w:type="pct"/>
                  <w:tcBorders>
                    <w:left w:val="single" w:color="000000" w:sz="6" w:space="0"/>
                    <w:tl2br w:val="nil"/>
                    <w:tr2bl w:val="nil"/>
                  </w:tcBorders>
                  <w:shd w:val="clear" w:color="auto" w:fill="auto"/>
                  <w:vAlign w:val="center"/>
                </w:tcPr>
                <w:p w14:paraId="5EB80A30">
                  <w:pPr>
                    <w:pStyle w:val="45"/>
                    <w:tabs>
                      <w:tab w:val="left" w:pos="4767"/>
                    </w:tabs>
                    <w:snapToGrid/>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10mm</w:t>
                  </w:r>
                </w:p>
              </w:tc>
            </w:tr>
          </w:tbl>
          <w:p w14:paraId="637D1E9D">
            <w:pPr>
              <w:tabs>
                <w:tab w:val="left" w:pos="4767"/>
              </w:tabs>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lang w:val="en-US" w:eastAsia="zh-CN"/>
              </w:rPr>
              <w:t>4</w:t>
            </w:r>
            <w:r>
              <w:rPr>
                <w:rFonts w:hint="default" w:ascii="Times New Roman" w:hAnsi="Times New Roman" w:eastAsia="黑体" w:cs="Times New Roman"/>
                <w:bCs/>
                <w:color w:val="auto"/>
                <w:sz w:val="24"/>
              </w:rPr>
              <w:t>、项目主要设备</w:t>
            </w:r>
          </w:p>
          <w:p w14:paraId="520C61D9">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本项目主要生产设备见表2-3。</w:t>
            </w:r>
          </w:p>
          <w:p w14:paraId="4012A27D">
            <w:pPr>
              <w:pStyle w:val="73"/>
              <w:tabs>
                <w:tab w:val="left" w:pos="4767"/>
              </w:tabs>
              <w:spacing w:before="0" w:beforeLines="0" w:after="0" w:afterLines="0"/>
              <w:rPr>
                <w:rFonts w:hint="default" w:ascii="Times New Roman" w:hAnsi="Times New Roman" w:eastAsia="宋体" w:cs="Times New Roman"/>
                <w:color w:val="auto"/>
                <w:szCs w:val="21"/>
              </w:rPr>
            </w:pPr>
            <w:r>
              <w:rPr>
                <w:rFonts w:hint="default" w:ascii="Times New Roman" w:hAnsi="Times New Roman" w:cs="Times New Roman"/>
                <w:color w:val="auto"/>
                <w:sz w:val="24"/>
              </w:rPr>
              <w:t>表2-3  本项目主要设备清单</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4480"/>
              <w:gridCol w:w="2485"/>
            </w:tblGrid>
            <w:tr w14:paraId="3CDC4A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 w:hRule="atLeast"/>
                <w:jc w:val="center"/>
              </w:trPr>
              <w:tc>
                <w:tcPr>
                  <w:tcW w:w="900" w:type="pct"/>
                  <w:shd w:val="clear" w:color="auto" w:fill="auto"/>
                  <w:vAlign w:val="center"/>
                </w:tcPr>
                <w:p w14:paraId="25F07B64">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2636" w:type="pct"/>
                  <w:shd w:val="clear" w:color="auto" w:fill="auto"/>
                  <w:vAlign w:val="center"/>
                </w:tcPr>
                <w:p w14:paraId="15BA66F9">
                  <w:pPr>
                    <w:pStyle w:val="45"/>
                    <w:tabs>
                      <w:tab w:val="left" w:pos="4767"/>
                    </w:tabs>
                    <w:jc w:val="center"/>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rPr>
                    <w:t>设备名称</w:t>
                  </w:r>
                  <w:r>
                    <w:rPr>
                      <w:rFonts w:hint="default" w:ascii="Times New Roman" w:hAnsi="Times New Roman" w:cs="Times New Roman"/>
                      <w:b/>
                      <w:bCs/>
                      <w:color w:val="auto"/>
                      <w:lang w:eastAsia="zh-CN"/>
                    </w:rPr>
                    <w:t>、</w:t>
                  </w:r>
                  <w:r>
                    <w:rPr>
                      <w:rFonts w:hint="default" w:ascii="Times New Roman" w:hAnsi="Times New Roman" w:cs="Times New Roman"/>
                      <w:b/>
                      <w:bCs/>
                      <w:color w:val="auto"/>
                      <w:lang w:val="en-US" w:eastAsia="zh-CN"/>
                    </w:rPr>
                    <w:t>型号</w:t>
                  </w:r>
                </w:p>
              </w:tc>
              <w:tc>
                <w:tcPr>
                  <w:tcW w:w="1462" w:type="pct"/>
                  <w:shd w:val="clear" w:color="auto" w:fill="auto"/>
                  <w:vAlign w:val="center"/>
                </w:tcPr>
                <w:p w14:paraId="102A2BBA">
                  <w:pPr>
                    <w:pStyle w:val="45"/>
                    <w:tabs>
                      <w:tab w:val="left" w:pos="4767"/>
                    </w:tabs>
                    <w:jc w:val="center"/>
                    <w:rPr>
                      <w:rFonts w:hint="default" w:ascii="Times New Roman" w:hAnsi="Times New Roman" w:eastAsia="宋体" w:cs="Times New Roman"/>
                      <w:b/>
                      <w:bCs/>
                      <w:color w:val="auto"/>
                      <w:lang w:eastAsia="zh-CN"/>
                    </w:rPr>
                  </w:pPr>
                  <w:r>
                    <w:rPr>
                      <w:rFonts w:hint="default" w:ascii="Times New Roman" w:hAnsi="Times New Roman" w:cs="Times New Roman"/>
                      <w:b/>
                      <w:bCs/>
                      <w:color w:val="auto"/>
                    </w:rPr>
                    <w:t>数量</w:t>
                  </w:r>
                  <w:r>
                    <w:rPr>
                      <w:rFonts w:hint="default" w:ascii="Times New Roman" w:hAnsi="Times New Roman" w:cs="Times New Roman"/>
                      <w:b/>
                      <w:bCs/>
                      <w:color w:val="auto"/>
                      <w:lang w:eastAsia="zh-CN"/>
                    </w:rPr>
                    <w:t>（</w:t>
                  </w:r>
                  <w:r>
                    <w:rPr>
                      <w:rFonts w:hint="default" w:ascii="Times New Roman" w:hAnsi="Times New Roman" w:cs="Times New Roman"/>
                      <w:b/>
                      <w:bCs/>
                      <w:color w:val="auto"/>
                      <w:lang w:val="en-US" w:eastAsia="zh-CN"/>
                    </w:rPr>
                    <w:t>台/套</w:t>
                  </w:r>
                  <w:r>
                    <w:rPr>
                      <w:rFonts w:hint="default" w:ascii="Times New Roman" w:hAnsi="Times New Roman" w:cs="Times New Roman"/>
                      <w:b/>
                      <w:bCs/>
                      <w:color w:val="auto"/>
                      <w:lang w:eastAsia="zh-CN"/>
                    </w:rPr>
                    <w:t>）</w:t>
                  </w:r>
                </w:p>
              </w:tc>
            </w:tr>
            <w:tr w14:paraId="6B3EAB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6A137E84">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1</w:t>
                  </w:r>
                </w:p>
              </w:tc>
              <w:tc>
                <w:tcPr>
                  <w:tcW w:w="2636" w:type="pct"/>
                  <w:shd w:val="clear" w:color="auto" w:fill="auto"/>
                  <w:vAlign w:val="center"/>
                </w:tcPr>
                <w:p w14:paraId="08E97B3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皮带给料器</w:t>
                  </w:r>
                </w:p>
              </w:tc>
              <w:tc>
                <w:tcPr>
                  <w:tcW w:w="1462" w:type="pct"/>
                  <w:shd w:val="clear" w:color="auto" w:fill="auto"/>
                  <w:vAlign w:val="center"/>
                </w:tcPr>
                <w:p w14:paraId="4258FF1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r>
            <w:tr w14:paraId="4E936F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5E41B7E0">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2</w:t>
                  </w:r>
                </w:p>
              </w:tc>
              <w:tc>
                <w:tcPr>
                  <w:tcW w:w="2636" w:type="pct"/>
                  <w:shd w:val="clear" w:color="auto" w:fill="auto"/>
                  <w:vAlign w:val="center"/>
                </w:tcPr>
                <w:p w14:paraId="1A37EE29">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集料皮带机（600mm×19m）</w:t>
                  </w:r>
                </w:p>
              </w:tc>
              <w:tc>
                <w:tcPr>
                  <w:tcW w:w="1462" w:type="pct"/>
                  <w:shd w:val="clear" w:color="auto" w:fill="auto"/>
                  <w:vAlign w:val="center"/>
                </w:tcPr>
                <w:p w14:paraId="360DE83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351173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092C97E6">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3</w:t>
                  </w:r>
                </w:p>
              </w:tc>
              <w:tc>
                <w:tcPr>
                  <w:tcW w:w="2636" w:type="pct"/>
                  <w:shd w:val="clear" w:color="auto" w:fill="auto"/>
                  <w:vAlign w:val="center"/>
                </w:tcPr>
                <w:p w14:paraId="0ECC143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料仓振动器</w:t>
                  </w:r>
                </w:p>
              </w:tc>
              <w:tc>
                <w:tcPr>
                  <w:tcW w:w="1462" w:type="pct"/>
                  <w:shd w:val="clear" w:color="auto" w:fill="auto"/>
                  <w:vAlign w:val="center"/>
                </w:tcPr>
                <w:p w14:paraId="4CCED01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r>
            <w:tr w14:paraId="5C4CB2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799ACFBA">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4</w:t>
                  </w:r>
                </w:p>
              </w:tc>
              <w:tc>
                <w:tcPr>
                  <w:tcW w:w="2636" w:type="pct"/>
                  <w:shd w:val="clear" w:color="auto" w:fill="auto"/>
                  <w:vAlign w:val="center"/>
                </w:tcPr>
                <w:p w14:paraId="431FFC38">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上料皮带机（600mm×8m）</w:t>
                  </w:r>
                </w:p>
              </w:tc>
              <w:tc>
                <w:tcPr>
                  <w:tcW w:w="1462" w:type="pct"/>
                  <w:shd w:val="clear" w:color="auto" w:fill="auto"/>
                  <w:vAlign w:val="center"/>
                </w:tcPr>
                <w:p w14:paraId="717CD037">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79FFF0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0572A228">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5</w:t>
                  </w:r>
                </w:p>
              </w:tc>
              <w:tc>
                <w:tcPr>
                  <w:tcW w:w="2636" w:type="pct"/>
                  <w:shd w:val="clear" w:color="auto" w:fill="auto"/>
                  <w:vAlign w:val="center"/>
                </w:tcPr>
                <w:p w14:paraId="19C39EA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干燥滚筒T250</w:t>
                  </w:r>
                </w:p>
              </w:tc>
              <w:tc>
                <w:tcPr>
                  <w:tcW w:w="1462" w:type="pct"/>
                  <w:shd w:val="clear" w:color="auto" w:fill="auto"/>
                  <w:vAlign w:val="center"/>
                </w:tcPr>
                <w:p w14:paraId="4F408A21">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r>
            <w:tr w14:paraId="71DEF5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6AC25AAB">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6</w:t>
                  </w:r>
                </w:p>
              </w:tc>
              <w:tc>
                <w:tcPr>
                  <w:tcW w:w="2636" w:type="pct"/>
                  <w:shd w:val="clear" w:color="auto" w:fill="auto"/>
                  <w:vAlign w:val="center"/>
                </w:tcPr>
                <w:p w14:paraId="3D1D495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燃油泵（天然气）</w:t>
                  </w:r>
                </w:p>
              </w:tc>
              <w:tc>
                <w:tcPr>
                  <w:tcW w:w="1462" w:type="pct"/>
                  <w:shd w:val="clear" w:color="auto" w:fill="auto"/>
                  <w:vAlign w:val="center"/>
                </w:tcPr>
                <w:p w14:paraId="22B416E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2646CD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1170C313">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7</w:t>
                  </w:r>
                </w:p>
              </w:tc>
              <w:tc>
                <w:tcPr>
                  <w:tcW w:w="2636" w:type="pct"/>
                  <w:shd w:val="clear" w:color="auto" w:fill="auto"/>
                  <w:vAlign w:val="center"/>
                </w:tcPr>
                <w:p w14:paraId="2DF86FF8">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增压泵</w:t>
                  </w:r>
                </w:p>
              </w:tc>
              <w:tc>
                <w:tcPr>
                  <w:tcW w:w="1462" w:type="pct"/>
                  <w:shd w:val="clear" w:color="auto" w:fill="auto"/>
                  <w:vAlign w:val="center"/>
                </w:tcPr>
                <w:p w14:paraId="68B2968F">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102389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05551A17">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8</w:t>
                  </w:r>
                </w:p>
              </w:tc>
              <w:tc>
                <w:tcPr>
                  <w:tcW w:w="2636" w:type="pct"/>
                  <w:shd w:val="clear" w:color="auto" w:fill="auto"/>
                  <w:vAlign w:val="center"/>
                </w:tcPr>
                <w:p w14:paraId="2CD6A6A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鼓风机</w:t>
                  </w:r>
                </w:p>
              </w:tc>
              <w:tc>
                <w:tcPr>
                  <w:tcW w:w="1462" w:type="pct"/>
                  <w:shd w:val="clear" w:color="auto" w:fill="auto"/>
                  <w:vAlign w:val="center"/>
                </w:tcPr>
                <w:p w14:paraId="0A91A2E9">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2DF597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3E64B0AC">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9</w:t>
                  </w:r>
                </w:p>
              </w:tc>
              <w:tc>
                <w:tcPr>
                  <w:tcW w:w="2636" w:type="pct"/>
                  <w:shd w:val="clear" w:color="auto" w:fill="auto"/>
                  <w:vAlign w:val="center"/>
                </w:tcPr>
                <w:p w14:paraId="37DA8AA1">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燃烧器伺服电机</w:t>
                  </w:r>
                </w:p>
              </w:tc>
              <w:tc>
                <w:tcPr>
                  <w:tcW w:w="1462" w:type="pct"/>
                  <w:shd w:val="clear" w:color="auto" w:fill="auto"/>
                  <w:vAlign w:val="center"/>
                </w:tcPr>
                <w:p w14:paraId="0BF415D1">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1F50D9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41BEA8F5">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10</w:t>
                  </w:r>
                </w:p>
              </w:tc>
              <w:tc>
                <w:tcPr>
                  <w:tcW w:w="2636" w:type="pct"/>
                  <w:shd w:val="clear" w:color="auto" w:fill="auto"/>
                  <w:vAlign w:val="center"/>
                </w:tcPr>
                <w:p w14:paraId="4A64849D">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红外测温清吹风机</w:t>
                  </w:r>
                </w:p>
              </w:tc>
              <w:tc>
                <w:tcPr>
                  <w:tcW w:w="1462" w:type="pct"/>
                  <w:shd w:val="clear" w:color="auto" w:fill="auto"/>
                  <w:vAlign w:val="center"/>
                </w:tcPr>
                <w:p w14:paraId="01186113">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61A03F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7BB743F9">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11</w:t>
                  </w:r>
                </w:p>
              </w:tc>
              <w:tc>
                <w:tcPr>
                  <w:tcW w:w="2636" w:type="pct"/>
                  <w:shd w:val="clear" w:color="auto" w:fill="auto"/>
                  <w:vAlign w:val="center"/>
                </w:tcPr>
                <w:p w14:paraId="40B7AAE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引风机</w:t>
                  </w:r>
                </w:p>
              </w:tc>
              <w:tc>
                <w:tcPr>
                  <w:tcW w:w="1462" w:type="pct"/>
                  <w:shd w:val="clear" w:color="auto" w:fill="auto"/>
                  <w:vAlign w:val="center"/>
                </w:tcPr>
                <w:p w14:paraId="25EBC98F">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367D8C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pct"/>
                  <w:shd w:val="clear" w:color="auto" w:fill="auto"/>
                  <w:vAlign w:val="center"/>
                </w:tcPr>
                <w:p w14:paraId="5BB1E9F2">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12</w:t>
                  </w:r>
                </w:p>
              </w:tc>
              <w:tc>
                <w:tcPr>
                  <w:tcW w:w="2636" w:type="pct"/>
                  <w:shd w:val="clear" w:color="auto" w:fill="auto"/>
                  <w:vAlign w:val="center"/>
                </w:tcPr>
                <w:p w14:paraId="5368C2D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下箱体内螺旋</w:t>
                  </w:r>
                </w:p>
              </w:tc>
              <w:tc>
                <w:tcPr>
                  <w:tcW w:w="1462" w:type="pct"/>
                  <w:shd w:val="clear" w:color="auto" w:fill="auto"/>
                  <w:vAlign w:val="center"/>
                </w:tcPr>
                <w:p w14:paraId="63BF21B8">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48A97B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097F145F">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13</w:t>
                  </w:r>
                </w:p>
              </w:tc>
              <w:tc>
                <w:tcPr>
                  <w:tcW w:w="2636" w:type="pct"/>
                  <w:shd w:val="clear" w:color="auto" w:fill="auto"/>
                  <w:vAlign w:val="center"/>
                </w:tcPr>
                <w:p w14:paraId="6B3D3DA7">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一级除尘提取螺旋Ø219</w:t>
                  </w:r>
                </w:p>
              </w:tc>
              <w:tc>
                <w:tcPr>
                  <w:tcW w:w="1462" w:type="pct"/>
                  <w:shd w:val="clear" w:color="auto" w:fill="auto"/>
                  <w:vAlign w:val="center"/>
                </w:tcPr>
                <w:p w14:paraId="1DFB319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038B84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28FCE95D">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14</w:t>
                  </w:r>
                </w:p>
              </w:tc>
              <w:tc>
                <w:tcPr>
                  <w:tcW w:w="2636" w:type="pct"/>
                  <w:shd w:val="clear" w:color="auto" w:fill="auto"/>
                  <w:vAlign w:val="center"/>
                </w:tcPr>
                <w:p w14:paraId="09915740">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一级除尘输送螺旋Ø219</w:t>
                  </w:r>
                </w:p>
              </w:tc>
              <w:tc>
                <w:tcPr>
                  <w:tcW w:w="1462" w:type="pct"/>
                  <w:shd w:val="clear" w:color="auto" w:fill="auto"/>
                  <w:vAlign w:val="center"/>
                </w:tcPr>
                <w:p w14:paraId="4D4FA576">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r>
            <w:tr w14:paraId="1DB9F0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1A5B5453">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15</w:t>
                  </w:r>
                </w:p>
              </w:tc>
              <w:tc>
                <w:tcPr>
                  <w:tcW w:w="2636" w:type="pct"/>
                  <w:shd w:val="clear" w:color="auto" w:fill="auto"/>
                  <w:vAlign w:val="center"/>
                </w:tcPr>
                <w:p w14:paraId="3CBEA5A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二级除尘提取螺旋Ø219</w:t>
                  </w:r>
                </w:p>
              </w:tc>
              <w:tc>
                <w:tcPr>
                  <w:tcW w:w="1462" w:type="pct"/>
                  <w:shd w:val="clear" w:color="auto" w:fill="auto"/>
                  <w:vAlign w:val="center"/>
                </w:tcPr>
                <w:p w14:paraId="58CF248C">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6DC116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4D9D6D59">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16</w:t>
                  </w:r>
                </w:p>
              </w:tc>
              <w:tc>
                <w:tcPr>
                  <w:tcW w:w="2636" w:type="pct"/>
                  <w:shd w:val="clear" w:color="auto" w:fill="auto"/>
                  <w:vAlign w:val="center"/>
                </w:tcPr>
                <w:p w14:paraId="08DE276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二级除尘输送螺旋Ø219</w:t>
                  </w:r>
                </w:p>
              </w:tc>
              <w:tc>
                <w:tcPr>
                  <w:tcW w:w="1462" w:type="pct"/>
                  <w:shd w:val="clear" w:color="auto" w:fill="auto"/>
                  <w:vAlign w:val="center"/>
                </w:tcPr>
                <w:p w14:paraId="154594BF">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r>
            <w:tr w14:paraId="3ACFBF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399829FE">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w:t>
                  </w:r>
                </w:p>
              </w:tc>
              <w:tc>
                <w:tcPr>
                  <w:tcW w:w="2636" w:type="pct"/>
                  <w:shd w:val="clear" w:color="auto" w:fill="auto"/>
                  <w:vAlign w:val="center"/>
                </w:tcPr>
                <w:p w14:paraId="0F61AE77">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矿石提升机</w:t>
                  </w:r>
                </w:p>
              </w:tc>
              <w:tc>
                <w:tcPr>
                  <w:tcW w:w="1462" w:type="pct"/>
                  <w:shd w:val="clear" w:color="auto" w:fill="auto"/>
                  <w:vAlign w:val="center"/>
                </w:tcPr>
                <w:p w14:paraId="07AF15AF">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4501C4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58A1D119">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18</w:t>
                  </w:r>
                </w:p>
              </w:tc>
              <w:tc>
                <w:tcPr>
                  <w:tcW w:w="2636" w:type="pct"/>
                  <w:shd w:val="clear" w:color="auto" w:fill="auto"/>
                  <w:vAlign w:val="center"/>
                </w:tcPr>
                <w:p w14:paraId="70B238C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粉料提升机</w:t>
                  </w:r>
                </w:p>
              </w:tc>
              <w:tc>
                <w:tcPr>
                  <w:tcW w:w="1462" w:type="pct"/>
                  <w:shd w:val="clear" w:color="auto" w:fill="auto"/>
                  <w:vAlign w:val="center"/>
                </w:tcPr>
                <w:p w14:paraId="315E897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04C07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22EAD825">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19</w:t>
                  </w:r>
                </w:p>
              </w:tc>
              <w:tc>
                <w:tcPr>
                  <w:tcW w:w="2636" w:type="pct"/>
                  <w:shd w:val="clear" w:color="auto" w:fill="auto"/>
                  <w:vAlign w:val="center"/>
                </w:tcPr>
                <w:p w14:paraId="2678C1A6">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振动筛电机</w:t>
                  </w:r>
                </w:p>
              </w:tc>
              <w:tc>
                <w:tcPr>
                  <w:tcW w:w="1462" w:type="pct"/>
                  <w:shd w:val="clear" w:color="auto" w:fill="auto"/>
                  <w:vAlign w:val="center"/>
                </w:tcPr>
                <w:p w14:paraId="1AD2408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r>
            <w:tr w14:paraId="08CF4A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69C90A41">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w:t>
                  </w:r>
                </w:p>
              </w:tc>
              <w:tc>
                <w:tcPr>
                  <w:tcW w:w="2636" w:type="pct"/>
                  <w:shd w:val="clear" w:color="auto" w:fill="auto"/>
                  <w:vAlign w:val="center"/>
                </w:tcPr>
                <w:p w14:paraId="66E3C53C">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沥青喷洒泵</w:t>
                  </w:r>
                </w:p>
              </w:tc>
              <w:tc>
                <w:tcPr>
                  <w:tcW w:w="1462" w:type="pct"/>
                  <w:shd w:val="clear" w:color="auto" w:fill="auto"/>
                  <w:vAlign w:val="center"/>
                </w:tcPr>
                <w:p w14:paraId="1CA7EE06">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74CDEF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11C7BE8B">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21</w:t>
                  </w:r>
                </w:p>
              </w:tc>
              <w:tc>
                <w:tcPr>
                  <w:tcW w:w="2636" w:type="pct"/>
                  <w:shd w:val="clear" w:color="auto" w:fill="auto"/>
                  <w:vAlign w:val="center"/>
                </w:tcPr>
                <w:p w14:paraId="7A507F7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旧粉进秤螺旋Ø219</w:t>
                  </w:r>
                </w:p>
              </w:tc>
              <w:tc>
                <w:tcPr>
                  <w:tcW w:w="1462" w:type="pct"/>
                  <w:shd w:val="clear" w:color="auto" w:fill="auto"/>
                  <w:vAlign w:val="center"/>
                </w:tcPr>
                <w:p w14:paraId="2A8E5C4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475424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3C3C2EE9">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22</w:t>
                  </w:r>
                </w:p>
              </w:tc>
              <w:tc>
                <w:tcPr>
                  <w:tcW w:w="2636" w:type="pct"/>
                  <w:shd w:val="clear" w:color="auto" w:fill="auto"/>
                  <w:vAlign w:val="center"/>
                </w:tcPr>
                <w:p w14:paraId="72FD025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粉进锅螺旋Ø323</w:t>
                  </w:r>
                </w:p>
              </w:tc>
              <w:tc>
                <w:tcPr>
                  <w:tcW w:w="1462" w:type="pct"/>
                  <w:shd w:val="clear" w:color="auto" w:fill="auto"/>
                  <w:vAlign w:val="center"/>
                </w:tcPr>
                <w:p w14:paraId="777FEC46">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69B49F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19CAA076">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23</w:t>
                  </w:r>
                </w:p>
              </w:tc>
              <w:tc>
                <w:tcPr>
                  <w:tcW w:w="2636" w:type="pct"/>
                  <w:shd w:val="clear" w:color="auto" w:fill="auto"/>
                  <w:vAlign w:val="center"/>
                </w:tcPr>
                <w:p w14:paraId="23CA2EA9">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吸尘风机</w:t>
                  </w:r>
                </w:p>
              </w:tc>
              <w:tc>
                <w:tcPr>
                  <w:tcW w:w="1462" w:type="pct"/>
                  <w:shd w:val="clear" w:color="auto" w:fill="auto"/>
                  <w:vAlign w:val="center"/>
                </w:tcPr>
                <w:p w14:paraId="609E522C">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774E4C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6E84E893">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24</w:t>
                  </w:r>
                </w:p>
              </w:tc>
              <w:tc>
                <w:tcPr>
                  <w:tcW w:w="2636" w:type="pct"/>
                  <w:shd w:val="clear" w:color="auto" w:fill="auto"/>
                  <w:vAlign w:val="center"/>
                </w:tcPr>
                <w:p w14:paraId="4125838D">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粉秤振动器</w:t>
                  </w:r>
                </w:p>
              </w:tc>
              <w:tc>
                <w:tcPr>
                  <w:tcW w:w="1462" w:type="pct"/>
                  <w:shd w:val="clear" w:color="auto" w:fill="auto"/>
                  <w:vAlign w:val="center"/>
                </w:tcPr>
                <w:p w14:paraId="575460B9">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00CE37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725E98F2">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25</w:t>
                  </w:r>
                </w:p>
              </w:tc>
              <w:tc>
                <w:tcPr>
                  <w:tcW w:w="2636" w:type="pct"/>
                  <w:shd w:val="clear" w:color="auto" w:fill="auto"/>
                  <w:vAlign w:val="center"/>
                </w:tcPr>
                <w:p w14:paraId="50876150">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搅拌器电机</w:t>
                  </w:r>
                </w:p>
              </w:tc>
              <w:tc>
                <w:tcPr>
                  <w:tcW w:w="1462" w:type="pct"/>
                  <w:shd w:val="clear" w:color="auto" w:fill="auto"/>
                  <w:vAlign w:val="center"/>
                </w:tcPr>
                <w:p w14:paraId="12BBF65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r>
            <w:tr w14:paraId="178562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1B5E02A9">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26</w:t>
                  </w:r>
                </w:p>
              </w:tc>
              <w:tc>
                <w:tcPr>
                  <w:tcW w:w="2636" w:type="pct"/>
                  <w:shd w:val="clear" w:color="auto" w:fill="auto"/>
                  <w:vAlign w:val="center"/>
                </w:tcPr>
                <w:p w14:paraId="70DD465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空气压缩机</w:t>
                  </w:r>
                </w:p>
              </w:tc>
              <w:tc>
                <w:tcPr>
                  <w:tcW w:w="1462" w:type="pct"/>
                  <w:shd w:val="clear" w:color="auto" w:fill="auto"/>
                  <w:vAlign w:val="center"/>
                </w:tcPr>
                <w:p w14:paraId="4400917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2A3490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4510C43B">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27</w:t>
                  </w:r>
                </w:p>
              </w:tc>
              <w:tc>
                <w:tcPr>
                  <w:tcW w:w="2636" w:type="pct"/>
                  <w:shd w:val="clear" w:color="auto" w:fill="auto"/>
                  <w:vAlign w:val="center"/>
                </w:tcPr>
                <w:p w14:paraId="6B1F359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轨道提升电机</w:t>
                  </w:r>
                </w:p>
              </w:tc>
              <w:tc>
                <w:tcPr>
                  <w:tcW w:w="1462" w:type="pct"/>
                  <w:shd w:val="clear" w:color="auto" w:fill="auto"/>
                  <w:vAlign w:val="center"/>
                </w:tcPr>
                <w:p w14:paraId="351D650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384B76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5FC67028">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28</w:t>
                  </w:r>
                </w:p>
              </w:tc>
              <w:tc>
                <w:tcPr>
                  <w:tcW w:w="2636" w:type="pct"/>
                  <w:shd w:val="clear" w:color="auto" w:fill="auto"/>
                  <w:vAlign w:val="center"/>
                </w:tcPr>
                <w:p w14:paraId="7EB62D4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料门加热器</w:t>
                  </w:r>
                </w:p>
              </w:tc>
              <w:tc>
                <w:tcPr>
                  <w:tcW w:w="1462" w:type="pct"/>
                  <w:shd w:val="clear" w:color="auto" w:fill="auto"/>
                  <w:vAlign w:val="center"/>
                </w:tcPr>
                <w:p w14:paraId="7E083F77">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w:t>
                  </w:r>
                </w:p>
              </w:tc>
            </w:tr>
            <w:tr w14:paraId="3C3DBD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15D76E78">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29</w:t>
                  </w:r>
                </w:p>
              </w:tc>
              <w:tc>
                <w:tcPr>
                  <w:tcW w:w="4468" w:type="dxa"/>
                  <w:shd w:val="clear" w:color="auto" w:fill="auto"/>
                  <w:vAlign w:val="center"/>
                </w:tcPr>
                <w:p w14:paraId="2F2328D3">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强冷风扇</w:t>
                  </w:r>
                </w:p>
              </w:tc>
              <w:tc>
                <w:tcPr>
                  <w:tcW w:w="2478" w:type="dxa"/>
                  <w:shd w:val="clear" w:color="auto" w:fill="auto"/>
                  <w:vAlign w:val="center"/>
                </w:tcPr>
                <w:p w14:paraId="530B04A9">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1B8F7F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4E98EF61">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30</w:t>
                  </w:r>
                </w:p>
              </w:tc>
              <w:tc>
                <w:tcPr>
                  <w:tcW w:w="4468" w:type="dxa"/>
                  <w:shd w:val="clear" w:color="auto" w:fill="auto"/>
                  <w:vAlign w:val="center"/>
                </w:tcPr>
                <w:p w14:paraId="6F8E7816">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导热</w:t>
                  </w:r>
                  <w:r>
                    <w:rPr>
                      <w:rFonts w:hint="default" w:ascii="Times New Roman" w:hAnsi="Times New Roman" w:eastAsia="宋体" w:cs="Times New Roman"/>
                      <w:color w:val="auto"/>
                      <w:szCs w:val="21"/>
                      <w:lang w:val="en-US" w:eastAsia="zh-CN"/>
                    </w:rPr>
                    <w:t>油炉</w:t>
                  </w:r>
                </w:p>
              </w:tc>
              <w:tc>
                <w:tcPr>
                  <w:tcW w:w="2478" w:type="dxa"/>
                  <w:shd w:val="clear" w:color="auto" w:fill="auto"/>
                  <w:vAlign w:val="center"/>
                </w:tcPr>
                <w:p w14:paraId="4E748D78">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79E9B7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52D8BFA7">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31</w:t>
                  </w:r>
                </w:p>
              </w:tc>
              <w:tc>
                <w:tcPr>
                  <w:tcW w:w="4468" w:type="dxa"/>
                  <w:shd w:val="clear" w:color="auto" w:fill="auto"/>
                  <w:vAlign w:val="center"/>
                </w:tcPr>
                <w:p w14:paraId="2244E16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沥青输送泵</w:t>
                  </w:r>
                </w:p>
              </w:tc>
              <w:tc>
                <w:tcPr>
                  <w:tcW w:w="2478" w:type="dxa"/>
                  <w:shd w:val="clear" w:color="auto" w:fill="auto"/>
                  <w:vAlign w:val="center"/>
                </w:tcPr>
                <w:p w14:paraId="67D7149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2065EF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485E0161">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32</w:t>
                  </w:r>
                </w:p>
              </w:tc>
              <w:tc>
                <w:tcPr>
                  <w:tcW w:w="4468" w:type="dxa"/>
                  <w:shd w:val="clear" w:color="auto" w:fill="auto"/>
                  <w:vAlign w:val="center"/>
                </w:tcPr>
                <w:p w14:paraId="79EC336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沥青倒罐泵</w:t>
                  </w:r>
                </w:p>
              </w:tc>
              <w:tc>
                <w:tcPr>
                  <w:tcW w:w="2478" w:type="dxa"/>
                  <w:shd w:val="clear" w:color="auto" w:fill="auto"/>
                  <w:vAlign w:val="center"/>
                </w:tcPr>
                <w:p w14:paraId="57DCD52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2C6C37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3DA6D977">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33</w:t>
                  </w:r>
                </w:p>
              </w:tc>
              <w:tc>
                <w:tcPr>
                  <w:tcW w:w="4468" w:type="dxa"/>
                  <w:shd w:val="clear" w:color="auto" w:fill="auto"/>
                  <w:vAlign w:val="center"/>
                </w:tcPr>
                <w:p w14:paraId="20F82176">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回收粉提取螺旋Ø219</w:t>
                  </w:r>
                </w:p>
              </w:tc>
              <w:tc>
                <w:tcPr>
                  <w:tcW w:w="2478" w:type="dxa"/>
                  <w:shd w:val="clear" w:color="auto" w:fill="auto"/>
                  <w:vAlign w:val="center"/>
                </w:tcPr>
                <w:p w14:paraId="1A48CD2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0F1798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7DFB581E">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34</w:t>
                  </w:r>
                </w:p>
              </w:tc>
              <w:tc>
                <w:tcPr>
                  <w:tcW w:w="4468" w:type="dxa"/>
                  <w:shd w:val="clear" w:color="auto" w:fill="auto"/>
                  <w:vAlign w:val="center"/>
                </w:tcPr>
                <w:p w14:paraId="13B4E1D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矿粉提取螺旋Ø219</w:t>
                  </w:r>
                </w:p>
              </w:tc>
              <w:tc>
                <w:tcPr>
                  <w:tcW w:w="2478" w:type="dxa"/>
                  <w:shd w:val="clear" w:color="auto" w:fill="auto"/>
                  <w:vAlign w:val="center"/>
                </w:tcPr>
                <w:p w14:paraId="0E211EFF">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565CA2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645CCF8B">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35</w:t>
                  </w:r>
                </w:p>
              </w:tc>
              <w:tc>
                <w:tcPr>
                  <w:tcW w:w="4468" w:type="dxa"/>
                  <w:shd w:val="clear" w:color="auto" w:fill="auto"/>
                  <w:vAlign w:val="center"/>
                </w:tcPr>
                <w:p w14:paraId="64A7D79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矿粉进秤螺旋Ø219</w:t>
                  </w:r>
                </w:p>
              </w:tc>
              <w:tc>
                <w:tcPr>
                  <w:tcW w:w="2478" w:type="dxa"/>
                  <w:shd w:val="clear" w:color="auto" w:fill="auto"/>
                  <w:vAlign w:val="center"/>
                </w:tcPr>
                <w:p w14:paraId="70D3FD71">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5D9394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65646B00">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36</w:t>
                  </w:r>
                </w:p>
              </w:tc>
              <w:tc>
                <w:tcPr>
                  <w:tcW w:w="4468" w:type="dxa"/>
                  <w:shd w:val="clear" w:color="auto" w:fill="auto"/>
                  <w:vAlign w:val="center"/>
                </w:tcPr>
                <w:p w14:paraId="1C316D5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回收粉回罐螺旋Ø273</w:t>
                  </w:r>
                </w:p>
              </w:tc>
              <w:tc>
                <w:tcPr>
                  <w:tcW w:w="2478" w:type="dxa"/>
                  <w:shd w:val="clear" w:color="auto" w:fill="auto"/>
                  <w:vAlign w:val="center"/>
                </w:tcPr>
                <w:p w14:paraId="6642D14D">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6E596B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542A5F2D">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37</w:t>
                  </w:r>
                </w:p>
              </w:tc>
              <w:tc>
                <w:tcPr>
                  <w:tcW w:w="4468" w:type="dxa"/>
                  <w:shd w:val="clear" w:color="auto" w:fill="auto"/>
                  <w:vAlign w:val="center"/>
                </w:tcPr>
                <w:p w14:paraId="21134E63">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仓顶除尘器</w:t>
                  </w:r>
                </w:p>
              </w:tc>
              <w:tc>
                <w:tcPr>
                  <w:tcW w:w="2478" w:type="dxa"/>
                  <w:shd w:val="clear" w:color="auto" w:fill="auto"/>
                  <w:vAlign w:val="center"/>
                </w:tcPr>
                <w:p w14:paraId="2EFBA00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6DED57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6DA4463C">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38</w:t>
                  </w:r>
                </w:p>
              </w:tc>
              <w:tc>
                <w:tcPr>
                  <w:tcW w:w="4468" w:type="dxa"/>
                  <w:shd w:val="clear" w:color="auto" w:fill="auto"/>
                  <w:vAlign w:val="center"/>
                </w:tcPr>
                <w:p w14:paraId="5B3AD6D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TTB系列燃烧器</w:t>
                  </w:r>
                </w:p>
              </w:tc>
              <w:tc>
                <w:tcPr>
                  <w:tcW w:w="2478" w:type="dxa"/>
                  <w:shd w:val="clear" w:color="auto" w:fill="auto"/>
                  <w:vAlign w:val="center"/>
                </w:tcPr>
                <w:p w14:paraId="2EC8B23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0E860A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32EAFA8E">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39</w:t>
                  </w:r>
                </w:p>
              </w:tc>
              <w:tc>
                <w:tcPr>
                  <w:tcW w:w="4468" w:type="dxa"/>
                  <w:shd w:val="clear" w:color="auto" w:fill="auto"/>
                  <w:vAlign w:val="center"/>
                </w:tcPr>
                <w:p w14:paraId="056580E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布袋除尘器</w:t>
                  </w:r>
                </w:p>
              </w:tc>
              <w:tc>
                <w:tcPr>
                  <w:tcW w:w="2478" w:type="dxa"/>
                  <w:shd w:val="clear" w:color="auto" w:fill="auto"/>
                  <w:vAlign w:val="center"/>
                </w:tcPr>
                <w:p w14:paraId="4841F32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r>
            <w:tr w14:paraId="229A76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3C19D0AD">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40</w:t>
                  </w:r>
                </w:p>
              </w:tc>
              <w:tc>
                <w:tcPr>
                  <w:tcW w:w="4468" w:type="dxa"/>
                  <w:shd w:val="clear" w:color="auto" w:fill="auto"/>
                  <w:vAlign w:val="center"/>
                </w:tcPr>
                <w:p w14:paraId="3AC42FD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重力除尘器+布袋除尘器</w:t>
                  </w:r>
                </w:p>
              </w:tc>
              <w:tc>
                <w:tcPr>
                  <w:tcW w:w="2478" w:type="dxa"/>
                  <w:shd w:val="clear" w:color="auto" w:fill="auto"/>
                  <w:vAlign w:val="center"/>
                </w:tcPr>
                <w:p w14:paraId="13F50777">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72454F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32EADDB3">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41</w:t>
                  </w:r>
                </w:p>
              </w:tc>
              <w:tc>
                <w:tcPr>
                  <w:tcW w:w="4468" w:type="dxa"/>
                  <w:shd w:val="clear" w:color="auto" w:fill="auto"/>
                  <w:vAlign w:val="center"/>
                </w:tcPr>
                <w:p w14:paraId="72501D61">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排气筒（15m）</w:t>
                  </w:r>
                </w:p>
              </w:tc>
              <w:tc>
                <w:tcPr>
                  <w:tcW w:w="2478" w:type="dxa"/>
                  <w:shd w:val="clear" w:color="auto" w:fill="auto"/>
                  <w:vAlign w:val="center"/>
                </w:tcPr>
                <w:p w14:paraId="340193F7">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w:t>
                  </w:r>
                </w:p>
              </w:tc>
            </w:tr>
            <w:tr w14:paraId="3028A7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7C378EBC">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42</w:t>
                  </w:r>
                </w:p>
              </w:tc>
              <w:tc>
                <w:tcPr>
                  <w:tcW w:w="4468" w:type="dxa"/>
                  <w:shd w:val="clear" w:color="auto" w:fill="auto"/>
                  <w:vAlign w:val="center"/>
                </w:tcPr>
                <w:p w14:paraId="3E236530">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强冷风扇</w:t>
                  </w:r>
                </w:p>
              </w:tc>
              <w:tc>
                <w:tcPr>
                  <w:tcW w:w="2478" w:type="dxa"/>
                  <w:shd w:val="clear" w:color="auto" w:fill="auto"/>
                  <w:vAlign w:val="center"/>
                </w:tcPr>
                <w:p w14:paraId="198D0101">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0B3FD8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pct"/>
                  <w:shd w:val="clear" w:color="auto" w:fill="auto"/>
                  <w:vAlign w:val="center"/>
                </w:tcPr>
                <w:p w14:paraId="53677F6F">
                  <w:pPr>
                    <w:pStyle w:val="45"/>
                    <w:tabs>
                      <w:tab w:val="left" w:pos="4767"/>
                    </w:tabs>
                    <w:jc w:val="center"/>
                    <w:rPr>
                      <w:rFonts w:hint="default" w:ascii="Times New Roman" w:hAnsi="Times New Roman" w:cs="Times New Roman"/>
                      <w:color w:val="auto"/>
                      <w:lang w:val="en-US" w:eastAsia="zh-CN"/>
                    </w:rPr>
                  </w:pPr>
                  <w:r>
                    <w:rPr>
                      <w:rFonts w:hint="eastAsia" w:cs="Times New Roman"/>
                      <w:color w:val="auto"/>
                      <w:lang w:val="en-US" w:eastAsia="zh-CN"/>
                    </w:rPr>
                    <w:t>43</w:t>
                  </w:r>
                </w:p>
              </w:tc>
              <w:tc>
                <w:tcPr>
                  <w:tcW w:w="4468" w:type="dxa"/>
                  <w:shd w:val="clear" w:color="auto" w:fill="auto"/>
                  <w:vAlign w:val="center"/>
                </w:tcPr>
                <w:p w14:paraId="66086BEC">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强制间歇式沥青混合料搅拌设备DG4000D</w:t>
                  </w:r>
                </w:p>
              </w:tc>
              <w:tc>
                <w:tcPr>
                  <w:tcW w:w="2478" w:type="dxa"/>
                  <w:shd w:val="clear" w:color="auto" w:fill="auto"/>
                  <w:vAlign w:val="center"/>
                </w:tcPr>
                <w:p w14:paraId="0966A5E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w:t>
                  </w:r>
                </w:p>
              </w:tc>
            </w:tr>
          </w:tbl>
          <w:p w14:paraId="4BB75329">
            <w:pPr>
              <w:tabs>
                <w:tab w:val="left" w:pos="4767"/>
              </w:tabs>
              <w:rPr>
                <w:rFonts w:hint="default" w:ascii="Times New Roman" w:hAnsi="Times New Roman" w:eastAsia="黑体" w:cs="Times New Roman"/>
                <w:bCs/>
                <w:color w:val="auto"/>
                <w:sz w:val="24"/>
                <w:lang w:val="en-US" w:eastAsia="zh-CN"/>
              </w:rPr>
            </w:pPr>
            <w:r>
              <w:rPr>
                <w:rFonts w:hint="default" w:ascii="Times New Roman" w:hAnsi="Times New Roman" w:eastAsia="黑体" w:cs="Times New Roman"/>
                <w:bCs/>
                <w:color w:val="auto"/>
                <w:sz w:val="24"/>
                <w:lang w:val="en-US" w:eastAsia="zh-CN"/>
              </w:rPr>
              <w:t>5</w:t>
            </w:r>
            <w:r>
              <w:rPr>
                <w:rFonts w:hint="default" w:ascii="Times New Roman" w:hAnsi="Times New Roman" w:eastAsia="黑体" w:cs="Times New Roman"/>
                <w:bCs/>
                <w:color w:val="auto"/>
                <w:sz w:val="24"/>
              </w:rPr>
              <w:t>、</w:t>
            </w:r>
            <w:r>
              <w:rPr>
                <w:rFonts w:hint="default" w:ascii="Times New Roman" w:hAnsi="Times New Roman" w:eastAsia="黑体" w:cs="Times New Roman"/>
                <w:bCs/>
                <w:color w:val="auto"/>
                <w:sz w:val="24"/>
                <w:lang w:val="en-US" w:eastAsia="zh-CN"/>
              </w:rPr>
              <w:t>主要生产单元及主要生产工艺</w:t>
            </w:r>
          </w:p>
          <w:p w14:paraId="57591A09">
            <w:pPr>
              <w:tabs>
                <w:tab w:val="left" w:pos="4767"/>
              </w:tabs>
              <w:ind w:firstLine="514"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本项目建设1条年生产15万</w:t>
            </w:r>
            <w:r>
              <w:rPr>
                <w:rFonts w:hint="default" w:ascii="Times New Roman" w:hAnsi="Times New Roman" w:cs="Times New Roman"/>
                <w:color w:val="auto"/>
                <w:sz w:val="24"/>
                <w:lang w:val="en-US" w:eastAsia="zh-CN"/>
              </w:rPr>
              <w:t>吨</w:t>
            </w:r>
            <w:r>
              <w:rPr>
                <w:rFonts w:hint="default" w:ascii="Times New Roman" w:hAnsi="Times New Roman" w:eastAsia="宋体" w:cs="Times New Roman"/>
                <w:color w:val="auto"/>
                <w:sz w:val="24"/>
                <w:lang w:val="en-US" w:eastAsia="zh-CN"/>
              </w:rPr>
              <w:t>沥青混凝土生产线。主要工序包括：备配料工序、干燥工序、混料工序、落料工序、废气处理系统。生产工艺拟将原料（沥青、矿石）烘干加热与矿粉按比例混合生产沥青混凝土。</w:t>
            </w:r>
          </w:p>
          <w:p w14:paraId="0148FF62">
            <w:pPr>
              <w:tabs>
                <w:tab w:val="left" w:pos="4767"/>
              </w:tabs>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lang w:val="en-US" w:eastAsia="zh-CN"/>
              </w:rPr>
              <w:t>6</w:t>
            </w:r>
            <w:r>
              <w:rPr>
                <w:rFonts w:hint="default" w:ascii="Times New Roman" w:hAnsi="Times New Roman" w:eastAsia="黑体" w:cs="Times New Roman"/>
                <w:bCs/>
                <w:color w:val="auto"/>
                <w:sz w:val="24"/>
              </w:rPr>
              <w:t>、主要原辅材料</w:t>
            </w:r>
          </w:p>
          <w:p w14:paraId="687A0327">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根据建设单位提供资料，本项目原辅材料用量见表2-4。</w:t>
            </w:r>
          </w:p>
          <w:p w14:paraId="2BD7E3FC">
            <w:pPr>
              <w:pStyle w:val="73"/>
              <w:tabs>
                <w:tab w:val="left" w:pos="4767"/>
              </w:tabs>
              <w:spacing w:before="0" w:beforeLines="0" w:after="0" w:afterLines="0"/>
              <w:rPr>
                <w:rFonts w:hint="default" w:ascii="Times New Roman" w:hAnsi="Times New Roman" w:cs="Times New Roman"/>
                <w:color w:val="auto"/>
                <w:szCs w:val="21"/>
              </w:rPr>
            </w:pPr>
            <w:r>
              <w:rPr>
                <w:rFonts w:hint="default" w:ascii="Times New Roman" w:hAnsi="Times New Roman" w:cs="Times New Roman"/>
                <w:color w:val="auto"/>
                <w:sz w:val="24"/>
              </w:rPr>
              <w:t>表2-4  本项目主要原辅材料一览表</w:t>
            </w:r>
          </w:p>
          <w:tbl>
            <w:tblPr>
              <w:tblStyle w:val="2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453"/>
              <w:gridCol w:w="1202"/>
              <w:gridCol w:w="867"/>
              <w:gridCol w:w="1134"/>
              <w:gridCol w:w="1105"/>
              <w:gridCol w:w="1244"/>
              <w:gridCol w:w="909"/>
            </w:tblGrid>
            <w:tr w14:paraId="278D7D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65" w:type="pct"/>
                  <w:tcBorders>
                    <w:tl2br w:val="nil"/>
                    <w:tr2bl w:val="nil"/>
                  </w:tcBorders>
                  <w:shd w:val="clear" w:color="auto" w:fill="auto"/>
                  <w:vAlign w:val="center"/>
                </w:tcPr>
                <w:p w14:paraId="1452004F">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880" w:type="pct"/>
                  <w:tcBorders>
                    <w:tl2br w:val="nil"/>
                    <w:tr2bl w:val="nil"/>
                  </w:tcBorders>
                  <w:shd w:val="clear" w:color="auto" w:fill="auto"/>
                  <w:vAlign w:val="center"/>
                </w:tcPr>
                <w:p w14:paraId="28E28E4C">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名称</w:t>
                  </w:r>
                </w:p>
              </w:tc>
              <w:tc>
                <w:tcPr>
                  <w:tcW w:w="732" w:type="pct"/>
                  <w:tcBorders>
                    <w:tl2br w:val="nil"/>
                    <w:tr2bl w:val="nil"/>
                  </w:tcBorders>
                  <w:shd w:val="clear" w:color="auto" w:fill="auto"/>
                  <w:vAlign w:val="center"/>
                </w:tcPr>
                <w:p w14:paraId="1679CAE9">
                  <w:pPr>
                    <w:pStyle w:val="45"/>
                    <w:tabs>
                      <w:tab w:val="left" w:pos="4767"/>
                    </w:tabs>
                    <w:snapToGrid/>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lang w:val="en-US" w:eastAsia="zh-CN"/>
                    </w:rPr>
                    <w:t>用量</w:t>
                  </w:r>
                </w:p>
              </w:tc>
              <w:tc>
                <w:tcPr>
                  <w:tcW w:w="535" w:type="pct"/>
                  <w:tcBorders>
                    <w:tl2br w:val="nil"/>
                    <w:tr2bl w:val="nil"/>
                  </w:tcBorders>
                  <w:shd w:val="clear" w:color="auto" w:fill="auto"/>
                  <w:vAlign w:val="center"/>
                </w:tcPr>
                <w:p w14:paraId="2C883ADE">
                  <w:pPr>
                    <w:pStyle w:val="45"/>
                    <w:tabs>
                      <w:tab w:val="left" w:pos="4767"/>
                    </w:tabs>
                    <w:snapToGrid/>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lang w:val="en-US" w:eastAsia="zh-CN"/>
                    </w:rPr>
                    <w:t>单位</w:t>
                  </w:r>
                </w:p>
              </w:tc>
              <w:tc>
                <w:tcPr>
                  <w:tcW w:w="692" w:type="pct"/>
                  <w:tcBorders>
                    <w:tl2br w:val="nil"/>
                    <w:tr2bl w:val="nil"/>
                  </w:tcBorders>
                  <w:shd w:val="clear" w:color="auto" w:fill="auto"/>
                  <w:vAlign w:val="center"/>
                </w:tcPr>
                <w:p w14:paraId="151122F8">
                  <w:pPr>
                    <w:pStyle w:val="45"/>
                    <w:tabs>
                      <w:tab w:val="left" w:pos="4767"/>
                    </w:tabs>
                    <w:snapToGrid/>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lang w:val="en-US" w:eastAsia="zh-CN"/>
                    </w:rPr>
                    <w:t>储存方式</w:t>
                  </w:r>
                </w:p>
              </w:tc>
              <w:tc>
                <w:tcPr>
                  <w:tcW w:w="675" w:type="pct"/>
                  <w:tcBorders>
                    <w:tl2br w:val="nil"/>
                    <w:tr2bl w:val="nil"/>
                  </w:tcBorders>
                  <w:shd w:val="clear" w:color="auto" w:fill="auto"/>
                  <w:vAlign w:val="center"/>
                </w:tcPr>
                <w:p w14:paraId="40D00236">
                  <w:pPr>
                    <w:pStyle w:val="45"/>
                    <w:tabs>
                      <w:tab w:val="left" w:pos="4767"/>
                    </w:tabs>
                    <w:snapToGrid/>
                    <w:spacing w:line="0" w:lineRule="atLeast"/>
                    <w:jc w:val="center"/>
                    <w:rPr>
                      <w:rFonts w:hint="default" w:ascii="Times New Roman" w:hAnsi="Times New Roman" w:cs="Times New Roman"/>
                      <w:b/>
                      <w:bCs/>
                      <w:color w:val="auto"/>
                      <w:szCs w:val="21"/>
                      <w:lang w:val="en-US" w:eastAsia="zh-CN"/>
                    </w:rPr>
                  </w:pPr>
                  <w:r>
                    <w:rPr>
                      <w:rFonts w:hint="default" w:ascii="Times New Roman" w:hAnsi="Times New Roman" w:cs="Times New Roman"/>
                      <w:b/>
                      <w:bCs/>
                      <w:color w:val="auto"/>
                      <w:szCs w:val="21"/>
                      <w:lang w:val="en-US" w:eastAsia="zh-CN"/>
                    </w:rPr>
                    <w:t>最大存</w:t>
                  </w:r>
                </w:p>
                <w:p w14:paraId="596A0331">
                  <w:pPr>
                    <w:pStyle w:val="45"/>
                    <w:tabs>
                      <w:tab w:val="left" w:pos="4767"/>
                    </w:tabs>
                    <w:snapToGrid/>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lang w:val="en-US" w:eastAsia="zh-CN"/>
                    </w:rPr>
                    <w:t>储量</w:t>
                  </w:r>
                </w:p>
              </w:tc>
              <w:tc>
                <w:tcPr>
                  <w:tcW w:w="559" w:type="pct"/>
                  <w:tcBorders>
                    <w:tl2br w:val="nil"/>
                    <w:tr2bl w:val="nil"/>
                  </w:tcBorders>
                  <w:shd w:val="clear" w:color="auto" w:fill="auto"/>
                  <w:vAlign w:val="center"/>
                </w:tcPr>
                <w:p w14:paraId="6CBA4DC1">
                  <w:pPr>
                    <w:pStyle w:val="45"/>
                    <w:tabs>
                      <w:tab w:val="left" w:pos="4767"/>
                    </w:tabs>
                    <w:snapToGrid/>
                    <w:spacing w:line="0" w:lineRule="atLeast"/>
                    <w:jc w:val="center"/>
                    <w:rPr>
                      <w:rFonts w:hint="default" w:ascii="Times New Roman" w:hAnsi="Times New Roman" w:eastAsia="宋体" w:cs="Times New Roman"/>
                      <w:b/>
                      <w:bCs/>
                      <w:color w:val="auto"/>
                      <w:szCs w:val="21"/>
                      <w:lang w:val="en-US" w:eastAsia="zh-CN"/>
                    </w:rPr>
                  </w:pPr>
                  <w:r>
                    <w:rPr>
                      <w:rFonts w:hint="eastAsia" w:cs="Times New Roman"/>
                      <w:b/>
                      <w:bCs/>
                      <w:color w:val="auto"/>
                      <w:szCs w:val="21"/>
                      <w:lang w:val="en-US" w:eastAsia="zh-CN"/>
                    </w:rPr>
                    <w:t>执行标准</w:t>
                  </w:r>
                </w:p>
              </w:tc>
              <w:tc>
                <w:tcPr>
                  <w:tcW w:w="559" w:type="pct"/>
                  <w:tcBorders>
                    <w:tl2br w:val="nil"/>
                    <w:tr2bl w:val="nil"/>
                  </w:tcBorders>
                  <w:shd w:val="clear" w:color="auto" w:fill="auto"/>
                  <w:vAlign w:val="center"/>
                </w:tcPr>
                <w:p w14:paraId="530951A1">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备注</w:t>
                  </w:r>
                </w:p>
              </w:tc>
            </w:tr>
            <w:tr w14:paraId="4C76CD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 w:type="pct"/>
                  <w:tcBorders>
                    <w:tl2br w:val="nil"/>
                    <w:tr2bl w:val="nil"/>
                  </w:tcBorders>
                  <w:shd w:val="clear" w:color="auto" w:fill="auto"/>
                  <w:vAlign w:val="center"/>
                </w:tcPr>
                <w:p w14:paraId="7A1D4C84">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880" w:type="pct"/>
                  <w:tcBorders>
                    <w:tl2br w:val="nil"/>
                    <w:tr2bl w:val="nil"/>
                  </w:tcBorders>
                  <w:shd w:val="clear" w:color="auto" w:fill="auto"/>
                  <w:vAlign w:val="center"/>
                </w:tcPr>
                <w:p w14:paraId="510D5F2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沥青</w:t>
                  </w:r>
                </w:p>
              </w:tc>
              <w:tc>
                <w:tcPr>
                  <w:tcW w:w="732" w:type="pct"/>
                  <w:tcBorders>
                    <w:right w:val="single" w:color="000000" w:sz="6" w:space="0"/>
                    <w:tl2br w:val="nil"/>
                    <w:tr2bl w:val="nil"/>
                  </w:tcBorders>
                  <w:shd w:val="clear" w:color="auto" w:fill="auto"/>
                  <w:vAlign w:val="center"/>
                </w:tcPr>
                <w:p w14:paraId="09078CDF">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5500</w:t>
                  </w:r>
                </w:p>
              </w:tc>
              <w:tc>
                <w:tcPr>
                  <w:tcW w:w="535" w:type="pct"/>
                  <w:tcBorders>
                    <w:left w:val="single" w:color="000000" w:sz="6" w:space="0"/>
                    <w:tl2br w:val="nil"/>
                    <w:tr2bl w:val="nil"/>
                  </w:tcBorders>
                  <w:shd w:val="clear" w:color="auto" w:fill="auto"/>
                  <w:vAlign w:val="center"/>
                </w:tcPr>
                <w:p w14:paraId="4BD259E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t/a</w:t>
                  </w:r>
                </w:p>
              </w:tc>
              <w:tc>
                <w:tcPr>
                  <w:tcW w:w="692" w:type="pct"/>
                  <w:tcBorders>
                    <w:tl2br w:val="nil"/>
                    <w:tr2bl w:val="nil"/>
                  </w:tcBorders>
                  <w:shd w:val="clear" w:color="auto" w:fill="auto"/>
                  <w:vAlign w:val="center"/>
                </w:tcPr>
                <w:p w14:paraId="7E18467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沥青罐</w:t>
                  </w:r>
                </w:p>
              </w:tc>
              <w:tc>
                <w:tcPr>
                  <w:tcW w:w="675" w:type="pct"/>
                  <w:tcBorders>
                    <w:tl2br w:val="nil"/>
                    <w:tr2bl w:val="nil"/>
                  </w:tcBorders>
                  <w:shd w:val="clear" w:color="auto" w:fill="auto"/>
                  <w:vAlign w:val="center"/>
                </w:tcPr>
                <w:p w14:paraId="01B4019C">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32</w:t>
                  </w:r>
                </w:p>
              </w:tc>
              <w:tc>
                <w:tcPr>
                  <w:tcW w:w="559" w:type="pct"/>
                  <w:vMerge w:val="restart"/>
                  <w:tcBorders>
                    <w:tl2br w:val="nil"/>
                    <w:tr2bl w:val="nil"/>
                  </w:tcBorders>
                  <w:shd w:val="clear" w:color="auto" w:fill="auto"/>
                  <w:vAlign w:val="center"/>
                </w:tcPr>
                <w:p w14:paraId="4AA68DB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《公路沥青路面施工技术规范》（JTG F40-2004）</w:t>
                  </w:r>
                </w:p>
              </w:tc>
              <w:tc>
                <w:tcPr>
                  <w:tcW w:w="559" w:type="pct"/>
                  <w:tcBorders>
                    <w:tl2br w:val="nil"/>
                    <w:tr2bl w:val="nil"/>
                  </w:tcBorders>
                  <w:shd w:val="clear" w:color="auto" w:fill="auto"/>
                  <w:vAlign w:val="center"/>
                </w:tcPr>
                <w:p w14:paraId="71AE72C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外购</w:t>
                  </w:r>
                </w:p>
              </w:tc>
            </w:tr>
            <w:tr w14:paraId="398B8B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shd w:val="clear" w:color="auto" w:fill="auto"/>
                  <w:vAlign w:val="center"/>
                </w:tcPr>
                <w:p w14:paraId="04BBA263">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880" w:type="pct"/>
                  <w:tcBorders>
                    <w:tl2br w:val="nil"/>
                    <w:tr2bl w:val="nil"/>
                  </w:tcBorders>
                  <w:shd w:val="clear" w:color="auto" w:fill="auto"/>
                  <w:vAlign w:val="center"/>
                </w:tcPr>
                <w:p w14:paraId="4B43FA4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矿石(≤9.5mm)</w:t>
                  </w:r>
                </w:p>
              </w:tc>
              <w:tc>
                <w:tcPr>
                  <w:tcW w:w="732" w:type="pct"/>
                  <w:tcBorders>
                    <w:right w:val="single" w:color="000000" w:sz="6" w:space="0"/>
                    <w:tl2br w:val="nil"/>
                    <w:tr2bl w:val="nil"/>
                  </w:tcBorders>
                  <w:shd w:val="clear" w:color="auto" w:fill="auto"/>
                  <w:vAlign w:val="center"/>
                </w:tcPr>
                <w:p w14:paraId="258EE12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144000</w:t>
                  </w:r>
                </w:p>
              </w:tc>
              <w:tc>
                <w:tcPr>
                  <w:tcW w:w="535" w:type="pct"/>
                  <w:tcBorders>
                    <w:left w:val="single" w:color="000000" w:sz="6" w:space="0"/>
                    <w:tl2br w:val="nil"/>
                    <w:tr2bl w:val="nil"/>
                  </w:tcBorders>
                  <w:shd w:val="clear" w:color="auto" w:fill="auto"/>
                  <w:vAlign w:val="center"/>
                </w:tcPr>
                <w:p w14:paraId="3B6B85B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t/a</w:t>
                  </w:r>
                </w:p>
              </w:tc>
              <w:tc>
                <w:tcPr>
                  <w:tcW w:w="692" w:type="pct"/>
                  <w:tcBorders>
                    <w:tl2br w:val="nil"/>
                    <w:tr2bl w:val="nil"/>
                  </w:tcBorders>
                  <w:shd w:val="clear" w:color="auto" w:fill="auto"/>
                  <w:vAlign w:val="center"/>
                </w:tcPr>
                <w:p w14:paraId="075693F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矿石库</w:t>
                  </w:r>
                </w:p>
              </w:tc>
              <w:tc>
                <w:tcPr>
                  <w:tcW w:w="675" w:type="pct"/>
                  <w:tcBorders>
                    <w:tl2br w:val="nil"/>
                    <w:tr2bl w:val="nil"/>
                  </w:tcBorders>
                  <w:shd w:val="clear" w:color="auto" w:fill="auto"/>
                  <w:vAlign w:val="center"/>
                </w:tcPr>
                <w:p w14:paraId="7560DB93">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25000</w:t>
                  </w:r>
                </w:p>
              </w:tc>
              <w:tc>
                <w:tcPr>
                  <w:tcW w:w="559" w:type="pct"/>
                  <w:vMerge w:val="continue"/>
                  <w:tcBorders>
                    <w:tl2br w:val="nil"/>
                    <w:tr2bl w:val="nil"/>
                  </w:tcBorders>
                  <w:shd w:val="clear" w:color="auto" w:fill="auto"/>
                  <w:vAlign w:val="center"/>
                </w:tcPr>
                <w:p w14:paraId="6C28493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p>
              </w:tc>
              <w:tc>
                <w:tcPr>
                  <w:tcW w:w="559" w:type="pct"/>
                  <w:tcBorders>
                    <w:tl2br w:val="nil"/>
                    <w:tr2bl w:val="nil"/>
                  </w:tcBorders>
                  <w:shd w:val="clear" w:color="auto" w:fill="auto"/>
                  <w:vAlign w:val="center"/>
                </w:tcPr>
                <w:p w14:paraId="1FD4960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外购</w:t>
                  </w:r>
                </w:p>
              </w:tc>
            </w:tr>
            <w:tr w14:paraId="53F1B6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 w:type="pct"/>
                  <w:tcBorders>
                    <w:tl2br w:val="nil"/>
                    <w:tr2bl w:val="nil"/>
                  </w:tcBorders>
                  <w:shd w:val="clear" w:color="auto" w:fill="auto"/>
                  <w:vAlign w:val="center"/>
                </w:tcPr>
                <w:p w14:paraId="3963CC52">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880" w:type="pct"/>
                  <w:tcBorders>
                    <w:tl2br w:val="nil"/>
                    <w:tr2bl w:val="nil"/>
                  </w:tcBorders>
                  <w:shd w:val="clear" w:color="auto" w:fill="auto"/>
                  <w:vAlign w:val="center"/>
                </w:tcPr>
                <w:p w14:paraId="44A22CE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矿粉</w:t>
                  </w:r>
                </w:p>
              </w:tc>
              <w:tc>
                <w:tcPr>
                  <w:tcW w:w="732" w:type="pct"/>
                  <w:tcBorders>
                    <w:right w:val="single" w:color="000000" w:sz="6" w:space="0"/>
                    <w:tl2br w:val="nil"/>
                    <w:tr2bl w:val="nil"/>
                  </w:tcBorders>
                  <w:shd w:val="clear" w:color="auto" w:fill="auto"/>
                  <w:vAlign w:val="center"/>
                </w:tcPr>
                <w:p w14:paraId="1CA1357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700</w:t>
                  </w:r>
                </w:p>
              </w:tc>
              <w:tc>
                <w:tcPr>
                  <w:tcW w:w="535" w:type="pct"/>
                  <w:tcBorders>
                    <w:left w:val="single" w:color="000000" w:sz="6" w:space="0"/>
                    <w:tl2br w:val="nil"/>
                    <w:tr2bl w:val="nil"/>
                  </w:tcBorders>
                  <w:shd w:val="clear" w:color="auto" w:fill="auto"/>
                  <w:vAlign w:val="center"/>
                </w:tcPr>
                <w:p w14:paraId="5551ADFF">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t/a</w:t>
                  </w:r>
                </w:p>
              </w:tc>
              <w:tc>
                <w:tcPr>
                  <w:tcW w:w="692" w:type="pct"/>
                  <w:tcBorders>
                    <w:tl2br w:val="nil"/>
                    <w:tr2bl w:val="nil"/>
                  </w:tcBorders>
                  <w:shd w:val="clear" w:color="auto" w:fill="auto"/>
                  <w:vAlign w:val="center"/>
                </w:tcPr>
                <w:p w14:paraId="2FDFE51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矿粉罐</w:t>
                  </w:r>
                </w:p>
              </w:tc>
              <w:tc>
                <w:tcPr>
                  <w:tcW w:w="675" w:type="pct"/>
                  <w:tcBorders>
                    <w:tl2br w:val="nil"/>
                    <w:tr2bl w:val="nil"/>
                  </w:tcBorders>
                  <w:shd w:val="clear" w:color="auto" w:fill="auto"/>
                  <w:vAlign w:val="center"/>
                </w:tcPr>
                <w:p w14:paraId="6F8DF69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80</w:t>
                  </w:r>
                </w:p>
              </w:tc>
              <w:tc>
                <w:tcPr>
                  <w:tcW w:w="559" w:type="pct"/>
                  <w:vMerge w:val="continue"/>
                  <w:tcBorders>
                    <w:tl2br w:val="nil"/>
                    <w:tr2bl w:val="nil"/>
                  </w:tcBorders>
                  <w:shd w:val="clear" w:color="auto" w:fill="auto"/>
                  <w:vAlign w:val="center"/>
                </w:tcPr>
                <w:p w14:paraId="1E6324D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p>
              </w:tc>
              <w:tc>
                <w:tcPr>
                  <w:tcW w:w="559" w:type="pct"/>
                  <w:tcBorders>
                    <w:tl2br w:val="nil"/>
                    <w:tr2bl w:val="nil"/>
                  </w:tcBorders>
                  <w:shd w:val="clear" w:color="auto" w:fill="auto"/>
                  <w:vAlign w:val="center"/>
                </w:tcPr>
                <w:p w14:paraId="343AEF0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外购</w:t>
                  </w:r>
                </w:p>
              </w:tc>
            </w:tr>
            <w:tr w14:paraId="157E1B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 w:type="pct"/>
                  <w:tcBorders>
                    <w:tl2br w:val="nil"/>
                    <w:tr2bl w:val="nil"/>
                  </w:tcBorders>
                  <w:shd w:val="clear" w:color="auto" w:fill="auto"/>
                  <w:vAlign w:val="center"/>
                </w:tcPr>
                <w:p w14:paraId="7AE1822F">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880" w:type="pct"/>
                  <w:tcBorders>
                    <w:tl2br w:val="nil"/>
                    <w:tr2bl w:val="nil"/>
                  </w:tcBorders>
                  <w:shd w:val="clear" w:color="auto" w:fill="auto"/>
                  <w:vAlign w:val="center"/>
                </w:tcPr>
                <w:p w14:paraId="384C3C23">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天然气</w:t>
                  </w:r>
                </w:p>
              </w:tc>
              <w:tc>
                <w:tcPr>
                  <w:tcW w:w="732" w:type="pct"/>
                  <w:tcBorders>
                    <w:right w:val="single" w:color="000000" w:sz="6" w:space="0"/>
                    <w:tl2br w:val="nil"/>
                    <w:tr2bl w:val="nil"/>
                  </w:tcBorders>
                  <w:shd w:val="clear" w:color="auto" w:fill="auto"/>
                  <w:vAlign w:val="center"/>
                </w:tcPr>
                <w:p w14:paraId="5FABD651">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750</w:t>
                  </w:r>
                </w:p>
              </w:tc>
              <w:tc>
                <w:tcPr>
                  <w:tcW w:w="535" w:type="pct"/>
                  <w:tcBorders>
                    <w:left w:val="single" w:color="000000" w:sz="6" w:space="0"/>
                    <w:tl2br w:val="nil"/>
                    <w:tr2bl w:val="nil"/>
                  </w:tcBorders>
                  <w:shd w:val="clear" w:color="auto" w:fill="auto"/>
                  <w:vAlign w:val="center"/>
                </w:tcPr>
                <w:p w14:paraId="6FB173F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t/a</w:t>
                  </w:r>
                </w:p>
              </w:tc>
              <w:tc>
                <w:tcPr>
                  <w:tcW w:w="692" w:type="pct"/>
                  <w:tcBorders>
                    <w:tl2br w:val="nil"/>
                    <w:tr2bl w:val="nil"/>
                  </w:tcBorders>
                  <w:shd w:val="clear" w:color="auto" w:fill="auto"/>
                  <w:vAlign w:val="center"/>
                </w:tcPr>
                <w:p w14:paraId="638A3D0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天然气槽车</w:t>
                  </w:r>
                </w:p>
              </w:tc>
              <w:tc>
                <w:tcPr>
                  <w:tcW w:w="675" w:type="pct"/>
                  <w:tcBorders>
                    <w:tl2br w:val="nil"/>
                    <w:tr2bl w:val="nil"/>
                  </w:tcBorders>
                  <w:shd w:val="clear" w:color="auto" w:fill="auto"/>
                  <w:vAlign w:val="center"/>
                </w:tcPr>
                <w:p w14:paraId="5E49C5D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22</w:t>
                  </w:r>
                </w:p>
              </w:tc>
              <w:tc>
                <w:tcPr>
                  <w:tcW w:w="559" w:type="pct"/>
                  <w:vMerge w:val="continue"/>
                  <w:tcBorders>
                    <w:tl2br w:val="nil"/>
                    <w:tr2bl w:val="nil"/>
                  </w:tcBorders>
                  <w:shd w:val="clear" w:color="auto" w:fill="auto"/>
                  <w:vAlign w:val="center"/>
                </w:tcPr>
                <w:p w14:paraId="26C6F8E3">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p>
              </w:tc>
              <w:tc>
                <w:tcPr>
                  <w:tcW w:w="559" w:type="pct"/>
                  <w:tcBorders>
                    <w:tl2br w:val="nil"/>
                    <w:tr2bl w:val="nil"/>
                  </w:tcBorders>
                  <w:shd w:val="clear" w:color="auto" w:fill="auto"/>
                  <w:vAlign w:val="center"/>
                </w:tcPr>
                <w:p w14:paraId="4F373F2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外购</w:t>
                  </w:r>
                </w:p>
              </w:tc>
            </w:tr>
            <w:tr w14:paraId="32397B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 w:type="pct"/>
                  <w:tcBorders>
                    <w:tl2br w:val="nil"/>
                    <w:tr2bl w:val="nil"/>
                  </w:tcBorders>
                  <w:shd w:val="clear" w:color="auto" w:fill="auto"/>
                  <w:vAlign w:val="center"/>
                </w:tcPr>
                <w:p w14:paraId="21FF3085">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880" w:type="pct"/>
                  <w:tcBorders>
                    <w:tl2br w:val="nil"/>
                    <w:tr2bl w:val="nil"/>
                  </w:tcBorders>
                  <w:shd w:val="clear" w:color="auto" w:fill="auto"/>
                  <w:vAlign w:val="center"/>
                </w:tcPr>
                <w:p w14:paraId="55F52C3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导热油</w:t>
                  </w:r>
                </w:p>
              </w:tc>
              <w:tc>
                <w:tcPr>
                  <w:tcW w:w="732" w:type="pct"/>
                  <w:tcBorders>
                    <w:right w:val="single" w:color="000000" w:sz="6" w:space="0"/>
                    <w:tl2br w:val="nil"/>
                    <w:tr2bl w:val="nil"/>
                  </w:tcBorders>
                  <w:shd w:val="clear" w:color="auto" w:fill="auto"/>
                  <w:vAlign w:val="center"/>
                </w:tcPr>
                <w:p w14:paraId="39AF1CC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535" w:type="pct"/>
                  <w:tcBorders>
                    <w:left w:val="single" w:color="000000" w:sz="6" w:space="0"/>
                    <w:tl2br w:val="nil"/>
                    <w:tr2bl w:val="nil"/>
                  </w:tcBorders>
                  <w:shd w:val="clear" w:color="auto" w:fill="auto"/>
                  <w:vAlign w:val="center"/>
                </w:tcPr>
                <w:p w14:paraId="2A692C1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w:t>
                  </w:r>
                  <w:r>
                    <w:rPr>
                      <w:rFonts w:hint="eastAsia" w:cs="Times New Roman"/>
                      <w:color w:val="auto"/>
                      <w:szCs w:val="21"/>
                      <w:lang w:val="en-US" w:eastAsia="zh-CN"/>
                    </w:rPr>
                    <w:t>5</w:t>
                  </w:r>
                  <w:r>
                    <w:rPr>
                      <w:rFonts w:hint="default" w:ascii="Times New Roman" w:hAnsi="Times New Roman" w:eastAsia="宋体" w:cs="Times New Roman"/>
                      <w:color w:val="auto"/>
                      <w:szCs w:val="21"/>
                      <w:lang w:val="en-US" w:eastAsia="zh-CN"/>
                    </w:rPr>
                    <w:t>a</w:t>
                  </w:r>
                </w:p>
              </w:tc>
              <w:tc>
                <w:tcPr>
                  <w:tcW w:w="692" w:type="pct"/>
                  <w:tcBorders>
                    <w:tl2br w:val="nil"/>
                    <w:tr2bl w:val="nil"/>
                  </w:tcBorders>
                  <w:shd w:val="clear" w:color="auto" w:fill="auto"/>
                  <w:vAlign w:val="center"/>
                </w:tcPr>
                <w:p w14:paraId="1451074D">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675" w:type="pct"/>
                  <w:tcBorders>
                    <w:tl2br w:val="nil"/>
                    <w:tr2bl w:val="nil"/>
                  </w:tcBorders>
                  <w:shd w:val="clear" w:color="auto" w:fill="auto"/>
                  <w:vAlign w:val="center"/>
                </w:tcPr>
                <w:p w14:paraId="0DEF67A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559" w:type="pct"/>
                  <w:vMerge w:val="continue"/>
                  <w:tcBorders>
                    <w:tl2br w:val="nil"/>
                    <w:tr2bl w:val="nil"/>
                  </w:tcBorders>
                  <w:shd w:val="clear" w:color="auto" w:fill="auto"/>
                  <w:vAlign w:val="center"/>
                </w:tcPr>
                <w:p w14:paraId="0CDF747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p>
              </w:tc>
              <w:tc>
                <w:tcPr>
                  <w:tcW w:w="559" w:type="pct"/>
                  <w:tcBorders>
                    <w:tl2br w:val="nil"/>
                    <w:tr2bl w:val="nil"/>
                  </w:tcBorders>
                  <w:shd w:val="clear" w:color="auto" w:fill="auto"/>
                  <w:vAlign w:val="center"/>
                </w:tcPr>
                <w:p w14:paraId="58283AEC">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厂家</w:t>
                  </w:r>
                </w:p>
                <w:p w14:paraId="3D6D3CA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提供</w:t>
                  </w:r>
                </w:p>
              </w:tc>
            </w:tr>
            <w:tr w14:paraId="5C9B09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 w:type="pct"/>
                  <w:tcBorders>
                    <w:tl2br w:val="nil"/>
                    <w:tr2bl w:val="nil"/>
                  </w:tcBorders>
                  <w:shd w:val="clear" w:color="auto" w:fill="auto"/>
                  <w:vAlign w:val="center"/>
                </w:tcPr>
                <w:p w14:paraId="1628469B">
                  <w:pPr>
                    <w:pStyle w:val="45"/>
                    <w:tabs>
                      <w:tab w:val="left" w:pos="4767"/>
                    </w:tabs>
                    <w:snapToGrid/>
                    <w:spacing w:line="0" w:lineRule="atLeas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6</w:t>
                  </w:r>
                </w:p>
              </w:tc>
              <w:tc>
                <w:tcPr>
                  <w:tcW w:w="880" w:type="pct"/>
                  <w:tcBorders>
                    <w:tl2br w:val="nil"/>
                    <w:tr2bl w:val="nil"/>
                  </w:tcBorders>
                  <w:shd w:val="clear" w:color="auto" w:fill="auto"/>
                  <w:vAlign w:val="center"/>
                </w:tcPr>
                <w:p w14:paraId="2DA61D11">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电</w:t>
                  </w:r>
                </w:p>
              </w:tc>
              <w:tc>
                <w:tcPr>
                  <w:tcW w:w="732" w:type="pct"/>
                  <w:tcBorders>
                    <w:right w:val="single" w:color="000000" w:sz="6" w:space="0"/>
                    <w:tl2br w:val="nil"/>
                    <w:tr2bl w:val="nil"/>
                  </w:tcBorders>
                  <w:shd w:val="clear" w:color="auto" w:fill="auto"/>
                  <w:vAlign w:val="center"/>
                </w:tcPr>
                <w:p w14:paraId="45ED7B3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8.5×10⁵</w:t>
                  </w:r>
                </w:p>
              </w:tc>
              <w:tc>
                <w:tcPr>
                  <w:tcW w:w="535" w:type="pct"/>
                  <w:tcBorders>
                    <w:left w:val="single" w:color="000000" w:sz="6" w:space="0"/>
                    <w:tl2br w:val="nil"/>
                    <w:tr2bl w:val="nil"/>
                  </w:tcBorders>
                  <w:shd w:val="clear" w:color="auto" w:fill="auto"/>
                  <w:vAlign w:val="center"/>
                </w:tcPr>
                <w:p w14:paraId="3CEE78E8">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kWh</w:t>
                  </w:r>
                </w:p>
              </w:tc>
              <w:tc>
                <w:tcPr>
                  <w:tcW w:w="692" w:type="pct"/>
                  <w:tcBorders>
                    <w:tl2br w:val="nil"/>
                    <w:tr2bl w:val="nil"/>
                  </w:tcBorders>
                  <w:shd w:val="clear" w:color="auto" w:fill="auto"/>
                  <w:vAlign w:val="center"/>
                </w:tcPr>
                <w:p w14:paraId="1CB99D4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675" w:type="pct"/>
                  <w:tcBorders>
                    <w:tl2br w:val="nil"/>
                    <w:tr2bl w:val="nil"/>
                  </w:tcBorders>
                  <w:shd w:val="clear" w:color="auto" w:fill="auto"/>
                  <w:vAlign w:val="center"/>
                </w:tcPr>
                <w:p w14:paraId="3BE6D189">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559" w:type="pct"/>
                  <w:vMerge w:val="continue"/>
                  <w:tcBorders>
                    <w:tl2br w:val="nil"/>
                    <w:tr2bl w:val="nil"/>
                  </w:tcBorders>
                  <w:shd w:val="clear" w:color="auto" w:fill="auto"/>
                  <w:vAlign w:val="center"/>
                </w:tcPr>
                <w:p w14:paraId="17B4F116">
                  <w:pPr>
                    <w:pStyle w:val="45"/>
                    <w:tabs>
                      <w:tab w:val="left" w:pos="4767"/>
                    </w:tabs>
                    <w:snapToGrid/>
                    <w:spacing w:line="0" w:lineRule="atLeast"/>
                    <w:jc w:val="center"/>
                    <w:rPr>
                      <w:rFonts w:hint="eastAsia" w:cs="Times New Roman"/>
                      <w:color w:val="auto"/>
                      <w:szCs w:val="21"/>
                      <w:lang w:val="en-US" w:eastAsia="zh-CN"/>
                    </w:rPr>
                  </w:pPr>
                </w:p>
              </w:tc>
              <w:tc>
                <w:tcPr>
                  <w:tcW w:w="559" w:type="pct"/>
                  <w:tcBorders>
                    <w:tl2br w:val="nil"/>
                    <w:tr2bl w:val="nil"/>
                  </w:tcBorders>
                  <w:shd w:val="clear" w:color="auto" w:fill="auto"/>
                  <w:vAlign w:val="center"/>
                </w:tcPr>
                <w:p w14:paraId="25CA653F">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r>
            <w:tr w14:paraId="60EE10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 w:type="pct"/>
                  <w:tcBorders>
                    <w:tl2br w:val="nil"/>
                    <w:tr2bl w:val="nil"/>
                  </w:tcBorders>
                  <w:shd w:val="clear" w:color="auto" w:fill="auto"/>
                  <w:vAlign w:val="center"/>
                </w:tcPr>
                <w:p w14:paraId="60A5E35C">
                  <w:pPr>
                    <w:pStyle w:val="45"/>
                    <w:tabs>
                      <w:tab w:val="left" w:pos="4767"/>
                    </w:tabs>
                    <w:snapToGrid/>
                    <w:spacing w:line="0" w:lineRule="atLeast"/>
                    <w:jc w:val="center"/>
                    <w:rPr>
                      <w:rFonts w:hint="default" w:cs="Times New Roman"/>
                      <w:color w:val="auto"/>
                      <w:szCs w:val="21"/>
                      <w:lang w:val="en-US" w:eastAsia="zh-CN"/>
                    </w:rPr>
                  </w:pPr>
                  <w:r>
                    <w:rPr>
                      <w:rFonts w:hint="eastAsia" w:cs="Times New Roman"/>
                      <w:color w:val="auto"/>
                      <w:szCs w:val="21"/>
                      <w:lang w:val="en-US" w:eastAsia="zh-CN"/>
                    </w:rPr>
                    <w:t>7</w:t>
                  </w:r>
                </w:p>
              </w:tc>
              <w:tc>
                <w:tcPr>
                  <w:tcW w:w="880" w:type="pct"/>
                  <w:tcBorders>
                    <w:tl2br w:val="nil"/>
                    <w:tr2bl w:val="nil"/>
                  </w:tcBorders>
                  <w:shd w:val="clear" w:color="auto" w:fill="auto"/>
                  <w:vAlign w:val="center"/>
                </w:tcPr>
                <w:p w14:paraId="44B5AC4C">
                  <w:pPr>
                    <w:pStyle w:val="45"/>
                    <w:tabs>
                      <w:tab w:val="left" w:pos="4767"/>
                    </w:tabs>
                    <w:snapToGrid/>
                    <w:spacing w:line="0" w:lineRule="atLeast"/>
                    <w:jc w:val="center"/>
                    <w:rPr>
                      <w:rFonts w:hint="default" w:cs="Times New Roman"/>
                      <w:color w:val="auto"/>
                      <w:szCs w:val="21"/>
                      <w:lang w:val="en-US" w:eastAsia="zh-CN"/>
                    </w:rPr>
                  </w:pPr>
                  <w:r>
                    <w:rPr>
                      <w:rFonts w:hint="eastAsia" w:cs="Times New Roman"/>
                      <w:color w:val="auto"/>
                      <w:szCs w:val="21"/>
                      <w:lang w:val="en-US" w:eastAsia="zh-CN"/>
                    </w:rPr>
                    <w:t>水</w:t>
                  </w:r>
                </w:p>
              </w:tc>
              <w:tc>
                <w:tcPr>
                  <w:tcW w:w="732" w:type="pct"/>
                  <w:tcBorders>
                    <w:right w:val="single" w:color="000000" w:sz="6" w:space="0"/>
                    <w:tl2br w:val="nil"/>
                    <w:tr2bl w:val="nil"/>
                  </w:tcBorders>
                  <w:shd w:val="clear" w:color="auto" w:fill="auto"/>
                  <w:vAlign w:val="center"/>
                </w:tcPr>
                <w:p w14:paraId="25523A5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1316</w:t>
                  </w:r>
                </w:p>
              </w:tc>
              <w:tc>
                <w:tcPr>
                  <w:tcW w:w="535" w:type="pct"/>
                  <w:tcBorders>
                    <w:left w:val="single" w:color="000000" w:sz="6" w:space="0"/>
                    <w:tl2br w:val="nil"/>
                    <w:tr2bl w:val="nil"/>
                  </w:tcBorders>
                  <w:shd w:val="clear" w:color="auto" w:fill="auto"/>
                  <w:vAlign w:val="center"/>
                </w:tcPr>
                <w:p w14:paraId="5A95E45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m³/a</w:t>
                  </w:r>
                </w:p>
              </w:tc>
              <w:tc>
                <w:tcPr>
                  <w:tcW w:w="692" w:type="pct"/>
                  <w:tcBorders>
                    <w:tl2br w:val="nil"/>
                    <w:tr2bl w:val="nil"/>
                  </w:tcBorders>
                  <w:shd w:val="clear" w:color="auto" w:fill="auto"/>
                  <w:vAlign w:val="center"/>
                </w:tcPr>
                <w:p w14:paraId="1F652FB9">
                  <w:pPr>
                    <w:pStyle w:val="45"/>
                    <w:tabs>
                      <w:tab w:val="left" w:pos="4767"/>
                    </w:tabs>
                    <w:snapToGrid/>
                    <w:spacing w:line="0" w:lineRule="atLeast"/>
                    <w:jc w:val="center"/>
                    <w:rPr>
                      <w:rFonts w:hint="default" w:cs="Times New Roman"/>
                      <w:color w:val="auto"/>
                      <w:szCs w:val="21"/>
                      <w:lang w:val="en-US" w:eastAsia="zh-CN"/>
                    </w:rPr>
                  </w:pPr>
                  <w:r>
                    <w:rPr>
                      <w:rFonts w:hint="eastAsia" w:cs="Times New Roman"/>
                      <w:color w:val="auto"/>
                      <w:szCs w:val="21"/>
                      <w:lang w:val="en-US" w:eastAsia="zh-CN"/>
                    </w:rPr>
                    <w:t>/</w:t>
                  </w:r>
                </w:p>
              </w:tc>
              <w:tc>
                <w:tcPr>
                  <w:tcW w:w="675" w:type="pct"/>
                  <w:tcBorders>
                    <w:tl2br w:val="nil"/>
                    <w:tr2bl w:val="nil"/>
                  </w:tcBorders>
                  <w:shd w:val="clear" w:color="auto" w:fill="auto"/>
                  <w:vAlign w:val="center"/>
                </w:tcPr>
                <w:p w14:paraId="6FA0F513">
                  <w:pPr>
                    <w:pStyle w:val="45"/>
                    <w:tabs>
                      <w:tab w:val="left" w:pos="4767"/>
                    </w:tabs>
                    <w:snapToGrid/>
                    <w:spacing w:line="0" w:lineRule="atLeast"/>
                    <w:jc w:val="center"/>
                    <w:rPr>
                      <w:rFonts w:hint="default" w:cs="Times New Roman"/>
                      <w:color w:val="auto"/>
                      <w:szCs w:val="21"/>
                      <w:lang w:val="en-US" w:eastAsia="zh-CN"/>
                    </w:rPr>
                  </w:pPr>
                  <w:r>
                    <w:rPr>
                      <w:rFonts w:hint="eastAsia" w:cs="Times New Roman"/>
                      <w:color w:val="auto"/>
                      <w:szCs w:val="21"/>
                      <w:lang w:val="en-US" w:eastAsia="zh-CN"/>
                    </w:rPr>
                    <w:t>/</w:t>
                  </w:r>
                </w:p>
              </w:tc>
              <w:tc>
                <w:tcPr>
                  <w:tcW w:w="559" w:type="pct"/>
                  <w:vMerge w:val="continue"/>
                  <w:tcBorders>
                    <w:tl2br w:val="nil"/>
                    <w:tr2bl w:val="nil"/>
                  </w:tcBorders>
                  <w:shd w:val="clear" w:color="auto" w:fill="auto"/>
                  <w:vAlign w:val="center"/>
                </w:tcPr>
                <w:p w14:paraId="14390621">
                  <w:pPr>
                    <w:pStyle w:val="45"/>
                    <w:tabs>
                      <w:tab w:val="left" w:pos="4767"/>
                    </w:tabs>
                    <w:snapToGrid/>
                    <w:spacing w:line="0" w:lineRule="atLeast"/>
                    <w:jc w:val="center"/>
                    <w:rPr>
                      <w:rFonts w:hint="eastAsia" w:cs="Times New Roman"/>
                      <w:color w:val="auto"/>
                      <w:szCs w:val="21"/>
                      <w:lang w:val="en-US" w:eastAsia="zh-CN"/>
                    </w:rPr>
                  </w:pPr>
                </w:p>
              </w:tc>
              <w:tc>
                <w:tcPr>
                  <w:tcW w:w="559" w:type="pct"/>
                  <w:tcBorders>
                    <w:tl2br w:val="nil"/>
                    <w:tr2bl w:val="nil"/>
                  </w:tcBorders>
                  <w:shd w:val="clear" w:color="auto" w:fill="auto"/>
                  <w:vAlign w:val="center"/>
                </w:tcPr>
                <w:p w14:paraId="330DBCAF">
                  <w:pPr>
                    <w:pStyle w:val="45"/>
                    <w:tabs>
                      <w:tab w:val="left" w:pos="4767"/>
                    </w:tabs>
                    <w:snapToGrid/>
                    <w:spacing w:line="0" w:lineRule="atLeast"/>
                    <w:jc w:val="center"/>
                    <w:rPr>
                      <w:rFonts w:hint="eastAsia" w:cs="Times New Roman"/>
                      <w:color w:val="auto"/>
                      <w:szCs w:val="21"/>
                      <w:lang w:val="en-US" w:eastAsia="zh-CN"/>
                    </w:rPr>
                  </w:pPr>
                  <w:r>
                    <w:rPr>
                      <w:rFonts w:hint="eastAsia" w:cs="Times New Roman"/>
                      <w:color w:val="auto"/>
                      <w:szCs w:val="21"/>
                      <w:lang w:val="en-US" w:eastAsia="zh-CN"/>
                    </w:rPr>
                    <w:t>水车</w:t>
                  </w:r>
                </w:p>
                <w:p w14:paraId="2512B5B2">
                  <w:pPr>
                    <w:pStyle w:val="45"/>
                    <w:tabs>
                      <w:tab w:val="left" w:pos="4767"/>
                    </w:tabs>
                    <w:snapToGrid/>
                    <w:spacing w:line="0" w:lineRule="atLeast"/>
                    <w:jc w:val="center"/>
                    <w:rPr>
                      <w:rFonts w:hint="default" w:cs="Times New Roman"/>
                      <w:color w:val="auto"/>
                      <w:szCs w:val="21"/>
                      <w:lang w:val="en-US" w:eastAsia="zh-CN"/>
                    </w:rPr>
                  </w:pPr>
                  <w:r>
                    <w:rPr>
                      <w:rFonts w:hint="eastAsia" w:cs="Times New Roman"/>
                      <w:color w:val="auto"/>
                      <w:szCs w:val="21"/>
                      <w:lang w:val="en-US" w:eastAsia="zh-CN"/>
                    </w:rPr>
                    <w:t>拉运</w:t>
                  </w:r>
                </w:p>
              </w:tc>
            </w:tr>
          </w:tbl>
          <w:p w14:paraId="34320AD0">
            <w:pPr>
              <w:tabs>
                <w:tab w:val="left" w:pos="4767"/>
              </w:tabs>
              <w:ind w:firstLine="514"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①沥青：是原油加工过程的一种产品，主要成分为沥青质和树脂，常温下的沥青呈半固体或液体状态，颜色由黑褐色至黑色。沸点&lt;470℃，闪点204.4℃，引燃温度485℃，属于憎水性材料，它不透水，也几乎不溶于水、丙酮、乙醚、稀乙醇，溶于二硫化碳、四氯化碳、氢氧化钠。沥青暴露于常温下时呈凝固状态，不会四处流溢。沥青及其烟气对皮肤粘膜具有刺激性，有光毒作用和致癌作用。沥青可燃，具有刺激性，遇明火、高热可燃，燃烧时放出有毒的刺激性烟雾。</w:t>
            </w:r>
          </w:p>
          <w:p w14:paraId="59529463">
            <w:pPr>
              <w:tabs>
                <w:tab w:val="left" w:pos="4767"/>
              </w:tabs>
              <w:ind w:firstLine="514"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②矿石：来源于周边各采石加工场。为不同粒度规格产品，主要成分为石灰岩石质，是沥青混凝土的主要矿石，经采购后直接运进料场。</w:t>
            </w:r>
          </w:p>
          <w:p w14:paraId="17279511">
            <w:pPr>
              <w:tabs>
                <w:tab w:val="left" w:pos="4767"/>
              </w:tabs>
              <w:ind w:firstLine="514"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③矿粉：是符合工程要求的石粉及其代用品的统称。是将矿石粉碎加工后的产物，是矿石加工冶炼等的第一步骤，也是最重要的步骤之一。矿渣微粉又称为矿粉、粒化高炉矿渣粉，是用水淬高炉矿渣，经干燥，粉磨等工艺处理后得到的高细度、高活性粉料，是优质的混凝土掺合料和水泥混合材料，通过使用粒化高炉矿渣粉，可有效提高混凝土的抗压强度，降低混凝上的成本，同时对抑制碱矿石反应，降低水化热，减少混凝上结构早期温度裂往，提高抗渗和抗侵蚀能力有明显效果。本项目矿粉由粉料罐车运送至厂区，通过气压输送至密闭矿粉罐内，矿粉罐紧邻拌合楼设置。</w:t>
            </w:r>
          </w:p>
          <w:p w14:paraId="04112BD2">
            <w:pPr>
              <w:tabs>
                <w:tab w:val="left" w:pos="4767"/>
              </w:tabs>
              <w:ind w:firstLine="514"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④天然气：本项目所用天然气</w:t>
            </w:r>
            <w:r>
              <w:rPr>
                <w:rFonts w:hint="eastAsia" w:cs="Times New Roman"/>
                <w:color w:val="auto"/>
                <w:sz w:val="24"/>
                <w:lang w:val="en-US" w:eastAsia="zh-CN"/>
              </w:rPr>
              <w:t>为</w:t>
            </w:r>
            <w:r>
              <w:rPr>
                <w:rFonts w:hint="default" w:ascii="Times New Roman" w:hAnsi="Times New Roman" w:cs="Times New Roman"/>
                <w:color w:val="auto"/>
                <w:sz w:val="24"/>
                <w:lang w:val="en-US" w:eastAsia="zh-CN"/>
              </w:rPr>
              <w:t>外购，其本质是存在于地下岩石储集层中以烃为主体的混合气体。比重约0.65，比空气轻，具有无色、无味、无毒之特性。结合该来源，其主要成分为烷烃，其中甲烷占绝大多数（通常＞90%），另有少量乙烷、丙烷等，以及微量非烃组分。天然气在送到最终用户之前，为助于泄漏检测，会添加臭味剂。天然气不溶于水，密度约为0.7174kg/Nm³，燃点约为650℃，爆炸极限（V%）为5~15。在标准状况下，甲烷至丁烷以气体状态存在。</w:t>
            </w:r>
          </w:p>
          <w:p w14:paraId="29C1823C">
            <w:pPr>
              <w:tabs>
                <w:tab w:val="left" w:pos="4767"/>
              </w:tabs>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lang w:val="en-US" w:eastAsia="zh-CN"/>
              </w:rPr>
              <w:t>7</w:t>
            </w:r>
            <w:r>
              <w:rPr>
                <w:rFonts w:hint="default" w:ascii="Times New Roman" w:hAnsi="Times New Roman" w:eastAsia="黑体" w:cs="Times New Roman"/>
                <w:bCs/>
                <w:color w:val="auto"/>
                <w:sz w:val="24"/>
              </w:rPr>
              <w:t>、公用工程</w:t>
            </w:r>
          </w:p>
          <w:p w14:paraId="7FADF5C2">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（1）给水</w:t>
            </w:r>
          </w:p>
          <w:p w14:paraId="4FBA1BFF">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①生活用水</w:t>
            </w:r>
          </w:p>
          <w:p w14:paraId="31D0DDAE">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本项目运营期劳动人员8人，年生产200天。根据《关于印发宁夏回族自治区有关行业用水定额（修订）》的通知》宁水节供发〔2025〕11号文件以及</w:t>
            </w:r>
            <w:r>
              <w:rPr>
                <w:rFonts w:hint="eastAsia" w:cs="Times New Roman"/>
                <w:color w:val="auto"/>
                <w:sz w:val="24"/>
                <w:lang w:val="en-US" w:eastAsia="zh-CN"/>
              </w:rPr>
              <w:t>结合</w:t>
            </w:r>
            <w:r>
              <w:rPr>
                <w:rFonts w:hint="default" w:ascii="Times New Roman" w:hAnsi="Times New Roman" w:cs="Times New Roman"/>
                <w:color w:val="auto"/>
                <w:sz w:val="24"/>
                <w:lang w:val="en-US" w:eastAsia="zh-CN"/>
              </w:rPr>
              <w:t>当地的实际情况，本项目生活用水定额按70L/人·d计，则项目生活用水量为112m³/a（0.56m³/d）。</w:t>
            </w:r>
          </w:p>
          <w:p w14:paraId="34D52019">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②</w:t>
            </w:r>
            <w:r>
              <w:rPr>
                <w:rFonts w:hint="default" w:ascii="Times New Roman" w:hAnsi="Times New Roman" w:cs="Times New Roman"/>
                <w:color w:val="auto"/>
                <w:sz w:val="24"/>
                <w:lang w:val="en-US" w:eastAsia="zh-CN"/>
              </w:rPr>
              <w:t>洒水抑尘用水</w:t>
            </w:r>
          </w:p>
          <w:p w14:paraId="6F3D2849">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本项目在生产车间、厂区内会进行适量的喷水以此来降尘。根据《关于印发宁夏回族自治区有关行业用水定额（修订）》的通知》宁水节供发〔2025〕11号文件</w:t>
            </w:r>
            <w:r>
              <w:rPr>
                <w:rFonts w:hint="default" w:ascii="Times New Roman" w:hAnsi="Times New Roman" w:cs="Times New Roman"/>
                <w:color w:val="auto"/>
                <w:sz w:val="24"/>
              </w:rPr>
              <w:t>道路场地</w:t>
            </w:r>
            <w:r>
              <w:rPr>
                <w:rFonts w:hint="eastAsia" w:ascii="Times New Roman" w:hAnsi="Times New Roman" w:cs="Times New Roman"/>
                <w:color w:val="auto"/>
                <w:sz w:val="24"/>
                <w:lang w:val="en-US" w:eastAsia="zh-CN"/>
              </w:rPr>
              <w:t>4月下旬-10月上旬</w:t>
            </w:r>
            <w:r>
              <w:rPr>
                <w:rFonts w:hint="default" w:ascii="Times New Roman" w:hAnsi="Times New Roman" w:cs="Times New Roman"/>
                <w:color w:val="auto"/>
                <w:sz w:val="24"/>
              </w:rPr>
              <w:t>喷洒用水量为2L/</w:t>
            </w:r>
            <w:r>
              <w:rPr>
                <w:rFonts w:hint="eastAsia" w:cs="Times New Roman"/>
                <w:color w:val="auto"/>
                <w:sz w:val="24"/>
                <w:lang w:eastAsia="zh-CN"/>
              </w:rPr>
              <w:t>（</w:t>
            </w:r>
            <w:r>
              <w:rPr>
                <w:rFonts w:hint="default" w:ascii="Times New Roman" w:hAnsi="Times New Roman" w:cs="Times New Roman"/>
                <w:color w:val="auto"/>
                <w:sz w:val="24"/>
              </w:rPr>
              <w:t>m</w:t>
            </w:r>
            <w:r>
              <w:rPr>
                <w:rFonts w:hint="default" w:ascii="Times New Roman" w:hAnsi="Times New Roman" w:cs="Times New Roman"/>
                <w:color w:val="auto"/>
                <w:sz w:val="24"/>
                <w:lang w:val="en-US" w:eastAsia="zh-CN"/>
              </w:rPr>
              <w:t>²</w:t>
            </w:r>
            <w:r>
              <w:rPr>
                <w:rFonts w:hint="default" w:ascii="Times New Roman" w:hAnsi="Times New Roman" w:cs="Times New Roman"/>
                <w:color w:val="auto"/>
                <w:sz w:val="24"/>
              </w:rPr>
              <w:t>·</w:t>
            </w:r>
            <w:r>
              <w:rPr>
                <w:rFonts w:hint="eastAsia" w:cs="Times New Roman"/>
                <w:color w:val="auto"/>
                <w:sz w:val="24"/>
                <w:lang w:val="en-US" w:eastAsia="zh-CN"/>
              </w:rPr>
              <w:t>d</w:t>
            </w:r>
            <w:r>
              <w:rPr>
                <w:rFonts w:hint="eastAsia" w:cs="Times New Roman"/>
                <w:color w:val="auto"/>
                <w:sz w:val="24"/>
                <w:lang w:eastAsia="zh-CN"/>
              </w:rPr>
              <w:t>）</w:t>
            </w:r>
            <w:r>
              <w:rPr>
                <w:rFonts w:hint="default" w:ascii="Times New Roman" w:hAnsi="Times New Roman" w:cs="Times New Roman"/>
                <w:color w:val="auto"/>
                <w:sz w:val="24"/>
                <w:lang w:eastAsia="zh-CN"/>
              </w:rPr>
              <w:t>，本项目冬季不生产，</w:t>
            </w:r>
            <w:r>
              <w:rPr>
                <w:rFonts w:hint="eastAsia" w:cs="Times New Roman"/>
                <w:color w:val="auto"/>
                <w:sz w:val="24"/>
                <w:lang w:val="en-US" w:eastAsia="zh-CN"/>
              </w:rPr>
              <w:t>生产期大多集中在</w:t>
            </w:r>
            <w:r>
              <w:rPr>
                <w:rFonts w:hint="eastAsia" w:ascii="Times New Roman" w:hAnsi="Times New Roman" w:cs="Times New Roman"/>
                <w:color w:val="auto"/>
                <w:sz w:val="24"/>
                <w:lang w:val="en-US" w:eastAsia="zh-CN"/>
              </w:rPr>
              <w:t>4月下旬-10月上旬</w:t>
            </w:r>
            <w:r>
              <w:rPr>
                <w:rFonts w:hint="eastAsia" w:cs="Times New Roman"/>
                <w:color w:val="auto"/>
                <w:sz w:val="24"/>
                <w:lang w:val="en-US" w:eastAsia="zh-CN"/>
              </w:rPr>
              <w:t>，</w:t>
            </w:r>
            <w:r>
              <w:rPr>
                <w:rFonts w:hint="default" w:ascii="Times New Roman" w:hAnsi="Times New Roman" w:cs="Times New Roman"/>
                <w:color w:val="auto"/>
                <w:sz w:val="24"/>
                <w:lang w:eastAsia="zh-CN"/>
              </w:rPr>
              <w:t>故</w:t>
            </w:r>
            <w:r>
              <w:rPr>
                <w:rFonts w:hint="default" w:ascii="Times New Roman" w:hAnsi="Times New Roman" w:cs="Times New Roman"/>
                <w:color w:val="auto"/>
                <w:sz w:val="24"/>
                <w:lang w:val="en-US" w:eastAsia="zh-CN"/>
              </w:rPr>
              <w:t>洒水抑尘用水量按2m³/d，则喷洒降尘用水量为400m³/a（2m³/d）。</w:t>
            </w:r>
          </w:p>
          <w:p w14:paraId="183F641F">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③</w:t>
            </w:r>
            <w:r>
              <w:rPr>
                <w:rFonts w:hint="default" w:ascii="Times New Roman" w:hAnsi="Times New Roman" w:cs="Times New Roman"/>
                <w:color w:val="auto"/>
                <w:sz w:val="24"/>
                <w:lang w:val="en-US" w:eastAsia="zh-CN"/>
              </w:rPr>
              <w:t>车辆冲洗用水</w:t>
            </w:r>
          </w:p>
          <w:p w14:paraId="52F0A671">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沥青混凝土运输车辆每次运输均需进行冲洗，冲洗车辆10辆，冲洗水量约0.</w:t>
            </w: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lang w:val="en-US" w:eastAsia="zh-CN"/>
              </w:rPr>
              <w:t>m³/辆·次，冲洗用水量为4m³/d（800m³/a）。</w:t>
            </w:r>
          </w:p>
          <w:p w14:paraId="752E2B31">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④</w:t>
            </w:r>
            <w:r>
              <w:rPr>
                <w:rFonts w:hint="default" w:ascii="Times New Roman" w:hAnsi="Times New Roman" w:cs="Times New Roman"/>
                <w:color w:val="auto"/>
                <w:sz w:val="24"/>
                <w:lang w:val="en-US" w:eastAsia="zh-CN"/>
              </w:rPr>
              <w:t>设备冲洗用水</w:t>
            </w:r>
          </w:p>
          <w:p w14:paraId="073BF775">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根据企业提供资料，搅拌设备每年清洗一次，每次冲洗用水量为4m³，设备冲洗用水4m³/a。</w:t>
            </w:r>
          </w:p>
          <w:p w14:paraId="2290F256">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（2）排水</w:t>
            </w:r>
          </w:p>
          <w:p w14:paraId="2DAD94E0">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本项目生产废水均回用于</w:t>
            </w:r>
            <w:r>
              <w:rPr>
                <w:rFonts w:hint="default" w:ascii="Times New Roman" w:hAnsi="Times New Roman" w:eastAsia="宋体" w:cs="Times New Roman"/>
                <w:color w:val="auto"/>
                <w:sz w:val="24"/>
                <w:lang w:eastAsia="zh-CN"/>
              </w:rPr>
              <w:t>厂区内洒水抑尘</w:t>
            </w:r>
            <w:r>
              <w:rPr>
                <w:rFonts w:hint="default" w:ascii="Times New Roman" w:hAnsi="Times New Roman" w:eastAsia="宋体" w:cs="Times New Roman"/>
                <w:color w:val="auto"/>
                <w:sz w:val="24"/>
                <w:lang w:val="en-US" w:eastAsia="zh-CN"/>
              </w:rPr>
              <w:t>及设备和车辆冲洗</w:t>
            </w:r>
            <w:r>
              <w:rPr>
                <w:rFonts w:hint="default" w:ascii="Times New Roman" w:hAnsi="Times New Roman" w:eastAsia="宋体" w:cs="Times New Roman"/>
                <w:color w:val="auto"/>
                <w:sz w:val="24"/>
              </w:rPr>
              <w:t>，</w:t>
            </w:r>
            <w:r>
              <w:rPr>
                <w:rFonts w:hint="default" w:ascii="Times New Roman" w:hAnsi="Times New Roman" w:cs="Times New Roman"/>
                <w:color w:val="auto"/>
                <w:sz w:val="24"/>
              </w:rPr>
              <w:t>生活污水</w:t>
            </w:r>
            <w:r>
              <w:rPr>
                <w:rFonts w:hint="default" w:ascii="Times New Roman" w:hAnsi="Times New Roman" w:cs="Times New Roman"/>
                <w:color w:val="auto"/>
                <w:sz w:val="24"/>
                <w:lang w:val="en-US" w:eastAsia="zh-CN"/>
              </w:rPr>
              <w:t>利用砖厂原有旱厕，清掏物定期清运至附近农田</w:t>
            </w:r>
            <w:r>
              <w:rPr>
                <w:rFonts w:hint="eastAsia" w:cs="Times New Roman"/>
                <w:color w:val="auto"/>
                <w:sz w:val="24"/>
                <w:lang w:val="en-US" w:eastAsia="zh-CN"/>
              </w:rPr>
              <w:t>，盥洗水洒水抑尘</w:t>
            </w:r>
            <w:r>
              <w:rPr>
                <w:rFonts w:hint="default" w:ascii="Times New Roman" w:hAnsi="Times New Roman" w:cs="Times New Roman"/>
                <w:color w:val="auto"/>
                <w:sz w:val="24"/>
              </w:rPr>
              <w:t>。</w:t>
            </w:r>
          </w:p>
          <w:p w14:paraId="5EB2118F">
            <w:pPr>
              <w:tabs>
                <w:tab w:val="left" w:pos="4767"/>
              </w:tabs>
              <w:ind w:firstLine="514"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本项目</w:t>
            </w:r>
            <w:r>
              <w:rPr>
                <w:rFonts w:hint="default" w:ascii="Times New Roman" w:hAnsi="Times New Roman" w:cs="Times New Roman"/>
                <w:color w:val="auto"/>
                <w:sz w:val="24"/>
                <w:lang w:val="en-US" w:eastAsia="zh-CN"/>
              </w:rPr>
              <w:t>车辆冲洗废水产生量按用水量的</w:t>
            </w:r>
            <w:r>
              <w:rPr>
                <w:rFonts w:hint="eastAsia" w:cs="Times New Roman"/>
                <w:color w:val="auto"/>
                <w:sz w:val="24"/>
                <w:lang w:val="en-US" w:eastAsia="zh-CN"/>
              </w:rPr>
              <w:t>9</w:t>
            </w:r>
            <w:r>
              <w:rPr>
                <w:rFonts w:hint="default" w:ascii="Times New Roman" w:hAnsi="Times New Roman" w:cs="Times New Roman"/>
                <w:color w:val="auto"/>
                <w:sz w:val="24"/>
                <w:lang w:val="en-US" w:eastAsia="zh-CN"/>
              </w:rPr>
              <w:t>0%计，则车辆冲洗废水产生量为</w:t>
            </w:r>
            <w:r>
              <w:rPr>
                <w:rFonts w:hint="eastAsia" w:cs="Times New Roman"/>
                <w:color w:val="auto"/>
                <w:sz w:val="24"/>
                <w:lang w:val="en-US" w:eastAsia="zh-CN"/>
              </w:rPr>
              <w:t>72</w:t>
            </w:r>
            <w:r>
              <w:rPr>
                <w:rFonts w:hint="default" w:ascii="Times New Roman" w:hAnsi="Times New Roman" w:cs="Times New Roman"/>
                <w:color w:val="auto"/>
                <w:sz w:val="24"/>
                <w:lang w:val="en-US" w:eastAsia="zh-CN"/>
              </w:rPr>
              <w:t>0m³/a，经沉淀池沉淀后用于厂区内洒水抑尘</w:t>
            </w:r>
            <w:r>
              <w:rPr>
                <w:rFonts w:hint="default" w:ascii="Times New Roman" w:hAnsi="Times New Roman" w:eastAsia="宋体" w:cs="Times New Roman"/>
                <w:color w:val="auto"/>
                <w:sz w:val="24"/>
                <w:lang w:val="en-US" w:eastAsia="zh-CN"/>
              </w:rPr>
              <w:t>及设备和车辆冲洗</w:t>
            </w:r>
            <w:r>
              <w:rPr>
                <w:rFonts w:hint="default" w:ascii="Times New Roman" w:hAnsi="Times New Roman" w:cs="Times New Roman"/>
                <w:color w:val="auto"/>
                <w:sz w:val="24"/>
                <w:lang w:val="en-US" w:eastAsia="zh-CN"/>
              </w:rPr>
              <w:t>；</w:t>
            </w:r>
          </w:p>
          <w:p w14:paraId="25C90CCB">
            <w:pPr>
              <w:tabs>
                <w:tab w:val="left" w:pos="4767"/>
              </w:tabs>
              <w:ind w:firstLine="514"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设备冲洗废水产生系数为90%，则废水量为3.6m³/a，冲洗设备产生的废水经沉淀池沉淀后用于厂区内洒水抑尘</w:t>
            </w:r>
            <w:r>
              <w:rPr>
                <w:rFonts w:hint="default" w:ascii="Times New Roman" w:hAnsi="Times New Roman" w:eastAsia="宋体" w:cs="Times New Roman"/>
                <w:color w:val="auto"/>
                <w:sz w:val="24"/>
                <w:lang w:val="en-US" w:eastAsia="zh-CN"/>
              </w:rPr>
              <w:t>及设备和车辆冲洗</w:t>
            </w:r>
            <w:r>
              <w:rPr>
                <w:rFonts w:hint="default" w:ascii="Times New Roman" w:hAnsi="Times New Roman" w:cs="Times New Roman"/>
                <w:color w:val="auto"/>
                <w:sz w:val="24"/>
                <w:lang w:val="en-US" w:eastAsia="zh-CN"/>
              </w:rPr>
              <w:t>；</w:t>
            </w:r>
          </w:p>
          <w:p w14:paraId="773521B9">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生活污水产生量按用水量的80%计，则生活污水排放量为89.6m³/a（0.448m³/d），利用砖厂原有旱厕，清掏物定期清运至附近农田</w:t>
            </w:r>
            <w:r>
              <w:rPr>
                <w:rFonts w:hint="eastAsia" w:cs="Times New Roman"/>
                <w:color w:val="auto"/>
                <w:sz w:val="24"/>
                <w:lang w:val="en-US" w:eastAsia="zh-CN"/>
              </w:rPr>
              <w:t>，盥洗水洒水抑尘</w:t>
            </w:r>
            <w:r>
              <w:rPr>
                <w:rFonts w:hint="default" w:ascii="Times New Roman" w:hAnsi="Times New Roman" w:cs="Times New Roman"/>
                <w:color w:val="auto"/>
                <w:sz w:val="24"/>
                <w:lang w:val="en-US" w:eastAsia="zh-CN"/>
              </w:rPr>
              <w:t>。</w:t>
            </w:r>
          </w:p>
          <w:p w14:paraId="4C5BB9EE">
            <w:pPr>
              <w:pStyle w:val="19"/>
              <w:tabs>
                <w:tab w:val="left" w:pos="4767"/>
              </w:tabs>
              <w:rPr>
                <w:rFonts w:hint="default" w:ascii="Times New Roman" w:hAnsi="Times New Roman" w:eastAsia="黑体" w:cs="Times New Roman"/>
                <w:color w:val="auto"/>
                <w:lang w:eastAsia="zh-CN"/>
              </w:rPr>
            </w:pPr>
            <w:r>
              <w:rPr>
                <w:rFonts w:hint="default" w:ascii="Times New Roman" w:hAnsi="Times New Roman" w:cs="Times New Roman"/>
                <w:color w:val="auto"/>
              </w:rPr>
              <w:t>表2</w:t>
            </w:r>
            <w:r>
              <w:rPr>
                <w:rFonts w:hint="eastAsia" w:ascii="Times New Roman" w:hAnsi="Times New Roman" w:cs="Times New Roman"/>
                <w:color w:val="auto"/>
                <w:lang w:val="en-US" w:eastAsia="zh-CN"/>
              </w:rPr>
              <w:t>-</w:t>
            </w:r>
            <w:r>
              <w:rPr>
                <w:rFonts w:hint="default" w:ascii="Times New Roman" w:hAnsi="Times New Roman" w:cs="Times New Roman"/>
                <w:color w:val="auto"/>
              </w:rPr>
              <w:t>5  本项目用水排水平衡表  单位m</w:t>
            </w:r>
            <w:r>
              <w:rPr>
                <w:rFonts w:hint="default" w:ascii="Times New Roman" w:hAnsi="Times New Roman" w:cs="Times New Roman"/>
                <w:color w:val="auto"/>
                <w:vertAlign w:val="superscript"/>
              </w:rPr>
              <w:t>3</w:t>
            </w:r>
            <w:r>
              <w:rPr>
                <w:rFonts w:hint="default" w:ascii="Times New Roman" w:hAnsi="Times New Roman" w:cs="Times New Roman"/>
                <w:color w:val="auto"/>
              </w:rPr>
              <w:t>/</w:t>
            </w:r>
            <w:r>
              <w:rPr>
                <w:rFonts w:hint="default" w:ascii="Times New Roman" w:hAnsi="Times New Roman" w:cs="Times New Roman"/>
                <w:color w:val="auto"/>
                <w:lang w:val="en-US" w:eastAsia="zh-CN"/>
              </w:rPr>
              <w:t>a</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796"/>
              <w:gridCol w:w="796"/>
              <w:gridCol w:w="840"/>
              <w:gridCol w:w="840"/>
              <w:gridCol w:w="945"/>
              <w:gridCol w:w="2756"/>
            </w:tblGrid>
            <w:tr w14:paraId="03F246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pct"/>
                  <w:vAlign w:val="center"/>
                </w:tcPr>
                <w:p w14:paraId="7546062A">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用水环节</w:t>
                  </w:r>
                </w:p>
              </w:tc>
              <w:tc>
                <w:tcPr>
                  <w:tcW w:w="468" w:type="pct"/>
                  <w:vAlign w:val="center"/>
                </w:tcPr>
                <w:p w14:paraId="412A4745">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总用水量</w:t>
                  </w:r>
                </w:p>
              </w:tc>
              <w:tc>
                <w:tcPr>
                  <w:tcW w:w="468" w:type="pct"/>
                  <w:vAlign w:val="center"/>
                </w:tcPr>
                <w:p w14:paraId="55DB947A">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新鲜水量</w:t>
                  </w:r>
                </w:p>
              </w:tc>
              <w:tc>
                <w:tcPr>
                  <w:tcW w:w="494" w:type="pct"/>
                  <w:vAlign w:val="center"/>
                </w:tcPr>
                <w:p w14:paraId="581614E3">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回用水量</w:t>
                  </w:r>
                </w:p>
              </w:tc>
              <w:tc>
                <w:tcPr>
                  <w:tcW w:w="494" w:type="pct"/>
                  <w:vAlign w:val="center"/>
                </w:tcPr>
                <w:p w14:paraId="151D73CE">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损耗量</w:t>
                  </w:r>
                </w:p>
              </w:tc>
              <w:tc>
                <w:tcPr>
                  <w:tcW w:w="556" w:type="pct"/>
                  <w:vAlign w:val="center"/>
                </w:tcPr>
                <w:p w14:paraId="3D23CCF5">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废水产生量</w:t>
                  </w:r>
                </w:p>
              </w:tc>
              <w:tc>
                <w:tcPr>
                  <w:tcW w:w="1621" w:type="pct"/>
                  <w:vAlign w:val="center"/>
                </w:tcPr>
                <w:p w14:paraId="5CADF5E7">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废水去向</w:t>
                  </w:r>
                </w:p>
              </w:tc>
            </w:tr>
            <w:tr w14:paraId="18CE6D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pct"/>
                  <w:shd w:val="clear" w:color="auto" w:fill="auto"/>
                  <w:vAlign w:val="center"/>
                </w:tcPr>
                <w:p w14:paraId="720EDFA2">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生活用水</w:t>
                  </w:r>
                </w:p>
              </w:tc>
              <w:tc>
                <w:tcPr>
                  <w:tcW w:w="468" w:type="pct"/>
                  <w:shd w:val="clear" w:color="auto" w:fill="auto"/>
                  <w:vAlign w:val="center"/>
                </w:tcPr>
                <w:p w14:paraId="2BC90549">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112</w:t>
                  </w:r>
                </w:p>
              </w:tc>
              <w:tc>
                <w:tcPr>
                  <w:tcW w:w="468" w:type="pct"/>
                  <w:shd w:val="clear" w:color="auto" w:fill="auto"/>
                  <w:vAlign w:val="center"/>
                </w:tcPr>
                <w:p w14:paraId="3C4551AE">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112</w:t>
                  </w:r>
                </w:p>
              </w:tc>
              <w:tc>
                <w:tcPr>
                  <w:tcW w:w="494" w:type="pct"/>
                  <w:shd w:val="clear" w:color="auto" w:fill="auto"/>
                  <w:vAlign w:val="center"/>
                </w:tcPr>
                <w:p w14:paraId="42BF217F">
                  <w:pPr>
                    <w:pStyle w:val="45"/>
                    <w:tabs>
                      <w:tab w:val="left" w:pos="4767"/>
                    </w:tabs>
                    <w:jc w:val="center"/>
                    <w:rPr>
                      <w:rFonts w:hint="default" w:ascii="Times New Roman" w:hAnsi="Times New Roman" w:eastAsia="宋体" w:cs="Times New Roman"/>
                      <w:color w:val="auto"/>
                      <w:lang w:val="en-US" w:eastAsia="zh-CN"/>
                    </w:rPr>
                  </w:pPr>
                  <w:r>
                    <w:rPr>
                      <w:rFonts w:hint="eastAsia" w:cs="Times New Roman"/>
                      <w:color w:val="auto"/>
                      <w:lang w:val="en-US" w:eastAsia="zh-CN"/>
                    </w:rPr>
                    <w:t>0</w:t>
                  </w:r>
                </w:p>
              </w:tc>
              <w:tc>
                <w:tcPr>
                  <w:tcW w:w="494" w:type="pct"/>
                  <w:shd w:val="clear" w:color="auto" w:fill="auto"/>
                  <w:vAlign w:val="center"/>
                </w:tcPr>
                <w:p w14:paraId="6B20B3CF">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22.4</w:t>
                  </w:r>
                </w:p>
              </w:tc>
              <w:tc>
                <w:tcPr>
                  <w:tcW w:w="556" w:type="pct"/>
                  <w:shd w:val="clear" w:color="auto" w:fill="auto"/>
                  <w:vAlign w:val="center"/>
                </w:tcPr>
                <w:p w14:paraId="6DC6511C">
                  <w:pPr>
                    <w:pStyle w:val="45"/>
                    <w:tabs>
                      <w:tab w:val="left" w:pos="4767"/>
                    </w:tabs>
                    <w:jc w:val="center"/>
                    <w:rPr>
                      <w:rFonts w:hint="default" w:ascii="Times New Roman" w:hAnsi="Times New Roman" w:eastAsia="宋体" w:cs="Times New Roman"/>
                      <w:color w:val="auto"/>
                      <w:lang w:val="en-US" w:eastAsia="zh-CN"/>
                    </w:rPr>
                  </w:pPr>
                  <w:r>
                    <w:rPr>
                      <w:rFonts w:hint="eastAsia" w:cs="Times New Roman"/>
                      <w:color w:val="auto"/>
                      <w:lang w:val="en-US" w:eastAsia="zh-CN"/>
                    </w:rPr>
                    <w:t>8</w:t>
                  </w:r>
                  <w:r>
                    <w:rPr>
                      <w:rFonts w:hint="default" w:ascii="Times New Roman" w:hAnsi="Times New Roman" w:cs="Times New Roman"/>
                      <w:color w:val="auto"/>
                      <w:lang w:val="en-US" w:eastAsia="zh-CN"/>
                    </w:rPr>
                    <w:t>9.6</w:t>
                  </w:r>
                </w:p>
              </w:tc>
              <w:tc>
                <w:tcPr>
                  <w:tcW w:w="1621" w:type="pct"/>
                  <w:shd w:val="clear" w:color="auto" w:fill="auto"/>
                  <w:vAlign w:val="center"/>
                </w:tcPr>
                <w:p w14:paraId="489E7F6B">
                  <w:pPr>
                    <w:pStyle w:val="45"/>
                    <w:tabs>
                      <w:tab w:val="left" w:pos="4767"/>
                    </w:tabs>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如厕利用砖厂原有旱厕，旱厕定时清掏，清掏物用于周边农田施肥，洗漱废水用于厂区泼洒抑尘</w:t>
                  </w:r>
                </w:p>
              </w:tc>
            </w:tr>
            <w:tr w14:paraId="301634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pct"/>
                  <w:vAlign w:val="center"/>
                </w:tcPr>
                <w:p w14:paraId="13E55A3F">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洒水抑尘</w:t>
                  </w:r>
                  <w:r>
                    <w:rPr>
                      <w:rFonts w:hint="default" w:ascii="Times New Roman" w:hAnsi="Times New Roman" w:cs="Times New Roman"/>
                      <w:color w:val="auto"/>
                    </w:rPr>
                    <w:t>用水</w:t>
                  </w:r>
                </w:p>
              </w:tc>
              <w:tc>
                <w:tcPr>
                  <w:tcW w:w="468" w:type="pct"/>
                  <w:vAlign w:val="center"/>
                </w:tcPr>
                <w:p w14:paraId="410E281B">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400</w:t>
                  </w:r>
                </w:p>
              </w:tc>
              <w:tc>
                <w:tcPr>
                  <w:tcW w:w="468" w:type="pct"/>
                  <w:vAlign w:val="center"/>
                </w:tcPr>
                <w:p w14:paraId="0F5A6956">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494" w:type="pct"/>
                  <w:vAlign w:val="center"/>
                </w:tcPr>
                <w:p w14:paraId="24F2F0CC">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400</w:t>
                  </w:r>
                </w:p>
              </w:tc>
              <w:tc>
                <w:tcPr>
                  <w:tcW w:w="494" w:type="pct"/>
                  <w:vAlign w:val="center"/>
                </w:tcPr>
                <w:p w14:paraId="492180D6">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400</w:t>
                  </w:r>
                </w:p>
              </w:tc>
              <w:tc>
                <w:tcPr>
                  <w:tcW w:w="556" w:type="pct"/>
                  <w:vAlign w:val="center"/>
                </w:tcPr>
                <w:p w14:paraId="6E86C2F3">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621" w:type="pct"/>
                  <w:vAlign w:val="center"/>
                </w:tcPr>
                <w:p w14:paraId="52E52BBB">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全部损耗</w:t>
                  </w:r>
                </w:p>
              </w:tc>
            </w:tr>
            <w:tr w14:paraId="05832F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pct"/>
                  <w:vAlign w:val="center"/>
                </w:tcPr>
                <w:p w14:paraId="7289A022">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车辆冲洗</w:t>
                  </w:r>
                  <w:r>
                    <w:rPr>
                      <w:rFonts w:hint="default" w:ascii="Times New Roman" w:hAnsi="Times New Roman" w:cs="Times New Roman"/>
                      <w:color w:val="auto"/>
                    </w:rPr>
                    <w:t>用水</w:t>
                  </w:r>
                </w:p>
              </w:tc>
              <w:tc>
                <w:tcPr>
                  <w:tcW w:w="468" w:type="pct"/>
                  <w:vAlign w:val="center"/>
                </w:tcPr>
                <w:p w14:paraId="301FC374">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800</w:t>
                  </w:r>
                </w:p>
              </w:tc>
              <w:tc>
                <w:tcPr>
                  <w:tcW w:w="468" w:type="pct"/>
                  <w:vAlign w:val="center"/>
                </w:tcPr>
                <w:p w14:paraId="0D8B09B2">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w:t>
                  </w:r>
                  <w:r>
                    <w:rPr>
                      <w:rFonts w:hint="eastAsia" w:cs="Times New Roman"/>
                      <w:color w:val="auto"/>
                      <w:lang w:val="en-US" w:eastAsia="zh-CN"/>
                    </w:rPr>
                    <w:t>76</w:t>
                  </w:r>
                  <w:r>
                    <w:rPr>
                      <w:rFonts w:hint="default" w:ascii="Times New Roman" w:hAnsi="Times New Roman" w:cs="Times New Roman"/>
                      <w:color w:val="auto"/>
                      <w:lang w:val="en-US" w:eastAsia="zh-CN"/>
                    </w:rPr>
                    <w:t>.4</w:t>
                  </w:r>
                </w:p>
              </w:tc>
              <w:tc>
                <w:tcPr>
                  <w:tcW w:w="494" w:type="pct"/>
                  <w:vAlign w:val="center"/>
                </w:tcPr>
                <w:p w14:paraId="2F27FC71">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w:t>
                  </w:r>
                  <w:r>
                    <w:rPr>
                      <w:rFonts w:hint="eastAsia" w:cs="Times New Roman"/>
                      <w:color w:val="auto"/>
                      <w:lang w:val="en-US" w:eastAsia="zh-CN"/>
                    </w:rPr>
                    <w:t>23</w:t>
                  </w:r>
                  <w:r>
                    <w:rPr>
                      <w:rFonts w:hint="default" w:ascii="Times New Roman" w:hAnsi="Times New Roman" w:cs="Times New Roman"/>
                      <w:color w:val="auto"/>
                      <w:lang w:val="en-US" w:eastAsia="zh-CN"/>
                    </w:rPr>
                    <w:t>.6</w:t>
                  </w:r>
                </w:p>
              </w:tc>
              <w:tc>
                <w:tcPr>
                  <w:tcW w:w="494" w:type="pct"/>
                  <w:vAlign w:val="center"/>
                </w:tcPr>
                <w:p w14:paraId="7FB9075E">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80</w:t>
                  </w:r>
                </w:p>
              </w:tc>
              <w:tc>
                <w:tcPr>
                  <w:tcW w:w="556" w:type="pct"/>
                  <w:vAlign w:val="center"/>
                </w:tcPr>
                <w:p w14:paraId="5C024A05">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720</w:t>
                  </w:r>
                </w:p>
              </w:tc>
              <w:tc>
                <w:tcPr>
                  <w:tcW w:w="1621" w:type="pct"/>
                  <w:vMerge w:val="restart"/>
                  <w:vAlign w:val="center"/>
                </w:tcPr>
                <w:p w14:paraId="0CE9AC23">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回用</w:t>
                  </w:r>
                </w:p>
              </w:tc>
            </w:tr>
            <w:tr w14:paraId="17BAEA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pct"/>
                  <w:vAlign w:val="center"/>
                </w:tcPr>
                <w:p w14:paraId="7D9327D7">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设备冲洗</w:t>
                  </w:r>
                  <w:r>
                    <w:rPr>
                      <w:rFonts w:hint="default" w:ascii="Times New Roman" w:hAnsi="Times New Roman" w:cs="Times New Roman"/>
                      <w:color w:val="auto"/>
                    </w:rPr>
                    <w:t>用水</w:t>
                  </w:r>
                </w:p>
              </w:tc>
              <w:tc>
                <w:tcPr>
                  <w:tcW w:w="468" w:type="pct"/>
                  <w:vAlign w:val="center"/>
                </w:tcPr>
                <w:p w14:paraId="47BD75E8">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w:t>
                  </w:r>
                </w:p>
              </w:tc>
              <w:tc>
                <w:tcPr>
                  <w:tcW w:w="468" w:type="pct"/>
                  <w:vAlign w:val="center"/>
                </w:tcPr>
                <w:p w14:paraId="72736C42">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494" w:type="pct"/>
                  <w:vAlign w:val="center"/>
                </w:tcPr>
                <w:p w14:paraId="6B1395D7">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w:t>
                  </w:r>
                </w:p>
              </w:tc>
              <w:tc>
                <w:tcPr>
                  <w:tcW w:w="494" w:type="pct"/>
                  <w:vAlign w:val="center"/>
                </w:tcPr>
                <w:p w14:paraId="0606A4A5">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0.4</w:t>
                  </w:r>
                </w:p>
              </w:tc>
              <w:tc>
                <w:tcPr>
                  <w:tcW w:w="556" w:type="pct"/>
                  <w:vAlign w:val="center"/>
                </w:tcPr>
                <w:p w14:paraId="302F0D27">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3.6</w:t>
                  </w:r>
                </w:p>
              </w:tc>
              <w:tc>
                <w:tcPr>
                  <w:tcW w:w="1621" w:type="pct"/>
                  <w:vMerge w:val="continue"/>
                  <w:vAlign w:val="center"/>
                </w:tcPr>
                <w:p w14:paraId="64A9F94D">
                  <w:pPr>
                    <w:pStyle w:val="45"/>
                    <w:tabs>
                      <w:tab w:val="left" w:pos="4767"/>
                    </w:tabs>
                    <w:jc w:val="center"/>
                    <w:rPr>
                      <w:rFonts w:hint="default" w:ascii="Times New Roman" w:hAnsi="Times New Roman" w:cs="Times New Roman"/>
                      <w:color w:val="auto"/>
                    </w:rPr>
                  </w:pPr>
                </w:p>
              </w:tc>
            </w:tr>
            <w:tr w14:paraId="6CFDCD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pct"/>
                  <w:vAlign w:val="center"/>
                </w:tcPr>
                <w:p w14:paraId="28A1C1C3">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合计</w:t>
                  </w:r>
                </w:p>
              </w:tc>
              <w:tc>
                <w:tcPr>
                  <w:tcW w:w="468" w:type="pct"/>
                </w:tcPr>
                <w:p w14:paraId="6A9D034E">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1316</w:t>
                  </w:r>
                </w:p>
              </w:tc>
              <w:tc>
                <w:tcPr>
                  <w:tcW w:w="468" w:type="pct"/>
                </w:tcPr>
                <w:p w14:paraId="24BA9A6F">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592.4</w:t>
                  </w:r>
                </w:p>
              </w:tc>
              <w:tc>
                <w:tcPr>
                  <w:tcW w:w="494" w:type="pct"/>
                </w:tcPr>
                <w:p w14:paraId="11F42E79">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723.6</w:t>
                  </w:r>
                </w:p>
              </w:tc>
              <w:tc>
                <w:tcPr>
                  <w:tcW w:w="494" w:type="pct"/>
                </w:tcPr>
                <w:p w14:paraId="12F4D019">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502.8</w:t>
                  </w:r>
                </w:p>
              </w:tc>
              <w:tc>
                <w:tcPr>
                  <w:tcW w:w="556" w:type="pct"/>
                </w:tcPr>
                <w:p w14:paraId="78564E2A">
                  <w:pPr>
                    <w:pStyle w:val="45"/>
                    <w:tabs>
                      <w:tab w:val="left" w:pos="4767"/>
                    </w:tabs>
                    <w:jc w:val="center"/>
                    <w:rPr>
                      <w:rFonts w:hint="default" w:ascii="Times New Roman" w:hAnsi="Times New Roman" w:eastAsia="宋体" w:cs="Times New Roman"/>
                      <w:color w:val="auto"/>
                      <w:lang w:val="en-US" w:eastAsia="zh-CN"/>
                    </w:rPr>
                  </w:pPr>
                  <w:r>
                    <w:rPr>
                      <w:rFonts w:hint="eastAsia" w:cs="Times New Roman"/>
                      <w:color w:val="auto"/>
                      <w:lang w:val="en-US" w:eastAsia="zh-CN"/>
                    </w:rPr>
                    <w:t>813.2</w:t>
                  </w:r>
                </w:p>
              </w:tc>
              <w:tc>
                <w:tcPr>
                  <w:tcW w:w="1621" w:type="pct"/>
                  <w:vAlign w:val="center"/>
                </w:tcPr>
                <w:p w14:paraId="2C4CCF12">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w:t>
                  </w:r>
                </w:p>
              </w:tc>
            </w:tr>
          </w:tbl>
          <w:p w14:paraId="5E84EAFC">
            <w:pPr>
              <w:tabs>
                <w:tab w:val="left" w:pos="4767"/>
              </w:tabs>
              <w:jc w:val="center"/>
              <w:rPr>
                <w:rFonts w:hint="default" w:ascii="Times New Roman" w:hAnsi="Times New Roman" w:cs="Times New Roman"/>
                <w:color w:val="auto"/>
              </w:rPr>
            </w:pPr>
            <w:r>
              <w:rPr>
                <w:rFonts w:hint="default" w:ascii="Times New Roman" w:hAnsi="Times New Roman" w:eastAsia="宋体" w:cs="Times New Roman"/>
                <w:bCs/>
                <w:color w:val="auto"/>
                <w:sz w:val="24"/>
                <w:szCs w:val="24"/>
                <w:lang w:val="en-US" w:eastAsia="zh-CN"/>
              </w:rPr>
              <w:object>
                <v:shape id="_x0000_i1025" o:spt="75" type="#_x0000_t75" style="height:214.8pt;width:396.95pt;" o:ole="t" filled="f" o:preferrelative="t" stroked="f" coordsize="21600,21600">
                  <v:path/>
                  <v:fill on="f" focussize="0,0"/>
                  <v:stroke on="f"/>
                  <v:imagedata r:id="rId10" o:title=""/>
                  <o:lock v:ext="edit" aspectratio="f"/>
                  <w10:wrap type="none"/>
                  <w10:anchorlock/>
                </v:shape>
                <o:OLEObject Type="Embed" ProgID="Visio.Drawing.11" ShapeID="_x0000_i1025" DrawAspect="Content" ObjectID="_1468075725" r:id="rId9">
                  <o:LockedField>false</o:LockedField>
                </o:OLEObject>
              </w:object>
            </w:r>
          </w:p>
          <w:p w14:paraId="2C379D37">
            <w:pPr>
              <w:pStyle w:val="19"/>
              <w:tabs>
                <w:tab w:val="left" w:pos="4767"/>
              </w:tabs>
              <w:rPr>
                <w:rFonts w:hint="default" w:ascii="Times New Roman" w:hAnsi="Times New Roman" w:eastAsia="黑体" w:cs="Times New Roman"/>
                <w:color w:val="auto"/>
                <w:lang w:eastAsia="zh-CN"/>
              </w:rPr>
            </w:pPr>
            <w:r>
              <w:rPr>
                <w:rFonts w:hint="default" w:ascii="Times New Roman" w:hAnsi="Times New Roman" w:cs="Times New Roman"/>
                <w:color w:val="auto"/>
              </w:rPr>
              <w:t>图2.1  项目水平衡图  单位m³/</w:t>
            </w:r>
            <w:r>
              <w:rPr>
                <w:rFonts w:hint="default" w:ascii="Times New Roman" w:hAnsi="Times New Roman" w:cs="Times New Roman"/>
                <w:color w:val="auto"/>
                <w:lang w:val="en-US" w:eastAsia="zh-CN"/>
              </w:rPr>
              <w:t>a</w:t>
            </w:r>
          </w:p>
          <w:p w14:paraId="6C970E62">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（3）供电</w:t>
            </w:r>
          </w:p>
          <w:p w14:paraId="7A0FC9C6">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本项目用电由枣林村的变电站配电柜接入</w:t>
            </w:r>
            <w:r>
              <w:rPr>
                <w:rFonts w:hint="default" w:ascii="Times New Roman" w:hAnsi="Times New Roman" w:cs="Times New Roman"/>
                <w:color w:val="auto"/>
                <w:sz w:val="24"/>
              </w:rPr>
              <w:t>。</w:t>
            </w:r>
          </w:p>
          <w:p w14:paraId="4ABC9AA7">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（4）供暖</w:t>
            </w:r>
          </w:p>
          <w:p w14:paraId="4085DDE5">
            <w:pPr>
              <w:tabs>
                <w:tab w:val="left" w:pos="4767"/>
              </w:tabs>
              <w:ind w:firstLine="514" w:firstLineChars="200"/>
              <w:rPr>
                <w:rFonts w:hint="default" w:ascii="Times New Roman" w:hAnsi="Times New Roman" w:cs="Times New Roman"/>
                <w:color w:val="auto"/>
              </w:rPr>
            </w:pPr>
            <w:r>
              <w:rPr>
                <w:rFonts w:hint="default" w:ascii="Times New Roman" w:hAnsi="Times New Roman" w:cs="Times New Roman"/>
                <w:color w:val="auto"/>
                <w:sz w:val="24"/>
                <w:lang w:val="en-US" w:eastAsia="zh-CN"/>
              </w:rPr>
              <w:t>本项目冬季不生产，无需进行生活供热，矿石、矿粉加热由热风炉燃烧器（以天然气为燃料）；沥青加热由1台低氮导热油炉（以天然气为燃料）供热</w:t>
            </w:r>
            <w:r>
              <w:rPr>
                <w:rFonts w:hint="default" w:ascii="Times New Roman" w:hAnsi="Times New Roman" w:cs="Times New Roman"/>
                <w:color w:val="auto"/>
                <w:sz w:val="24"/>
              </w:rPr>
              <w:t>。</w:t>
            </w:r>
          </w:p>
          <w:p w14:paraId="6A9E833D">
            <w:pPr>
              <w:tabs>
                <w:tab w:val="left" w:pos="4767"/>
              </w:tabs>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lang w:val="en-US" w:eastAsia="zh-CN"/>
              </w:rPr>
              <w:t>8</w:t>
            </w:r>
            <w:r>
              <w:rPr>
                <w:rFonts w:hint="default" w:ascii="Times New Roman" w:hAnsi="Times New Roman" w:eastAsia="黑体" w:cs="Times New Roman"/>
                <w:bCs/>
                <w:color w:val="auto"/>
                <w:sz w:val="24"/>
              </w:rPr>
              <w:t>、劳动定员及工作制度</w:t>
            </w:r>
          </w:p>
          <w:p w14:paraId="5092499F">
            <w:pPr>
              <w:tabs>
                <w:tab w:val="left" w:pos="4767"/>
              </w:tabs>
              <w:ind w:firstLine="514"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工作制度：本项目年工作200天，10小时工作制。</w:t>
            </w:r>
          </w:p>
          <w:p w14:paraId="50D1C81D">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劳动定员：本项目劳动定员8人。</w:t>
            </w:r>
          </w:p>
          <w:p w14:paraId="33B586F6">
            <w:pPr>
              <w:tabs>
                <w:tab w:val="left" w:pos="4767"/>
              </w:tabs>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lang w:val="en-US" w:eastAsia="zh-CN"/>
              </w:rPr>
              <w:t>9</w:t>
            </w:r>
            <w:r>
              <w:rPr>
                <w:rFonts w:hint="default" w:ascii="Times New Roman" w:hAnsi="Times New Roman" w:eastAsia="黑体" w:cs="Times New Roman"/>
                <w:bCs/>
                <w:color w:val="auto"/>
                <w:sz w:val="24"/>
              </w:rPr>
              <w:t>、项目总平面布置</w:t>
            </w:r>
          </w:p>
          <w:p w14:paraId="36158D74">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本项目位于</w:t>
            </w:r>
            <w:r>
              <w:rPr>
                <w:rFonts w:hint="default" w:ascii="Times New Roman" w:hAnsi="Times New Roman" w:cs="Times New Roman"/>
                <w:color w:val="auto"/>
                <w:sz w:val="24"/>
                <w:lang w:val="en-US" w:eastAsia="zh-CN"/>
              </w:rPr>
              <w:t>宁夏中卫市沙坡头区常乐镇枣林村的吉庆砖厂场地，厂区设一个出入口，位于厂区的西北侧；生产区布置在厂区中部方位，生产区由南至北依次为1#储备钢渣料仓区域、导热油炉、冷料仓和沥青储罐区、烘干筒和主机拌合楼、矿粉罐、废料区、2#储备钢渣料仓区域；砖厂原有东侧的空地上由南至北依次为1#全封闭料仓、2#全封闭料仓、3#全封闭料仓、4#全封闭料仓、5#全封闭料仓；厂区北侧设有12间砖房休息区；西侧为砖厂原有的制砖厂房。拟建1#生产车间为封闭式，且车间内均采取除尘措施后废气达标排放，管理用房位于主导风向上风向，废气排放对其影响较小。本项目总平面布置符合</w:t>
            </w:r>
            <w:r>
              <w:rPr>
                <w:rFonts w:hint="default" w:ascii="Times New Roman" w:hAnsi="Times New Roman" w:cs="Times New Roman"/>
                <w:color w:val="auto"/>
                <w:sz w:val="24"/>
              </w:rPr>
              <w:t>《工业企业总平面设计规范》（GB50187-2012）中的相关要求。</w:t>
            </w:r>
          </w:p>
          <w:p w14:paraId="614EAF61">
            <w:pPr>
              <w:tabs>
                <w:tab w:val="left" w:pos="4767"/>
              </w:tabs>
              <w:ind w:firstLine="514" w:firstLineChars="200"/>
              <w:rPr>
                <w:rFonts w:hint="default" w:ascii="Times New Roman" w:hAnsi="Times New Roman" w:cs="Times New Roman"/>
                <w:color w:val="auto"/>
                <w:sz w:val="24"/>
                <w:lang w:val="en-US"/>
              </w:rPr>
            </w:pPr>
            <w:r>
              <w:rPr>
                <w:rFonts w:hint="default" w:ascii="Times New Roman" w:hAnsi="Times New Roman" w:cs="Times New Roman"/>
                <w:color w:val="auto"/>
                <w:sz w:val="24"/>
                <w:lang w:val="en-US" w:eastAsia="zh-CN"/>
              </w:rPr>
              <w:t>综上所述，项目总平面布置合理</w:t>
            </w:r>
            <w:r>
              <w:rPr>
                <w:rFonts w:hint="eastAsia" w:cs="Times New Roman"/>
                <w:color w:val="auto"/>
                <w:sz w:val="24"/>
                <w:lang w:val="en-US" w:eastAsia="zh-CN"/>
              </w:rPr>
              <w:t>，平面布置图见附图1-10</w:t>
            </w:r>
            <w:r>
              <w:rPr>
                <w:rFonts w:hint="default" w:ascii="Times New Roman" w:hAnsi="Times New Roman" w:cs="Times New Roman"/>
                <w:color w:val="auto"/>
                <w:sz w:val="24"/>
                <w:lang w:val="en-US" w:eastAsia="zh-CN"/>
              </w:rPr>
              <w:t>。</w:t>
            </w:r>
          </w:p>
          <w:p w14:paraId="0D662ED3">
            <w:pPr>
              <w:tabs>
                <w:tab w:val="left" w:pos="4767"/>
              </w:tabs>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lang w:val="en-US" w:eastAsia="zh-CN"/>
              </w:rPr>
              <w:t>10</w:t>
            </w:r>
            <w:r>
              <w:rPr>
                <w:rFonts w:hint="default" w:ascii="Times New Roman" w:hAnsi="Times New Roman" w:eastAsia="黑体" w:cs="Times New Roman"/>
                <w:bCs/>
                <w:color w:val="auto"/>
                <w:sz w:val="24"/>
              </w:rPr>
              <w:t>、总投资与环保投资</w:t>
            </w:r>
          </w:p>
          <w:p w14:paraId="241EF9BE">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本项目总投资</w:t>
            </w:r>
            <w:r>
              <w:rPr>
                <w:rFonts w:hint="default" w:ascii="Times New Roman" w:hAnsi="Times New Roman" w:cs="Times New Roman"/>
                <w:color w:val="auto"/>
                <w:sz w:val="24"/>
                <w:lang w:val="en-US" w:eastAsia="zh-CN"/>
              </w:rPr>
              <w:t>700</w:t>
            </w:r>
            <w:r>
              <w:rPr>
                <w:rFonts w:hint="default" w:ascii="Times New Roman" w:hAnsi="Times New Roman" w:cs="Times New Roman"/>
                <w:color w:val="auto"/>
                <w:sz w:val="24"/>
              </w:rPr>
              <w:t>万元，环保投资</w:t>
            </w:r>
            <w:r>
              <w:rPr>
                <w:rFonts w:hint="default" w:ascii="Times New Roman" w:hAnsi="Times New Roman" w:cs="Times New Roman"/>
                <w:color w:val="auto"/>
                <w:sz w:val="24"/>
                <w:lang w:val="en-US" w:eastAsia="zh-CN"/>
              </w:rPr>
              <w:t>75</w:t>
            </w:r>
            <w:r>
              <w:rPr>
                <w:rFonts w:hint="default" w:ascii="Times New Roman" w:hAnsi="Times New Roman" w:cs="Times New Roman"/>
                <w:color w:val="auto"/>
                <w:sz w:val="24"/>
              </w:rPr>
              <w:t>万元，占总投资的</w:t>
            </w:r>
            <w:r>
              <w:rPr>
                <w:rFonts w:hint="default" w:ascii="Times New Roman" w:hAnsi="Times New Roman" w:cs="Times New Roman"/>
                <w:color w:val="auto"/>
                <w:sz w:val="24"/>
                <w:lang w:val="en-US" w:eastAsia="zh-CN"/>
              </w:rPr>
              <w:t>10.7</w:t>
            </w:r>
            <w:r>
              <w:rPr>
                <w:rFonts w:hint="default" w:ascii="Times New Roman" w:hAnsi="Times New Roman" w:cs="Times New Roman"/>
                <w:color w:val="auto"/>
                <w:sz w:val="24"/>
              </w:rPr>
              <w:t>%</w:t>
            </w:r>
            <w:r>
              <w:rPr>
                <w:rFonts w:hint="eastAsia" w:cs="Times New Roman"/>
                <w:color w:val="auto"/>
                <w:sz w:val="24"/>
                <w:lang w:eastAsia="zh-CN"/>
              </w:rPr>
              <w:t>。</w:t>
            </w:r>
            <w:r>
              <w:rPr>
                <w:rFonts w:hint="default" w:ascii="Times New Roman" w:hAnsi="Times New Roman" w:cs="Times New Roman"/>
                <w:color w:val="auto"/>
                <w:sz w:val="24"/>
                <w:lang w:val="en-US" w:eastAsia="zh-CN"/>
              </w:rPr>
              <w:t>本项目所占土地为砖厂现有厂区，建设单位和砖厂达成协议</w:t>
            </w:r>
            <w:r>
              <w:rPr>
                <w:rFonts w:hint="eastAsia" w:cs="Times New Roman"/>
                <w:color w:val="auto"/>
                <w:sz w:val="24"/>
                <w:lang w:val="en-US" w:eastAsia="zh-CN"/>
              </w:rPr>
              <w:t>之前</w:t>
            </w:r>
            <w:r>
              <w:rPr>
                <w:rFonts w:hint="default" w:ascii="Times New Roman" w:hAnsi="Times New Roman" w:cs="Times New Roman"/>
                <w:color w:val="auto"/>
                <w:sz w:val="24"/>
                <w:lang w:val="en-US" w:eastAsia="zh-CN"/>
              </w:rPr>
              <w:t>砖厂已停止生产</w:t>
            </w:r>
            <w:r>
              <w:rPr>
                <w:rFonts w:hint="eastAsia" w:cs="Times New Roman"/>
                <w:color w:val="auto"/>
                <w:sz w:val="24"/>
                <w:lang w:val="en-US" w:eastAsia="zh-CN"/>
              </w:rPr>
              <w:t>且</w:t>
            </w:r>
            <w:r>
              <w:rPr>
                <w:rFonts w:hint="default" w:ascii="Times New Roman" w:hAnsi="Times New Roman" w:cs="Times New Roman"/>
                <w:color w:val="auto"/>
                <w:sz w:val="24"/>
                <w:lang w:val="en-US" w:eastAsia="zh-CN"/>
              </w:rPr>
              <w:t>原砖厂车间均已拆除，</w:t>
            </w:r>
            <w:r>
              <w:rPr>
                <w:rFonts w:hint="eastAsia" w:cs="Times New Roman"/>
                <w:color w:val="auto"/>
                <w:sz w:val="24"/>
                <w:lang w:val="en-US" w:eastAsia="zh-CN"/>
              </w:rPr>
              <w:t>不涉及拆除阶段环保投资，</w:t>
            </w:r>
            <w:r>
              <w:rPr>
                <w:rFonts w:hint="default" w:ascii="Times New Roman" w:hAnsi="Times New Roman" w:cs="Times New Roman"/>
                <w:color w:val="auto"/>
                <w:sz w:val="24"/>
              </w:rPr>
              <w:t>环保投资状况详见下表。</w:t>
            </w:r>
          </w:p>
          <w:p w14:paraId="0F190551">
            <w:pPr>
              <w:pStyle w:val="73"/>
              <w:tabs>
                <w:tab w:val="left" w:pos="4767"/>
              </w:tabs>
              <w:spacing w:before="0" w:beforeLines="0" w:after="0" w:afterLines="0"/>
              <w:rPr>
                <w:rFonts w:hint="default" w:ascii="Times New Roman" w:hAnsi="Times New Roman" w:cs="Times New Roman"/>
                <w:color w:val="auto"/>
                <w:sz w:val="24"/>
              </w:rPr>
            </w:pPr>
            <w:r>
              <w:rPr>
                <w:rFonts w:hint="default" w:ascii="Times New Roman" w:hAnsi="Times New Roman" w:cs="Times New Roman"/>
                <w:color w:val="auto"/>
                <w:sz w:val="24"/>
              </w:rPr>
              <w:t>表2-6  项目环保投资一览表  单位：万元</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457"/>
              <w:gridCol w:w="1115"/>
              <w:gridCol w:w="1208"/>
              <w:gridCol w:w="1152"/>
              <w:gridCol w:w="2797"/>
              <w:gridCol w:w="1081"/>
            </w:tblGrid>
            <w:tr w14:paraId="61375F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 w:type="pct"/>
                  <w:tcBorders>
                    <w:tl2br w:val="nil"/>
                    <w:tr2bl w:val="nil"/>
                  </w:tcBorders>
                  <w:shd w:val="clear" w:color="auto" w:fill="auto"/>
                  <w:vAlign w:val="center"/>
                </w:tcPr>
                <w:p w14:paraId="4DEDB1CB">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925" w:type="pct"/>
                  <w:gridSpan w:val="2"/>
                  <w:tcBorders>
                    <w:tl2br w:val="nil"/>
                    <w:tr2bl w:val="nil"/>
                  </w:tcBorders>
                  <w:shd w:val="clear" w:color="auto" w:fill="auto"/>
                  <w:vAlign w:val="center"/>
                </w:tcPr>
                <w:p w14:paraId="32CA8985">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投资项目</w:t>
                  </w:r>
                </w:p>
              </w:tc>
              <w:tc>
                <w:tcPr>
                  <w:tcW w:w="3034" w:type="pct"/>
                  <w:gridSpan w:val="3"/>
                  <w:tcBorders>
                    <w:tl2br w:val="nil"/>
                    <w:tr2bl w:val="nil"/>
                  </w:tcBorders>
                  <w:shd w:val="clear" w:color="auto" w:fill="auto"/>
                  <w:vAlign w:val="center"/>
                </w:tcPr>
                <w:p w14:paraId="1F0A85D1">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环保措施</w:t>
                  </w:r>
                </w:p>
              </w:tc>
              <w:tc>
                <w:tcPr>
                  <w:tcW w:w="636" w:type="pct"/>
                  <w:tcBorders>
                    <w:tl2br w:val="nil"/>
                    <w:tr2bl w:val="nil"/>
                  </w:tcBorders>
                  <w:shd w:val="clear" w:color="auto" w:fill="auto"/>
                  <w:vAlign w:val="center"/>
                </w:tcPr>
                <w:p w14:paraId="71BC55E0">
                  <w:pPr>
                    <w:pStyle w:val="45"/>
                    <w:tabs>
                      <w:tab w:val="left" w:pos="4767"/>
                    </w:tabs>
                    <w:snapToGrid/>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投资金额</w:t>
                  </w:r>
                </w:p>
              </w:tc>
            </w:tr>
            <w:tr w14:paraId="3A8595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03" w:type="pct"/>
                  <w:tcBorders>
                    <w:tl2br w:val="nil"/>
                    <w:tr2bl w:val="nil"/>
                  </w:tcBorders>
                  <w:shd w:val="clear" w:color="auto" w:fill="auto"/>
                  <w:vAlign w:val="center"/>
                </w:tcPr>
                <w:p w14:paraId="246A8996">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269" w:type="pct"/>
                  <w:vMerge w:val="restart"/>
                  <w:tcBorders>
                    <w:tl2br w:val="nil"/>
                    <w:tr2bl w:val="nil"/>
                  </w:tcBorders>
                  <w:shd w:val="clear" w:color="auto" w:fill="auto"/>
                  <w:vAlign w:val="center"/>
                </w:tcPr>
                <w:p w14:paraId="262D1211">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施工期</w:t>
                  </w:r>
                </w:p>
              </w:tc>
              <w:tc>
                <w:tcPr>
                  <w:tcW w:w="656" w:type="pct"/>
                  <w:tcBorders>
                    <w:tl2br w:val="nil"/>
                    <w:tr2bl w:val="nil"/>
                  </w:tcBorders>
                  <w:shd w:val="clear" w:color="auto" w:fill="auto"/>
                  <w:vAlign w:val="center"/>
                </w:tcPr>
                <w:p w14:paraId="2A1AD019">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废水治理</w:t>
                  </w:r>
                </w:p>
              </w:tc>
              <w:tc>
                <w:tcPr>
                  <w:tcW w:w="3034" w:type="pct"/>
                  <w:gridSpan w:val="3"/>
                  <w:tcBorders>
                    <w:tl2br w:val="nil"/>
                    <w:tr2bl w:val="nil"/>
                  </w:tcBorders>
                  <w:shd w:val="clear" w:color="auto" w:fill="auto"/>
                  <w:vAlign w:val="center"/>
                </w:tcPr>
                <w:p w14:paraId="61AE1237">
                  <w:pPr>
                    <w:pStyle w:val="45"/>
                    <w:tabs>
                      <w:tab w:val="left" w:pos="4767"/>
                    </w:tabs>
                    <w:snapToGrid/>
                    <w:spacing w:line="0" w:lineRule="atLeast"/>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项目施工期施工废水</w:t>
                  </w:r>
                  <w:r>
                    <w:rPr>
                      <w:rFonts w:hint="default" w:ascii="Times New Roman" w:hAnsi="Times New Roman" w:cs="Times New Roman"/>
                      <w:color w:val="auto"/>
                      <w:szCs w:val="21"/>
                      <w:lang w:eastAsia="zh-CN"/>
                    </w:rPr>
                    <w:t>经沉淀处理后</w:t>
                  </w:r>
                  <w:r>
                    <w:rPr>
                      <w:rFonts w:hint="default" w:ascii="Times New Roman" w:hAnsi="Times New Roman" w:cs="Times New Roman"/>
                      <w:color w:val="auto"/>
                      <w:szCs w:val="21"/>
                    </w:rPr>
                    <w:t>用于</w:t>
                  </w:r>
                  <w:r>
                    <w:rPr>
                      <w:rFonts w:hint="default" w:ascii="Times New Roman" w:hAnsi="Times New Roman" w:cs="Times New Roman"/>
                      <w:color w:val="auto"/>
                      <w:szCs w:val="21"/>
                      <w:lang w:eastAsia="zh-CN"/>
                    </w:rPr>
                    <w:t>施工场地</w:t>
                  </w:r>
                  <w:r>
                    <w:rPr>
                      <w:rFonts w:hint="default" w:ascii="Times New Roman" w:hAnsi="Times New Roman" w:cs="Times New Roman"/>
                      <w:color w:val="auto"/>
                      <w:szCs w:val="21"/>
                    </w:rPr>
                    <w:t>泼洒抑尘</w:t>
                  </w:r>
                  <w:r>
                    <w:rPr>
                      <w:rFonts w:hint="default" w:ascii="Times New Roman" w:hAnsi="Times New Roman" w:cs="Times New Roman"/>
                      <w:color w:val="auto"/>
                      <w:szCs w:val="21"/>
                      <w:lang w:eastAsia="zh-CN"/>
                    </w:rPr>
                    <w:t>，生活污水</w:t>
                  </w:r>
                  <w:r>
                    <w:rPr>
                      <w:rFonts w:hint="default" w:ascii="Times New Roman" w:hAnsi="Times New Roman" w:cs="Times New Roman"/>
                      <w:color w:val="auto"/>
                      <w:szCs w:val="21"/>
                      <w:lang w:val="en-US" w:eastAsia="zh-CN"/>
                    </w:rPr>
                    <w:t>利用砖厂</w:t>
                  </w:r>
                  <w:r>
                    <w:rPr>
                      <w:rFonts w:hint="default" w:ascii="Times New Roman" w:hAnsi="Times New Roman" w:cs="Times New Roman"/>
                      <w:color w:val="auto"/>
                      <w:szCs w:val="21"/>
                      <w:lang w:eastAsia="zh-CN"/>
                    </w:rPr>
                    <w:t>一座旱厕，清掏物定期清运至附近农田。</w:t>
                  </w:r>
                </w:p>
              </w:tc>
              <w:tc>
                <w:tcPr>
                  <w:tcW w:w="636" w:type="pct"/>
                  <w:tcBorders>
                    <w:tl2br w:val="nil"/>
                    <w:tr2bl w:val="nil"/>
                  </w:tcBorders>
                  <w:shd w:val="clear" w:color="auto" w:fill="auto"/>
                  <w:vAlign w:val="center"/>
                </w:tcPr>
                <w:p w14:paraId="6DFDBE97">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w:t>
                  </w:r>
                </w:p>
              </w:tc>
            </w:tr>
            <w:tr w14:paraId="0F6D86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03" w:type="pct"/>
                  <w:tcBorders>
                    <w:tl2br w:val="nil"/>
                    <w:tr2bl w:val="nil"/>
                  </w:tcBorders>
                  <w:shd w:val="clear" w:color="auto" w:fill="auto"/>
                  <w:vAlign w:val="center"/>
                </w:tcPr>
                <w:p w14:paraId="3F66A99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w:t>
                  </w:r>
                </w:p>
              </w:tc>
              <w:tc>
                <w:tcPr>
                  <w:tcW w:w="269" w:type="pct"/>
                  <w:vMerge w:val="continue"/>
                  <w:tcBorders>
                    <w:tl2br w:val="nil"/>
                    <w:tr2bl w:val="nil"/>
                  </w:tcBorders>
                  <w:shd w:val="clear" w:color="auto" w:fill="auto"/>
                  <w:vAlign w:val="center"/>
                </w:tcPr>
                <w:p w14:paraId="76E3A25E">
                  <w:pPr>
                    <w:pStyle w:val="45"/>
                    <w:tabs>
                      <w:tab w:val="left" w:pos="4767"/>
                    </w:tabs>
                    <w:snapToGrid/>
                    <w:spacing w:line="0" w:lineRule="atLeast"/>
                    <w:jc w:val="center"/>
                    <w:rPr>
                      <w:rFonts w:hint="default" w:ascii="Times New Roman" w:hAnsi="Times New Roman" w:cs="Times New Roman"/>
                      <w:color w:val="auto"/>
                      <w:szCs w:val="21"/>
                    </w:rPr>
                  </w:pPr>
                </w:p>
              </w:tc>
              <w:tc>
                <w:tcPr>
                  <w:tcW w:w="656" w:type="pct"/>
                  <w:tcBorders>
                    <w:tl2br w:val="nil"/>
                    <w:tr2bl w:val="nil"/>
                  </w:tcBorders>
                  <w:shd w:val="clear" w:color="auto" w:fill="auto"/>
                  <w:vAlign w:val="center"/>
                </w:tcPr>
                <w:p w14:paraId="2C369E5D">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废气治理</w:t>
                  </w:r>
                </w:p>
              </w:tc>
              <w:tc>
                <w:tcPr>
                  <w:tcW w:w="3034" w:type="pct"/>
                  <w:gridSpan w:val="3"/>
                  <w:tcBorders>
                    <w:tl2br w:val="nil"/>
                    <w:tr2bl w:val="nil"/>
                  </w:tcBorders>
                  <w:shd w:val="clear" w:color="auto" w:fill="auto"/>
                  <w:vAlign w:val="center"/>
                </w:tcPr>
                <w:p w14:paraId="662EEC3C">
                  <w:pPr>
                    <w:pStyle w:val="45"/>
                    <w:tabs>
                      <w:tab w:val="left" w:pos="4767"/>
                    </w:tabs>
                    <w:snapToGrid/>
                    <w:spacing w:line="0" w:lineRule="atLeast"/>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施工现场运输土方、粉状物料等车辆采用篷布遮盖，慢速行驶；对堆存易产生扬尘的施工材料用防尘网遮盖，定期对施工场地洒水抑尘</w:t>
                  </w:r>
                  <w:r>
                    <w:rPr>
                      <w:rFonts w:hint="default" w:ascii="Times New Roman" w:hAnsi="Times New Roman" w:cs="Times New Roman"/>
                      <w:color w:val="auto"/>
                      <w:szCs w:val="21"/>
                      <w:lang w:eastAsia="zh-CN"/>
                    </w:rPr>
                    <w:t>。</w:t>
                  </w:r>
                </w:p>
              </w:tc>
              <w:tc>
                <w:tcPr>
                  <w:tcW w:w="636" w:type="pct"/>
                  <w:tcBorders>
                    <w:tl2br w:val="nil"/>
                    <w:tr2bl w:val="nil"/>
                  </w:tcBorders>
                  <w:shd w:val="clear" w:color="auto" w:fill="auto"/>
                  <w:vAlign w:val="center"/>
                </w:tcPr>
                <w:p w14:paraId="31A835B3">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w:t>
                  </w:r>
                </w:p>
              </w:tc>
            </w:tr>
            <w:tr w14:paraId="2953E7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03" w:type="pct"/>
                  <w:tcBorders>
                    <w:tl2br w:val="nil"/>
                    <w:tr2bl w:val="nil"/>
                  </w:tcBorders>
                  <w:shd w:val="clear" w:color="auto" w:fill="auto"/>
                  <w:vAlign w:val="center"/>
                </w:tcPr>
                <w:p w14:paraId="75EB3DA4">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3</w:t>
                  </w:r>
                </w:p>
              </w:tc>
              <w:tc>
                <w:tcPr>
                  <w:tcW w:w="269" w:type="pct"/>
                  <w:vMerge w:val="continue"/>
                  <w:tcBorders>
                    <w:tl2br w:val="nil"/>
                    <w:tr2bl w:val="nil"/>
                  </w:tcBorders>
                  <w:shd w:val="clear" w:color="auto" w:fill="auto"/>
                  <w:vAlign w:val="center"/>
                </w:tcPr>
                <w:p w14:paraId="3CD0CB9F">
                  <w:pPr>
                    <w:pStyle w:val="45"/>
                    <w:tabs>
                      <w:tab w:val="left" w:pos="4767"/>
                    </w:tabs>
                    <w:snapToGrid/>
                    <w:spacing w:line="0" w:lineRule="atLeast"/>
                    <w:jc w:val="center"/>
                    <w:rPr>
                      <w:rFonts w:hint="default" w:ascii="Times New Roman" w:hAnsi="Times New Roman" w:cs="Times New Roman"/>
                      <w:color w:val="auto"/>
                      <w:szCs w:val="21"/>
                    </w:rPr>
                  </w:pPr>
                </w:p>
              </w:tc>
              <w:tc>
                <w:tcPr>
                  <w:tcW w:w="656" w:type="pct"/>
                  <w:tcBorders>
                    <w:tl2br w:val="nil"/>
                    <w:tr2bl w:val="nil"/>
                  </w:tcBorders>
                  <w:shd w:val="clear" w:color="auto" w:fill="auto"/>
                  <w:vAlign w:val="center"/>
                </w:tcPr>
                <w:p w14:paraId="3A7A0BE8">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噪声防治</w:t>
                  </w:r>
                </w:p>
              </w:tc>
              <w:tc>
                <w:tcPr>
                  <w:tcW w:w="3034" w:type="pct"/>
                  <w:gridSpan w:val="3"/>
                  <w:tcBorders>
                    <w:tl2br w:val="nil"/>
                    <w:tr2bl w:val="nil"/>
                  </w:tcBorders>
                  <w:shd w:val="clear" w:color="auto" w:fill="auto"/>
                  <w:vAlign w:val="center"/>
                </w:tcPr>
                <w:p w14:paraId="0FA980F1">
                  <w:pPr>
                    <w:pStyle w:val="45"/>
                    <w:tabs>
                      <w:tab w:val="left" w:pos="4767"/>
                    </w:tabs>
                    <w:snapToGrid/>
                    <w:spacing w:line="0" w:lineRule="atLeast"/>
                    <w:rPr>
                      <w:rFonts w:hint="default" w:ascii="Times New Roman" w:hAnsi="Times New Roman" w:cs="Times New Roman"/>
                      <w:color w:val="auto"/>
                      <w:szCs w:val="21"/>
                    </w:rPr>
                  </w:pPr>
                  <w:r>
                    <w:rPr>
                      <w:rFonts w:hint="default" w:ascii="Times New Roman" w:hAnsi="Times New Roman" w:cs="Times New Roman"/>
                      <w:color w:val="auto"/>
                      <w:szCs w:val="21"/>
                    </w:rPr>
                    <w:t>选用低噪声施工设备，采取隔声、减振等措施，合理安排施工时间</w:t>
                  </w:r>
                </w:p>
              </w:tc>
              <w:tc>
                <w:tcPr>
                  <w:tcW w:w="636" w:type="pct"/>
                  <w:tcBorders>
                    <w:tl2br w:val="nil"/>
                    <w:tr2bl w:val="nil"/>
                  </w:tcBorders>
                  <w:shd w:val="clear" w:color="auto" w:fill="auto"/>
                  <w:vAlign w:val="center"/>
                </w:tcPr>
                <w:p w14:paraId="63AA53F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w:t>
                  </w:r>
                </w:p>
              </w:tc>
            </w:tr>
            <w:tr w14:paraId="1DADCB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03" w:type="pct"/>
                  <w:tcBorders>
                    <w:tl2br w:val="nil"/>
                    <w:tr2bl w:val="nil"/>
                  </w:tcBorders>
                  <w:shd w:val="clear" w:color="auto" w:fill="auto"/>
                  <w:vAlign w:val="center"/>
                </w:tcPr>
                <w:p w14:paraId="62FAA45C">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4</w:t>
                  </w:r>
                </w:p>
              </w:tc>
              <w:tc>
                <w:tcPr>
                  <w:tcW w:w="269" w:type="pct"/>
                  <w:vMerge w:val="continue"/>
                  <w:tcBorders>
                    <w:tl2br w:val="nil"/>
                    <w:tr2bl w:val="nil"/>
                  </w:tcBorders>
                  <w:shd w:val="clear" w:color="auto" w:fill="auto"/>
                  <w:vAlign w:val="center"/>
                </w:tcPr>
                <w:p w14:paraId="786F74BC">
                  <w:pPr>
                    <w:pStyle w:val="45"/>
                    <w:tabs>
                      <w:tab w:val="left" w:pos="4767"/>
                    </w:tabs>
                    <w:snapToGrid/>
                    <w:spacing w:line="0" w:lineRule="atLeast"/>
                    <w:jc w:val="center"/>
                    <w:rPr>
                      <w:rFonts w:hint="default" w:ascii="Times New Roman" w:hAnsi="Times New Roman" w:cs="Times New Roman"/>
                      <w:color w:val="auto"/>
                      <w:szCs w:val="21"/>
                    </w:rPr>
                  </w:pPr>
                </w:p>
              </w:tc>
              <w:tc>
                <w:tcPr>
                  <w:tcW w:w="656" w:type="pct"/>
                  <w:tcBorders>
                    <w:tl2br w:val="nil"/>
                    <w:tr2bl w:val="nil"/>
                  </w:tcBorders>
                  <w:shd w:val="clear" w:color="auto" w:fill="auto"/>
                  <w:vAlign w:val="center"/>
                </w:tcPr>
                <w:p w14:paraId="5D6F940C">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固废处置</w:t>
                  </w:r>
                </w:p>
              </w:tc>
              <w:tc>
                <w:tcPr>
                  <w:tcW w:w="3034" w:type="pct"/>
                  <w:gridSpan w:val="3"/>
                  <w:tcBorders>
                    <w:tl2br w:val="nil"/>
                    <w:tr2bl w:val="nil"/>
                  </w:tcBorders>
                  <w:shd w:val="clear" w:color="auto" w:fill="auto"/>
                  <w:vAlign w:val="center"/>
                </w:tcPr>
                <w:p w14:paraId="70CF796F">
                  <w:pPr>
                    <w:pStyle w:val="45"/>
                    <w:tabs>
                      <w:tab w:val="left" w:pos="4767"/>
                    </w:tabs>
                    <w:snapToGrid/>
                    <w:spacing w:line="0" w:lineRule="atLeast"/>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施工人员生活垃圾集中后交由当地环卫部门处理，建筑垃圾统一收集后运往市政指定的地点进行处理。</w:t>
                  </w:r>
                </w:p>
              </w:tc>
              <w:tc>
                <w:tcPr>
                  <w:tcW w:w="636" w:type="pct"/>
                  <w:tcBorders>
                    <w:tl2br w:val="nil"/>
                    <w:tr2bl w:val="nil"/>
                  </w:tcBorders>
                  <w:shd w:val="clear" w:color="auto" w:fill="auto"/>
                  <w:vAlign w:val="center"/>
                </w:tcPr>
                <w:p w14:paraId="1CB01A6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w:t>
                  </w:r>
                </w:p>
              </w:tc>
            </w:tr>
            <w:tr w14:paraId="57FE29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tcBorders>
                    <w:tl2br w:val="nil"/>
                    <w:tr2bl w:val="nil"/>
                  </w:tcBorders>
                  <w:shd w:val="clear" w:color="auto" w:fill="auto"/>
                  <w:vAlign w:val="center"/>
                </w:tcPr>
                <w:p w14:paraId="31BD7AEC">
                  <w:pPr>
                    <w:pStyle w:val="45"/>
                    <w:tabs>
                      <w:tab w:val="left" w:pos="4767"/>
                    </w:tabs>
                    <w:snapToGrid/>
                    <w:spacing w:line="0" w:lineRule="atLeast"/>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5</w:t>
                  </w:r>
                </w:p>
              </w:tc>
              <w:tc>
                <w:tcPr>
                  <w:tcW w:w="269" w:type="pct"/>
                  <w:vMerge w:val="restart"/>
                  <w:tcBorders>
                    <w:tl2br w:val="nil"/>
                    <w:tr2bl w:val="nil"/>
                  </w:tcBorders>
                  <w:shd w:val="clear" w:color="auto" w:fill="auto"/>
                  <w:vAlign w:val="center"/>
                </w:tcPr>
                <w:p w14:paraId="4D21824E">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运营期</w:t>
                  </w:r>
                </w:p>
              </w:tc>
              <w:tc>
                <w:tcPr>
                  <w:tcW w:w="656" w:type="pct"/>
                  <w:tcBorders>
                    <w:tl2br w:val="nil"/>
                    <w:tr2bl w:val="nil"/>
                  </w:tcBorders>
                  <w:shd w:val="clear" w:color="auto" w:fill="auto"/>
                  <w:vAlign w:val="center"/>
                </w:tcPr>
                <w:p w14:paraId="1990CA9F">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噪声防治</w:t>
                  </w:r>
                </w:p>
              </w:tc>
              <w:tc>
                <w:tcPr>
                  <w:tcW w:w="3034" w:type="pct"/>
                  <w:gridSpan w:val="3"/>
                  <w:tcBorders>
                    <w:tl2br w:val="nil"/>
                    <w:tr2bl w:val="nil"/>
                  </w:tcBorders>
                  <w:shd w:val="clear" w:color="auto" w:fill="auto"/>
                  <w:vAlign w:val="center"/>
                </w:tcPr>
                <w:p w14:paraId="62B9F8E5">
                  <w:pPr>
                    <w:pStyle w:val="45"/>
                    <w:tabs>
                      <w:tab w:val="left" w:pos="4767"/>
                    </w:tabs>
                    <w:snapToGrid/>
                    <w:spacing w:line="0" w:lineRule="atLeast"/>
                    <w:rPr>
                      <w:rFonts w:hint="default" w:ascii="Times New Roman" w:hAnsi="Times New Roman" w:cs="Times New Roman"/>
                      <w:color w:val="auto"/>
                      <w:szCs w:val="21"/>
                    </w:rPr>
                  </w:pPr>
                  <w:r>
                    <w:rPr>
                      <w:rFonts w:hint="default" w:ascii="Times New Roman" w:hAnsi="Times New Roman" w:cs="Times New Roman"/>
                      <w:color w:val="auto"/>
                      <w:szCs w:val="21"/>
                    </w:rPr>
                    <w:t>选用低噪声设备，采取隔声、减振等综合降噪措施。</w:t>
                  </w:r>
                </w:p>
              </w:tc>
              <w:tc>
                <w:tcPr>
                  <w:tcW w:w="636" w:type="pct"/>
                  <w:tcBorders>
                    <w:tl2br w:val="nil"/>
                    <w:tr2bl w:val="nil"/>
                  </w:tcBorders>
                  <w:shd w:val="clear" w:color="auto" w:fill="auto"/>
                  <w:vAlign w:val="center"/>
                </w:tcPr>
                <w:p w14:paraId="138E5FC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w:t>
                  </w:r>
                </w:p>
              </w:tc>
            </w:tr>
            <w:tr w14:paraId="2D14F1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03" w:type="pct"/>
                  <w:vMerge w:val="restart"/>
                  <w:tcBorders>
                    <w:tl2br w:val="nil"/>
                    <w:tr2bl w:val="nil"/>
                  </w:tcBorders>
                  <w:shd w:val="clear" w:color="auto" w:fill="auto"/>
                  <w:vAlign w:val="center"/>
                </w:tcPr>
                <w:p w14:paraId="4C9AEC2B">
                  <w:pPr>
                    <w:pStyle w:val="45"/>
                    <w:tabs>
                      <w:tab w:val="left" w:pos="4767"/>
                    </w:tabs>
                    <w:snapToGrid/>
                    <w:spacing w:line="0" w:lineRule="atLeast"/>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6</w:t>
                  </w:r>
                </w:p>
              </w:tc>
              <w:tc>
                <w:tcPr>
                  <w:tcW w:w="269" w:type="pct"/>
                  <w:vMerge w:val="continue"/>
                  <w:tcBorders>
                    <w:tl2br w:val="nil"/>
                    <w:tr2bl w:val="nil"/>
                  </w:tcBorders>
                  <w:shd w:val="clear" w:color="auto" w:fill="auto"/>
                  <w:vAlign w:val="center"/>
                </w:tcPr>
                <w:p w14:paraId="6E63189E">
                  <w:pPr>
                    <w:pStyle w:val="45"/>
                    <w:tabs>
                      <w:tab w:val="left" w:pos="4767"/>
                    </w:tabs>
                    <w:snapToGrid/>
                    <w:spacing w:line="0" w:lineRule="atLeast"/>
                    <w:jc w:val="center"/>
                    <w:rPr>
                      <w:rFonts w:hint="default" w:ascii="Times New Roman" w:hAnsi="Times New Roman" w:cs="Times New Roman"/>
                      <w:color w:val="auto"/>
                      <w:szCs w:val="21"/>
                    </w:rPr>
                  </w:pPr>
                </w:p>
              </w:tc>
              <w:tc>
                <w:tcPr>
                  <w:tcW w:w="656" w:type="pct"/>
                  <w:vMerge w:val="restart"/>
                  <w:tcBorders>
                    <w:tl2br w:val="nil"/>
                    <w:tr2bl w:val="nil"/>
                  </w:tcBorders>
                  <w:shd w:val="clear" w:color="auto" w:fill="auto"/>
                  <w:vAlign w:val="center"/>
                </w:tcPr>
                <w:p w14:paraId="6AB44DEC">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废气治理</w:t>
                  </w:r>
                </w:p>
              </w:tc>
              <w:tc>
                <w:tcPr>
                  <w:tcW w:w="711" w:type="pct"/>
                  <w:tcBorders>
                    <w:tl2br w:val="nil"/>
                    <w:tr2bl w:val="nil"/>
                  </w:tcBorders>
                  <w:shd w:val="clear" w:color="auto" w:fill="auto"/>
                  <w:vAlign w:val="center"/>
                </w:tcPr>
                <w:p w14:paraId="4E2D1FEC">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矿石加料及输送粉尘</w:t>
                  </w:r>
                </w:p>
              </w:tc>
              <w:tc>
                <w:tcPr>
                  <w:tcW w:w="2323" w:type="pct"/>
                  <w:gridSpan w:val="2"/>
                  <w:tcBorders>
                    <w:tl2br w:val="nil"/>
                    <w:tr2bl w:val="nil"/>
                  </w:tcBorders>
                  <w:shd w:val="clear" w:color="auto" w:fill="auto"/>
                  <w:vAlign w:val="center"/>
                </w:tcPr>
                <w:p w14:paraId="337BD4BF">
                  <w:pPr>
                    <w:pStyle w:val="45"/>
                    <w:tabs>
                      <w:tab w:val="left" w:pos="4767"/>
                    </w:tabs>
                    <w:snapToGrid/>
                    <w:spacing w:line="0" w:lineRule="atLeast"/>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lang w:eastAsia="zh-CN"/>
                    </w:rPr>
                    <w:t>布袋除尘</w:t>
                  </w:r>
                  <w:r>
                    <w:rPr>
                      <w:rFonts w:hint="default" w:ascii="Times New Roman" w:hAnsi="Times New Roman" w:cs="Times New Roman"/>
                      <w:color w:val="auto"/>
                      <w:szCs w:val="21"/>
                      <w:lang w:val="en-US" w:eastAsia="zh-CN"/>
                    </w:rPr>
                    <w:t>+集气罩+15m高排气筒（DA001）</w:t>
                  </w:r>
                </w:p>
              </w:tc>
              <w:tc>
                <w:tcPr>
                  <w:tcW w:w="636" w:type="pct"/>
                  <w:tcBorders>
                    <w:tl2br w:val="nil"/>
                    <w:tr2bl w:val="nil"/>
                  </w:tcBorders>
                  <w:shd w:val="clear" w:color="auto" w:fill="auto"/>
                  <w:vAlign w:val="center"/>
                </w:tcPr>
                <w:p w14:paraId="5356893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12</w:t>
                  </w:r>
                </w:p>
              </w:tc>
            </w:tr>
            <w:tr w14:paraId="654D17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03" w:type="pct"/>
                  <w:vMerge w:val="continue"/>
                  <w:tcBorders>
                    <w:tl2br w:val="nil"/>
                    <w:tr2bl w:val="nil"/>
                  </w:tcBorders>
                  <w:shd w:val="clear" w:color="auto" w:fill="auto"/>
                  <w:vAlign w:val="center"/>
                </w:tcPr>
                <w:p w14:paraId="75E76E6C">
                  <w:pPr>
                    <w:pStyle w:val="45"/>
                    <w:tabs>
                      <w:tab w:val="left" w:pos="4767"/>
                    </w:tabs>
                    <w:snapToGrid/>
                    <w:spacing w:line="0" w:lineRule="atLeast"/>
                    <w:jc w:val="center"/>
                    <w:rPr>
                      <w:rFonts w:hint="default" w:ascii="Times New Roman" w:hAnsi="Times New Roman" w:cs="Times New Roman"/>
                      <w:color w:val="auto"/>
                    </w:rPr>
                  </w:pPr>
                </w:p>
              </w:tc>
              <w:tc>
                <w:tcPr>
                  <w:tcW w:w="269" w:type="pct"/>
                  <w:vMerge w:val="continue"/>
                  <w:tcBorders>
                    <w:tl2br w:val="nil"/>
                    <w:tr2bl w:val="nil"/>
                  </w:tcBorders>
                  <w:shd w:val="clear" w:color="auto" w:fill="auto"/>
                  <w:vAlign w:val="center"/>
                </w:tcPr>
                <w:p w14:paraId="0AC9600B">
                  <w:pPr>
                    <w:pStyle w:val="45"/>
                    <w:tabs>
                      <w:tab w:val="left" w:pos="4767"/>
                    </w:tabs>
                    <w:snapToGrid/>
                    <w:spacing w:line="0" w:lineRule="atLeast"/>
                    <w:jc w:val="center"/>
                    <w:rPr>
                      <w:rFonts w:hint="default" w:ascii="Times New Roman" w:hAnsi="Times New Roman" w:cs="Times New Roman"/>
                      <w:color w:val="auto"/>
                    </w:rPr>
                  </w:pPr>
                </w:p>
              </w:tc>
              <w:tc>
                <w:tcPr>
                  <w:tcW w:w="656" w:type="pct"/>
                  <w:vMerge w:val="continue"/>
                  <w:tcBorders>
                    <w:tl2br w:val="nil"/>
                    <w:tr2bl w:val="nil"/>
                  </w:tcBorders>
                  <w:shd w:val="clear" w:color="auto" w:fill="auto"/>
                  <w:vAlign w:val="center"/>
                </w:tcPr>
                <w:p w14:paraId="5B5DE6DD">
                  <w:pPr>
                    <w:pStyle w:val="45"/>
                    <w:tabs>
                      <w:tab w:val="left" w:pos="4767"/>
                    </w:tabs>
                    <w:snapToGrid/>
                    <w:spacing w:line="0" w:lineRule="atLeast"/>
                    <w:jc w:val="center"/>
                    <w:rPr>
                      <w:rFonts w:hint="default" w:ascii="Times New Roman" w:hAnsi="Times New Roman" w:cs="Times New Roman"/>
                      <w:color w:val="auto"/>
                    </w:rPr>
                  </w:pPr>
                </w:p>
              </w:tc>
              <w:tc>
                <w:tcPr>
                  <w:tcW w:w="711" w:type="pct"/>
                  <w:tcBorders>
                    <w:tl2br w:val="nil"/>
                    <w:tr2bl w:val="nil"/>
                  </w:tcBorders>
                  <w:shd w:val="clear" w:color="auto" w:fill="auto"/>
                  <w:vAlign w:val="center"/>
                </w:tcPr>
                <w:p w14:paraId="483AD51F">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烘干筒天然气燃烧废气、烘干粉尘</w:t>
                  </w:r>
                </w:p>
              </w:tc>
              <w:tc>
                <w:tcPr>
                  <w:tcW w:w="678" w:type="pct"/>
                  <w:tcBorders>
                    <w:tl2br w:val="nil"/>
                    <w:tr2bl w:val="nil"/>
                  </w:tcBorders>
                  <w:shd w:val="clear" w:color="auto" w:fill="auto"/>
                  <w:vAlign w:val="center"/>
                </w:tcPr>
                <w:p w14:paraId="39348C29">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645" w:type="pct"/>
                  <w:vMerge w:val="restart"/>
                  <w:tcBorders>
                    <w:tl2br w:val="nil"/>
                    <w:tr2bl w:val="nil"/>
                  </w:tcBorders>
                  <w:shd w:val="clear" w:color="auto" w:fill="auto"/>
                  <w:vAlign w:val="center"/>
                </w:tcPr>
                <w:p w14:paraId="67CCB554">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水喷淋+低温等离子净化</w:t>
                  </w:r>
                  <w:r>
                    <w:rPr>
                      <w:rFonts w:hint="default" w:ascii="Times New Roman" w:hAnsi="Times New Roman" w:cs="Times New Roman"/>
                      <w:color w:val="auto"/>
                      <w:szCs w:val="21"/>
                      <w:lang w:val="en-US" w:eastAsia="zh-CN"/>
                    </w:rPr>
                    <w:t>+15m高排气筒（DA002）</w:t>
                  </w:r>
                </w:p>
              </w:tc>
              <w:tc>
                <w:tcPr>
                  <w:tcW w:w="636" w:type="pct"/>
                  <w:vMerge w:val="restart"/>
                  <w:tcBorders>
                    <w:tl2br w:val="nil"/>
                    <w:tr2bl w:val="nil"/>
                  </w:tcBorders>
                  <w:shd w:val="clear" w:color="auto" w:fill="auto"/>
                  <w:vAlign w:val="center"/>
                </w:tcPr>
                <w:p w14:paraId="658E997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20</w:t>
                  </w:r>
                </w:p>
              </w:tc>
            </w:tr>
            <w:tr w14:paraId="31E643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03" w:type="pct"/>
                  <w:vMerge w:val="continue"/>
                  <w:tcBorders>
                    <w:tl2br w:val="nil"/>
                    <w:tr2bl w:val="nil"/>
                  </w:tcBorders>
                  <w:shd w:val="clear" w:color="auto" w:fill="auto"/>
                  <w:vAlign w:val="center"/>
                </w:tcPr>
                <w:p w14:paraId="3410037B">
                  <w:pPr>
                    <w:pStyle w:val="45"/>
                    <w:tabs>
                      <w:tab w:val="left" w:pos="4767"/>
                    </w:tabs>
                    <w:snapToGrid/>
                    <w:spacing w:line="0" w:lineRule="atLeast"/>
                    <w:jc w:val="center"/>
                    <w:rPr>
                      <w:rFonts w:hint="default" w:ascii="Times New Roman" w:hAnsi="Times New Roman" w:cs="Times New Roman"/>
                      <w:color w:val="auto"/>
                      <w:szCs w:val="21"/>
                    </w:rPr>
                  </w:pPr>
                </w:p>
              </w:tc>
              <w:tc>
                <w:tcPr>
                  <w:tcW w:w="269" w:type="pct"/>
                  <w:vMerge w:val="continue"/>
                  <w:tcBorders>
                    <w:tl2br w:val="nil"/>
                    <w:tr2bl w:val="nil"/>
                  </w:tcBorders>
                  <w:shd w:val="clear" w:color="auto" w:fill="auto"/>
                  <w:vAlign w:val="center"/>
                </w:tcPr>
                <w:p w14:paraId="47769DC9">
                  <w:pPr>
                    <w:pStyle w:val="45"/>
                    <w:tabs>
                      <w:tab w:val="left" w:pos="4767"/>
                    </w:tabs>
                    <w:snapToGrid/>
                    <w:spacing w:line="0" w:lineRule="atLeast"/>
                    <w:jc w:val="center"/>
                    <w:rPr>
                      <w:rFonts w:hint="default" w:ascii="Times New Roman" w:hAnsi="Times New Roman" w:cs="Times New Roman"/>
                      <w:color w:val="auto"/>
                      <w:szCs w:val="21"/>
                    </w:rPr>
                  </w:pPr>
                </w:p>
              </w:tc>
              <w:tc>
                <w:tcPr>
                  <w:tcW w:w="656" w:type="pct"/>
                  <w:vMerge w:val="continue"/>
                  <w:tcBorders>
                    <w:tl2br w:val="nil"/>
                    <w:tr2bl w:val="nil"/>
                  </w:tcBorders>
                  <w:shd w:val="clear" w:color="auto" w:fill="auto"/>
                  <w:vAlign w:val="center"/>
                </w:tcPr>
                <w:p w14:paraId="4E55881F">
                  <w:pPr>
                    <w:pStyle w:val="45"/>
                    <w:tabs>
                      <w:tab w:val="left" w:pos="4767"/>
                    </w:tabs>
                    <w:snapToGrid/>
                    <w:spacing w:line="0" w:lineRule="atLeast"/>
                    <w:jc w:val="center"/>
                    <w:rPr>
                      <w:rFonts w:hint="default" w:ascii="Times New Roman" w:hAnsi="Times New Roman" w:cs="Times New Roman"/>
                      <w:color w:val="auto"/>
                      <w:szCs w:val="21"/>
                    </w:rPr>
                  </w:pPr>
                </w:p>
              </w:tc>
              <w:tc>
                <w:tcPr>
                  <w:tcW w:w="711" w:type="pct"/>
                  <w:tcBorders>
                    <w:tl2br w:val="nil"/>
                    <w:tr2bl w:val="nil"/>
                  </w:tcBorders>
                  <w:shd w:val="clear" w:color="auto" w:fill="auto"/>
                  <w:vAlign w:val="center"/>
                </w:tcPr>
                <w:p w14:paraId="00AE5029">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振动筛分粉尘</w:t>
                  </w:r>
                </w:p>
              </w:tc>
              <w:tc>
                <w:tcPr>
                  <w:tcW w:w="678" w:type="pct"/>
                  <w:tcBorders>
                    <w:tl2br w:val="nil"/>
                    <w:tr2bl w:val="nil"/>
                  </w:tcBorders>
                  <w:shd w:val="clear" w:color="auto" w:fill="auto"/>
                  <w:vAlign w:val="center"/>
                </w:tcPr>
                <w:p w14:paraId="5165F79B">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645" w:type="pct"/>
                  <w:vMerge w:val="continue"/>
                  <w:tcBorders>
                    <w:tl2br w:val="nil"/>
                    <w:tr2bl w:val="nil"/>
                  </w:tcBorders>
                  <w:shd w:val="clear" w:color="auto" w:fill="auto"/>
                  <w:vAlign w:val="center"/>
                </w:tcPr>
                <w:p w14:paraId="77CF6EC5">
                  <w:pPr>
                    <w:pStyle w:val="45"/>
                    <w:tabs>
                      <w:tab w:val="left" w:pos="4767"/>
                    </w:tabs>
                    <w:snapToGrid/>
                    <w:spacing w:line="0" w:lineRule="atLeast"/>
                    <w:jc w:val="center"/>
                    <w:rPr>
                      <w:rFonts w:hint="default" w:ascii="Times New Roman" w:hAnsi="Times New Roman" w:cs="Times New Roman"/>
                      <w:color w:val="auto"/>
                      <w:szCs w:val="21"/>
                    </w:rPr>
                  </w:pPr>
                </w:p>
              </w:tc>
              <w:tc>
                <w:tcPr>
                  <w:tcW w:w="636" w:type="pct"/>
                  <w:vMerge w:val="continue"/>
                  <w:tcBorders>
                    <w:tl2br w:val="nil"/>
                    <w:tr2bl w:val="nil"/>
                  </w:tcBorders>
                  <w:shd w:val="clear" w:color="auto" w:fill="auto"/>
                  <w:vAlign w:val="center"/>
                </w:tcPr>
                <w:p w14:paraId="13E1FF16">
                  <w:pPr>
                    <w:pStyle w:val="45"/>
                    <w:tabs>
                      <w:tab w:val="left" w:pos="4767"/>
                    </w:tabs>
                    <w:snapToGrid/>
                    <w:spacing w:line="0" w:lineRule="atLeast"/>
                    <w:jc w:val="center"/>
                    <w:rPr>
                      <w:rFonts w:hint="default" w:ascii="Times New Roman" w:hAnsi="Times New Roman" w:cs="Times New Roman"/>
                      <w:color w:val="auto"/>
                      <w:szCs w:val="21"/>
                    </w:rPr>
                  </w:pPr>
                </w:p>
              </w:tc>
            </w:tr>
            <w:tr w14:paraId="399EA5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03" w:type="pct"/>
                  <w:vMerge w:val="continue"/>
                  <w:tcBorders>
                    <w:tl2br w:val="nil"/>
                    <w:tr2bl w:val="nil"/>
                  </w:tcBorders>
                  <w:shd w:val="clear" w:color="auto" w:fill="auto"/>
                  <w:vAlign w:val="center"/>
                </w:tcPr>
                <w:p w14:paraId="02447076">
                  <w:pPr>
                    <w:pStyle w:val="45"/>
                    <w:tabs>
                      <w:tab w:val="left" w:pos="4767"/>
                    </w:tabs>
                    <w:snapToGrid/>
                    <w:spacing w:line="0" w:lineRule="atLeast"/>
                    <w:jc w:val="center"/>
                    <w:rPr>
                      <w:rFonts w:hint="default" w:ascii="Times New Roman" w:hAnsi="Times New Roman" w:cs="Times New Roman"/>
                      <w:color w:val="auto"/>
                      <w:szCs w:val="21"/>
                    </w:rPr>
                  </w:pPr>
                </w:p>
              </w:tc>
              <w:tc>
                <w:tcPr>
                  <w:tcW w:w="269" w:type="pct"/>
                  <w:vMerge w:val="continue"/>
                  <w:tcBorders>
                    <w:tl2br w:val="nil"/>
                    <w:tr2bl w:val="nil"/>
                  </w:tcBorders>
                  <w:shd w:val="clear" w:color="auto" w:fill="auto"/>
                  <w:vAlign w:val="center"/>
                </w:tcPr>
                <w:p w14:paraId="5104AF78">
                  <w:pPr>
                    <w:pStyle w:val="45"/>
                    <w:tabs>
                      <w:tab w:val="left" w:pos="4767"/>
                    </w:tabs>
                    <w:snapToGrid/>
                    <w:spacing w:line="0" w:lineRule="atLeast"/>
                    <w:jc w:val="center"/>
                    <w:rPr>
                      <w:rFonts w:hint="default" w:ascii="Times New Roman" w:hAnsi="Times New Roman" w:cs="Times New Roman"/>
                      <w:color w:val="auto"/>
                      <w:szCs w:val="21"/>
                    </w:rPr>
                  </w:pPr>
                </w:p>
              </w:tc>
              <w:tc>
                <w:tcPr>
                  <w:tcW w:w="656" w:type="pct"/>
                  <w:vMerge w:val="continue"/>
                  <w:tcBorders>
                    <w:tl2br w:val="nil"/>
                    <w:tr2bl w:val="nil"/>
                  </w:tcBorders>
                  <w:shd w:val="clear" w:color="auto" w:fill="auto"/>
                  <w:vAlign w:val="center"/>
                </w:tcPr>
                <w:p w14:paraId="3BCAE9ED">
                  <w:pPr>
                    <w:pStyle w:val="45"/>
                    <w:tabs>
                      <w:tab w:val="left" w:pos="4767"/>
                    </w:tabs>
                    <w:snapToGrid/>
                    <w:spacing w:line="0" w:lineRule="atLeast"/>
                    <w:jc w:val="center"/>
                    <w:rPr>
                      <w:rFonts w:hint="default" w:ascii="Times New Roman" w:hAnsi="Times New Roman" w:cs="Times New Roman"/>
                      <w:color w:val="auto"/>
                      <w:szCs w:val="21"/>
                    </w:rPr>
                  </w:pPr>
                </w:p>
              </w:tc>
              <w:tc>
                <w:tcPr>
                  <w:tcW w:w="711" w:type="pct"/>
                  <w:tcBorders>
                    <w:tl2br w:val="nil"/>
                    <w:tr2bl w:val="nil"/>
                  </w:tcBorders>
                  <w:shd w:val="clear" w:color="auto" w:fill="auto"/>
                  <w:vAlign w:val="center"/>
                </w:tcPr>
                <w:p w14:paraId="75AC2C72">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沥青储罐及拌合罐产生的沥青烟</w:t>
                  </w:r>
                </w:p>
              </w:tc>
              <w:tc>
                <w:tcPr>
                  <w:tcW w:w="678" w:type="pct"/>
                  <w:tcBorders>
                    <w:tl2br w:val="nil"/>
                    <w:tr2bl w:val="nil"/>
                  </w:tcBorders>
                  <w:shd w:val="clear" w:color="auto" w:fill="auto"/>
                  <w:vAlign w:val="center"/>
                </w:tcPr>
                <w:p w14:paraId="0A6C1C43">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烘干筒燃烧室中二次燃烧</w:t>
                  </w:r>
                </w:p>
              </w:tc>
              <w:tc>
                <w:tcPr>
                  <w:tcW w:w="1645" w:type="pct"/>
                  <w:vMerge w:val="continue"/>
                  <w:tcBorders>
                    <w:tl2br w:val="nil"/>
                    <w:tr2bl w:val="nil"/>
                  </w:tcBorders>
                  <w:shd w:val="clear" w:color="auto" w:fill="auto"/>
                  <w:vAlign w:val="center"/>
                </w:tcPr>
                <w:p w14:paraId="66D016D6">
                  <w:pPr>
                    <w:pStyle w:val="45"/>
                    <w:tabs>
                      <w:tab w:val="left" w:pos="4767"/>
                    </w:tabs>
                    <w:snapToGrid/>
                    <w:spacing w:line="0" w:lineRule="atLeast"/>
                    <w:jc w:val="center"/>
                    <w:rPr>
                      <w:rFonts w:hint="default" w:ascii="Times New Roman" w:hAnsi="Times New Roman" w:cs="Times New Roman"/>
                      <w:color w:val="auto"/>
                      <w:szCs w:val="21"/>
                    </w:rPr>
                  </w:pPr>
                </w:p>
              </w:tc>
              <w:tc>
                <w:tcPr>
                  <w:tcW w:w="636" w:type="pct"/>
                  <w:vMerge w:val="continue"/>
                  <w:tcBorders>
                    <w:tl2br w:val="nil"/>
                    <w:tr2bl w:val="nil"/>
                  </w:tcBorders>
                  <w:shd w:val="clear" w:color="auto" w:fill="auto"/>
                  <w:vAlign w:val="center"/>
                </w:tcPr>
                <w:p w14:paraId="398B4A41">
                  <w:pPr>
                    <w:pStyle w:val="45"/>
                    <w:tabs>
                      <w:tab w:val="left" w:pos="4767"/>
                    </w:tabs>
                    <w:snapToGrid/>
                    <w:spacing w:line="0" w:lineRule="atLeast"/>
                    <w:jc w:val="center"/>
                    <w:rPr>
                      <w:rFonts w:hint="default" w:ascii="Times New Roman" w:hAnsi="Times New Roman" w:cs="Times New Roman"/>
                      <w:color w:val="auto"/>
                      <w:szCs w:val="21"/>
                    </w:rPr>
                  </w:pPr>
                </w:p>
              </w:tc>
            </w:tr>
            <w:tr w14:paraId="69BD9E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03" w:type="pct"/>
                  <w:vMerge w:val="continue"/>
                  <w:tcBorders>
                    <w:tl2br w:val="nil"/>
                    <w:tr2bl w:val="nil"/>
                  </w:tcBorders>
                  <w:shd w:val="clear" w:color="auto" w:fill="auto"/>
                  <w:vAlign w:val="center"/>
                </w:tcPr>
                <w:p w14:paraId="57C3B2DD">
                  <w:pPr>
                    <w:pStyle w:val="45"/>
                    <w:tabs>
                      <w:tab w:val="left" w:pos="4767"/>
                    </w:tabs>
                    <w:snapToGrid/>
                    <w:spacing w:line="0" w:lineRule="atLeast"/>
                    <w:jc w:val="center"/>
                    <w:rPr>
                      <w:rFonts w:hint="default" w:ascii="Times New Roman" w:hAnsi="Times New Roman" w:cs="Times New Roman"/>
                      <w:color w:val="auto"/>
                      <w:szCs w:val="21"/>
                    </w:rPr>
                  </w:pPr>
                </w:p>
              </w:tc>
              <w:tc>
                <w:tcPr>
                  <w:tcW w:w="269" w:type="pct"/>
                  <w:vMerge w:val="continue"/>
                  <w:tcBorders>
                    <w:tl2br w:val="nil"/>
                    <w:tr2bl w:val="nil"/>
                  </w:tcBorders>
                  <w:shd w:val="clear" w:color="auto" w:fill="auto"/>
                  <w:vAlign w:val="center"/>
                </w:tcPr>
                <w:p w14:paraId="0F8CB551">
                  <w:pPr>
                    <w:pStyle w:val="45"/>
                    <w:tabs>
                      <w:tab w:val="left" w:pos="4767"/>
                    </w:tabs>
                    <w:snapToGrid/>
                    <w:spacing w:line="0" w:lineRule="atLeast"/>
                    <w:jc w:val="center"/>
                    <w:rPr>
                      <w:rFonts w:hint="default" w:ascii="Times New Roman" w:hAnsi="Times New Roman" w:cs="Times New Roman"/>
                      <w:color w:val="auto"/>
                      <w:szCs w:val="21"/>
                    </w:rPr>
                  </w:pPr>
                </w:p>
              </w:tc>
              <w:tc>
                <w:tcPr>
                  <w:tcW w:w="656" w:type="pct"/>
                  <w:vMerge w:val="continue"/>
                  <w:tcBorders>
                    <w:tl2br w:val="nil"/>
                    <w:tr2bl w:val="nil"/>
                  </w:tcBorders>
                  <w:shd w:val="clear" w:color="auto" w:fill="auto"/>
                  <w:vAlign w:val="center"/>
                </w:tcPr>
                <w:p w14:paraId="1958F496">
                  <w:pPr>
                    <w:pStyle w:val="45"/>
                    <w:tabs>
                      <w:tab w:val="left" w:pos="4767"/>
                    </w:tabs>
                    <w:snapToGrid/>
                    <w:spacing w:line="0" w:lineRule="atLeast"/>
                    <w:jc w:val="center"/>
                    <w:rPr>
                      <w:rFonts w:hint="default" w:ascii="Times New Roman" w:hAnsi="Times New Roman" w:cs="Times New Roman"/>
                      <w:color w:val="auto"/>
                      <w:szCs w:val="21"/>
                    </w:rPr>
                  </w:pPr>
                </w:p>
              </w:tc>
              <w:tc>
                <w:tcPr>
                  <w:tcW w:w="711" w:type="pct"/>
                  <w:tcBorders>
                    <w:tl2br w:val="nil"/>
                    <w:tr2bl w:val="nil"/>
                  </w:tcBorders>
                  <w:shd w:val="clear" w:color="auto" w:fill="auto"/>
                  <w:vAlign w:val="center"/>
                </w:tcPr>
                <w:p w14:paraId="65951D73">
                  <w:pPr>
                    <w:pStyle w:val="45"/>
                    <w:tabs>
                      <w:tab w:val="left" w:pos="4767"/>
                    </w:tabs>
                    <w:snapToGrid/>
                    <w:spacing w:line="0" w:lineRule="atLeast"/>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矿粉加料产生的粉尘</w:t>
                  </w:r>
                </w:p>
              </w:tc>
              <w:tc>
                <w:tcPr>
                  <w:tcW w:w="2323" w:type="pct"/>
                  <w:gridSpan w:val="2"/>
                  <w:tcBorders>
                    <w:tl2br w:val="nil"/>
                    <w:tr2bl w:val="nil"/>
                  </w:tcBorders>
                  <w:shd w:val="clear" w:color="auto" w:fill="auto"/>
                  <w:vAlign w:val="center"/>
                </w:tcPr>
                <w:p w14:paraId="46294569">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lang w:eastAsia="zh-CN"/>
                    </w:rPr>
                    <w:t>布袋除尘</w:t>
                  </w:r>
                  <w:r>
                    <w:rPr>
                      <w:rFonts w:hint="default" w:ascii="Times New Roman" w:hAnsi="Times New Roman" w:cs="Times New Roman"/>
                      <w:color w:val="auto"/>
                      <w:szCs w:val="21"/>
                      <w:lang w:val="en-US" w:eastAsia="zh-CN"/>
                    </w:rPr>
                    <w:t>+15m高排气筒（DA002）</w:t>
                  </w:r>
                </w:p>
              </w:tc>
              <w:tc>
                <w:tcPr>
                  <w:tcW w:w="636" w:type="pct"/>
                  <w:tcBorders>
                    <w:tl2br w:val="nil"/>
                    <w:tr2bl w:val="nil"/>
                  </w:tcBorders>
                  <w:shd w:val="clear" w:color="auto" w:fill="auto"/>
                  <w:vAlign w:val="center"/>
                </w:tcPr>
                <w:p w14:paraId="31B855E5">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12</w:t>
                  </w:r>
                </w:p>
              </w:tc>
            </w:tr>
            <w:tr w14:paraId="4A8AA4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03" w:type="pct"/>
                  <w:vMerge w:val="continue"/>
                  <w:tcBorders>
                    <w:tl2br w:val="nil"/>
                    <w:tr2bl w:val="nil"/>
                  </w:tcBorders>
                  <w:shd w:val="clear" w:color="auto" w:fill="auto"/>
                  <w:vAlign w:val="center"/>
                </w:tcPr>
                <w:p w14:paraId="4B03CE90">
                  <w:pPr>
                    <w:pStyle w:val="45"/>
                    <w:tabs>
                      <w:tab w:val="left" w:pos="4767"/>
                    </w:tabs>
                    <w:snapToGrid/>
                    <w:spacing w:line="0" w:lineRule="atLeast"/>
                    <w:jc w:val="center"/>
                    <w:rPr>
                      <w:rFonts w:hint="default" w:ascii="Times New Roman" w:hAnsi="Times New Roman" w:cs="Times New Roman"/>
                      <w:color w:val="auto"/>
                      <w:szCs w:val="21"/>
                    </w:rPr>
                  </w:pPr>
                </w:p>
              </w:tc>
              <w:tc>
                <w:tcPr>
                  <w:tcW w:w="269" w:type="pct"/>
                  <w:vMerge w:val="continue"/>
                  <w:tcBorders>
                    <w:tl2br w:val="nil"/>
                    <w:tr2bl w:val="nil"/>
                  </w:tcBorders>
                  <w:shd w:val="clear" w:color="auto" w:fill="auto"/>
                  <w:vAlign w:val="center"/>
                </w:tcPr>
                <w:p w14:paraId="4504812E">
                  <w:pPr>
                    <w:pStyle w:val="45"/>
                    <w:tabs>
                      <w:tab w:val="left" w:pos="4767"/>
                    </w:tabs>
                    <w:snapToGrid/>
                    <w:spacing w:line="0" w:lineRule="atLeast"/>
                    <w:jc w:val="center"/>
                    <w:rPr>
                      <w:rFonts w:hint="default" w:ascii="Times New Roman" w:hAnsi="Times New Roman" w:cs="Times New Roman"/>
                      <w:color w:val="auto"/>
                      <w:szCs w:val="21"/>
                    </w:rPr>
                  </w:pPr>
                </w:p>
              </w:tc>
              <w:tc>
                <w:tcPr>
                  <w:tcW w:w="656" w:type="pct"/>
                  <w:vMerge w:val="continue"/>
                  <w:tcBorders>
                    <w:tl2br w:val="nil"/>
                    <w:tr2bl w:val="nil"/>
                  </w:tcBorders>
                  <w:shd w:val="clear" w:color="auto" w:fill="auto"/>
                  <w:vAlign w:val="center"/>
                </w:tcPr>
                <w:p w14:paraId="142B9758">
                  <w:pPr>
                    <w:pStyle w:val="45"/>
                    <w:tabs>
                      <w:tab w:val="left" w:pos="4767"/>
                    </w:tabs>
                    <w:snapToGrid/>
                    <w:spacing w:line="0" w:lineRule="atLeast"/>
                    <w:jc w:val="center"/>
                    <w:rPr>
                      <w:rFonts w:hint="default" w:ascii="Times New Roman" w:hAnsi="Times New Roman" w:cs="Times New Roman"/>
                      <w:color w:val="auto"/>
                      <w:szCs w:val="21"/>
                    </w:rPr>
                  </w:pPr>
                </w:p>
              </w:tc>
              <w:tc>
                <w:tcPr>
                  <w:tcW w:w="711" w:type="pct"/>
                  <w:tcBorders>
                    <w:tl2br w:val="nil"/>
                    <w:tr2bl w:val="nil"/>
                  </w:tcBorders>
                  <w:shd w:val="clear" w:color="auto" w:fill="auto"/>
                  <w:vAlign w:val="center"/>
                </w:tcPr>
                <w:p w14:paraId="38B919EB">
                  <w:pPr>
                    <w:pStyle w:val="45"/>
                    <w:tabs>
                      <w:tab w:val="left" w:pos="4767"/>
                    </w:tabs>
                    <w:snapToGrid/>
                    <w:spacing w:line="0" w:lineRule="atLeast"/>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导热油炉天然气燃烧废气</w:t>
                  </w:r>
                </w:p>
              </w:tc>
              <w:tc>
                <w:tcPr>
                  <w:tcW w:w="2323" w:type="pct"/>
                  <w:gridSpan w:val="2"/>
                  <w:tcBorders>
                    <w:tl2br w:val="nil"/>
                    <w:tr2bl w:val="nil"/>
                  </w:tcBorders>
                  <w:shd w:val="clear" w:color="auto" w:fill="auto"/>
                  <w:vAlign w:val="center"/>
                </w:tcPr>
                <w:p w14:paraId="23095DB3">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低氮燃烧+15m高排气筒（DA003）</w:t>
                  </w:r>
                </w:p>
              </w:tc>
              <w:tc>
                <w:tcPr>
                  <w:tcW w:w="636" w:type="pct"/>
                  <w:tcBorders>
                    <w:tl2br w:val="nil"/>
                    <w:tr2bl w:val="nil"/>
                  </w:tcBorders>
                  <w:shd w:val="clear" w:color="auto" w:fill="auto"/>
                  <w:vAlign w:val="center"/>
                </w:tcPr>
                <w:p w14:paraId="118A6BF0">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8</w:t>
                  </w:r>
                </w:p>
              </w:tc>
            </w:tr>
            <w:tr w14:paraId="4B616D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 w:type="pct"/>
                  <w:tcBorders>
                    <w:tl2br w:val="nil"/>
                    <w:tr2bl w:val="nil"/>
                  </w:tcBorders>
                  <w:shd w:val="clear" w:color="auto" w:fill="auto"/>
                  <w:vAlign w:val="center"/>
                </w:tcPr>
                <w:p w14:paraId="177EAF1A">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7</w:t>
                  </w:r>
                </w:p>
              </w:tc>
              <w:tc>
                <w:tcPr>
                  <w:tcW w:w="269" w:type="pct"/>
                  <w:vMerge w:val="continue"/>
                  <w:tcBorders>
                    <w:tl2br w:val="nil"/>
                    <w:tr2bl w:val="nil"/>
                  </w:tcBorders>
                  <w:shd w:val="clear" w:color="auto" w:fill="auto"/>
                  <w:vAlign w:val="center"/>
                </w:tcPr>
                <w:p w14:paraId="72103D60">
                  <w:pPr>
                    <w:pStyle w:val="45"/>
                    <w:tabs>
                      <w:tab w:val="left" w:pos="4767"/>
                    </w:tabs>
                    <w:snapToGrid/>
                    <w:spacing w:line="0" w:lineRule="atLeast"/>
                    <w:jc w:val="center"/>
                    <w:rPr>
                      <w:rFonts w:hint="default" w:ascii="Times New Roman" w:hAnsi="Times New Roman" w:cs="Times New Roman"/>
                      <w:color w:val="auto"/>
                      <w:szCs w:val="21"/>
                    </w:rPr>
                  </w:pPr>
                </w:p>
              </w:tc>
              <w:tc>
                <w:tcPr>
                  <w:tcW w:w="656" w:type="pct"/>
                  <w:tcBorders>
                    <w:tl2br w:val="nil"/>
                    <w:tr2bl w:val="nil"/>
                  </w:tcBorders>
                  <w:shd w:val="clear" w:color="auto" w:fill="auto"/>
                  <w:vAlign w:val="center"/>
                </w:tcPr>
                <w:p w14:paraId="740F9045">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废水治理</w:t>
                  </w:r>
                </w:p>
              </w:tc>
              <w:tc>
                <w:tcPr>
                  <w:tcW w:w="3034" w:type="pct"/>
                  <w:gridSpan w:val="3"/>
                  <w:tcBorders>
                    <w:tl2br w:val="nil"/>
                    <w:tr2bl w:val="nil"/>
                  </w:tcBorders>
                  <w:shd w:val="clear" w:color="auto" w:fill="auto"/>
                  <w:vAlign w:val="center"/>
                </w:tcPr>
                <w:p w14:paraId="141EA5C6">
                  <w:pPr>
                    <w:pStyle w:val="45"/>
                    <w:tabs>
                      <w:tab w:val="left" w:pos="4767"/>
                    </w:tabs>
                    <w:snapToGrid/>
                    <w:spacing w:line="0" w:lineRule="atLeast"/>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厂区设置车辆冲洗平台1座，车辆冲洗废水通过沉淀池沉淀后用于厂区内洒水抑尘，设备清洗废水经沉淀池（1座容积为500m³）沉淀后用于厂区内洒水抑尘，生活污水利用砖厂原有旱厕，旱厕定时清掏，清掏物用于周边农田施肥。</w:t>
                  </w:r>
                </w:p>
              </w:tc>
              <w:tc>
                <w:tcPr>
                  <w:tcW w:w="636" w:type="pct"/>
                  <w:tcBorders>
                    <w:tl2br w:val="nil"/>
                    <w:tr2bl w:val="nil"/>
                  </w:tcBorders>
                  <w:shd w:val="clear" w:color="auto" w:fill="auto"/>
                  <w:vAlign w:val="center"/>
                </w:tcPr>
                <w:p w14:paraId="76CA5666">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w:t>
                  </w:r>
                </w:p>
              </w:tc>
            </w:tr>
            <w:tr w14:paraId="6FA9CD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 w:type="pct"/>
                  <w:tcBorders>
                    <w:tl2br w:val="nil"/>
                    <w:tr2bl w:val="nil"/>
                  </w:tcBorders>
                  <w:shd w:val="clear" w:color="auto" w:fill="auto"/>
                  <w:vAlign w:val="center"/>
                </w:tcPr>
                <w:p w14:paraId="73A38DEE">
                  <w:pPr>
                    <w:pStyle w:val="45"/>
                    <w:tabs>
                      <w:tab w:val="left" w:pos="4767"/>
                    </w:tabs>
                    <w:snapToGrid/>
                    <w:spacing w:line="0" w:lineRule="atLeast"/>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8</w:t>
                  </w:r>
                </w:p>
              </w:tc>
              <w:tc>
                <w:tcPr>
                  <w:tcW w:w="269" w:type="pct"/>
                  <w:vMerge w:val="continue"/>
                  <w:tcBorders>
                    <w:tl2br w:val="nil"/>
                    <w:tr2bl w:val="nil"/>
                  </w:tcBorders>
                  <w:shd w:val="clear" w:color="auto" w:fill="auto"/>
                  <w:vAlign w:val="center"/>
                </w:tcPr>
                <w:p w14:paraId="6488DD98">
                  <w:pPr>
                    <w:pStyle w:val="45"/>
                    <w:tabs>
                      <w:tab w:val="left" w:pos="4767"/>
                    </w:tabs>
                    <w:snapToGrid/>
                    <w:spacing w:line="0" w:lineRule="atLeast"/>
                    <w:jc w:val="center"/>
                    <w:rPr>
                      <w:rFonts w:hint="default" w:ascii="Times New Roman" w:hAnsi="Times New Roman" w:cs="Times New Roman"/>
                      <w:color w:val="auto"/>
                      <w:szCs w:val="21"/>
                    </w:rPr>
                  </w:pPr>
                </w:p>
              </w:tc>
              <w:tc>
                <w:tcPr>
                  <w:tcW w:w="656" w:type="pct"/>
                  <w:tcBorders>
                    <w:tl2br w:val="nil"/>
                    <w:tr2bl w:val="nil"/>
                  </w:tcBorders>
                  <w:shd w:val="clear" w:color="auto" w:fill="auto"/>
                  <w:vAlign w:val="center"/>
                </w:tcPr>
                <w:p w14:paraId="71A9ED0D">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固废处置</w:t>
                  </w:r>
                </w:p>
              </w:tc>
              <w:tc>
                <w:tcPr>
                  <w:tcW w:w="3034" w:type="pct"/>
                  <w:gridSpan w:val="3"/>
                  <w:tcBorders>
                    <w:tl2br w:val="nil"/>
                    <w:tr2bl w:val="nil"/>
                  </w:tcBorders>
                  <w:shd w:val="clear" w:color="auto" w:fill="auto"/>
                  <w:vAlign w:val="center"/>
                </w:tcPr>
                <w:p w14:paraId="1EF80DF3">
                  <w:pPr>
                    <w:pStyle w:val="45"/>
                    <w:tabs>
                      <w:tab w:val="left" w:pos="4767"/>
                    </w:tabs>
                    <w:snapToGrid/>
                    <w:spacing w:line="0" w:lineRule="atLeast"/>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生活垃圾集中后交由当地环卫部门处理；导热油</w:t>
                  </w:r>
                  <w:r>
                    <w:rPr>
                      <w:rFonts w:hint="eastAsia" w:cs="Times New Roman"/>
                      <w:color w:val="auto"/>
                      <w:szCs w:val="21"/>
                      <w:lang w:val="en-US" w:eastAsia="zh-CN"/>
                    </w:rPr>
                    <w:t>5</w:t>
                  </w:r>
                  <w:r>
                    <w:rPr>
                      <w:rFonts w:hint="default" w:ascii="Times New Roman" w:hAnsi="Times New Roman" w:cs="Times New Roman"/>
                      <w:color w:val="auto"/>
                      <w:szCs w:val="21"/>
                      <w:lang w:val="en-US" w:eastAsia="zh-CN"/>
                    </w:rPr>
                    <w:t>年更换一次，更换完的废导热油委托有资质的单位处置，厂内不暂存；除尘装置收集的粉尘回用于生产；滴漏的沥青及拌和残渣收集后回用于生产，不合格的废石料</w:t>
                  </w:r>
                  <w:r>
                    <w:rPr>
                      <w:rFonts w:hint="eastAsia" w:cs="Times New Roman"/>
                      <w:color w:val="auto"/>
                      <w:szCs w:val="21"/>
                      <w:lang w:val="en-US" w:eastAsia="zh-CN"/>
                    </w:rPr>
                    <w:t>暂存于矿石堆棚</w:t>
                  </w:r>
                  <w:r>
                    <w:rPr>
                      <w:rFonts w:hint="default" w:ascii="Times New Roman" w:hAnsi="Times New Roman" w:cs="Times New Roman"/>
                      <w:color w:val="auto"/>
                      <w:szCs w:val="21"/>
                      <w:lang w:val="en-US" w:eastAsia="zh-CN"/>
                    </w:rPr>
                    <w:t>由</w:t>
                  </w:r>
                  <w:r>
                    <w:rPr>
                      <w:rFonts w:hint="eastAsia" w:cs="Times New Roman"/>
                      <w:color w:val="auto"/>
                      <w:szCs w:val="21"/>
                      <w:lang w:val="en-US" w:eastAsia="zh-CN"/>
                    </w:rPr>
                    <w:t>石料供应商</w:t>
                  </w:r>
                  <w:r>
                    <w:rPr>
                      <w:rFonts w:hint="default" w:ascii="Times New Roman" w:hAnsi="Times New Roman" w:cs="Times New Roman"/>
                      <w:color w:val="auto"/>
                      <w:szCs w:val="21"/>
                      <w:lang w:val="en-US" w:eastAsia="zh-CN"/>
                    </w:rPr>
                    <w:t>回收带回。</w:t>
                  </w:r>
                </w:p>
              </w:tc>
              <w:tc>
                <w:tcPr>
                  <w:tcW w:w="636" w:type="pct"/>
                  <w:tcBorders>
                    <w:tl2br w:val="nil"/>
                    <w:tr2bl w:val="nil"/>
                  </w:tcBorders>
                  <w:shd w:val="clear" w:color="auto" w:fill="auto"/>
                  <w:vAlign w:val="center"/>
                </w:tcPr>
                <w:p w14:paraId="2D3BF16E">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8</w:t>
                  </w:r>
                </w:p>
              </w:tc>
            </w:tr>
            <w:tr w14:paraId="2CC639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 w:type="pct"/>
                  <w:tcBorders>
                    <w:tl2br w:val="nil"/>
                    <w:tr2bl w:val="nil"/>
                  </w:tcBorders>
                  <w:shd w:val="clear" w:color="auto" w:fill="auto"/>
                  <w:vAlign w:val="center"/>
                </w:tcPr>
                <w:p w14:paraId="27640525">
                  <w:pPr>
                    <w:pStyle w:val="45"/>
                    <w:tabs>
                      <w:tab w:val="left" w:pos="4767"/>
                    </w:tabs>
                    <w:snapToGrid/>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9</w:t>
                  </w:r>
                </w:p>
              </w:tc>
              <w:tc>
                <w:tcPr>
                  <w:tcW w:w="269" w:type="pct"/>
                  <w:vMerge w:val="continue"/>
                  <w:tcBorders>
                    <w:tl2br w:val="nil"/>
                    <w:tr2bl w:val="nil"/>
                  </w:tcBorders>
                  <w:shd w:val="clear" w:color="auto" w:fill="auto"/>
                  <w:vAlign w:val="center"/>
                </w:tcPr>
                <w:p w14:paraId="29ACD118">
                  <w:pPr>
                    <w:pStyle w:val="45"/>
                    <w:tabs>
                      <w:tab w:val="left" w:pos="4767"/>
                    </w:tabs>
                    <w:snapToGrid/>
                    <w:spacing w:line="0" w:lineRule="atLeast"/>
                    <w:jc w:val="center"/>
                    <w:rPr>
                      <w:rFonts w:hint="default" w:ascii="Times New Roman" w:hAnsi="Times New Roman" w:cs="Times New Roman"/>
                      <w:color w:val="auto"/>
                      <w:szCs w:val="21"/>
                    </w:rPr>
                  </w:pPr>
                </w:p>
              </w:tc>
              <w:tc>
                <w:tcPr>
                  <w:tcW w:w="656" w:type="pct"/>
                  <w:tcBorders>
                    <w:tl2br w:val="nil"/>
                    <w:tr2bl w:val="nil"/>
                  </w:tcBorders>
                  <w:shd w:val="clear" w:color="auto" w:fill="auto"/>
                  <w:vAlign w:val="center"/>
                </w:tcPr>
                <w:p w14:paraId="0578996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防渗</w:t>
                  </w:r>
                </w:p>
              </w:tc>
              <w:tc>
                <w:tcPr>
                  <w:tcW w:w="3034" w:type="pct"/>
                  <w:gridSpan w:val="3"/>
                  <w:tcBorders>
                    <w:tl2br w:val="nil"/>
                    <w:tr2bl w:val="nil"/>
                  </w:tcBorders>
                  <w:shd w:val="clear" w:color="auto" w:fill="auto"/>
                  <w:vAlign w:val="center"/>
                </w:tcPr>
                <w:p w14:paraId="0D92CF30">
                  <w:pPr>
                    <w:pStyle w:val="45"/>
                    <w:tabs>
                      <w:tab w:val="left" w:pos="4767"/>
                    </w:tabs>
                    <w:snapToGrid/>
                    <w:spacing w:line="0" w:lineRule="atLeast"/>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项目区内全厂进行硬化，采用水泥硬化地面，储罐区、天然气槽车停止区及生产区域进行重点防渗，防渗层的防渗性能不应低于6.0m厚渗透系数为1.0×10</w:t>
                  </w:r>
                  <w:r>
                    <w:rPr>
                      <w:rFonts w:hint="default" w:ascii="Times New Roman" w:hAnsi="Times New Roman" w:cs="Times New Roman"/>
                      <w:color w:val="auto"/>
                      <w:szCs w:val="21"/>
                      <w:vertAlign w:val="superscript"/>
                      <w:lang w:val="en-US" w:eastAsia="zh-CN"/>
                    </w:rPr>
                    <w:t>-7</w:t>
                  </w:r>
                  <w:r>
                    <w:rPr>
                      <w:rFonts w:hint="default" w:ascii="Times New Roman" w:hAnsi="Times New Roman" w:cs="Times New Roman"/>
                      <w:color w:val="auto"/>
                      <w:szCs w:val="21"/>
                      <w:lang w:val="en-US" w:eastAsia="zh-CN"/>
                    </w:rPr>
                    <w:t>cm/s的粘土层的防渗性能。</w:t>
                  </w:r>
                </w:p>
              </w:tc>
              <w:tc>
                <w:tcPr>
                  <w:tcW w:w="636" w:type="pct"/>
                  <w:tcBorders>
                    <w:tl2br w:val="nil"/>
                    <w:tr2bl w:val="nil"/>
                  </w:tcBorders>
                  <w:shd w:val="clear" w:color="auto" w:fill="auto"/>
                  <w:vAlign w:val="center"/>
                </w:tcPr>
                <w:p w14:paraId="0228A654">
                  <w:pPr>
                    <w:pStyle w:val="45"/>
                    <w:tabs>
                      <w:tab w:val="left" w:pos="4767"/>
                    </w:tabs>
                    <w:snapToGrid/>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2</w:t>
                  </w:r>
                </w:p>
              </w:tc>
            </w:tr>
            <w:tr w14:paraId="41B825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 w:type="pct"/>
                  <w:tcBorders>
                    <w:tl2br w:val="nil"/>
                    <w:tr2bl w:val="nil"/>
                  </w:tcBorders>
                  <w:shd w:val="clear" w:color="auto" w:fill="auto"/>
                  <w:vAlign w:val="center"/>
                </w:tcPr>
                <w:p w14:paraId="270E986B">
                  <w:pPr>
                    <w:pStyle w:val="45"/>
                    <w:tabs>
                      <w:tab w:val="left" w:pos="4767"/>
                    </w:tabs>
                    <w:snapToGrid/>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10</w:t>
                  </w:r>
                </w:p>
              </w:tc>
              <w:tc>
                <w:tcPr>
                  <w:tcW w:w="269" w:type="pct"/>
                  <w:vMerge w:val="continue"/>
                  <w:tcBorders>
                    <w:tl2br w:val="nil"/>
                    <w:tr2bl w:val="nil"/>
                  </w:tcBorders>
                  <w:shd w:val="clear" w:color="auto" w:fill="auto"/>
                  <w:vAlign w:val="center"/>
                </w:tcPr>
                <w:p w14:paraId="2594C813">
                  <w:pPr>
                    <w:pStyle w:val="45"/>
                    <w:tabs>
                      <w:tab w:val="left" w:pos="4767"/>
                    </w:tabs>
                    <w:snapToGrid/>
                    <w:spacing w:line="0" w:lineRule="atLeast"/>
                    <w:jc w:val="center"/>
                    <w:rPr>
                      <w:rFonts w:hint="default" w:ascii="Times New Roman" w:hAnsi="Times New Roman" w:cs="Times New Roman"/>
                      <w:color w:val="auto"/>
                      <w:szCs w:val="21"/>
                    </w:rPr>
                  </w:pPr>
                </w:p>
              </w:tc>
              <w:tc>
                <w:tcPr>
                  <w:tcW w:w="3690" w:type="pct"/>
                  <w:gridSpan w:val="4"/>
                  <w:tcBorders>
                    <w:tl2br w:val="nil"/>
                    <w:tr2bl w:val="nil"/>
                  </w:tcBorders>
                  <w:shd w:val="clear" w:color="auto" w:fill="auto"/>
                  <w:vAlign w:val="center"/>
                </w:tcPr>
                <w:p w14:paraId="033ED9FD">
                  <w:pPr>
                    <w:pStyle w:val="45"/>
                    <w:tabs>
                      <w:tab w:val="left" w:pos="4767"/>
                    </w:tabs>
                    <w:snapToGrid/>
                    <w:spacing w:line="0" w:lineRule="atLeast"/>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设置防火警告牌，配置消防应急器材。</w:t>
                  </w:r>
                </w:p>
              </w:tc>
              <w:tc>
                <w:tcPr>
                  <w:tcW w:w="636" w:type="pct"/>
                  <w:tcBorders>
                    <w:tl2br w:val="nil"/>
                    <w:tr2bl w:val="nil"/>
                  </w:tcBorders>
                  <w:shd w:val="clear" w:color="auto" w:fill="auto"/>
                  <w:vAlign w:val="center"/>
                </w:tcPr>
                <w:p w14:paraId="249DE0AB">
                  <w:pPr>
                    <w:pStyle w:val="45"/>
                    <w:tabs>
                      <w:tab w:val="left" w:pos="4767"/>
                    </w:tabs>
                    <w:snapToGrid/>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w:t>
                  </w:r>
                </w:p>
              </w:tc>
            </w:tr>
            <w:tr w14:paraId="70DD88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 w:type="pct"/>
                  <w:tcBorders>
                    <w:tl2br w:val="nil"/>
                    <w:tr2bl w:val="nil"/>
                  </w:tcBorders>
                  <w:shd w:val="clear" w:color="auto" w:fill="auto"/>
                  <w:vAlign w:val="center"/>
                </w:tcPr>
                <w:p w14:paraId="2FAEA88B">
                  <w:pPr>
                    <w:pStyle w:val="45"/>
                    <w:tabs>
                      <w:tab w:val="left" w:pos="4767"/>
                    </w:tabs>
                    <w:snapToGrid/>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11</w:t>
                  </w:r>
                </w:p>
              </w:tc>
              <w:tc>
                <w:tcPr>
                  <w:tcW w:w="269" w:type="pct"/>
                  <w:vMerge w:val="continue"/>
                  <w:tcBorders>
                    <w:tl2br w:val="nil"/>
                    <w:tr2bl w:val="nil"/>
                  </w:tcBorders>
                  <w:shd w:val="clear" w:color="auto" w:fill="auto"/>
                  <w:vAlign w:val="center"/>
                </w:tcPr>
                <w:p w14:paraId="33114D38">
                  <w:pPr>
                    <w:pStyle w:val="45"/>
                    <w:tabs>
                      <w:tab w:val="left" w:pos="4767"/>
                    </w:tabs>
                    <w:snapToGrid/>
                    <w:spacing w:line="0" w:lineRule="atLeast"/>
                    <w:jc w:val="center"/>
                    <w:rPr>
                      <w:rFonts w:hint="default" w:ascii="Times New Roman" w:hAnsi="Times New Roman" w:cs="Times New Roman"/>
                      <w:color w:val="auto"/>
                      <w:szCs w:val="21"/>
                    </w:rPr>
                  </w:pPr>
                </w:p>
              </w:tc>
              <w:tc>
                <w:tcPr>
                  <w:tcW w:w="3690" w:type="pct"/>
                  <w:gridSpan w:val="4"/>
                  <w:tcBorders>
                    <w:tl2br w:val="nil"/>
                    <w:tr2bl w:val="nil"/>
                  </w:tcBorders>
                  <w:shd w:val="clear" w:color="auto" w:fill="auto"/>
                  <w:vAlign w:val="center"/>
                </w:tcPr>
                <w:p w14:paraId="7ACCA5C9">
                  <w:pPr>
                    <w:pStyle w:val="45"/>
                    <w:tabs>
                      <w:tab w:val="left" w:pos="4767"/>
                    </w:tabs>
                    <w:snapToGrid/>
                    <w:spacing w:line="0" w:lineRule="atLeast"/>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设置一座200m³的事故水池。</w:t>
                  </w:r>
                </w:p>
              </w:tc>
              <w:tc>
                <w:tcPr>
                  <w:tcW w:w="636" w:type="pct"/>
                  <w:tcBorders>
                    <w:tl2br w:val="nil"/>
                    <w:tr2bl w:val="nil"/>
                  </w:tcBorders>
                  <w:shd w:val="clear" w:color="auto" w:fill="auto"/>
                  <w:vAlign w:val="center"/>
                </w:tcPr>
                <w:p w14:paraId="2F73A119">
                  <w:pPr>
                    <w:pStyle w:val="45"/>
                    <w:tabs>
                      <w:tab w:val="left" w:pos="4767"/>
                    </w:tabs>
                    <w:snapToGrid/>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2</w:t>
                  </w:r>
                </w:p>
              </w:tc>
            </w:tr>
            <w:tr w14:paraId="29E4A8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3" w:type="pct"/>
                  <w:gridSpan w:val="6"/>
                  <w:tcBorders>
                    <w:tl2br w:val="nil"/>
                    <w:tr2bl w:val="nil"/>
                  </w:tcBorders>
                  <w:shd w:val="clear" w:color="auto" w:fill="auto"/>
                  <w:vAlign w:val="center"/>
                </w:tcPr>
                <w:p w14:paraId="6046E87C">
                  <w:pPr>
                    <w:pStyle w:val="45"/>
                    <w:tabs>
                      <w:tab w:val="left" w:pos="4767"/>
                    </w:tabs>
                    <w:snapToGrid/>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合计</w:t>
                  </w:r>
                </w:p>
              </w:tc>
              <w:tc>
                <w:tcPr>
                  <w:tcW w:w="636" w:type="pct"/>
                  <w:tcBorders>
                    <w:tl2br w:val="nil"/>
                    <w:tr2bl w:val="nil"/>
                  </w:tcBorders>
                  <w:shd w:val="clear" w:color="auto" w:fill="auto"/>
                  <w:vAlign w:val="center"/>
                </w:tcPr>
                <w:p w14:paraId="1B51BDA2">
                  <w:pPr>
                    <w:pStyle w:val="45"/>
                    <w:tabs>
                      <w:tab w:val="left" w:pos="4767"/>
                    </w:tabs>
                    <w:snapToGrid/>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75</w:t>
                  </w:r>
                </w:p>
              </w:tc>
            </w:tr>
          </w:tbl>
          <w:p w14:paraId="4420F644">
            <w:pPr>
              <w:tabs>
                <w:tab w:val="left" w:pos="4767"/>
              </w:tabs>
              <w:rPr>
                <w:rFonts w:hint="default" w:ascii="Times New Roman" w:hAnsi="Times New Roman" w:cs="Times New Roman"/>
                <w:color w:val="auto"/>
              </w:rPr>
            </w:pPr>
          </w:p>
        </w:tc>
      </w:tr>
      <w:tr w14:paraId="64DB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2" w:hRule="atLeast"/>
        </w:trPr>
        <w:tc>
          <w:tcPr>
            <w:tcW w:w="309" w:type="pct"/>
            <w:vAlign w:val="center"/>
          </w:tcPr>
          <w:p w14:paraId="390BAA3B">
            <w:pPr>
              <w:tabs>
                <w:tab w:val="left" w:pos="4767"/>
              </w:tabs>
              <w:spacing w:line="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工艺流程和产排污环节</w:t>
            </w:r>
          </w:p>
        </w:tc>
        <w:tc>
          <w:tcPr>
            <w:tcW w:w="4690" w:type="pct"/>
          </w:tcPr>
          <w:p w14:paraId="0F8E7EBD">
            <w:pPr>
              <w:tabs>
                <w:tab w:val="left" w:pos="4767"/>
              </w:tabs>
              <w:spacing w:line="360" w:lineRule="auto"/>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1、施工期工艺流程简述</w:t>
            </w:r>
          </w:p>
          <w:p w14:paraId="78EBDF2D">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rPr>
              <w:t>建设项目建设地点位于宁夏回族自治区中卫市沙坡头区常乐镇枣林村吉庆砖厂</w:t>
            </w:r>
            <w:r>
              <w:rPr>
                <w:rFonts w:hint="default" w:ascii="Times New Roman" w:hAnsi="Times New Roman" w:cs="Times New Roman"/>
                <w:color w:val="auto"/>
                <w:lang w:eastAsia="zh-CN"/>
              </w:rPr>
              <w:t>场地内</w:t>
            </w:r>
            <w:r>
              <w:rPr>
                <w:rFonts w:hint="default" w:ascii="Times New Roman" w:hAnsi="Times New Roman" w:cs="Times New Roman"/>
                <w:color w:val="auto"/>
              </w:rPr>
              <w:t>，该区域场地平整，不需要土方作业，无挖方、填方。施工期主要设沥青拌合站等设备安装，在建设期间各种施工活动会对环境造成一定的影响。</w:t>
            </w:r>
          </w:p>
          <w:p w14:paraId="6AC20DD2">
            <w:pPr>
              <w:pStyle w:val="42"/>
              <w:tabs>
                <w:tab w:val="left" w:pos="4767"/>
              </w:tabs>
              <w:ind w:firstLine="514"/>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施工期主要污染环节：</w:t>
            </w:r>
          </w:p>
          <w:p w14:paraId="35E24C61">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rPr>
              <w:t>（1）施工期废气</w:t>
            </w:r>
          </w:p>
          <w:p w14:paraId="1F503F8F">
            <w:pPr>
              <w:pStyle w:val="42"/>
              <w:tabs>
                <w:tab w:val="left" w:pos="4767"/>
              </w:tabs>
              <w:ind w:firstLine="514"/>
              <w:jc w:val="both"/>
              <w:rPr>
                <w:rFonts w:hint="default" w:ascii="Times New Roman" w:hAnsi="Times New Roman" w:cs="Times New Roman"/>
                <w:snapToGrid/>
                <w:color w:val="auto"/>
                <w:kern w:val="2"/>
                <w:szCs w:val="24"/>
                <w:lang w:val="en-US" w:eastAsia="zh-CN"/>
              </w:rPr>
            </w:pPr>
            <w:r>
              <w:rPr>
                <w:rFonts w:hint="default" w:ascii="Times New Roman" w:hAnsi="Times New Roman" w:cs="Times New Roman"/>
                <w:snapToGrid/>
                <w:color w:val="auto"/>
                <w:kern w:val="2"/>
                <w:szCs w:val="24"/>
              </w:rPr>
              <w:t>本项目</w:t>
            </w:r>
            <w:r>
              <w:rPr>
                <w:rFonts w:hint="default" w:ascii="Times New Roman" w:hAnsi="Times New Roman" w:cs="Times New Roman"/>
                <w:snapToGrid/>
                <w:color w:val="auto"/>
                <w:kern w:val="2"/>
                <w:szCs w:val="24"/>
                <w:lang w:val="en-US" w:eastAsia="zh-CN"/>
              </w:rPr>
              <w:t>施工期废气主要为扬尘。针对建材（如黄沙、水泥等）装卸搅拌过程产生的扬尘以及车辆运输产生的扬尘，禁止露天堆放，搅拌过程四周设置围挡、施工车辆限速行驶等手段减少施工扬尘。</w:t>
            </w:r>
          </w:p>
          <w:p w14:paraId="4598F15E">
            <w:pPr>
              <w:pStyle w:val="42"/>
              <w:tabs>
                <w:tab w:val="left" w:pos="4767"/>
              </w:tabs>
              <w:ind w:firstLine="514"/>
              <w:jc w:val="both"/>
              <w:rPr>
                <w:rFonts w:hint="default" w:ascii="Times New Roman" w:hAnsi="Times New Roman" w:cs="Times New Roman"/>
                <w:color w:val="auto"/>
              </w:rPr>
            </w:pPr>
            <w:r>
              <w:rPr>
                <w:rFonts w:hint="default" w:ascii="Times New Roman" w:hAnsi="Times New Roman" w:cs="Times New Roman"/>
                <w:snapToGrid/>
                <w:color w:val="auto"/>
                <w:kern w:val="2"/>
                <w:szCs w:val="24"/>
                <w:lang w:val="en-US" w:eastAsia="zh-CN"/>
              </w:rPr>
              <w:t>在采取上述措施的前提下，本项目施工期废气对周边环境影响较小。</w:t>
            </w:r>
          </w:p>
          <w:p w14:paraId="17706B9B">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rPr>
              <w:t>（2）施工期废水</w:t>
            </w:r>
          </w:p>
          <w:p w14:paraId="53B4A593">
            <w:pPr>
              <w:pStyle w:val="42"/>
              <w:tabs>
                <w:tab w:val="left" w:pos="4767"/>
              </w:tabs>
              <w:ind w:firstLine="514"/>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本项目施工期产生废水主要为施工人员的生活污水和车辆冲洗废水。</w:t>
            </w:r>
          </w:p>
          <w:p w14:paraId="2A4FBE4F">
            <w:pPr>
              <w:pStyle w:val="42"/>
              <w:tabs>
                <w:tab w:val="left" w:pos="4767"/>
              </w:tabs>
              <w:ind w:firstLine="514"/>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施工人员10人，生活用水量按40L/人·d计，则用水量为0.4m³/d，生活污水产生量按用水量的80%计，则生活污水产生量为0.32m³/d，生活污水中如厕利用砖厂原有旱厕，旱厕定时清掏，清掏物用于周边农田施肥，洗漱废水用于厂区泼洒抑尘。</w:t>
            </w:r>
          </w:p>
          <w:p w14:paraId="0F69E775">
            <w:pPr>
              <w:pStyle w:val="42"/>
              <w:tabs>
                <w:tab w:val="left" w:pos="4767"/>
              </w:tabs>
              <w:ind w:firstLine="514"/>
              <w:jc w:val="both"/>
              <w:rPr>
                <w:rFonts w:hint="default" w:ascii="Times New Roman" w:hAnsi="Times New Roman" w:cs="Times New Roman"/>
                <w:color w:val="auto"/>
              </w:rPr>
            </w:pPr>
            <w:r>
              <w:rPr>
                <w:rFonts w:hint="default" w:ascii="Times New Roman" w:hAnsi="Times New Roman" w:cs="Times New Roman"/>
                <w:color w:val="auto"/>
                <w:lang w:val="en-US" w:eastAsia="zh-CN"/>
              </w:rPr>
              <w:t>施工期间的砂浆搅拌机用水、砖瓦、土方等建筑物料喷洒水及少量的机械泥浆污水，主要污染因子为SS，经沉淀澄清后用于施工场地喷洒抑尘，循环利用不外排</w:t>
            </w:r>
            <w:r>
              <w:rPr>
                <w:rFonts w:hint="default" w:ascii="Times New Roman" w:hAnsi="Times New Roman" w:cs="Times New Roman"/>
                <w:color w:val="auto"/>
              </w:rPr>
              <w:t>。</w:t>
            </w:r>
          </w:p>
          <w:p w14:paraId="4EDCE596">
            <w:pPr>
              <w:pStyle w:val="42"/>
              <w:tabs>
                <w:tab w:val="left" w:pos="4767"/>
              </w:tabs>
              <w:ind w:firstLine="514"/>
              <w:jc w:val="both"/>
              <w:rPr>
                <w:rFonts w:hint="default" w:ascii="Times New Roman" w:hAnsi="Times New Roman" w:cs="Times New Roman"/>
                <w:color w:val="auto"/>
              </w:rPr>
            </w:pPr>
            <w:r>
              <w:rPr>
                <w:rFonts w:hint="default" w:ascii="Times New Roman" w:hAnsi="Times New Roman" w:cs="Times New Roman"/>
                <w:color w:val="auto"/>
                <w:lang w:val="en-US" w:eastAsia="zh-CN"/>
              </w:rPr>
              <w:t>在采取上述措施的前提下，本项目施工期废水对周边环境影响较小。</w:t>
            </w:r>
          </w:p>
          <w:p w14:paraId="0B6081E3">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rPr>
              <w:t>（3）施工期噪声</w:t>
            </w:r>
          </w:p>
          <w:p w14:paraId="1063A581">
            <w:pPr>
              <w:pStyle w:val="42"/>
              <w:tabs>
                <w:tab w:val="left" w:pos="4767"/>
              </w:tabs>
              <w:ind w:firstLine="514"/>
              <w:jc w:val="both"/>
              <w:rPr>
                <w:rFonts w:hint="default" w:ascii="Times New Roman" w:hAnsi="Times New Roman" w:cs="Times New Roman"/>
                <w:color w:val="auto"/>
              </w:rPr>
            </w:pPr>
            <w:r>
              <w:rPr>
                <w:rFonts w:hint="default" w:ascii="Times New Roman" w:hAnsi="Times New Roman" w:cs="Times New Roman"/>
                <w:color w:val="auto"/>
                <w:lang w:val="en-US" w:eastAsia="zh-CN"/>
              </w:rPr>
              <w:t>施工作业噪声主要是设备安装噪声、装卸车辆时的撞击声以及运输车辆产生的噪声等，多为瞬时噪声，噪声源强在85～105dB之间。在围挡内设置防噪挡板，并优先选用低噪声施工机械，合理安排施工时间。通过上述措施，可有效降低施工噪声对施工场界的影响。</w:t>
            </w:r>
          </w:p>
          <w:p w14:paraId="59D0F6A4">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rPr>
              <w:t>（4）施工期固废</w:t>
            </w:r>
          </w:p>
          <w:p w14:paraId="2C7FCF32">
            <w:pPr>
              <w:pStyle w:val="42"/>
              <w:tabs>
                <w:tab w:val="left" w:pos="4767"/>
              </w:tabs>
              <w:ind w:firstLine="514"/>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本项目施工期产生的固体废物主要为建筑垃圾和生活垃圾。</w:t>
            </w:r>
          </w:p>
          <w:p w14:paraId="7DD74260">
            <w:pPr>
              <w:pStyle w:val="42"/>
              <w:tabs>
                <w:tab w:val="left" w:pos="4767"/>
              </w:tabs>
              <w:ind w:firstLine="514"/>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生活垃圾：以人均每天产生0.5kg计算，施工人数10人，施工期30天，则施工期产生的生活垃圾约0.15t，集中收集后由环卫部门统一清运。</w:t>
            </w:r>
          </w:p>
          <w:p w14:paraId="1A2B948C">
            <w:pPr>
              <w:pStyle w:val="42"/>
              <w:tabs>
                <w:tab w:val="left" w:pos="4767"/>
              </w:tabs>
              <w:ind w:firstLine="514"/>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建筑垃圾：施工期设备安装过程会产生少量的建筑垃圾，建筑垃圾统一收集后运往市政指定的地点进行处理。</w:t>
            </w:r>
          </w:p>
          <w:p w14:paraId="18039672">
            <w:pPr>
              <w:tabs>
                <w:tab w:val="left" w:pos="4767"/>
              </w:tabs>
              <w:spacing w:line="360" w:lineRule="auto"/>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2、运营期工艺流程简述</w:t>
            </w:r>
          </w:p>
          <w:p w14:paraId="5CAF45FD">
            <w:pPr>
              <w:pStyle w:val="42"/>
              <w:tabs>
                <w:tab w:val="left" w:pos="4767"/>
              </w:tabs>
              <w:spacing w:line="240" w:lineRule="auto"/>
              <w:ind w:firstLine="514"/>
              <w:jc w:val="both"/>
              <w:rPr>
                <w:rFonts w:hint="default" w:ascii="Times New Roman" w:hAnsi="Times New Roman" w:cs="Times New Roman"/>
                <w:color w:val="auto"/>
              </w:rPr>
            </w:pPr>
            <w:r>
              <w:rPr>
                <w:rFonts w:hint="default" w:ascii="Times New Roman" w:hAnsi="Times New Roman" w:cs="Times New Roman"/>
                <w:color w:val="auto"/>
              </w:rPr>
              <w:t>本项目工艺流程及产污环节示意图见图2-</w:t>
            </w:r>
            <w:r>
              <w:rPr>
                <w:rFonts w:hint="eastAsia" w:ascii="Times New Roman" w:hAnsi="Times New Roman" w:cs="Times New Roman"/>
                <w:color w:val="auto"/>
                <w:lang w:val="en-US" w:eastAsia="zh-CN"/>
              </w:rPr>
              <w:t>2</w:t>
            </w:r>
            <w:r>
              <w:rPr>
                <w:rFonts w:hint="default" w:ascii="Times New Roman" w:hAnsi="Times New Roman" w:cs="Times New Roman"/>
                <w:color w:val="auto"/>
              </w:rPr>
              <w:t>。</w:t>
            </w:r>
          </w:p>
          <w:p w14:paraId="2F989334">
            <w:pPr>
              <w:tabs>
                <w:tab w:val="left" w:pos="4767"/>
              </w:tabs>
              <w:jc w:val="center"/>
              <w:rPr>
                <w:rFonts w:hint="default" w:ascii="Times New Roman" w:hAnsi="Times New Roman" w:eastAsia="黑体" w:cs="Times New Roman"/>
                <w:color w:val="auto"/>
                <w:sz w:val="24"/>
              </w:rPr>
            </w:pPr>
            <w:r>
              <w:rPr>
                <w:rFonts w:hint="default" w:ascii="Times New Roman" w:hAnsi="Times New Roman" w:cs="Times New Roman"/>
                <w:color w:val="auto"/>
                <w:lang w:val="en-US" w:eastAsia="zh-CN"/>
              </w:rPr>
              <w:object>
                <v:shape id="_x0000_i1026" o:spt="75" type="#_x0000_t75" style="height:442.45pt;width:380.65pt;" o:ole="t" filled="f" o:preferrelative="t" stroked="f" coordsize="21600,21600">
                  <v:path/>
                  <v:fill on="f" focussize="0,0"/>
                  <v:stroke on="f"/>
                  <v:imagedata r:id="rId12" o:title=""/>
                  <o:lock v:ext="edit" aspectratio="f"/>
                  <w10:wrap type="none"/>
                  <w10:anchorlock/>
                </v:shape>
                <o:OLEObject Type="Embed" ProgID="Visio.Drawing.11" ShapeID="_x0000_i1026" DrawAspect="Content" ObjectID="_1468075726" r:id="rId11">
                  <o:LockedField>false</o:LockedField>
                </o:OLEObject>
              </w:object>
            </w:r>
          </w:p>
          <w:p w14:paraId="0B53FBA0">
            <w:pPr>
              <w:tabs>
                <w:tab w:val="left" w:pos="4767"/>
              </w:tabs>
              <w:ind w:firstLine="514" w:firstLineChars="20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图2-</w:t>
            </w:r>
            <w:r>
              <w:rPr>
                <w:rFonts w:hint="eastAsia" w:ascii="Times New Roman" w:hAnsi="Times New Roman" w:eastAsia="黑体" w:cs="Times New Roman"/>
                <w:color w:val="auto"/>
                <w:sz w:val="24"/>
                <w:lang w:val="en-US" w:eastAsia="zh-CN"/>
              </w:rPr>
              <w:t>2</w:t>
            </w:r>
            <w:r>
              <w:rPr>
                <w:rFonts w:hint="default" w:ascii="Times New Roman" w:hAnsi="Times New Roman" w:eastAsia="黑体" w:cs="Times New Roman"/>
                <w:color w:val="auto"/>
                <w:sz w:val="24"/>
              </w:rPr>
              <w:t xml:space="preserve">  项目营运期工艺流程及产污环节图</w:t>
            </w:r>
          </w:p>
          <w:p w14:paraId="2FE8D269">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lang w:val="en-US" w:eastAsia="zh-CN"/>
              </w:rPr>
              <w:t>沥青混合料主要由石油沥青和矿石和矿粉混合拌制而成。其一般流程可分为沥青预处理和矿石预处理，通过全封闭的皮带输送机进入拌缸拌和后即为成品。</w:t>
            </w:r>
          </w:p>
          <w:p w14:paraId="11DCE335">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矿石预处理流程：</w:t>
            </w:r>
          </w:p>
          <w:p w14:paraId="620532A8">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lang w:val="en-US" w:eastAsia="zh-CN"/>
              </w:rPr>
              <w:t>满足产品规格需要的矿石堆场运入配料斗，通过密封皮带机送入烘干筒；为使沥青混合料不至于因过快冷却而带来运输上的不便，矿石在进入搅拌站前需经干燥筒热处理，干燥筒的热源为天然气在热风炉中燃烧产生的热量。干燥筒通过加热，并不停转动，以使矿石间接受热干燥；加热后的矿石经通过矿石提升机送到粒度检控系统内进行振动筛分，符合粒度要求的矿石经计量后进入沥青混凝土搅拌站，少数粒度不合规格的矿石被分离后由专门出口排出，由石料供应商回收破碎。除尘器收集到的粉尘回用于生产，矿石烘干产生的水分用于厂区内洒水抑尘。矿石加料及运输产生的粉尘由配套的1#布袋除尘器除尘后由15m高的排气筒（DA001）达标排放、矿石烘干产生的粉尘、烘干筒中燃烧器燃烧天然气产生的废气、振动筛分产生的粉尘均由配套的水喷淋+低温等离子净化处理后通过15m高排气筒（DA002）达标排放。</w:t>
            </w:r>
          </w:p>
          <w:p w14:paraId="7C753F07">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矿粉预处理流程</w:t>
            </w:r>
          </w:p>
          <w:p w14:paraId="38FFF43E">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lang w:val="en-US" w:eastAsia="zh-CN"/>
              </w:rPr>
              <w:t>本项目沥青混凝土生产粉料为矿粉，使用矿粉罐暂存，经矿粉专用密闭罐车运输到厂内后再通过密闭管道经气力作用输送到矿粉罐。矿粉通过粉料提升机进入全封闭矿粉仓，矿粉加料过程中产生的粉尘经水喷淋+低温等离子净化处理后通过15m高排气筒（DA002）达标排放。</w:t>
            </w:r>
          </w:p>
          <w:p w14:paraId="4E49BC60">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沥青预处理流程</w:t>
            </w:r>
          </w:p>
          <w:p w14:paraId="7DCC7E25">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lang w:val="en-US" w:eastAsia="zh-CN"/>
              </w:rPr>
              <w:t>沥青是石油化工厂热解石油气原料时得到的副产品。本项目沥青原料进厂时为散装沥青，由专用沥青运输车（由供货方负责）将沥青通过密闭管道输送入沥青储罐。使用导热油炉将沥青间接加热融化，使其保温至160~180℃。生产时，沥青由沥青泵输送到沥青计量器，按一定配合划分重量后通过专门管道送入拌和站的拌缸内与矿石混合并进行拌和。导热油炉燃烧的天然气废气通过低氮燃烧后经15m高排气筒（DA003）达标排放；此工段沥青储罐产生的沥青烟由导气管道引向烘干筒燃烧室燃烧处理，经水喷淋+低温等离子净化处理后通过15m高排气筒（DA002）达标排放。滴漏的沥青通过回收再次回用到生产中。</w:t>
            </w:r>
          </w:p>
          <w:p w14:paraId="29105864">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rPr>
              <w:t>（4）搅拌、卸料</w:t>
            </w:r>
          </w:p>
          <w:p w14:paraId="731BAD0C">
            <w:pPr>
              <w:pStyle w:val="42"/>
              <w:tabs>
                <w:tab w:val="left" w:pos="4767"/>
              </w:tabs>
              <w:ind w:firstLine="514"/>
              <w:rPr>
                <w:rFonts w:hint="default" w:ascii="Times New Roman" w:hAnsi="Times New Roman" w:cs="Times New Roman"/>
                <w:color w:val="auto"/>
              </w:rPr>
            </w:pPr>
            <w:r>
              <w:rPr>
                <w:rFonts w:hint="default" w:ascii="Times New Roman" w:hAnsi="Times New Roman" w:cs="Times New Roman"/>
                <w:color w:val="auto"/>
                <w:lang w:val="en-US" w:eastAsia="zh-CN"/>
              </w:rPr>
              <w:t>进入搅拌站的沥青、矿石以及矿粉经拌和得到沥青混合料成品，由于成品仓高度低于搅拌系统，因此成品经过自身重力作用降落至成品仓，产品整个生产工艺在密闭系统中进行。同时成品仓出料口的高度高于运输汽车，因此成品经过出料口之际进入运输车辆，然后通过专门的沥青混凝土车辆外运，生产出料过程为间断式。在整个生产过程中由于使用的生产设备先进性较高，采用的是全自动控制系统，在生产过程中可以有效的减少物料的跑冒滴漏等，以及其他由于生产设备不先进带来的环保问题，整个生产过程除了进料和出料工序，其他工序均采用密闭操作。此工段搅拌站及出料时产生的沥青烟由导气管道引向烘干筒燃烧室燃烧处理，经水喷淋+低温等离子净化处理后通过15m高排气筒（DA002）达标排放。</w:t>
            </w:r>
          </w:p>
          <w:p w14:paraId="07CA9275">
            <w:pPr>
              <w:pStyle w:val="19"/>
              <w:tabs>
                <w:tab w:val="left" w:pos="4767"/>
              </w:tabs>
              <w:rPr>
                <w:rFonts w:hint="default" w:ascii="Times New Roman" w:hAnsi="Times New Roman" w:cs="Times New Roman"/>
                <w:color w:val="auto"/>
              </w:rPr>
            </w:pPr>
            <w:r>
              <w:rPr>
                <w:rFonts w:hint="default" w:ascii="Times New Roman" w:hAnsi="Times New Roman" w:cs="Times New Roman"/>
                <w:color w:val="auto"/>
              </w:rPr>
              <w:t>表2-7  运营期工艺产排污节点</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718"/>
              <w:gridCol w:w="765"/>
              <w:gridCol w:w="2042"/>
              <w:gridCol w:w="2144"/>
            </w:tblGrid>
            <w:tr w14:paraId="5E7DDA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016157F7">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项目</w:t>
                  </w:r>
                </w:p>
              </w:tc>
              <w:tc>
                <w:tcPr>
                  <w:tcW w:w="2718" w:type="dxa"/>
                  <w:vAlign w:val="center"/>
                </w:tcPr>
                <w:p w14:paraId="0E7860D2">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污染物名称</w:t>
                  </w:r>
                </w:p>
              </w:tc>
              <w:tc>
                <w:tcPr>
                  <w:tcW w:w="765" w:type="dxa"/>
                  <w:vAlign w:val="center"/>
                </w:tcPr>
                <w:p w14:paraId="3B2713B6">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2042" w:type="dxa"/>
                  <w:vAlign w:val="center"/>
                </w:tcPr>
                <w:p w14:paraId="652BEDAA">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产污工序</w:t>
                  </w:r>
                </w:p>
              </w:tc>
              <w:tc>
                <w:tcPr>
                  <w:tcW w:w="2144" w:type="dxa"/>
                  <w:vAlign w:val="center"/>
                </w:tcPr>
                <w:p w14:paraId="61499249">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污染因子</w:t>
                  </w:r>
                </w:p>
              </w:tc>
            </w:tr>
            <w:tr w14:paraId="46C611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vAlign w:val="center"/>
                </w:tcPr>
                <w:p w14:paraId="1D28D502">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废气</w:t>
                  </w:r>
                </w:p>
              </w:tc>
              <w:tc>
                <w:tcPr>
                  <w:tcW w:w="2718" w:type="dxa"/>
                  <w:vAlign w:val="center"/>
                </w:tcPr>
                <w:p w14:paraId="42807895">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矿石加料及输送粉尘</w:t>
                  </w:r>
                </w:p>
              </w:tc>
              <w:tc>
                <w:tcPr>
                  <w:tcW w:w="765" w:type="dxa"/>
                  <w:vAlign w:val="center"/>
                </w:tcPr>
                <w:p w14:paraId="559EB136">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G1</w:t>
                  </w:r>
                </w:p>
              </w:tc>
              <w:tc>
                <w:tcPr>
                  <w:tcW w:w="2042" w:type="dxa"/>
                  <w:vAlign w:val="center"/>
                </w:tcPr>
                <w:p w14:paraId="44015097">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color w:val="auto"/>
                    </w:rPr>
                    <w:t>矿石加料及输送</w:t>
                  </w:r>
                </w:p>
              </w:tc>
              <w:tc>
                <w:tcPr>
                  <w:tcW w:w="2144" w:type="dxa"/>
                  <w:vAlign w:val="center"/>
                </w:tcPr>
                <w:p w14:paraId="017D80E2">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颗粒物</w:t>
                  </w:r>
                </w:p>
              </w:tc>
            </w:tr>
            <w:tr w14:paraId="1F24B6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3791ACF5">
                  <w:pPr>
                    <w:pStyle w:val="45"/>
                    <w:tabs>
                      <w:tab w:val="left" w:pos="4767"/>
                    </w:tabs>
                    <w:jc w:val="center"/>
                    <w:rPr>
                      <w:rFonts w:hint="default" w:ascii="Times New Roman" w:hAnsi="Times New Roman" w:cs="Times New Roman"/>
                      <w:color w:val="auto"/>
                    </w:rPr>
                  </w:pPr>
                </w:p>
              </w:tc>
              <w:tc>
                <w:tcPr>
                  <w:tcW w:w="2718" w:type="dxa"/>
                  <w:vAlign w:val="center"/>
                </w:tcPr>
                <w:p w14:paraId="6AA501FA">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烘干筒天然气燃烧废气、烘干粉尘</w:t>
                  </w:r>
                </w:p>
              </w:tc>
              <w:tc>
                <w:tcPr>
                  <w:tcW w:w="765" w:type="dxa"/>
                  <w:vAlign w:val="center"/>
                </w:tcPr>
                <w:p w14:paraId="5749BEE4">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G2</w:t>
                  </w:r>
                </w:p>
              </w:tc>
              <w:tc>
                <w:tcPr>
                  <w:tcW w:w="2042" w:type="dxa"/>
                  <w:vAlign w:val="center"/>
                </w:tcPr>
                <w:p w14:paraId="432D2052">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烘干筒中燃烧器燃烧天然气、矿石烘干</w:t>
                  </w:r>
                </w:p>
              </w:tc>
              <w:tc>
                <w:tcPr>
                  <w:tcW w:w="2144" w:type="dxa"/>
                  <w:vAlign w:val="center"/>
                </w:tcPr>
                <w:p w14:paraId="353DCE6B">
                  <w:pPr>
                    <w:pStyle w:val="45"/>
                    <w:tabs>
                      <w:tab w:val="left" w:pos="4767"/>
                    </w:tabs>
                    <w:jc w:val="center"/>
                    <w:rPr>
                      <w:rFonts w:hint="default" w:ascii="Times New Roman" w:hAnsi="Times New Roman" w:eastAsia="宋体" w:cs="Times New Roman"/>
                      <w:color w:val="auto"/>
                      <w:lang w:eastAsia="zh-CN"/>
                    </w:rPr>
                  </w:pPr>
                  <w:r>
                    <w:rPr>
                      <w:rFonts w:hint="default" w:ascii="Times New Roman" w:hAnsi="Times New Roman" w:cs="Times New Roman"/>
                      <w:color w:val="auto"/>
                    </w:rPr>
                    <w:t>颗粒物</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、NOx</w:t>
                  </w:r>
                  <w:r>
                    <w:rPr>
                      <w:rFonts w:hint="eastAsia" w:cs="Times New Roman"/>
                      <w:color w:val="auto"/>
                      <w:lang w:val="en-US" w:eastAsia="zh-CN"/>
                    </w:rPr>
                    <w:t>、林格曼黑度</w:t>
                  </w:r>
                </w:p>
              </w:tc>
            </w:tr>
            <w:tr w14:paraId="19B12D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5E7B938A">
                  <w:pPr>
                    <w:pStyle w:val="45"/>
                    <w:tabs>
                      <w:tab w:val="left" w:pos="4767"/>
                    </w:tabs>
                    <w:jc w:val="center"/>
                    <w:rPr>
                      <w:rFonts w:hint="default" w:ascii="Times New Roman" w:hAnsi="Times New Roman" w:cs="Times New Roman"/>
                      <w:color w:val="auto"/>
                    </w:rPr>
                  </w:pPr>
                </w:p>
              </w:tc>
              <w:tc>
                <w:tcPr>
                  <w:tcW w:w="2718" w:type="dxa"/>
                  <w:vAlign w:val="center"/>
                </w:tcPr>
                <w:p w14:paraId="45D7F2F1">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振动筛分粉尘</w:t>
                  </w:r>
                </w:p>
              </w:tc>
              <w:tc>
                <w:tcPr>
                  <w:tcW w:w="765" w:type="dxa"/>
                  <w:vAlign w:val="center"/>
                </w:tcPr>
                <w:p w14:paraId="088FF147">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G3</w:t>
                  </w:r>
                </w:p>
              </w:tc>
              <w:tc>
                <w:tcPr>
                  <w:tcW w:w="2042" w:type="dxa"/>
                  <w:vAlign w:val="center"/>
                </w:tcPr>
                <w:p w14:paraId="1527EF96">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振动筛分</w:t>
                  </w:r>
                </w:p>
              </w:tc>
              <w:tc>
                <w:tcPr>
                  <w:tcW w:w="2144" w:type="dxa"/>
                  <w:vAlign w:val="center"/>
                </w:tcPr>
                <w:p w14:paraId="381F0936">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颗粒物</w:t>
                  </w:r>
                </w:p>
              </w:tc>
            </w:tr>
            <w:tr w14:paraId="68CA81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3D2CE791">
                  <w:pPr>
                    <w:pStyle w:val="45"/>
                    <w:tabs>
                      <w:tab w:val="left" w:pos="4767"/>
                    </w:tabs>
                    <w:jc w:val="center"/>
                    <w:rPr>
                      <w:rFonts w:hint="default" w:ascii="Times New Roman" w:hAnsi="Times New Roman" w:cs="Times New Roman"/>
                      <w:color w:val="auto"/>
                    </w:rPr>
                  </w:pPr>
                </w:p>
              </w:tc>
              <w:tc>
                <w:tcPr>
                  <w:tcW w:w="2718" w:type="dxa"/>
                  <w:vAlign w:val="center"/>
                </w:tcPr>
                <w:p w14:paraId="7EBC76BF">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沥青储罐及拌合罐产生的沥青烟</w:t>
                  </w:r>
                </w:p>
              </w:tc>
              <w:tc>
                <w:tcPr>
                  <w:tcW w:w="765" w:type="dxa"/>
                  <w:vAlign w:val="center"/>
                </w:tcPr>
                <w:p w14:paraId="1F246BC2">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G4</w:t>
                  </w:r>
                </w:p>
              </w:tc>
              <w:tc>
                <w:tcPr>
                  <w:tcW w:w="2042" w:type="dxa"/>
                  <w:vAlign w:val="center"/>
                </w:tcPr>
                <w:p w14:paraId="5346BA62">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沥青储罐及拌合罐</w:t>
                  </w:r>
                </w:p>
              </w:tc>
              <w:tc>
                <w:tcPr>
                  <w:tcW w:w="2144" w:type="dxa"/>
                  <w:vAlign w:val="center"/>
                </w:tcPr>
                <w:p w14:paraId="5B691153">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沥青烟、苯并芘</w:t>
                  </w:r>
                </w:p>
              </w:tc>
            </w:tr>
            <w:tr w14:paraId="05431C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3BCAAE5C">
                  <w:pPr>
                    <w:pStyle w:val="45"/>
                    <w:tabs>
                      <w:tab w:val="left" w:pos="4767"/>
                    </w:tabs>
                    <w:jc w:val="center"/>
                    <w:rPr>
                      <w:rFonts w:hint="default" w:ascii="Times New Roman" w:hAnsi="Times New Roman" w:cs="Times New Roman"/>
                      <w:color w:val="auto"/>
                    </w:rPr>
                  </w:pPr>
                </w:p>
              </w:tc>
              <w:tc>
                <w:tcPr>
                  <w:tcW w:w="2718" w:type="dxa"/>
                  <w:vAlign w:val="center"/>
                </w:tcPr>
                <w:p w14:paraId="698FC16E">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矿粉</w:t>
                  </w:r>
                  <w:r>
                    <w:rPr>
                      <w:rFonts w:hint="default" w:ascii="Times New Roman" w:hAnsi="Times New Roman" w:cs="Times New Roman"/>
                      <w:color w:val="auto"/>
                      <w:lang w:val="en-US" w:eastAsia="zh-CN"/>
                    </w:rPr>
                    <w:t>加料</w:t>
                  </w:r>
                  <w:r>
                    <w:rPr>
                      <w:rFonts w:hint="default" w:ascii="Times New Roman" w:hAnsi="Times New Roman" w:cs="Times New Roman"/>
                      <w:color w:val="auto"/>
                    </w:rPr>
                    <w:t>产生的粉尘</w:t>
                  </w:r>
                </w:p>
              </w:tc>
              <w:tc>
                <w:tcPr>
                  <w:tcW w:w="765" w:type="dxa"/>
                  <w:vAlign w:val="center"/>
                </w:tcPr>
                <w:p w14:paraId="4AFC9A23">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G5</w:t>
                  </w:r>
                </w:p>
              </w:tc>
              <w:tc>
                <w:tcPr>
                  <w:tcW w:w="2042" w:type="dxa"/>
                  <w:vAlign w:val="center"/>
                </w:tcPr>
                <w:p w14:paraId="57B2103F">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矿粉加料</w:t>
                  </w:r>
                </w:p>
              </w:tc>
              <w:tc>
                <w:tcPr>
                  <w:tcW w:w="2144" w:type="dxa"/>
                  <w:vAlign w:val="center"/>
                </w:tcPr>
                <w:p w14:paraId="6526316D">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颗粒物</w:t>
                  </w:r>
                </w:p>
              </w:tc>
            </w:tr>
            <w:tr w14:paraId="6A29C0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7A982FC8">
                  <w:pPr>
                    <w:pStyle w:val="45"/>
                    <w:tabs>
                      <w:tab w:val="left" w:pos="4767"/>
                    </w:tabs>
                    <w:jc w:val="center"/>
                    <w:rPr>
                      <w:rFonts w:hint="default" w:ascii="Times New Roman" w:hAnsi="Times New Roman" w:cs="Times New Roman"/>
                      <w:color w:val="auto"/>
                    </w:rPr>
                  </w:pPr>
                </w:p>
              </w:tc>
              <w:tc>
                <w:tcPr>
                  <w:tcW w:w="2718" w:type="dxa"/>
                  <w:vAlign w:val="center"/>
                </w:tcPr>
                <w:p w14:paraId="3B6DFEAC">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导热油炉天然气燃烧废气</w:t>
                  </w:r>
                </w:p>
              </w:tc>
              <w:tc>
                <w:tcPr>
                  <w:tcW w:w="765" w:type="dxa"/>
                  <w:vAlign w:val="center"/>
                </w:tcPr>
                <w:p w14:paraId="05CFDF6F">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G6</w:t>
                  </w:r>
                </w:p>
              </w:tc>
              <w:tc>
                <w:tcPr>
                  <w:tcW w:w="2042" w:type="dxa"/>
                  <w:vAlign w:val="center"/>
                </w:tcPr>
                <w:p w14:paraId="12BB5BBA">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导热油炉燃烧天然气</w:t>
                  </w:r>
                </w:p>
              </w:tc>
              <w:tc>
                <w:tcPr>
                  <w:tcW w:w="2144" w:type="dxa"/>
                  <w:vAlign w:val="center"/>
                </w:tcPr>
                <w:p w14:paraId="38BA9D1A">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颗粒物</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、NOx</w:t>
                  </w:r>
                  <w:r>
                    <w:rPr>
                      <w:rFonts w:hint="eastAsia" w:cs="Times New Roman"/>
                      <w:color w:val="auto"/>
                      <w:lang w:val="en-US" w:eastAsia="zh-CN"/>
                    </w:rPr>
                    <w:t>、林格曼黑度</w:t>
                  </w:r>
                </w:p>
              </w:tc>
            </w:tr>
            <w:tr w14:paraId="31369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5" w:type="dxa"/>
                  <w:vMerge w:val="restart"/>
                  <w:vAlign w:val="center"/>
                </w:tcPr>
                <w:p w14:paraId="5ECD5783">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废水</w:t>
                  </w:r>
                </w:p>
              </w:tc>
              <w:tc>
                <w:tcPr>
                  <w:tcW w:w="2718" w:type="dxa"/>
                  <w:vAlign w:val="center"/>
                </w:tcPr>
                <w:p w14:paraId="06A31875">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车辆冲洗</w:t>
                  </w:r>
                  <w:r>
                    <w:rPr>
                      <w:rFonts w:hint="default" w:ascii="Times New Roman" w:hAnsi="Times New Roman" w:cs="Times New Roman"/>
                      <w:color w:val="auto"/>
                    </w:rPr>
                    <w:t>废水</w:t>
                  </w:r>
                </w:p>
              </w:tc>
              <w:tc>
                <w:tcPr>
                  <w:tcW w:w="765" w:type="dxa"/>
                  <w:vAlign w:val="center"/>
                </w:tcPr>
                <w:p w14:paraId="39EDE824">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W1</w:t>
                  </w:r>
                </w:p>
              </w:tc>
              <w:tc>
                <w:tcPr>
                  <w:tcW w:w="2042" w:type="dxa"/>
                  <w:vAlign w:val="center"/>
                </w:tcPr>
                <w:p w14:paraId="76EF8A49">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车辆冲洗</w:t>
                  </w:r>
                </w:p>
              </w:tc>
              <w:tc>
                <w:tcPr>
                  <w:tcW w:w="2144" w:type="dxa"/>
                  <w:vAlign w:val="center"/>
                </w:tcPr>
                <w:p w14:paraId="5E991139">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rPr>
                    <w:t>SS</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COD、石油类</w:t>
                  </w:r>
                </w:p>
              </w:tc>
            </w:tr>
            <w:tr w14:paraId="74A3EB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16606F30">
                  <w:pPr>
                    <w:pStyle w:val="45"/>
                    <w:tabs>
                      <w:tab w:val="left" w:pos="4767"/>
                    </w:tabs>
                    <w:jc w:val="center"/>
                    <w:rPr>
                      <w:rFonts w:hint="default" w:ascii="Times New Roman" w:hAnsi="Times New Roman" w:cs="Times New Roman"/>
                      <w:color w:val="auto"/>
                    </w:rPr>
                  </w:pPr>
                </w:p>
              </w:tc>
              <w:tc>
                <w:tcPr>
                  <w:tcW w:w="2718" w:type="dxa"/>
                  <w:vAlign w:val="center"/>
                </w:tcPr>
                <w:p w14:paraId="0C96470D">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设备冲洗</w:t>
                  </w:r>
                  <w:r>
                    <w:rPr>
                      <w:rFonts w:hint="default" w:ascii="Times New Roman" w:hAnsi="Times New Roman" w:cs="Times New Roman"/>
                      <w:color w:val="auto"/>
                    </w:rPr>
                    <w:t>废水</w:t>
                  </w:r>
                </w:p>
              </w:tc>
              <w:tc>
                <w:tcPr>
                  <w:tcW w:w="765" w:type="dxa"/>
                  <w:vAlign w:val="center"/>
                </w:tcPr>
                <w:p w14:paraId="7C30838D">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W2</w:t>
                  </w:r>
                </w:p>
              </w:tc>
              <w:tc>
                <w:tcPr>
                  <w:tcW w:w="2042" w:type="dxa"/>
                  <w:vAlign w:val="center"/>
                </w:tcPr>
                <w:p w14:paraId="6C33C383">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设备冲洗</w:t>
                  </w:r>
                </w:p>
              </w:tc>
              <w:tc>
                <w:tcPr>
                  <w:tcW w:w="2144" w:type="dxa"/>
                  <w:vAlign w:val="center"/>
                </w:tcPr>
                <w:p w14:paraId="18E06C35">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SS</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COD、石油类</w:t>
                  </w:r>
                </w:p>
              </w:tc>
            </w:tr>
            <w:tr w14:paraId="58308E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4F83A580">
                  <w:pPr>
                    <w:pStyle w:val="45"/>
                    <w:tabs>
                      <w:tab w:val="left" w:pos="4767"/>
                    </w:tabs>
                    <w:jc w:val="center"/>
                    <w:rPr>
                      <w:rFonts w:hint="default" w:ascii="Times New Roman" w:hAnsi="Times New Roman" w:cs="Times New Roman"/>
                      <w:color w:val="auto"/>
                    </w:rPr>
                  </w:pPr>
                </w:p>
              </w:tc>
              <w:tc>
                <w:tcPr>
                  <w:tcW w:w="2718" w:type="dxa"/>
                  <w:vAlign w:val="center"/>
                </w:tcPr>
                <w:p w14:paraId="0870F78B">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生活污水</w:t>
                  </w:r>
                </w:p>
              </w:tc>
              <w:tc>
                <w:tcPr>
                  <w:tcW w:w="765" w:type="dxa"/>
                  <w:vAlign w:val="center"/>
                </w:tcPr>
                <w:p w14:paraId="70D55361">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W3</w:t>
                  </w:r>
                </w:p>
              </w:tc>
              <w:tc>
                <w:tcPr>
                  <w:tcW w:w="2042" w:type="dxa"/>
                  <w:vAlign w:val="center"/>
                </w:tcPr>
                <w:p w14:paraId="42EC9FCF">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员工生活</w:t>
                  </w:r>
                </w:p>
              </w:tc>
              <w:tc>
                <w:tcPr>
                  <w:tcW w:w="2144" w:type="dxa"/>
                  <w:vAlign w:val="center"/>
                </w:tcPr>
                <w:p w14:paraId="0ABB8D83">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COD、NH</w:t>
                  </w:r>
                  <w:r>
                    <w:rPr>
                      <w:rFonts w:hint="default" w:ascii="Times New Roman" w:hAnsi="Times New Roman" w:cs="Times New Roman"/>
                      <w:color w:val="auto"/>
                      <w:vertAlign w:val="subscript"/>
                    </w:rPr>
                    <w:t>3</w:t>
                  </w:r>
                  <w:r>
                    <w:rPr>
                      <w:rFonts w:hint="default" w:ascii="Times New Roman" w:hAnsi="Times New Roman" w:cs="Times New Roman"/>
                      <w:color w:val="auto"/>
                    </w:rPr>
                    <w:t>-N、BOD</w:t>
                  </w:r>
                  <w:r>
                    <w:rPr>
                      <w:rFonts w:hint="default" w:ascii="Times New Roman" w:hAnsi="Times New Roman" w:cs="Times New Roman"/>
                      <w:color w:val="auto"/>
                      <w:vertAlign w:val="subscript"/>
                    </w:rPr>
                    <w:t>5</w:t>
                  </w:r>
                  <w:r>
                    <w:rPr>
                      <w:rFonts w:hint="default" w:ascii="Times New Roman" w:hAnsi="Times New Roman" w:cs="Times New Roman"/>
                      <w:color w:val="auto"/>
                    </w:rPr>
                    <w:t>、SS、动植物油</w:t>
                  </w:r>
                </w:p>
              </w:tc>
            </w:tr>
            <w:tr w14:paraId="6A8E79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59E0D2AF">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噪声</w:t>
                  </w:r>
                </w:p>
              </w:tc>
              <w:tc>
                <w:tcPr>
                  <w:tcW w:w="2718" w:type="dxa"/>
                  <w:vAlign w:val="center"/>
                </w:tcPr>
                <w:p w14:paraId="20FF5E3D">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噪声</w:t>
                  </w:r>
                </w:p>
              </w:tc>
              <w:tc>
                <w:tcPr>
                  <w:tcW w:w="765" w:type="dxa"/>
                  <w:vAlign w:val="center"/>
                </w:tcPr>
                <w:p w14:paraId="7FCF1BC1">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N</w:t>
                  </w:r>
                </w:p>
              </w:tc>
              <w:tc>
                <w:tcPr>
                  <w:tcW w:w="2042" w:type="dxa"/>
                  <w:vAlign w:val="center"/>
                </w:tcPr>
                <w:p w14:paraId="4768B3E6">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各生产设备运行</w:t>
                  </w:r>
                </w:p>
              </w:tc>
              <w:tc>
                <w:tcPr>
                  <w:tcW w:w="2144" w:type="dxa"/>
                  <w:vAlign w:val="center"/>
                </w:tcPr>
                <w:p w14:paraId="16CA50E7">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Leq（A）</w:t>
                  </w:r>
                </w:p>
              </w:tc>
            </w:tr>
            <w:tr w14:paraId="37310C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vAlign w:val="center"/>
                </w:tcPr>
                <w:p w14:paraId="76D0281B">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固废</w:t>
                  </w:r>
                </w:p>
              </w:tc>
              <w:tc>
                <w:tcPr>
                  <w:tcW w:w="2718" w:type="dxa"/>
                  <w:shd w:val="clear" w:color="auto" w:fill="auto"/>
                  <w:vAlign w:val="center"/>
                </w:tcPr>
                <w:p w14:paraId="2A9F894C">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生活垃圾</w:t>
                  </w:r>
                </w:p>
              </w:tc>
              <w:tc>
                <w:tcPr>
                  <w:tcW w:w="765" w:type="dxa"/>
                  <w:shd w:val="clear" w:color="auto" w:fill="auto"/>
                  <w:vAlign w:val="center"/>
                </w:tcPr>
                <w:p w14:paraId="4562FB41">
                  <w:pPr>
                    <w:pStyle w:val="45"/>
                    <w:tabs>
                      <w:tab w:val="left" w:pos="4767"/>
                    </w:tabs>
                    <w:jc w:val="center"/>
                    <w:rPr>
                      <w:rFonts w:hint="default" w:ascii="Times New Roman" w:hAnsi="Times New Roman" w:eastAsia="宋体" w:cs="Times New Roman"/>
                      <w:color w:val="auto"/>
                      <w:lang w:eastAsia="zh-CN"/>
                    </w:rPr>
                  </w:pPr>
                  <w:r>
                    <w:rPr>
                      <w:rFonts w:hint="default" w:ascii="Times New Roman" w:hAnsi="Times New Roman" w:cs="Times New Roman"/>
                      <w:color w:val="auto"/>
                    </w:rPr>
                    <w:t>S</w:t>
                  </w:r>
                  <w:r>
                    <w:rPr>
                      <w:rFonts w:hint="default" w:ascii="Times New Roman" w:hAnsi="Times New Roman" w:cs="Times New Roman"/>
                      <w:color w:val="auto"/>
                      <w:lang w:val="en-US" w:eastAsia="zh-CN"/>
                    </w:rPr>
                    <w:t>1</w:t>
                  </w:r>
                </w:p>
              </w:tc>
              <w:tc>
                <w:tcPr>
                  <w:tcW w:w="2042" w:type="dxa"/>
                  <w:shd w:val="clear" w:color="auto" w:fill="auto"/>
                  <w:vAlign w:val="center"/>
                </w:tcPr>
                <w:p w14:paraId="014DD3DE">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员工生活</w:t>
                  </w:r>
                </w:p>
              </w:tc>
              <w:tc>
                <w:tcPr>
                  <w:tcW w:w="2144" w:type="dxa"/>
                  <w:shd w:val="clear" w:color="auto" w:fill="auto"/>
                  <w:vAlign w:val="center"/>
                </w:tcPr>
                <w:p w14:paraId="21C5AAAA">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生活垃圾</w:t>
                  </w:r>
                </w:p>
              </w:tc>
            </w:tr>
            <w:tr w14:paraId="04876B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41FF1C51">
                  <w:pPr>
                    <w:pStyle w:val="45"/>
                    <w:tabs>
                      <w:tab w:val="left" w:pos="4767"/>
                    </w:tabs>
                    <w:jc w:val="center"/>
                    <w:rPr>
                      <w:rFonts w:hint="default" w:ascii="Times New Roman" w:hAnsi="Times New Roman" w:cs="Times New Roman"/>
                      <w:color w:val="auto"/>
                    </w:rPr>
                  </w:pPr>
                </w:p>
              </w:tc>
              <w:tc>
                <w:tcPr>
                  <w:tcW w:w="2718" w:type="dxa"/>
                  <w:vAlign w:val="center"/>
                </w:tcPr>
                <w:p w14:paraId="72EE1E19">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除尘器收集尘</w:t>
                  </w:r>
                </w:p>
              </w:tc>
              <w:tc>
                <w:tcPr>
                  <w:tcW w:w="765" w:type="dxa"/>
                  <w:vAlign w:val="center"/>
                </w:tcPr>
                <w:p w14:paraId="34059AA5">
                  <w:pPr>
                    <w:pStyle w:val="45"/>
                    <w:tabs>
                      <w:tab w:val="left" w:pos="4767"/>
                    </w:tabs>
                    <w:jc w:val="center"/>
                    <w:rPr>
                      <w:rFonts w:hint="default" w:ascii="Times New Roman" w:hAnsi="Times New Roman" w:eastAsia="宋体" w:cs="Times New Roman"/>
                      <w:color w:val="auto"/>
                      <w:lang w:eastAsia="zh-CN"/>
                    </w:rPr>
                  </w:pPr>
                  <w:r>
                    <w:rPr>
                      <w:rFonts w:hint="default" w:ascii="Times New Roman" w:hAnsi="Times New Roman" w:cs="Times New Roman"/>
                      <w:color w:val="auto"/>
                    </w:rPr>
                    <w:t>S</w:t>
                  </w:r>
                  <w:r>
                    <w:rPr>
                      <w:rFonts w:hint="default" w:ascii="Times New Roman" w:hAnsi="Times New Roman" w:cs="Times New Roman"/>
                      <w:color w:val="auto"/>
                      <w:lang w:val="en-US" w:eastAsia="zh-CN"/>
                    </w:rPr>
                    <w:t>2</w:t>
                  </w:r>
                </w:p>
              </w:tc>
              <w:tc>
                <w:tcPr>
                  <w:tcW w:w="2042" w:type="dxa"/>
                  <w:vAlign w:val="center"/>
                </w:tcPr>
                <w:p w14:paraId="560A85A1">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废气处理</w:t>
                  </w:r>
                </w:p>
              </w:tc>
              <w:tc>
                <w:tcPr>
                  <w:tcW w:w="2144" w:type="dxa"/>
                  <w:vAlign w:val="center"/>
                </w:tcPr>
                <w:p w14:paraId="6CB55B96">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矿粉</w:t>
                  </w:r>
                </w:p>
              </w:tc>
            </w:tr>
            <w:tr w14:paraId="3DBE1E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5A25782D">
                  <w:pPr>
                    <w:pStyle w:val="45"/>
                    <w:tabs>
                      <w:tab w:val="left" w:pos="4767"/>
                    </w:tabs>
                    <w:jc w:val="center"/>
                    <w:rPr>
                      <w:rFonts w:hint="default" w:ascii="Times New Roman" w:hAnsi="Times New Roman" w:cs="Times New Roman"/>
                      <w:color w:val="auto"/>
                    </w:rPr>
                  </w:pPr>
                </w:p>
              </w:tc>
              <w:tc>
                <w:tcPr>
                  <w:tcW w:w="2718" w:type="dxa"/>
                  <w:vAlign w:val="center"/>
                </w:tcPr>
                <w:p w14:paraId="6A80301C">
                  <w:pPr>
                    <w:pStyle w:val="45"/>
                    <w:tabs>
                      <w:tab w:val="left" w:pos="4767"/>
                    </w:tabs>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废石料</w:t>
                  </w:r>
                </w:p>
              </w:tc>
              <w:tc>
                <w:tcPr>
                  <w:tcW w:w="765" w:type="dxa"/>
                  <w:vAlign w:val="center"/>
                </w:tcPr>
                <w:p w14:paraId="52C2933D">
                  <w:pPr>
                    <w:pStyle w:val="45"/>
                    <w:tabs>
                      <w:tab w:val="left" w:pos="4767"/>
                    </w:tabs>
                    <w:jc w:val="center"/>
                    <w:rPr>
                      <w:rFonts w:hint="default" w:ascii="Times New Roman" w:hAnsi="Times New Roman" w:eastAsia="宋体" w:cs="Times New Roman"/>
                      <w:color w:val="auto"/>
                      <w:lang w:eastAsia="zh-CN"/>
                    </w:rPr>
                  </w:pPr>
                  <w:r>
                    <w:rPr>
                      <w:rFonts w:hint="default" w:ascii="Times New Roman" w:hAnsi="Times New Roman" w:cs="Times New Roman"/>
                      <w:color w:val="auto"/>
                    </w:rPr>
                    <w:t>S</w:t>
                  </w:r>
                  <w:r>
                    <w:rPr>
                      <w:rFonts w:hint="default" w:ascii="Times New Roman" w:hAnsi="Times New Roman" w:cs="Times New Roman"/>
                      <w:color w:val="auto"/>
                      <w:lang w:val="en-US" w:eastAsia="zh-CN"/>
                    </w:rPr>
                    <w:t>3</w:t>
                  </w:r>
                </w:p>
              </w:tc>
              <w:tc>
                <w:tcPr>
                  <w:tcW w:w="2042" w:type="dxa"/>
                  <w:vAlign w:val="center"/>
                </w:tcPr>
                <w:p w14:paraId="0D9768AD">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振动筛</w:t>
                  </w:r>
                  <w:r>
                    <w:rPr>
                      <w:rFonts w:hint="default" w:ascii="Times New Roman" w:hAnsi="Times New Roman" w:cs="Times New Roman"/>
                      <w:color w:val="auto"/>
                      <w:lang w:val="en-US" w:eastAsia="zh-CN"/>
                    </w:rPr>
                    <w:t>选</w:t>
                  </w:r>
                </w:p>
              </w:tc>
              <w:tc>
                <w:tcPr>
                  <w:tcW w:w="2144" w:type="dxa"/>
                  <w:vAlign w:val="center"/>
                </w:tcPr>
                <w:p w14:paraId="04975C57">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石料</w:t>
                  </w:r>
                </w:p>
              </w:tc>
            </w:tr>
            <w:tr w14:paraId="4BB4EC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3DCC30AB">
                  <w:pPr>
                    <w:pStyle w:val="45"/>
                    <w:tabs>
                      <w:tab w:val="left" w:pos="4767"/>
                    </w:tabs>
                    <w:jc w:val="center"/>
                    <w:rPr>
                      <w:rFonts w:hint="default" w:ascii="Times New Roman" w:hAnsi="Times New Roman" w:cs="Times New Roman"/>
                      <w:color w:val="auto"/>
                    </w:rPr>
                  </w:pPr>
                </w:p>
              </w:tc>
              <w:tc>
                <w:tcPr>
                  <w:tcW w:w="2718" w:type="dxa"/>
                  <w:vAlign w:val="center"/>
                </w:tcPr>
                <w:p w14:paraId="3A93543C">
                  <w:pPr>
                    <w:pStyle w:val="45"/>
                    <w:tabs>
                      <w:tab w:val="left" w:pos="4767"/>
                    </w:tabs>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滴漏沥青及拌和残渣</w:t>
                  </w:r>
                </w:p>
              </w:tc>
              <w:tc>
                <w:tcPr>
                  <w:tcW w:w="765" w:type="dxa"/>
                  <w:vAlign w:val="center"/>
                </w:tcPr>
                <w:p w14:paraId="041E74F8">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S4</w:t>
                  </w:r>
                </w:p>
              </w:tc>
              <w:tc>
                <w:tcPr>
                  <w:tcW w:w="2042" w:type="dxa"/>
                  <w:vAlign w:val="center"/>
                </w:tcPr>
                <w:p w14:paraId="73EB0F6C">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沥青输入及</w:t>
                  </w:r>
                  <w:r>
                    <w:rPr>
                      <w:rFonts w:hint="default" w:ascii="Times New Roman" w:hAnsi="Times New Roman" w:eastAsia="宋体" w:cs="Times New Roman"/>
                      <w:color w:val="auto"/>
                      <w:lang w:val="en-US" w:eastAsia="zh-CN"/>
                    </w:rPr>
                    <w:t>拌和系统</w:t>
                  </w:r>
                </w:p>
              </w:tc>
              <w:tc>
                <w:tcPr>
                  <w:tcW w:w="2144" w:type="dxa"/>
                  <w:vAlign w:val="center"/>
                </w:tcPr>
                <w:p w14:paraId="11837D3A">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沥青</w:t>
                  </w:r>
                </w:p>
              </w:tc>
            </w:tr>
            <w:tr w14:paraId="7A0EE5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1E7BC054">
                  <w:pPr>
                    <w:pStyle w:val="45"/>
                    <w:tabs>
                      <w:tab w:val="left" w:pos="4767"/>
                    </w:tabs>
                    <w:jc w:val="center"/>
                    <w:rPr>
                      <w:rFonts w:hint="default" w:ascii="Times New Roman" w:hAnsi="Times New Roman" w:cs="Times New Roman"/>
                      <w:color w:val="auto"/>
                    </w:rPr>
                  </w:pPr>
                </w:p>
              </w:tc>
              <w:tc>
                <w:tcPr>
                  <w:tcW w:w="2718" w:type="dxa"/>
                  <w:vAlign w:val="center"/>
                </w:tcPr>
                <w:p w14:paraId="59307212">
                  <w:pPr>
                    <w:pStyle w:val="45"/>
                    <w:tabs>
                      <w:tab w:val="left" w:pos="4767"/>
                    </w:tabs>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废导热油</w:t>
                  </w:r>
                </w:p>
              </w:tc>
              <w:tc>
                <w:tcPr>
                  <w:tcW w:w="765" w:type="dxa"/>
                  <w:vAlign w:val="center"/>
                </w:tcPr>
                <w:p w14:paraId="1D9125A2">
                  <w:pPr>
                    <w:pStyle w:val="45"/>
                    <w:tabs>
                      <w:tab w:val="left" w:pos="4767"/>
                    </w:tabs>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S5</w:t>
                  </w:r>
                </w:p>
              </w:tc>
              <w:tc>
                <w:tcPr>
                  <w:tcW w:w="2042" w:type="dxa"/>
                  <w:vAlign w:val="center"/>
                </w:tcPr>
                <w:p w14:paraId="6EF7E3C4">
                  <w:pPr>
                    <w:pStyle w:val="45"/>
                    <w:tabs>
                      <w:tab w:val="left" w:pos="4767"/>
                    </w:tabs>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导热油炉</w:t>
                  </w:r>
                </w:p>
              </w:tc>
              <w:tc>
                <w:tcPr>
                  <w:tcW w:w="2144" w:type="dxa"/>
                  <w:vAlign w:val="center"/>
                </w:tcPr>
                <w:p w14:paraId="447BAC03">
                  <w:pPr>
                    <w:pStyle w:val="45"/>
                    <w:tabs>
                      <w:tab w:val="left" w:pos="4767"/>
                    </w:tabs>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导热油</w:t>
                  </w:r>
                </w:p>
              </w:tc>
            </w:tr>
          </w:tbl>
          <w:p w14:paraId="64873B65">
            <w:pPr>
              <w:pStyle w:val="42"/>
              <w:tabs>
                <w:tab w:val="left" w:pos="4767"/>
              </w:tabs>
              <w:ind w:firstLine="480"/>
              <w:rPr>
                <w:rFonts w:hint="default" w:ascii="Times New Roman" w:hAnsi="Times New Roman" w:cs="Times New Roman"/>
                <w:color w:val="auto"/>
              </w:rPr>
            </w:pPr>
            <w:r>
              <w:rPr>
                <w:rFonts w:hint="default" w:ascii="Times New Roman" w:hAnsi="Times New Roman" w:cs="Times New Roman"/>
                <w:color w:val="auto"/>
              </w:rPr>
              <w:t>（5）物料平衡</w:t>
            </w:r>
          </w:p>
          <w:p w14:paraId="514400A9">
            <w:pPr>
              <w:pStyle w:val="42"/>
              <w:tabs>
                <w:tab w:val="left" w:pos="4767"/>
              </w:tabs>
              <w:ind w:firstLine="480"/>
              <w:rPr>
                <w:rFonts w:hint="default" w:ascii="Times New Roman" w:hAnsi="Times New Roman" w:cs="Times New Roman"/>
                <w:color w:val="auto"/>
              </w:rPr>
            </w:pPr>
            <w:r>
              <w:rPr>
                <w:rFonts w:hint="default" w:ascii="Times New Roman" w:hAnsi="Times New Roman" w:cs="Times New Roman"/>
                <w:color w:val="auto"/>
              </w:rPr>
              <w:t>项目物料平衡见下表所示。</w:t>
            </w:r>
          </w:p>
          <w:p w14:paraId="134700E4">
            <w:pPr>
              <w:pStyle w:val="19"/>
              <w:tabs>
                <w:tab w:val="left" w:pos="4767"/>
              </w:tabs>
              <w:rPr>
                <w:rFonts w:hint="default" w:ascii="Times New Roman" w:hAnsi="Times New Roman" w:cs="Times New Roman"/>
                <w:color w:val="auto"/>
              </w:rPr>
            </w:pPr>
            <w:r>
              <w:rPr>
                <w:rFonts w:hint="default" w:ascii="Times New Roman" w:hAnsi="Times New Roman" w:cs="Times New Roman"/>
                <w:color w:val="auto"/>
              </w:rPr>
              <w:t>表2.8  项目物料平衡表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380"/>
              <w:gridCol w:w="2325"/>
              <w:gridCol w:w="1425"/>
              <w:gridCol w:w="1273"/>
            </w:tblGrid>
            <w:tr w14:paraId="4AB054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39" w:type="dxa"/>
                  <w:gridSpan w:val="2"/>
                  <w:vAlign w:val="center"/>
                </w:tcPr>
                <w:p w14:paraId="2A621C4F">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投入</w:t>
                  </w:r>
                </w:p>
              </w:tc>
              <w:tc>
                <w:tcPr>
                  <w:tcW w:w="5023" w:type="dxa"/>
                  <w:gridSpan w:val="3"/>
                  <w:vAlign w:val="center"/>
                </w:tcPr>
                <w:p w14:paraId="2669FA34">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产出</w:t>
                  </w:r>
                </w:p>
              </w:tc>
            </w:tr>
            <w:tr w14:paraId="0BA19A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69A8F093">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名称</w:t>
                  </w:r>
                </w:p>
              </w:tc>
              <w:tc>
                <w:tcPr>
                  <w:tcW w:w="1380" w:type="dxa"/>
                  <w:vAlign w:val="center"/>
                </w:tcPr>
                <w:p w14:paraId="6893C8CA">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输入量</w:t>
                  </w:r>
                  <w:r>
                    <w:rPr>
                      <w:rFonts w:hint="default" w:ascii="Times New Roman" w:hAnsi="Times New Roman" w:cs="Times New Roman"/>
                      <w:b/>
                      <w:bCs/>
                      <w:color w:val="auto"/>
                      <w:lang w:eastAsia="zh-CN"/>
                    </w:rPr>
                    <w:t>（</w:t>
                  </w:r>
                  <w:r>
                    <w:rPr>
                      <w:rFonts w:hint="default" w:ascii="Times New Roman" w:hAnsi="Times New Roman" w:cs="Times New Roman"/>
                      <w:color w:val="auto"/>
                    </w:rPr>
                    <w:t>t/a</w:t>
                  </w:r>
                  <w:r>
                    <w:rPr>
                      <w:rFonts w:hint="default" w:ascii="Times New Roman" w:hAnsi="Times New Roman" w:cs="Times New Roman"/>
                      <w:b/>
                      <w:bCs/>
                      <w:color w:val="auto"/>
                      <w:lang w:eastAsia="zh-CN"/>
                    </w:rPr>
                    <w:t>）</w:t>
                  </w:r>
                </w:p>
              </w:tc>
              <w:tc>
                <w:tcPr>
                  <w:tcW w:w="2325" w:type="dxa"/>
                  <w:vAlign w:val="center"/>
                </w:tcPr>
                <w:p w14:paraId="088ADA1C">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名称</w:t>
                  </w:r>
                </w:p>
              </w:tc>
              <w:tc>
                <w:tcPr>
                  <w:tcW w:w="1425" w:type="dxa"/>
                  <w:vAlign w:val="center"/>
                </w:tcPr>
                <w:p w14:paraId="51DE06CA">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lang w:val="en-US" w:eastAsia="zh-CN"/>
                    </w:rPr>
                    <w:t>产出</w:t>
                  </w:r>
                  <w:r>
                    <w:rPr>
                      <w:rFonts w:hint="default" w:ascii="Times New Roman" w:hAnsi="Times New Roman" w:cs="Times New Roman"/>
                      <w:b/>
                      <w:bCs/>
                      <w:color w:val="auto"/>
                    </w:rPr>
                    <w:t>量</w:t>
                  </w:r>
                  <w:r>
                    <w:rPr>
                      <w:rFonts w:hint="default" w:ascii="Times New Roman" w:hAnsi="Times New Roman" w:cs="Times New Roman"/>
                      <w:b/>
                      <w:bCs/>
                      <w:color w:val="auto"/>
                      <w:lang w:eastAsia="zh-CN"/>
                    </w:rPr>
                    <w:t>（</w:t>
                  </w:r>
                  <w:r>
                    <w:rPr>
                      <w:rFonts w:hint="default" w:ascii="Times New Roman" w:hAnsi="Times New Roman" w:cs="Times New Roman"/>
                      <w:color w:val="auto"/>
                    </w:rPr>
                    <w:t>t/a</w:t>
                  </w:r>
                  <w:r>
                    <w:rPr>
                      <w:rFonts w:hint="default" w:ascii="Times New Roman" w:hAnsi="Times New Roman" w:cs="Times New Roman"/>
                      <w:b/>
                      <w:bCs/>
                      <w:color w:val="auto"/>
                      <w:lang w:eastAsia="zh-CN"/>
                    </w:rPr>
                    <w:t>）</w:t>
                  </w:r>
                </w:p>
              </w:tc>
              <w:tc>
                <w:tcPr>
                  <w:tcW w:w="1273" w:type="dxa"/>
                  <w:vAlign w:val="center"/>
                </w:tcPr>
                <w:p w14:paraId="4DB74A13">
                  <w:pPr>
                    <w:pStyle w:val="45"/>
                    <w:tabs>
                      <w:tab w:val="left" w:pos="4767"/>
                    </w:tabs>
                    <w:jc w:val="center"/>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备注</w:t>
                  </w:r>
                </w:p>
              </w:tc>
            </w:tr>
            <w:tr w14:paraId="380DD0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959" w:type="dxa"/>
                  <w:vMerge w:val="restart"/>
                  <w:vAlign w:val="center"/>
                </w:tcPr>
                <w:p w14:paraId="51BCE438">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矿粉</w:t>
                  </w:r>
                </w:p>
              </w:tc>
              <w:tc>
                <w:tcPr>
                  <w:tcW w:w="1380" w:type="dxa"/>
                  <w:vMerge w:val="restart"/>
                  <w:vAlign w:val="center"/>
                </w:tcPr>
                <w:p w14:paraId="5848F3BC">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700</w:t>
                  </w:r>
                </w:p>
              </w:tc>
              <w:tc>
                <w:tcPr>
                  <w:tcW w:w="2325" w:type="dxa"/>
                  <w:vAlign w:val="center"/>
                </w:tcPr>
                <w:p w14:paraId="01BB54B5">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除尘器收尘</w:t>
                  </w:r>
                </w:p>
              </w:tc>
              <w:tc>
                <w:tcPr>
                  <w:tcW w:w="1425" w:type="dxa"/>
                  <w:vAlign w:val="center"/>
                </w:tcPr>
                <w:p w14:paraId="0AAD5C54">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43</w:t>
                  </w:r>
                </w:p>
              </w:tc>
              <w:tc>
                <w:tcPr>
                  <w:tcW w:w="1273" w:type="dxa"/>
                  <w:vAlign w:val="center"/>
                </w:tcPr>
                <w:p w14:paraId="37BBBB50">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回用</w:t>
                  </w:r>
                </w:p>
              </w:tc>
            </w:tr>
            <w:tr w14:paraId="3B1363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959" w:type="dxa"/>
                  <w:vMerge w:val="continue"/>
                  <w:vAlign w:val="center"/>
                </w:tcPr>
                <w:p w14:paraId="66D9DA16">
                  <w:pPr>
                    <w:pStyle w:val="45"/>
                    <w:tabs>
                      <w:tab w:val="left" w:pos="4767"/>
                    </w:tabs>
                    <w:jc w:val="center"/>
                    <w:rPr>
                      <w:rFonts w:hint="default" w:ascii="Times New Roman" w:hAnsi="Times New Roman" w:cs="Times New Roman"/>
                      <w:color w:val="auto"/>
                    </w:rPr>
                  </w:pPr>
                </w:p>
              </w:tc>
              <w:tc>
                <w:tcPr>
                  <w:tcW w:w="1380" w:type="dxa"/>
                  <w:vMerge w:val="continue"/>
                  <w:vAlign w:val="center"/>
                </w:tcPr>
                <w:p w14:paraId="48644639">
                  <w:pPr>
                    <w:pStyle w:val="45"/>
                    <w:tabs>
                      <w:tab w:val="left" w:pos="4767"/>
                    </w:tabs>
                    <w:jc w:val="center"/>
                    <w:rPr>
                      <w:rFonts w:hint="default" w:ascii="Times New Roman" w:hAnsi="Times New Roman" w:cs="Times New Roman"/>
                      <w:color w:val="auto"/>
                    </w:rPr>
                  </w:pPr>
                </w:p>
              </w:tc>
              <w:tc>
                <w:tcPr>
                  <w:tcW w:w="2325" w:type="dxa"/>
                  <w:vAlign w:val="center"/>
                </w:tcPr>
                <w:p w14:paraId="120D143E">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废石料</w:t>
                  </w:r>
                </w:p>
              </w:tc>
              <w:tc>
                <w:tcPr>
                  <w:tcW w:w="1425" w:type="dxa"/>
                  <w:vAlign w:val="center"/>
                </w:tcPr>
                <w:p w14:paraId="27A2B511">
                  <w:pPr>
                    <w:pStyle w:val="45"/>
                    <w:tabs>
                      <w:tab w:val="left" w:pos="4767"/>
                    </w:tabs>
                    <w:jc w:val="center"/>
                    <w:rPr>
                      <w:rFonts w:hint="default" w:ascii="Times New Roman" w:hAnsi="Times New Roman" w:eastAsia="宋体" w:cs="Times New Roman"/>
                      <w:color w:val="auto"/>
                      <w:lang w:val="en-US" w:eastAsia="zh-CN"/>
                    </w:rPr>
                  </w:pPr>
                  <w:r>
                    <w:rPr>
                      <w:rFonts w:hint="eastAsia" w:cs="Times New Roman"/>
                      <w:color w:val="auto"/>
                      <w:lang w:val="en-US" w:eastAsia="zh-CN"/>
                    </w:rPr>
                    <w:t>185.54</w:t>
                  </w:r>
                </w:p>
              </w:tc>
              <w:tc>
                <w:tcPr>
                  <w:tcW w:w="1273" w:type="dxa"/>
                  <w:vAlign w:val="center"/>
                </w:tcPr>
                <w:p w14:paraId="27D20CF5">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由厂家回收</w:t>
                  </w:r>
                </w:p>
              </w:tc>
            </w:tr>
            <w:tr w14:paraId="2D7849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959" w:type="dxa"/>
                  <w:vMerge w:val="restart"/>
                  <w:vAlign w:val="center"/>
                </w:tcPr>
                <w:p w14:paraId="773BAF06">
                  <w:pPr>
                    <w:pStyle w:val="45"/>
                    <w:tabs>
                      <w:tab w:val="left" w:pos="4767"/>
                    </w:tabs>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矿石</w:t>
                  </w:r>
                </w:p>
              </w:tc>
              <w:tc>
                <w:tcPr>
                  <w:tcW w:w="1380" w:type="dxa"/>
                  <w:vMerge w:val="restart"/>
                  <w:vAlign w:val="center"/>
                </w:tcPr>
                <w:p w14:paraId="2E772F8A">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144000</w:t>
                  </w:r>
                </w:p>
              </w:tc>
              <w:tc>
                <w:tcPr>
                  <w:tcW w:w="2325" w:type="dxa"/>
                  <w:vAlign w:val="center"/>
                </w:tcPr>
                <w:p w14:paraId="6B694933">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排放粉尘</w:t>
                  </w:r>
                </w:p>
              </w:tc>
              <w:tc>
                <w:tcPr>
                  <w:tcW w:w="1425" w:type="dxa"/>
                  <w:vAlign w:val="center"/>
                </w:tcPr>
                <w:p w14:paraId="7B89F172">
                  <w:pPr>
                    <w:pStyle w:val="45"/>
                    <w:tabs>
                      <w:tab w:val="left" w:pos="4767"/>
                    </w:tabs>
                    <w:jc w:val="center"/>
                    <w:rPr>
                      <w:rFonts w:hint="default" w:ascii="Times New Roman" w:hAnsi="Times New Roman" w:eastAsia="宋体" w:cs="Times New Roman"/>
                      <w:color w:val="auto"/>
                      <w:lang w:val="en-US" w:eastAsia="zh-CN"/>
                    </w:rPr>
                  </w:pPr>
                  <w:r>
                    <w:rPr>
                      <w:rFonts w:hint="eastAsia" w:cs="Times New Roman"/>
                      <w:color w:val="auto"/>
                      <w:lang w:val="en-US" w:eastAsia="zh-CN"/>
                    </w:rPr>
                    <w:t>4.59</w:t>
                  </w:r>
                </w:p>
              </w:tc>
              <w:tc>
                <w:tcPr>
                  <w:tcW w:w="1273" w:type="dxa"/>
                  <w:vAlign w:val="center"/>
                </w:tcPr>
                <w:p w14:paraId="45A69C0F">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r>
            <w:tr w14:paraId="104849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959" w:type="dxa"/>
                  <w:vMerge w:val="continue"/>
                  <w:vAlign w:val="center"/>
                </w:tcPr>
                <w:p w14:paraId="7B7A95C6">
                  <w:pPr>
                    <w:pStyle w:val="45"/>
                    <w:tabs>
                      <w:tab w:val="left" w:pos="4767"/>
                    </w:tabs>
                    <w:jc w:val="center"/>
                    <w:rPr>
                      <w:rFonts w:hint="default" w:ascii="Times New Roman" w:hAnsi="Times New Roman" w:cs="Times New Roman"/>
                      <w:color w:val="auto"/>
                      <w:lang w:val="en-US" w:eastAsia="zh-CN"/>
                    </w:rPr>
                  </w:pPr>
                </w:p>
              </w:tc>
              <w:tc>
                <w:tcPr>
                  <w:tcW w:w="1380" w:type="dxa"/>
                  <w:vMerge w:val="continue"/>
                  <w:vAlign w:val="center"/>
                </w:tcPr>
                <w:p w14:paraId="599752C2">
                  <w:pPr>
                    <w:pStyle w:val="45"/>
                    <w:tabs>
                      <w:tab w:val="left" w:pos="4767"/>
                    </w:tabs>
                    <w:jc w:val="center"/>
                    <w:rPr>
                      <w:rFonts w:hint="default" w:ascii="Times New Roman" w:hAnsi="Times New Roman" w:cs="Times New Roman"/>
                      <w:color w:val="auto"/>
                      <w:lang w:val="en-US" w:eastAsia="zh-CN"/>
                    </w:rPr>
                  </w:pPr>
                </w:p>
              </w:tc>
              <w:tc>
                <w:tcPr>
                  <w:tcW w:w="2325" w:type="dxa"/>
                  <w:vAlign w:val="center"/>
                </w:tcPr>
                <w:p w14:paraId="7DBD4A98">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二氧化硫</w:t>
                  </w:r>
                </w:p>
              </w:tc>
              <w:tc>
                <w:tcPr>
                  <w:tcW w:w="1425" w:type="dxa"/>
                  <w:vAlign w:val="center"/>
                </w:tcPr>
                <w:p w14:paraId="35E7A792">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0.1876</w:t>
                  </w:r>
                </w:p>
              </w:tc>
              <w:tc>
                <w:tcPr>
                  <w:tcW w:w="1273" w:type="dxa"/>
                  <w:vAlign w:val="center"/>
                </w:tcPr>
                <w:p w14:paraId="0828F7DE">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r>
            <w:tr w14:paraId="471841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959" w:type="dxa"/>
                  <w:vMerge w:val="continue"/>
                  <w:vAlign w:val="center"/>
                </w:tcPr>
                <w:p w14:paraId="5A2466C6">
                  <w:pPr>
                    <w:pStyle w:val="45"/>
                    <w:tabs>
                      <w:tab w:val="left" w:pos="4767"/>
                    </w:tabs>
                    <w:jc w:val="center"/>
                    <w:rPr>
                      <w:rFonts w:hint="default" w:ascii="Times New Roman" w:hAnsi="Times New Roman" w:cs="Times New Roman"/>
                      <w:color w:val="auto"/>
                      <w:lang w:val="en-US" w:eastAsia="zh-CN"/>
                    </w:rPr>
                  </w:pPr>
                </w:p>
              </w:tc>
              <w:tc>
                <w:tcPr>
                  <w:tcW w:w="1380" w:type="dxa"/>
                  <w:vMerge w:val="continue"/>
                  <w:vAlign w:val="center"/>
                </w:tcPr>
                <w:p w14:paraId="18213211">
                  <w:pPr>
                    <w:pStyle w:val="45"/>
                    <w:tabs>
                      <w:tab w:val="left" w:pos="4767"/>
                    </w:tabs>
                    <w:jc w:val="center"/>
                    <w:rPr>
                      <w:rFonts w:hint="default" w:ascii="Times New Roman" w:hAnsi="Times New Roman" w:cs="Times New Roman"/>
                      <w:color w:val="auto"/>
                      <w:lang w:val="en-US" w:eastAsia="zh-CN"/>
                    </w:rPr>
                  </w:pPr>
                </w:p>
              </w:tc>
              <w:tc>
                <w:tcPr>
                  <w:tcW w:w="2325" w:type="dxa"/>
                  <w:vAlign w:val="center"/>
                </w:tcPr>
                <w:p w14:paraId="035FA807">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氮氧化物</w:t>
                  </w:r>
                </w:p>
              </w:tc>
              <w:tc>
                <w:tcPr>
                  <w:tcW w:w="1425" w:type="dxa"/>
                  <w:vAlign w:val="center"/>
                </w:tcPr>
                <w:p w14:paraId="19A0FCA4">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0.283</w:t>
                  </w:r>
                </w:p>
              </w:tc>
              <w:tc>
                <w:tcPr>
                  <w:tcW w:w="1273" w:type="dxa"/>
                  <w:vAlign w:val="center"/>
                </w:tcPr>
                <w:p w14:paraId="34C4C828">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r>
            <w:tr w14:paraId="73EDCE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9" w:type="dxa"/>
                  <w:vMerge w:val="continue"/>
                  <w:vAlign w:val="center"/>
                </w:tcPr>
                <w:p w14:paraId="0B76F897">
                  <w:pPr>
                    <w:pStyle w:val="45"/>
                    <w:tabs>
                      <w:tab w:val="left" w:pos="4767"/>
                    </w:tabs>
                    <w:jc w:val="center"/>
                    <w:rPr>
                      <w:rFonts w:hint="default" w:ascii="Times New Roman" w:hAnsi="Times New Roman" w:cs="Times New Roman"/>
                      <w:color w:val="auto"/>
                    </w:rPr>
                  </w:pPr>
                </w:p>
              </w:tc>
              <w:tc>
                <w:tcPr>
                  <w:tcW w:w="1380" w:type="dxa"/>
                  <w:vMerge w:val="continue"/>
                  <w:vAlign w:val="center"/>
                </w:tcPr>
                <w:p w14:paraId="328DC627">
                  <w:pPr>
                    <w:pStyle w:val="45"/>
                    <w:tabs>
                      <w:tab w:val="left" w:pos="4767"/>
                    </w:tabs>
                    <w:jc w:val="center"/>
                    <w:rPr>
                      <w:rFonts w:hint="default" w:ascii="Times New Roman" w:hAnsi="Times New Roman" w:cs="Times New Roman"/>
                      <w:color w:val="auto"/>
                    </w:rPr>
                  </w:pPr>
                </w:p>
              </w:tc>
              <w:tc>
                <w:tcPr>
                  <w:tcW w:w="2325" w:type="dxa"/>
                  <w:vAlign w:val="center"/>
                </w:tcPr>
                <w:p w14:paraId="4F25C096">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矿石烘干产生的水蒸气</w:t>
                  </w:r>
                </w:p>
              </w:tc>
              <w:tc>
                <w:tcPr>
                  <w:tcW w:w="1425" w:type="dxa"/>
                  <w:vAlign w:val="center"/>
                </w:tcPr>
                <w:p w14:paraId="3BF31B46">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9.4</w:t>
                  </w:r>
                </w:p>
              </w:tc>
              <w:tc>
                <w:tcPr>
                  <w:tcW w:w="1273" w:type="dxa"/>
                  <w:vAlign w:val="center"/>
                </w:tcPr>
                <w:p w14:paraId="31D86248">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洒水抑尘</w:t>
                  </w:r>
                </w:p>
              </w:tc>
            </w:tr>
            <w:tr w14:paraId="7DD02F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959" w:type="dxa"/>
                  <w:vMerge w:val="restart"/>
                  <w:vAlign w:val="center"/>
                </w:tcPr>
                <w:p w14:paraId="5104BA34">
                  <w:pPr>
                    <w:pStyle w:val="45"/>
                    <w:tabs>
                      <w:tab w:val="left" w:pos="4767"/>
                    </w:tabs>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沥青</w:t>
                  </w:r>
                </w:p>
              </w:tc>
              <w:tc>
                <w:tcPr>
                  <w:tcW w:w="1380" w:type="dxa"/>
                  <w:vMerge w:val="restart"/>
                  <w:vAlign w:val="center"/>
                </w:tcPr>
                <w:p w14:paraId="05D52FBE">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5500</w:t>
                  </w:r>
                </w:p>
              </w:tc>
              <w:tc>
                <w:tcPr>
                  <w:tcW w:w="2325" w:type="dxa"/>
                  <w:vAlign w:val="center"/>
                </w:tcPr>
                <w:p w14:paraId="488D587F">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沥青混凝土</w:t>
                  </w:r>
                </w:p>
              </w:tc>
              <w:tc>
                <w:tcPr>
                  <w:tcW w:w="1425" w:type="dxa"/>
                  <w:vAlign w:val="center"/>
                </w:tcPr>
                <w:p w14:paraId="21D11B96">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150000</w:t>
                  </w:r>
                </w:p>
              </w:tc>
              <w:tc>
                <w:tcPr>
                  <w:tcW w:w="1273" w:type="dxa"/>
                  <w:vAlign w:val="center"/>
                </w:tcPr>
                <w:p w14:paraId="75C78F29">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产品</w:t>
                  </w:r>
                </w:p>
              </w:tc>
            </w:tr>
            <w:tr w14:paraId="7D6397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959" w:type="dxa"/>
                  <w:vMerge w:val="continue"/>
                  <w:vAlign w:val="center"/>
                </w:tcPr>
                <w:p w14:paraId="3AC51035">
                  <w:pPr>
                    <w:pStyle w:val="45"/>
                    <w:tabs>
                      <w:tab w:val="left" w:pos="4767"/>
                    </w:tabs>
                    <w:jc w:val="center"/>
                    <w:rPr>
                      <w:rFonts w:hint="default" w:ascii="Times New Roman" w:hAnsi="Times New Roman" w:cs="Times New Roman"/>
                      <w:color w:val="auto"/>
                    </w:rPr>
                  </w:pPr>
                </w:p>
              </w:tc>
              <w:tc>
                <w:tcPr>
                  <w:tcW w:w="1380" w:type="dxa"/>
                  <w:vMerge w:val="continue"/>
                  <w:vAlign w:val="center"/>
                </w:tcPr>
                <w:p w14:paraId="29D67ACD">
                  <w:pPr>
                    <w:pStyle w:val="45"/>
                    <w:tabs>
                      <w:tab w:val="left" w:pos="4767"/>
                    </w:tabs>
                    <w:jc w:val="center"/>
                    <w:rPr>
                      <w:rFonts w:hint="default" w:ascii="Times New Roman" w:hAnsi="Times New Roman" w:cs="Times New Roman"/>
                      <w:color w:val="auto"/>
                    </w:rPr>
                  </w:pPr>
                </w:p>
              </w:tc>
              <w:tc>
                <w:tcPr>
                  <w:tcW w:w="2325" w:type="dxa"/>
                  <w:vAlign w:val="center"/>
                </w:tcPr>
                <w:p w14:paraId="687F8C84">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沥青烟（含苯并[a]芘）</w:t>
                  </w:r>
                </w:p>
              </w:tc>
              <w:tc>
                <w:tcPr>
                  <w:tcW w:w="1425" w:type="dxa"/>
                  <w:vAlign w:val="center"/>
                </w:tcPr>
                <w:p w14:paraId="1CBD59D6">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0.0021</w:t>
                  </w:r>
                </w:p>
              </w:tc>
              <w:tc>
                <w:tcPr>
                  <w:tcW w:w="1273" w:type="dxa"/>
                  <w:vAlign w:val="center"/>
                </w:tcPr>
                <w:p w14:paraId="7901349F">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二次燃烧</w:t>
                  </w:r>
                </w:p>
              </w:tc>
            </w:tr>
            <w:tr w14:paraId="01565C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959" w:type="dxa"/>
                  <w:vMerge w:val="continue"/>
                  <w:vAlign w:val="center"/>
                </w:tcPr>
                <w:p w14:paraId="62E3DDB3">
                  <w:pPr>
                    <w:pStyle w:val="45"/>
                    <w:tabs>
                      <w:tab w:val="left" w:pos="4767"/>
                    </w:tabs>
                    <w:jc w:val="center"/>
                    <w:rPr>
                      <w:rFonts w:hint="default" w:ascii="Times New Roman" w:hAnsi="Times New Roman" w:cs="Times New Roman"/>
                      <w:color w:val="auto"/>
                    </w:rPr>
                  </w:pPr>
                </w:p>
              </w:tc>
              <w:tc>
                <w:tcPr>
                  <w:tcW w:w="1380" w:type="dxa"/>
                  <w:vMerge w:val="continue"/>
                  <w:vAlign w:val="center"/>
                </w:tcPr>
                <w:p w14:paraId="1B10FC5B">
                  <w:pPr>
                    <w:pStyle w:val="45"/>
                    <w:tabs>
                      <w:tab w:val="left" w:pos="4767"/>
                    </w:tabs>
                    <w:jc w:val="center"/>
                    <w:rPr>
                      <w:rFonts w:hint="default" w:ascii="Times New Roman" w:hAnsi="Times New Roman" w:cs="Times New Roman"/>
                      <w:color w:val="auto"/>
                    </w:rPr>
                  </w:pPr>
                </w:p>
              </w:tc>
              <w:tc>
                <w:tcPr>
                  <w:tcW w:w="2325" w:type="dxa"/>
                  <w:vAlign w:val="center"/>
                </w:tcPr>
                <w:p w14:paraId="4BF27705">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滴漏的沥青</w:t>
                  </w:r>
                </w:p>
              </w:tc>
              <w:tc>
                <w:tcPr>
                  <w:tcW w:w="1425" w:type="dxa"/>
                  <w:vAlign w:val="center"/>
                </w:tcPr>
                <w:p w14:paraId="4C985919">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0.01</w:t>
                  </w:r>
                </w:p>
              </w:tc>
              <w:tc>
                <w:tcPr>
                  <w:tcW w:w="1273" w:type="dxa"/>
                  <w:vAlign w:val="center"/>
                </w:tcPr>
                <w:p w14:paraId="744A1F35">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回用</w:t>
                  </w:r>
                </w:p>
              </w:tc>
            </w:tr>
            <w:tr w14:paraId="03BAB6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959" w:type="dxa"/>
                  <w:vAlign w:val="center"/>
                </w:tcPr>
                <w:p w14:paraId="26461066">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eastAsia="zh-CN"/>
                    </w:rPr>
                    <w:t>回用的除尘器收尘</w:t>
                  </w:r>
                </w:p>
              </w:tc>
              <w:tc>
                <w:tcPr>
                  <w:tcW w:w="1380" w:type="dxa"/>
                  <w:vAlign w:val="center"/>
                </w:tcPr>
                <w:p w14:paraId="7A225792">
                  <w:pPr>
                    <w:pStyle w:val="45"/>
                    <w:tabs>
                      <w:tab w:val="left" w:pos="4767"/>
                    </w:tabs>
                    <w:jc w:val="center"/>
                    <w:rPr>
                      <w:rFonts w:hint="default" w:ascii="Times New Roman" w:hAnsi="Times New Roman" w:cs="Times New Roman"/>
                      <w:color w:val="auto"/>
                      <w:lang w:val="en-US"/>
                    </w:rPr>
                  </w:pPr>
                  <w:r>
                    <w:rPr>
                      <w:rFonts w:hint="default" w:ascii="Times New Roman" w:hAnsi="Times New Roman" w:cs="Times New Roman"/>
                      <w:color w:val="auto"/>
                      <w:lang w:val="en-US" w:eastAsia="zh-CN"/>
                    </w:rPr>
                    <w:t>43</w:t>
                  </w:r>
                </w:p>
              </w:tc>
              <w:tc>
                <w:tcPr>
                  <w:tcW w:w="2325" w:type="dxa"/>
                  <w:vAlign w:val="center"/>
                </w:tcPr>
                <w:p w14:paraId="77235A27">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1425" w:type="dxa"/>
                  <w:vAlign w:val="center"/>
                </w:tcPr>
                <w:p w14:paraId="4CBAED03">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1273" w:type="dxa"/>
                  <w:vAlign w:val="center"/>
                </w:tcPr>
                <w:p w14:paraId="56AF8DD1">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r>
            <w:tr w14:paraId="68EE5D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959" w:type="dxa"/>
                  <w:vAlign w:val="center"/>
                </w:tcPr>
                <w:p w14:paraId="4DD12333">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eastAsia="zh-CN"/>
                    </w:rPr>
                    <w:t>回用滴漏的沥青</w:t>
                  </w:r>
                </w:p>
              </w:tc>
              <w:tc>
                <w:tcPr>
                  <w:tcW w:w="1380" w:type="dxa"/>
                  <w:vAlign w:val="center"/>
                </w:tcPr>
                <w:p w14:paraId="61D2C1D8">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lang w:val="en-US" w:eastAsia="zh-CN"/>
                    </w:rPr>
                    <w:t>0.01</w:t>
                  </w:r>
                </w:p>
              </w:tc>
              <w:tc>
                <w:tcPr>
                  <w:tcW w:w="2325" w:type="dxa"/>
                  <w:vAlign w:val="center"/>
                </w:tcPr>
                <w:p w14:paraId="449D774B">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1425" w:type="dxa"/>
                  <w:vAlign w:val="center"/>
                </w:tcPr>
                <w:p w14:paraId="6B7697FC">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1273" w:type="dxa"/>
                  <w:vAlign w:val="center"/>
                </w:tcPr>
                <w:p w14:paraId="1D3F8ABB">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r>
            <w:tr w14:paraId="011CC7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vAlign w:val="center"/>
                </w:tcPr>
                <w:p w14:paraId="150954E3">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合计</w:t>
                  </w:r>
                </w:p>
              </w:tc>
              <w:tc>
                <w:tcPr>
                  <w:tcW w:w="1380" w:type="dxa"/>
                  <w:shd w:val="clear" w:color="auto" w:fill="auto"/>
                  <w:vAlign w:val="center"/>
                </w:tcPr>
                <w:p w14:paraId="7E17994E">
                  <w:pPr>
                    <w:pStyle w:val="45"/>
                    <w:tabs>
                      <w:tab w:val="left" w:pos="4767"/>
                    </w:tabs>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150243.01</w:t>
                  </w:r>
                </w:p>
              </w:tc>
              <w:tc>
                <w:tcPr>
                  <w:tcW w:w="2325" w:type="dxa"/>
                  <w:vAlign w:val="center"/>
                </w:tcPr>
                <w:p w14:paraId="6A6141F0">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合计</w:t>
                  </w:r>
                </w:p>
              </w:tc>
              <w:tc>
                <w:tcPr>
                  <w:tcW w:w="1425" w:type="dxa"/>
                  <w:shd w:val="clear" w:color="auto" w:fill="auto"/>
                  <w:vAlign w:val="center"/>
                </w:tcPr>
                <w:p w14:paraId="302B9717">
                  <w:pPr>
                    <w:pStyle w:val="45"/>
                    <w:tabs>
                      <w:tab w:val="left" w:pos="4767"/>
                    </w:tabs>
                    <w:jc w:val="center"/>
                    <w:rPr>
                      <w:rFonts w:hint="default" w:ascii="Times New Roman" w:hAnsi="Times New Roman" w:eastAsia="宋体" w:cs="Times New Roman"/>
                      <w:color w:val="auto"/>
                      <w:lang w:val="en-US" w:eastAsia="zh-CN"/>
                    </w:rPr>
                  </w:pPr>
                  <w:r>
                    <w:rPr>
                      <w:rFonts w:hint="eastAsia" w:cs="Times New Roman"/>
                      <w:color w:val="auto"/>
                      <w:lang w:val="en-US" w:eastAsia="zh-CN"/>
                    </w:rPr>
                    <w:t>150243.01</w:t>
                  </w:r>
                </w:p>
              </w:tc>
              <w:tc>
                <w:tcPr>
                  <w:tcW w:w="1273" w:type="dxa"/>
                  <w:vAlign w:val="center"/>
                </w:tcPr>
                <w:p w14:paraId="13500D59">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r>
          </w:tbl>
          <w:p w14:paraId="4CF818C9">
            <w:pPr>
              <w:pStyle w:val="42"/>
              <w:tabs>
                <w:tab w:val="left" w:pos="4767"/>
              </w:tabs>
              <w:ind w:left="0" w:leftChars="0" w:firstLine="0" w:firstLineChars="0"/>
              <w:jc w:val="both"/>
              <w:rPr>
                <w:rFonts w:hint="default" w:ascii="Times New Roman" w:hAnsi="Times New Roman" w:cs="Times New Roman"/>
                <w:color w:val="auto"/>
              </w:rPr>
            </w:pPr>
          </w:p>
        </w:tc>
      </w:tr>
      <w:tr w14:paraId="2280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2" w:hRule="atLeast"/>
        </w:trPr>
        <w:tc>
          <w:tcPr>
            <w:tcW w:w="309" w:type="pct"/>
            <w:vAlign w:val="center"/>
          </w:tcPr>
          <w:p w14:paraId="5548E655">
            <w:pPr>
              <w:tabs>
                <w:tab w:val="left" w:pos="4767"/>
              </w:tabs>
              <w:spacing w:line="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与项目有关的原有环境污染问题</w:t>
            </w:r>
          </w:p>
        </w:tc>
        <w:tc>
          <w:tcPr>
            <w:tcW w:w="4690" w:type="pct"/>
            <w:vAlign w:val="center"/>
          </w:tcPr>
          <w:p w14:paraId="02CBFEE6">
            <w:pPr>
              <w:tabs>
                <w:tab w:val="left" w:pos="4767"/>
              </w:tabs>
              <w:ind w:firstLine="514"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本项目属于新建项目，根据调查，本项目所占土地为砖厂现有厂区，建设单位和砖厂已达成协议，砖厂已停止生产，</w:t>
            </w:r>
            <w:r>
              <w:rPr>
                <w:rFonts w:hint="eastAsia" w:cs="Times New Roman"/>
                <w:color w:val="auto"/>
                <w:sz w:val="24"/>
                <w:lang w:val="en-US" w:eastAsia="zh-CN"/>
              </w:rPr>
              <w:t>原砖厂车间均已拆除，</w:t>
            </w:r>
            <w:r>
              <w:rPr>
                <w:rFonts w:hint="default" w:ascii="Times New Roman" w:hAnsi="Times New Roman" w:eastAsia="宋体" w:cs="Times New Roman"/>
                <w:color w:val="auto"/>
                <w:sz w:val="24"/>
                <w:lang w:val="en-US" w:eastAsia="zh-CN"/>
              </w:rPr>
              <w:t>经过现场踏勘，厂区整洁，无废水、废气及固体废物排放，且在本项目加工期间不再生产，因此无与本项目有关的原有环境污染问题。</w:t>
            </w:r>
          </w:p>
          <w:tbl>
            <w:tblPr>
              <w:tblStyle w:val="27"/>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6"/>
              <w:gridCol w:w="4246"/>
            </w:tblGrid>
            <w:tr w14:paraId="717E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Borders>
                    <w:tl2br w:val="nil"/>
                    <w:tr2bl w:val="nil"/>
                  </w:tcBorders>
                </w:tcPr>
                <w:p w14:paraId="57F4E73F">
                  <w:pPr>
                    <w:pStyle w:val="17"/>
                    <w:tabs>
                      <w:tab w:val="left" w:pos="4767"/>
                    </w:tabs>
                    <w:rPr>
                      <w:rFonts w:hint="default" w:ascii="Times New Roman" w:hAnsi="Times New Roman" w:eastAsia="宋体" w:cs="Times New Roman"/>
                      <w:color w:val="auto"/>
                      <w:sz w:val="24"/>
                      <w:vertAlign w:val="baseline"/>
                      <w:lang w:val="en-US" w:eastAsia="zh-CN"/>
                    </w:rPr>
                  </w:pPr>
                  <w:r>
                    <w:rPr>
                      <w:rFonts w:hint="default" w:ascii="Times New Roman" w:hAnsi="Times New Roman" w:eastAsia="宋体" w:cs="Times New Roman"/>
                      <w:color w:val="auto"/>
                      <w:sz w:val="24"/>
                      <w:vertAlign w:val="baseline"/>
                      <w:lang w:val="en-US" w:eastAsia="zh-CN"/>
                    </w:rPr>
                    <w:drawing>
                      <wp:inline distT="0" distB="0" distL="114300" distR="114300">
                        <wp:extent cx="2541270" cy="1717675"/>
                        <wp:effectExtent l="0" t="0" r="11430" b="15875"/>
                        <wp:docPr id="3" name="图片 3" descr="a24f7feadaf74e295593a9441f47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24f7feadaf74e295593a9441f475173"/>
                                <pic:cNvPicPr>
                                  <a:picLocks noChangeAspect="1"/>
                                </pic:cNvPicPr>
                              </pic:nvPicPr>
                              <pic:blipFill>
                                <a:blip r:embed="rId13"/>
                                <a:stretch>
                                  <a:fillRect/>
                                </a:stretch>
                              </pic:blipFill>
                              <pic:spPr>
                                <a:xfrm>
                                  <a:off x="0" y="0"/>
                                  <a:ext cx="2541270" cy="1717675"/>
                                </a:xfrm>
                                <a:prstGeom prst="rect">
                                  <a:avLst/>
                                </a:prstGeom>
                              </pic:spPr>
                            </pic:pic>
                          </a:graphicData>
                        </a:graphic>
                      </wp:inline>
                    </w:drawing>
                  </w:r>
                </w:p>
              </w:tc>
              <w:tc>
                <w:tcPr>
                  <w:tcW w:w="4249" w:type="dxa"/>
                  <w:tcBorders>
                    <w:tl2br w:val="nil"/>
                    <w:tr2bl w:val="nil"/>
                  </w:tcBorders>
                </w:tcPr>
                <w:p w14:paraId="42303DC6">
                  <w:pPr>
                    <w:pStyle w:val="17"/>
                    <w:tabs>
                      <w:tab w:val="left" w:pos="4767"/>
                    </w:tabs>
                    <w:rPr>
                      <w:rFonts w:hint="default" w:ascii="Times New Roman" w:hAnsi="Times New Roman" w:eastAsia="宋体" w:cs="Times New Roman"/>
                      <w:color w:val="auto"/>
                      <w:sz w:val="24"/>
                      <w:vertAlign w:val="baseline"/>
                      <w:lang w:val="en-US" w:eastAsia="zh-CN"/>
                    </w:rPr>
                  </w:pPr>
                  <w:r>
                    <w:rPr>
                      <w:rFonts w:hint="default" w:ascii="Times New Roman" w:hAnsi="Times New Roman" w:eastAsia="宋体" w:cs="Times New Roman"/>
                      <w:color w:val="auto"/>
                      <w:sz w:val="24"/>
                      <w:vertAlign w:val="baseline"/>
                      <w:lang w:val="en-US" w:eastAsia="zh-CN"/>
                    </w:rPr>
                    <w:drawing>
                      <wp:inline distT="0" distB="0" distL="114300" distR="114300">
                        <wp:extent cx="2541270" cy="1720850"/>
                        <wp:effectExtent l="0" t="0" r="11430" b="12700"/>
                        <wp:docPr id="4" name="图片 4" descr="da67e5087d65d435d130c6074bc34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a67e5087d65d435d130c6074bc34a24"/>
                                <pic:cNvPicPr>
                                  <a:picLocks noChangeAspect="1"/>
                                </pic:cNvPicPr>
                              </pic:nvPicPr>
                              <pic:blipFill>
                                <a:blip r:embed="rId14"/>
                                <a:stretch>
                                  <a:fillRect/>
                                </a:stretch>
                              </pic:blipFill>
                              <pic:spPr>
                                <a:xfrm>
                                  <a:off x="0" y="0"/>
                                  <a:ext cx="2541270" cy="1720850"/>
                                </a:xfrm>
                                <a:prstGeom prst="rect">
                                  <a:avLst/>
                                </a:prstGeom>
                              </pic:spPr>
                            </pic:pic>
                          </a:graphicData>
                        </a:graphic>
                      </wp:inline>
                    </w:drawing>
                  </w:r>
                </w:p>
              </w:tc>
            </w:tr>
          </w:tbl>
          <w:p w14:paraId="1890764E">
            <w:pPr>
              <w:pStyle w:val="17"/>
              <w:tabs>
                <w:tab w:val="left" w:pos="4767"/>
              </w:tabs>
              <w:rPr>
                <w:rFonts w:hint="default" w:ascii="Times New Roman" w:hAnsi="Times New Roman" w:eastAsia="宋体" w:cs="Times New Roman"/>
                <w:color w:val="auto"/>
                <w:sz w:val="24"/>
                <w:lang w:val="en-US" w:eastAsia="zh-CN"/>
              </w:rPr>
            </w:pPr>
          </w:p>
          <w:p w14:paraId="3AFC0332">
            <w:pPr>
              <w:tabs>
                <w:tab w:val="left" w:pos="4767"/>
              </w:tabs>
              <w:rPr>
                <w:rFonts w:hint="default" w:ascii="Times New Roman" w:hAnsi="Times New Roman" w:eastAsia="宋体" w:cs="Times New Roman"/>
                <w:color w:val="auto"/>
                <w:sz w:val="24"/>
                <w:lang w:val="en-US" w:eastAsia="zh-CN"/>
              </w:rPr>
            </w:pPr>
          </w:p>
          <w:p w14:paraId="14A3B217">
            <w:pPr>
              <w:pStyle w:val="17"/>
              <w:tabs>
                <w:tab w:val="left" w:pos="4767"/>
              </w:tabs>
              <w:rPr>
                <w:rFonts w:hint="default" w:ascii="Times New Roman" w:hAnsi="Times New Roman" w:eastAsia="宋体" w:cs="Times New Roman"/>
                <w:color w:val="auto"/>
                <w:sz w:val="24"/>
                <w:lang w:val="en-US" w:eastAsia="zh-CN"/>
              </w:rPr>
            </w:pPr>
          </w:p>
          <w:p w14:paraId="006DEB6A">
            <w:pPr>
              <w:tabs>
                <w:tab w:val="left" w:pos="4767"/>
              </w:tabs>
              <w:rPr>
                <w:rFonts w:hint="default" w:ascii="Times New Roman" w:hAnsi="Times New Roman" w:eastAsia="宋体" w:cs="Times New Roman"/>
                <w:color w:val="auto"/>
                <w:sz w:val="24"/>
                <w:lang w:val="en-US" w:eastAsia="zh-CN"/>
              </w:rPr>
            </w:pPr>
          </w:p>
          <w:p w14:paraId="1ECA7E2E">
            <w:pPr>
              <w:pStyle w:val="17"/>
              <w:tabs>
                <w:tab w:val="left" w:pos="4767"/>
              </w:tabs>
              <w:rPr>
                <w:rFonts w:hint="default" w:ascii="Times New Roman" w:hAnsi="Times New Roman" w:eastAsia="宋体" w:cs="Times New Roman"/>
                <w:color w:val="auto"/>
                <w:sz w:val="24"/>
                <w:lang w:val="en-US" w:eastAsia="zh-CN"/>
              </w:rPr>
            </w:pPr>
          </w:p>
          <w:p w14:paraId="58EF1BA9">
            <w:pPr>
              <w:tabs>
                <w:tab w:val="left" w:pos="4767"/>
              </w:tabs>
              <w:rPr>
                <w:rFonts w:hint="default" w:ascii="Times New Roman" w:hAnsi="Times New Roman" w:eastAsia="宋体" w:cs="Times New Roman"/>
                <w:color w:val="auto"/>
                <w:sz w:val="24"/>
                <w:lang w:val="en-US" w:eastAsia="zh-CN"/>
              </w:rPr>
            </w:pPr>
          </w:p>
          <w:p w14:paraId="1B216798">
            <w:pPr>
              <w:pStyle w:val="17"/>
              <w:tabs>
                <w:tab w:val="left" w:pos="4767"/>
              </w:tabs>
              <w:rPr>
                <w:rFonts w:hint="default" w:ascii="Times New Roman" w:hAnsi="Times New Roman" w:eastAsia="宋体" w:cs="Times New Roman"/>
                <w:color w:val="auto"/>
                <w:sz w:val="24"/>
                <w:lang w:val="en-US" w:eastAsia="zh-CN"/>
              </w:rPr>
            </w:pPr>
          </w:p>
          <w:p w14:paraId="694E5A02">
            <w:pPr>
              <w:tabs>
                <w:tab w:val="left" w:pos="4767"/>
              </w:tabs>
              <w:rPr>
                <w:rFonts w:hint="default" w:ascii="Times New Roman" w:hAnsi="Times New Roman" w:eastAsia="宋体" w:cs="Times New Roman"/>
                <w:color w:val="auto"/>
                <w:sz w:val="24"/>
                <w:lang w:val="en-US" w:eastAsia="zh-CN"/>
              </w:rPr>
            </w:pPr>
          </w:p>
          <w:p w14:paraId="5A26F59E">
            <w:pPr>
              <w:pStyle w:val="17"/>
              <w:tabs>
                <w:tab w:val="left" w:pos="4767"/>
              </w:tabs>
              <w:rPr>
                <w:rFonts w:hint="default" w:ascii="Times New Roman" w:hAnsi="Times New Roman" w:eastAsia="宋体" w:cs="Times New Roman"/>
                <w:color w:val="auto"/>
                <w:sz w:val="24"/>
                <w:lang w:val="en-US" w:eastAsia="zh-CN"/>
              </w:rPr>
            </w:pPr>
          </w:p>
          <w:p w14:paraId="1A5EBD62">
            <w:pPr>
              <w:tabs>
                <w:tab w:val="left" w:pos="4767"/>
              </w:tabs>
              <w:rPr>
                <w:rFonts w:hint="default" w:ascii="Times New Roman" w:hAnsi="Times New Roman" w:eastAsia="宋体" w:cs="Times New Roman"/>
                <w:color w:val="auto"/>
                <w:sz w:val="24"/>
                <w:lang w:val="en-US" w:eastAsia="zh-CN"/>
              </w:rPr>
            </w:pPr>
          </w:p>
          <w:p w14:paraId="643F44DA">
            <w:pPr>
              <w:pStyle w:val="17"/>
              <w:tabs>
                <w:tab w:val="left" w:pos="4767"/>
              </w:tabs>
              <w:rPr>
                <w:rFonts w:hint="default" w:ascii="Times New Roman" w:hAnsi="Times New Roman" w:cs="Times New Roman"/>
                <w:color w:val="auto"/>
              </w:rPr>
            </w:pPr>
          </w:p>
        </w:tc>
      </w:tr>
    </w:tbl>
    <w:p w14:paraId="11E0D550">
      <w:pPr>
        <w:tabs>
          <w:tab w:val="left" w:pos="4767"/>
        </w:tabs>
        <w:spacing w:before="240" w:after="60"/>
        <w:outlineLvl w:val="0"/>
        <w:rPr>
          <w:rFonts w:hint="default" w:ascii="Times New Roman" w:hAnsi="Times New Roman" w:eastAsia="黑体" w:cs="Times New Roman"/>
          <w:color w:val="auto"/>
          <w:sz w:val="30"/>
          <w:szCs w:val="30"/>
        </w:rPr>
        <w:sectPr>
          <w:pgSz w:w="11905" w:h="16838"/>
          <w:pgMar w:top="1417" w:right="1417" w:bottom="1417" w:left="1417" w:header="851" w:footer="964" w:gutter="0"/>
          <w:pgBorders>
            <w:top w:val="none" w:sz="0" w:space="0"/>
            <w:left w:val="none" w:sz="0" w:space="0"/>
            <w:bottom w:val="none" w:sz="0" w:space="0"/>
            <w:right w:val="none" w:sz="0" w:space="0"/>
          </w:pgBorders>
          <w:cols w:space="0" w:num="1"/>
          <w:docGrid w:type="linesAndChars" w:linePitch="466" w:charSpace="3482"/>
        </w:sectPr>
      </w:pPr>
    </w:p>
    <w:p w14:paraId="35C453F1">
      <w:pPr>
        <w:tabs>
          <w:tab w:val="left" w:pos="4767"/>
        </w:tabs>
        <w:spacing w:before="240" w:after="60"/>
        <w:jc w:val="center"/>
        <w:outlineLvl w:val="0"/>
        <w:rPr>
          <w:rFonts w:hint="default" w:ascii="Times New Roman" w:hAnsi="Times New Roman" w:cs="Times New Roman"/>
          <w:color w:val="auto"/>
        </w:rPr>
      </w:pPr>
      <w:r>
        <w:rPr>
          <w:rFonts w:hint="default" w:ascii="Times New Roman" w:hAnsi="Times New Roman" w:eastAsia="黑体" w:cs="Times New Roman"/>
          <w:color w:val="auto"/>
          <w:sz w:val="30"/>
          <w:szCs w:val="30"/>
        </w:rPr>
        <w:t>三、区域环境质量现状、环境保护目标及评价标准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8496"/>
      </w:tblGrid>
      <w:tr w14:paraId="57D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Align w:val="center"/>
          </w:tcPr>
          <w:p w14:paraId="47D50CB5">
            <w:pPr>
              <w:tabs>
                <w:tab w:val="left" w:pos="4767"/>
              </w:tabs>
              <w:spacing w:line="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区域</w:t>
            </w:r>
          </w:p>
          <w:p w14:paraId="53555285">
            <w:pPr>
              <w:tabs>
                <w:tab w:val="left" w:pos="4767"/>
              </w:tabs>
              <w:spacing w:line="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环境</w:t>
            </w:r>
          </w:p>
          <w:p w14:paraId="0B4B9F32">
            <w:pPr>
              <w:tabs>
                <w:tab w:val="left" w:pos="4767"/>
              </w:tabs>
              <w:spacing w:line="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质量</w:t>
            </w:r>
          </w:p>
          <w:p w14:paraId="6F2703B3">
            <w:pPr>
              <w:tabs>
                <w:tab w:val="left" w:pos="4767"/>
              </w:tabs>
              <w:spacing w:line="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现状</w:t>
            </w:r>
          </w:p>
        </w:tc>
        <w:tc>
          <w:tcPr>
            <w:tcW w:w="4561" w:type="pct"/>
          </w:tcPr>
          <w:p w14:paraId="46C5CF41">
            <w:pPr>
              <w:tabs>
                <w:tab w:val="left" w:pos="4767"/>
              </w:tabs>
              <w:adjustRightInd w:val="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1、环境空气质量现状</w:t>
            </w:r>
          </w:p>
          <w:p w14:paraId="2DACD9BD">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（1）区域环境空气质量现状（基本污染物）</w:t>
            </w:r>
          </w:p>
          <w:p w14:paraId="5B29FB6E">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本项目位于</w:t>
            </w:r>
            <w:r>
              <w:rPr>
                <w:rFonts w:hint="default" w:ascii="Times New Roman" w:hAnsi="Times New Roman" w:cs="Times New Roman"/>
                <w:color w:val="auto"/>
                <w:sz w:val="24"/>
                <w:lang w:val="en-US" w:eastAsia="zh-CN"/>
              </w:rPr>
              <w:t>中卫市沙坡头区常乐镇</w:t>
            </w:r>
            <w:r>
              <w:rPr>
                <w:rFonts w:hint="default" w:ascii="Times New Roman" w:hAnsi="Times New Roman" w:cs="Times New Roman"/>
                <w:color w:val="auto"/>
                <w:sz w:val="24"/>
              </w:rPr>
              <w:t>，根据《202</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年宁夏生态环境状况公报》公布的</w:t>
            </w:r>
            <w:r>
              <w:rPr>
                <w:rFonts w:hint="default" w:ascii="Times New Roman" w:hAnsi="Times New Roman" w:cs="Times New Roman"/>
                <w:color w:val="auto"/>
                <w:sz w:val="24"/>
                <w:lang w:val="en-US" w:eastAsia="zh-CN"/>
              </w:rPr>
              <w:t>中卫市</w:t>
            </w:r>
            <w:r>
              <w:rPr>
                <w:rFonts w:hint="default" w:ascii="Times New Roman" w:hAnsi="Times New Roman" w:cs="Times New Roman"/>
                <w:color w:val="auto"/>
                <w:sz w:val="24"/>
              </w:rPr>
              <w:t>202</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年环境质量数据，</w:t>
            </w:r>
            <w:r>
              <w:rPr>
                <w:rFonts w:hint="default" w:ascii="Times New Roman" w:hAnsi="Times New Roman" w:cs="Times New Roman"/>
                <w:color w:val="auto"/>
                <w:sz w:val="24"/>
                <w:lang w:val="en-US" w:eastAsia="zh-CN"/>
              </w:rPr>
              <w:t>中卫市</w:t>
            </w:r>
            <w:r>
              <w:rPr>
                <w:rFonts w:hint="default" w:ascii="Times New Roman" w:hAnsi="Times New Roman" w:cs="Times New Roman"/>
                <w:color w:val="auto"/>
                <w:sz w:val="24"/>
              </w:rPr>
              <w:t>环境空气质量状况见表3-1。</w:t>
            </w:r>
          </w:p>
          <w:p w14:paraId="749F87A5">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表3-1  区域环境空气质量现状评价表</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47"/>
              <w:gridCol w:w="3483"/>
              <w:gridCol w:w="1133"/>
              <w:gridCol w:w="1033"/>
              <w:gridCol w:w="800"/>
              <w:gridCol w:w="884"/>
            </w:tblGrid>
            <w:tr w14:paraId="04D500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72" w:type="pct"/>
                  <w:vAlign w:val="center"/>
                </w:tcPr>
                <w:p w14:paraId="2723B93B">
                  <w:pPr>
                    <w:pStyle w:val="37"/>
                    <w:tabs>
                      <w:tab w:val="left" w:pos="4767"/>
                    </w:tabs>
                    <w:spacing w:line="0" w:lineRule="atLeast"/>
                    <w:ind w:firstLine="0" w:firstLineChars="0"/>
                    <w:jc w:val="center"/>
                    <w:rPr>
                      <w:rFonts w:hint="default" w:ascii="Times New Roman" w:hAnsi="Times New Roman" w:cs="Times New Roman"/>
                      <w:b/>
                      <w:color w:val="auto"/>
                      <w:szCs w:val="21"/>
                    </w:rPr>
                  </w:pPr>
                  <w:r>
                    <w:rPr>
                      <w:rFonts w:hint="default" w:ascii="Times New Roman" w:hAnsi="Times New Roman" w:cs="Times New Roman"/>
                      <w:b/>
                      <w:bCs/>
                      <w:color w:val="auto"/>
                      <w:sz w:val="21"/>
                      <w:szCs w:val="21"/>
                    </w:rPr>
                    <w:t>污染物</w:t>
                  </w:r>
                </w:p>
              </w:tc>
              <w:tc>
                <w:tcPr>
                  <w:tcW w:w="2103" w:type="pct"/>
                  <w:vAlign w:val="center"/>
                </w:tcPr>
                <w:p w14:paraId="2085E2AE">
                  <w:pPr>
                    <w:pStyle w:val="37"/>
                    <w:tabs>
                      <w:tab w:val="left" w:pos="4767"/>
                    </w:tabs>
                    <w:spacing w:line="0" w:lineRule="atLeast"/>
                    <w:ind w:firstLine="0" w:firstLineChars="0"/>
                    <w:jc w:val="center"/>
                    <w:rPr>
                      <w:rFonts w:hint="default" w:ascii="Times New Roman" w:hAnsi="Times New Roman" w:cs="Times New Roman"/>
                      <w:b/>
                      <w:color w:val="auto"/>
                      <w:szCs w:val="21"/>
                    </w:rPr>
                  </w:pPr>
                  <w:r>
                    <w:rPr>
                      <w:rFonts w:hint="default" w:ascii="Times New Roman" w:hAnsi="Times New Roman" w:cs="Times New Roman"/>
                      <w:b/>
                      <w:bCs/>
                      <w:color w:val="auto"/>
                      <w:sz w:val="21"/>
                      <w:szCs w:val="21"/>
                    </w:rPr>
                    <w:t>年评价指标</w:t>
                  </w:r>
                </w:p>
              </w:tc>
              <w:tc>
                <w:tcPr>
                  <w:tcW w:w="684" w:type="pct"/>
                  <w:vAlign w:val="center"/>
                </w:tcPr>
                <w:p w14:paraId="4B55E34F">
                  <w:pPr>
                    <w:pStyle w:val="37"/>
                    <w:tabs>
                      <w:tab w:val="left" w:pos="4767"/>
                    </w:tabs>
                    <w:spacing w:line="0" w:lineRule="atLeast"/>
                    <w:ind w:firstLine="0" w:firstLineChars="0"/>
                    <w:jc w:val="center"/>
                    <w:rPr>
                      <w:rFonts w:hint="default" w:ascii="Times New Roman" w:hAnsi="Times New Roman" w:cs="Times New Roman"/>
                      <w:b/>
                      <w:color w:val="auto"/>
                      <w:szCs w:val="21"/>
                    </w:rPr>
                  </w:pPr>
                  <w:r>
                    <w:rPr>
                      <w:rFonts w:hint="default" w:ascii="Times New Roman" w:hAnsi="Times New Roman" w:cs="Times New Roman"/>
                      <w:b/>
                      <w:bCs/>
                      <w:color w:val="auto"/>
                      <w:kern w:val="2"/>
                      <w:sz w:val="21"/>
                      <w:szCs w:val="21"/>
                    </w:rPr>
                    <w:t>现状浓度</w:t>
                  </w:r>
                  <w:r>
                    <w:rPr>
                      <w:rFonts w:hint="default" w:ascii="Times New Roman" w:hAnsi="Times New Roman" w:cs="Times New Roman"/>
                      <w:b/>
                      <w:bCs/>
                      <w:color w:val="auto"/>
                      <w:sz w:val="21"/>
                      <w:szCs w:val="21"/>
                    </w:rPr>
                    <w:t>(µg/m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w:t>
                  </w:r>
                </w:p>
              </w:tc>
              <w:tc>
                <w:tcPr>
                  <w:tcW w:w="624" w:type="pct"/>
                  <w:vAlign w:val="center"/>
                </w:tcPr>
                <w:p w14:paraId="38FE2D15">
                  <w:pPr>
                    <w:pStyle w:val="37"/>
                    <w:tabs>
                      <w:tab w:val="left" w:pos="4767"/>
                    </w:tabs>
                    <w:spacing w:line="0" w:lineRule="atLeast"/>
                    <w:ind w:firstLine="0" w:firstLineChars="0"/>
                    <w:jc w:val="center"/>
                    <w:rPr>
                      <w:rFonts w:hint="default" w:ascii="Times New Roman" w:hAnsi="Times New Roman" w:cs="Times New Roman"/>
                      <w:b/>
                      <w:color w:val="auto"/>
                      <w:szCs w:val="21"/>
                    </w:rPr>
                  </w:pPr>
                  <w:r>
                    <w:rPr>
                      <w:rFonts w:hint="default" w:ascii="Times New Roman" w:hAnsi="Times New Roman" w:cs="Times New Roman"/>
                      <w:b/>
                      <w:bCs/>
                      <w:color w:val="auto"/>
                      <w:sz w:val="21"/>
                      <w:szCs w:val="21"/>
                    </w:rPr>
                    <w:t>标准值(µg/m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w:t>
                  </w:r>
                </w:p>
              </w:tc>
              <w:tc>
                <w:tcPr>
                  <w:tcW w:w="483" w:type="pct"/>
                  <w:vAlign w:val="center"/>
                </w:tcPr>
                <w:p w14:paraId="0A14613D">
                  <w:pPr>
                    <w:pStyle w:val="37"/>
                    <w:tabs>
                      <w:tab w:val="left" w:pos="4767"/>
                    </w:tabs>
                    <w:spacing w:line="0" w:lineRule="atLeast"/>
                    <w:ind w:firstLine="0" w:firstLineChars="0"/>
                    <w:jc w:val="center"/>
                    <w:rPr>
                      <w:rFonts w:hint="default" w:ascii="Times New Roman" w:hAnsi="Times New Roman" w:cs="Times New Roman"/>
                      <w:b/>
                      <w:color w:val="auto"/>
                      <w:szCs w:val="21"/>
                    </w:rPr>
                  </w:pPr>
                  <w:r>
                    <w:rPr>
                      <w:rFonts w:hint="default" w:ascii="Times New Roman" w:hAnsi="Times New Roman" w:cs="Times New Roman"/>
                      <w:b/>
                      <w:bCs/>
                      <w:color w:val="auto"/>
                      <w:sz w:val="21"/>
                      <w:szCs w:val="21"/>
                    </w:rPr>
                    <w:t>占标率(%)</w:t>
                  </w:r>
                </w:p>
              </w:tc>
              <w:tc>
                <w:tcPr>
                  <w:tcW w:w="531" w:type="pct"/>
                  <w:vAlign w:val="center"/>
                </w:tcPr>
                <w:p w14:paraId="4AE31622">
                  <w:pPr>
                    <w:pStyle w:val="37"/>
                    <w:tabs>
                      <w:tab w:val="left" w:pos="4767"/>
                    </w:tabs>
                    <w:spacing w:line="0" w:lineRule="atLeast"/>
                    <w:ind w:firstLine="0" w:firstLineChars="0"/>
                    <w:jc w:val="center"/>
                    <w:rPr>
                      <w:rFonts w:hint="default" w:ascii="Times New Roman" w:hAnsi="Times New Roman" w:cs="Times New Roman"/>
                      <w:b/>
                      <w:color w:val="auto"/>
                      <w:szCs w:val="21"/>
                    </w:rPr>
                  </w:pPr>
                  <w:r>
                    <w:rPr>
                      <w:rFonts w:hint="default" w:ascii="Times New Roman" w:hAnsi="Times New Roman" w:cs="Times New Roman"/>
                      <w:b/>
                      <w:bCs/>
                      <w:color w:val="auto"/>
                      <w:sz w:val="21"/>
                      <w:szCs w:val="21"/>
                    </w:rPr>
                    <w:t>达标情况</w:t>
                  </w:r>
                </w:p>
              </w:tc>
            </w:tr>
            <w:tr w14:paraId="71313A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572" w:type="pct"/>
                  <w:vAlign w:val="center"/>
                </w:tcPr>
                <w:p w14:paraId="7A795DAA">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10</w:t>
                  </w:r>
                </w:p>
              </w:tc>
              <w:tc>
                <w:tcPr>
                  <w:tcW w:w="2103" w:type="pct"/>
                  <w:vAlign w:val="center"/>
                </w:tcPr>
                <w:p w14:paraId="1D0B3ED7">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年平均质量浓度</w:t>
                  </w:r>
                </w:p>
              </w:tc>
              <w:tc>
                <w:tcPr>
                  <w:tcW w:w="684" w:type="pct"/>
                </w:tcPr>
                <w:p w14:paraId="53769027">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62</w:t>
                  </w:r>
                </w:p>
              </w:tc>
              <w:tc>
                <w:tcPr>
                  <w:tcW w:w="624" w:type="pct"/>
                </w:tcPr>
                <w:p w14:paraId="0684FE0A">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483" w:type="pct"/>
                </w:tcPr>
                <w:p w14:paraId="37127F41">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88.6</w:t>
                  </w:r>
                </w:p>
              </w:tc>
              <w:tc>
                <w:tcPr>
                  <w:tcW w:w="531" w:type="pct"/>
                  <w:vAlign w:val="center"/>
                </w:tcPr>
                <w:p w14:paraId="5BA8AE3D">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r>
            <w:tr w14:paraId="630CBC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572" w:type="pct"/>
                  <w:vAlign w:val="center"/>
                </w:tcPr>
                <w:p w14:paraId="08AD29C7">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2.5</w:t>
                  </w:r>
                </w:p>
              </w:tc>
              <w:tc>
                <w:tcPr>
                  <w:tcW w:w="2103" w:type="pct"/>
                  <w:vAlign w:val="center"/>
                </w:tcPr>
                <w:p w14:paraId="76286EF6">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年平均质量浓度</w:t>
                  </w:r>
                </w:p>
              </w:tc>
              <w:tc>
                <w:tcPr>
                  <w:tcW w:w="684" w:type="pct"/>
                </w:tcPr>
                <w:p w14:paraId="0835D200">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31</w:t>
                  </w:r>
                </w:p>
              </w:tc>
              <w:tc>
                <w:tcPr>
                  <w:tcW w:w="624" w:type="pct"/>
                </w:tcPr>
                <w:p w14:paraId="13C5FC94">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w:t>
                  </w:r>
                </w:p>
              </w:tc>
              <w:tc>
                <w:tcPr>
                  <w:tcW w:w="483" w:type="pct"/>
                </w:tcPr>
                <w:p w14:paraId="2D77848C">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88.6</w:t>
                  </w:r>
                </w:p>
              </w:tc>
              <w:tc>
                <w:tcPr>
                  <w:tcW w:w="531" w:type="pct"/>
                  <w:vAlign w:val="center"/>
                </w:tcPr>
                <w:p w14:paraId="5D24ACF9">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达标</w:t>
                  </w:r>
                </w:p>
              </w:tc>
            </w:tr>
            <w:tr w14:paraId="5908E2B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572" w:type="pct"/>
                  <w:vAlign w:val="center"/>
                </w:tcPr>
                <w:p w14:paraId="7AAA3CDE">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2103" w:type="pct"/>
                  <w:vAlign w:val="center"/>
                </w:tcPr>
                <w:p w14:paraId="6FEE1412">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年平均质量浓度</w:t>
                  </w:r>
                </w:p>
              </w:tc>
              <w:tc>
                <w:tcPr>
                  <w:tcW w:w="684" w:type="pct"/>
                </w:tcPr>
                <w:p w14:paraId="1B84E775">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624" w:type="pct"/>
                </w:tcPr>
                <w:p w14:paraId="54B04327">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c>
                <w:tcPr>
                  <w:tcW w:w="483" w:type="pct"/>
                </w:tcPr>
                <w:p w14:paraId="090D0C3C">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13.3</w:t>
                  </w:r>
                </w:p>
              </w:tc>
              <w:tc>
                <w:tcPr>
                  <w:tcW w:w="531" w:type="pct"/>
                  <w:vAlign w:val="center"/>
                </w:tcPr>
                <w:p w14:paraId="549AFDD6">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达标</w:t>
                  </w:r>
                </w:p>
              </w:tc>
            </w:tr>
            <w:tr w14:paraId="7356431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3" w:hRule="atLeast"/>
              </w:trPr>
              <w:tc>
                <w:tcPr>
                  <w:tcW w:w="572" w:type="pct"/>
                  <w:vAlign w:val="center"/>
                </w:tcPr>
                <w:p w14:paraId="44EF715C">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2</w:t>
                  </w:r>
                </w:p>
              </w:tc>
              <w:tc>
                <w:tcPr>
                  <w:tcW w:w="2103" w:type="pct"/>
                  <w:vAlign w:val="center"/>
                </w:tcPr>
                <w:p w14:paraId="30DCA433">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年平均质量浓度</w:t>
                  </w:r>
                </w:p>
              </w:tc>
              <w:tc>
                <w:tcPr>
                  <w:tcW w:w="684" w:type="pct"/>
                </w:tcPr>
                <w:p w14:paraId="1B9400D6">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23</w:t>
                  </w:r>
                </w:p>
              </w:tc>
              <w:tc>
                <w:tcPr>
                  <w:tcW w:w="624" w:type="pct"/>
                </w:tcPr>
                <w:p w14:paraId="17F0D016">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483" w:type="pct"/>
                </w:tcPr>
                <w:p w14:paraId="0C6B9444">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57.5</w:t>
                  </w:r>
                </w:p>
              </w:tc>
              <w:tc>
                <w:tcPr>
                  <w:tcW w:w="531" w:type="pct"/>
                  <w:vAlign w:val="center"/>
                </w:tcPr>
                <w:p w14:paraId="1623B7FE">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达标</w:t>
                  </w:r>
                </w:p>
              </w:tc>
            </w:tr>
            <w:tr w14:paraId="7D342A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8" w:hRule="atLeast"/>
              </w:trPr>
              <w:tc>
                <w:tcPr>
                  <w:tcW w:w="572" w:type="pct"/>
                  <w:vAlign w:val="center"/>
                </w:tcPr>
                <w:p w14:paraId="4F58D5EC">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CO</w:t>
                  </w:r>
                </w:p>
              </w:tc>
              <w:tc>
                <w:tcPr>
                  <w:tcW w:w="2103" w:type="pct"/>
                  <w:vAlign w:val="center"/>
                </w:tcPr>
                <w:p w14:paraId="1E138F49">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24h平均第95百分位数</w:t>
                  </w:r>
                </w:p>
              </w:tc>
              <w:tc>
                <w:tcPr>
                  <w:tcW w:w="684" w:type="pct"/>
                  <w:vAlign w:val="center"/>
                </w:tcPr>
                <w:p w14:paraId="6F6CA11C">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0.8</w:t>
                  </w:r>
                  <w:r>
                    <w:rPr>
                      <w:rFonts w:hint="default" w:ascii="Times New Roman" w:hAnsi="Times New Roman" w:cs="Times New Roman"/>
                      <w:color w:val="auto"/>
                      <w:sz w:val="21"/>
                      <w:szCs w:val="21"/>
                    </w:rPr>
                    <w:t>mg/m³</w:t>
                  </w:r>
                </w:p>
              </w:tc>
              <w:tc>
                <w:tcPr>
                  <w:tcW w:w="624" w:type="pct"/>
                  <w:vAlign w:val="center"/>
                </w:tcPr>
                <w:p w14:paraId="356D94DA">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4.0mg/m³</w:t>
                  </w:r>
                </w:p>
              </w:tc>
              <w:tc>
                <w:tcPr>
                  <w:tcW w:w="483" w:type="pct"/>
                  <w:vAlign w:val="center"/>
                </w:tcPr>
                <w:p w14:paraId="47F43567">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c>
                <w:tcPr>
                  <w:tcW w:w="531" w:type="pct"/>
                  <w:vAlign w:val="center"/>
                </w:tcPr>
                <w:p w14:paraId="7EB191D2">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达标</w:t>
                  </w:r>
                </w:p>
              </w:tc>
            </w:tr>
            <w:tr w14:paraId="576E14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572" w:type="pct"/>
                  <w:vAlign w:val="center"/>
                </w:tcPr>
                <w:p w14:paraId="55529BBA">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3</w:t>
                  </w:r>
                </w:p>
              </w:tc>
              <w:tc>
                <w:tcPr>
                  <w:tcW w:w="2103" w:type="pct"/>
                  <w:vAlign w:val="center"/>
                </w:tcPr>
                <w:p w14:paraId="5D2D0350">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日最大滑动平均值的第90百分位数</w:t>
                  </w:r>
                </w:p>
              </w:tc>
              <w:tc>
                <w:tcPr>
                  <w:tcW w:w="684" w:type="pct"/>
                </w:tcPr>
                <w:p w14:paraId="22E4FE9D">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144</w:t>
                  </w:r>
                </w:p>
              </w:tc>
              <w:tc>
                <w:tcPr>
                  <w:tcW w:w="624" w:type="pct"/>
                </w:tcPr>
                <w:p w14:paraId="46088BC0">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160</w:t>
                  </w:r>
                </w:p>
              </w:tc>
              <w:tc>
                <w:tcPr>
                  <w:tcW w:w="483" w:type="pct"/>
                </w:tcPr>
                <w:p w14:paraId="50E61FDD">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90</w:t>
                  </w:r>
                </w:p>
              </w:tc>
              <w:tc>
                <w:tcPr>
                  <w:tcW w:w="531" w:type="pct"/>
                  <w:vAlign w:val="center"/>
                </w:tcPr>
                <w:p w14:paraId="27613655">
                  <w:pPr>
                    <w:pStyle w:val="37"/>
                    <w:tabs>
                      <w:tab w:val="left" w:pos="4767"/>
                    </w:tabs>
                    <w:spacing w:line="0" w:lineRule="atLeast"/>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达标</w:t>
                  </w:r>
                </w:p>
              </w:tc>
            </w:tr>
            <w:tr w14:paraId="7990563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5000" w:type="pct"/>
                  <w:gridSpan w:val="6"/>
                  <w:vAlign w:val="center"/>
                </w:tcPr>
                <w:p w14:paraId="35181FFF">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备注：一氧化碳24h平均第95百分位数，臭氧日最大8h滑动平均值的第90百分位数。</w:t>
                  </w:r>
                </w:p>
              </w:tc>
            </w:tr>
          </w:tbl>
          <w:p w14:paraId="31499C35">
            <w:pPr>
              <w:tabs>
                <w:tab w:val="left" w:pos="4767"/>
              </w:tabs>
              <w:ind w:firstLine="514"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由表3-1可知，中卫市202</w:t>
            </w:r>
            <w:r>
              <w:rPr>
                <w:rFonts w:hint="default" w:ascii="Times New Roman" w:hAnsi="Times New Roman" w:cs="Times New Roman"/>
                <w:color w:val="auto"/>
                <w:sz w:val="24"/>
                <w:lang w:val="en-US" w:eastAsia="zh-CN"/>
              </w:rPr>
              <w:t>4</w:t>
            </w:r>
            <w:r>
              <w:rPr>
                <w:rFonts w:hint="default" w:ascii="Times New Roman" w:hAnsi="Times New Roman" w:eastAsia="宋体" w:cs="Times New Roman"/>
                <w:color w:val="auto"/>
                <w:sz w:val="24"/>
                <w:lang w:val="en-US" w:eastAsia="zh-CN"/>
              </w:rPr>
              <w:t>年剔除沙尘天气影响情况下PM</w:t>
            </w:r>
            <w:r>
              <w:rPr>
                <w:rFonts w:hint="default" w:ascii="Times New Roman" w:hAnsi="Times New Roman" w:eastAsia="宋体" w:cs="Times New Roman"/>
                <w:color w:val="auto"/>
                <w:sz w:val="24"/>
                <w:vertAlign w:val="subscript"/>
                <w:lang w:val="en-US" w:eastAsia="zh-CN"/>
              </w:rPr>
              <w:t>2.5</w:t>
            </w:r>
            <w:r>
              <w:rPr>
                <w:rFonts w:hint="default" w:ascii="Times New Roman" w:hAnsi="Times New Roman" w:eastAsia="宋体" w:cs="Times New Roman"/>
                <w:color w:val="auto"/>
                <w:sz w:val="24"/>
                <w:lang w:val="en-US" w:eastAsia="zh-CN"/>
              </w:rPr>
              <w:t>、PM</w:t>
            </w:r>
            <w:r>
              <w:rPr>
                <w:rFonts w:hint="default" w:ascii="Times New Roman" w:hAnsi="Times New Roman" w:eastAsia="宋体" w:cs="Times New Roman"/>
                <w:color w:val="auto"/>
                <w:sz w:val="24"/>
                <w:vertAlign w:val="subscript"/>
                <w:lang w:val="en-US" w:eastAsia="zh-CN"/>
              </w:rPr>
              <w:t>10</w:t>
            </w:r>
            <w:r>
              <w:rPr>
                <w:rFonts w:hint="default" w:ascii="Times New Roman" w:hAnsi="Times New Roman" w:eastAsia="宋体" w:cs="Times New Roman"/>
                <w:color w:val="auto"/>
                <w:sz w:val="24"/>
                <w:lang w:val="en-US" w:eastAsia="zh-CN"/>
              </w:rPr>
              <w:t>、SO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、NO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、CO 24小时平均第95百分位数浓度和O</w:t>
            </w:r>
            <w:r>
              <w:rPr>
                <w:rFonts w:hint="default" w:ascii="Times New Roman" w:hAnsi="Times New Roman" w:eastAsia="宋体" w:cs="Times New Roman"/>
                <w:color w:val="auto"/>
                <w:sz w:val="24"/>
                <w:vertAlign w:val="subscript"/>
                <w:lang w:val="en-US" w:eastAsia="zh-CN"/>
              </w:rPr>
              <w:t>3</w:t>
            </w:r>
            <w:r>
              <w:rPr>
                <w:rFonts w:hint="default" w:ascii="Times New Roman" w:hAnsi="Times New Roman" w:eastAsia="宋体" w:cs="Times New Roman"/>
                <w:color w:val="auto"/>
                <w:sz w:val="24"/>
                <w:lang w:val="en-US" w:eastAsia="zh-CN"/>
              </w:rPr>
              <w:t xml:space="preserve"> 8h最大平均第90百分位数浓度均满足《环境空气质量标准》（GB 3095-2012）及2018年修改单中二级标准，为环境空气质量达标区。</w:t>
            </w:r>
          </w:p>
          <w:p w14:paraId="6FFA77B1">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（2）其他污染物环境质量状况（特征污染物）</w:t>
            </w:r>
          </w:p>
          <w:p w14:paraId="79C20018">
            <w:pPr>
              <w:tabs>
                <w:tab w:val="left" w:pos="4767"/>
              </w:tabs>
              <w:ind w:firstLine="514"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依据《建设项目环境影响报告表编制技术指南（污染影响类）》（试行）中要求：排放国家、地方环境空气质量标准中有标准限值要求的特征污染物时，引用建设项目周边5km范围内近3年的现有监测数据，无相关数据的选择当季主导下风向1个点位补充不少于3天的监测数据。</w:t>
            </w:r>
          </w:p>
          <w:p w14:paraId="782F8458">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本项目特征因子为TSP和苯并[a]芘，为了解特征污染因子现状情况，委托宁夏</w:t>
            </w:r>
            <w:r>
              <w:rPr>
                <w:rFonts w:hint="eastAsia" w:cs="Times New Roman"/>
                <w:color w:val="auto"/>
                <w:sz w:val="24"/>
                <w:lang w:val="en-US" w:eastAsia="zh-CN"/>
              </w:rPr>
              <w:t>中环国安咨询</w:t>
            </w:r>
            <w:r>
              <w:rPr>
                <w:rFonts w:hint="default" w:ascii="Times New Roman" w:hAnsi="Times New Roman" w:cs="Times New Roman"/>
                <w:color w:val="auto"/>
                <w:sz w:val="24"/>
                <w:lang w:val="en-US" w:eastAsia="zh-CN"/>
              </w:rPr>
              <w:t>有限公司于202</w:t>
            </w:r>
            <w:r>
              <w:rPr>
                <w:rFonts w:hint="eastAsia" w:cs="Times New Roman"/>
                <w:color w:val="auto"/>
                <w:sz w:val="24"/>
                <w:lang w:val="en-US" w:eastAsia="zh-CN"/>
              </w:rPr>
              <w:t>5</w:t>
            </w:r>
            <w:r>
              <w:rPr>
                <w:rFonts w:hint="default" w:ascii="Times New Roman" w:hAnsi="Times New Roman" w:cs="Times New Roman"/>
                <w:color w:val="auto"/>
                <w:sz w:val="24"/>
                <w:lang w:val="en-US" w:eastAsia="zh-CN"/>
              </w:rPr>
              <w:t>年</w:t>
            </w:r>
            <w:r>
              <w:rPr>
                <w:rFonts w:hint="eastAsia" w:cs="Times New Roman"/>
                <w:color w:val="auto"/>
                <w:sz w:val="24"/>
                <w:lang w:val="en-US" w:eastAsia="zh-CN"/>
              </w:rPr>
              <w:t>11</w:t>
            </w:r>
            <w:r>
              <w:rPr>
                <w:rFonts w:hint="default" w:ascii="Times New Roman" w:hAnsi="Times New Roman" w:cs="Times New Roman"/>
                <w:color w:val="auto"/>
                <w:sz w:val="24"/>
                <w:lang w:val="en-US" w:eastAsia="zh-CN"/>
              </w:rPr>
              <w:t>月</w:t>
            </w:r>
            <w:r>
              <w:rPr>
                <w:rFonts w:hint="eastAsia" w:cs="Times New Roman"/>
                <w:color w:val="auto"/>
                <w:sz w:val="24"/>
                <w:lang w:val="en-US" w:eastAsia="zh-CN"/>
              </w:rPr>
              <w:t>11</w:t>
            </w:r>
            <w:r>
              <w:rPr>
                <w:rFonts w:hint="default" w:ascii="Times New Roman" w:hAnsi="Times New Roman" w:cs="Times New Roman"/>
                <w:color w:val="auto"/>
                <w:sz w:val="24"/>
                <w:lang w:val="en-US" w:eastAsia="zh-CN"/>
              </w:rPr>
              <w:t>日~202</w:t>
            </w:r>
            <w:r>
              <w:rPr>
                <w:rFonts w:hint="eastAsia" w:cs="Times New Roman"/>
                <w:color w:val="auto"/>
                <w:sz w:val="24"/>
                <w:lang w:val="en-US" w:eastAsia="zh-CN"/>
              </w:rPr>
              <w:t>5</w:t>
            </w:r>
            <w:r>
              <w:rPr>
                <w:rFonts w:hint="default" w:ascii="Times New Roman" w:hAnsi="Times New Roman" w:cs="Times New Roman"/>
                <w:color w:val="auto"/>
                <w:sz w:val="24"/>
                <w:lang w:val="en-US" w:eastAsia="zh-CN"/>
              </w:rPr>
              <w:t>年</w:t>
            </w:r>
            <w:r>
              <w:rPr>
                <w:rFonts w:hint="eastAsia" w:cs="Times New Roman"/>
                <w:color w:val="auto"/>
                <w:sz w:val="24"/>
                <w:lang w:val="en-US" w:eastAsia="zh-CN"/>
              </w:rPr>
              <w:t>11</w:t>
            </w:r>
            <w:r>
              <w:rPr>
                <w:rFonts w:hint="default" w:ascii="Times New Roman" w:hAnsi="Times New Roman" w:cs="Times New Roman"/>
                <w:color w:val="auto"/>
                <w:sz w:val="24"/>
                <w:lang w:val="en-US" w:eastAsia="zh-CN"/>
              </w:rPr>
              <w:t>月</w:t>
            </w:r>
            <w:r>
              <w:rPr>
                <w:rFonts w:hint="eastAsia" w:cs="Times New Roman"/>
                <w:color w:val="auto"/>
                <w:sz w:val="24"/>
                <w:lang w:val="en-US" w:eastAsia="zh-CN"/>
              </w:rPr>
              <w:t>13</w:t>
            </w:r>
            <w:r>
              <w:rPr>
                <w:rFonts w:hint="default" w:ascii="Times New Roman" w:hAnsi="Times New Roman" w:cs="Times New Roman"/>
                <w:color w:val="auto"/>
                <w:sz w:val="24"/>
                <w:lang w:val="en-US" w:eastAsia="zh-CN"/>
              </w:rPr>
              <w:t>日对项目区域设点监测。</w:t>
            </w:r>
          </w:p>
          <w:p w14:paraId="708415FD">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①监测点位</w:t>
            </w:r>
          </w:p>
          <w:p w14:paraId="164C9083">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本次评价引用的监测点位详见表3-2。监测因子为TSP</w:t>
            </w:r>
            <w:r>
              <w:rPr>
                <w:rFonts w:hint="default" w:ascii="Times New Roman" w:hAnsi="Times New Roman" w:cs="Times New Roman"/>
                <w:color w:val="auto"/>
                <w:sz w:val="24"/>
                <w:lang w:val="en-US" w:eastAsia="zh-CN"/>
              </w:rPr>
              <w:t>和苯并[a]芘</w:t>
            </w:r>
            <w:r>
              <w:rPr>
                <w:rFonts w:hint="default" w:ascii="Times New Roman" w:hAnsi="Times New Roman" w:cs="Times New Roman"/>
                <w:bCs/>
                <w:color w:val="auto"/>
                <w:sz w:val="24"/>
              </w:rPr>
              <w:t>。环境空气监测点位图见图3-1。</w:t>
            </w:r>
          </w:p>
          <w:p w14:paraId="1CE64F21">
            <w:pPr>
              <w:tabs>
                <w:tab w:val="left" w:pos="4767"/>
              </w:tabs>
              <w:jc w:val="center"/>
              <w:rPr>
                <w:rFonts w:hint="default" w:ascii="Times New Roman" w:hAnsi="Times New Roman" w:eastAsia="黑体" w:cs="Times New Roman"/>
                <w:color w:val="auto"/>
                <w:sz w:val="24"/>
              </w:rPr>
            </w:pPr>
          </w:p>
          <w:p w14:paraId="12509FF9">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表3-2   环境空气质量现状监测点位布设一览表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2164"/>
              <w:gridCol w:w="2686"/>
              <w:gridCol w:w="2248"/>
            </w:tblGrid>
            <w:tr w14:paraId="52A17C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2" w:type="pct"/>
                  <w:vAlign w:val="center"/>
                </w:tcPr>
                <w:p w14:paraId="3A15D7A4">
                  <w:pPr>
                    <w:pStyle w:val="37"/>
                    <w:tabs>
                      <w:tab w:val="left" w:pos="4767"/>
                    </w:tabs>
                    <w:spacing w:line="0" w:lineRule="atLeast"/>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1307" w:type="pct"/>
                  <w:vAlign w:val="center"/>
                </w:tcPr>
                <w:p w14:paraId="72FE93A7">
                  <w:pPr>
                    <w:pStyle w:val="37"/>
                    <w:tabs>
                      <w:tab w:val="left" w:pos="4767"/>
                    </w:tabs>
                    <w:spacing w:line="0" w:lineRule="atLeast"/>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与本项目位置关系</w:t>
                  </w:r>
                </w:p>
              </w:tc>
              <w:tc>
                <w:tcPr>
                  <w:tcW w:w="1622" w:type="pct"/>
                  <w:vAlign w:val="center"/>
                </w:tcPr>
                <w:p w14:paraId="2B736F25">
                  <w:pPr>
                    <w:pStyle w:val="37"/>
                    <w:tabs>
                      <w:tab w:val="left" w:pos="4767"/>
                    </w:tabs>
                    <w:spacing w:line="0" w:lineRule="atLeast"/>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坐标</w:t>
                  </w:r>
                </w:p>
              </w:tc>
              <w:tc>
                <w:tcPr>
                  <w:tcW w:w="1357" w:type="pct"/>
                  <w:vAlign w:val="center"/>
                </w:tcPr>
                <w:p w14:paraId="067BB37D">
                  <w:pPr>
                    <w:pStyle w:val="37"/>
                    <w:tabs>
                      <w:tab w:val="left" w:pos="4767"/>
                    </w:tabs>
                    <w:spacing w:line="0" w:lineRule="atLeast"/>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监测因子</w:t>
                  </w:r>
                </w:p>
              </w:tc>
            </w:tr>
            <w:tr w14:paraId="780F07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2" w:type="pct"/>
                  <w:vAlign w:val="center"/>
                </w:tcPr>
                <w:p w14:paraId="1822EC68">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G1</w:t>
                  </w:r>
                </w:p>
              </w:tc>
              <w:tc>
                <w:tcPr>
                  <w:tcW w:w="1307" w:type="pct"/>
                  <w:vAlign w:val="center"/>
                </w:tcPr>
                <w:p w14:paraId="0ED40808">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W，</w:t>
                  </w:r>
                  <w:r>
                    <w:rPr>
                      <w:rFonts w:hint="eastAsia" w:cs="Times New Roman"/>
                      <w:color w:val="auto"/>
                      <w:spacing w:val="2"/>
                      <w:sz w:val="21"/>
                      <w:szCs w:val="21"/>
                      <w:lang w:val="en-US" w:eastAsia="zh-CN"/>
                    </w:rPr>
                    <w:t>200</w:t>
                  </w:r>
                  <w:r>
                    <w:rPr>
                      <w:rFonts w:hint="default" w:ascii="Times New Roman" w:hAnsi="Times New Roman" w:cs="Times New Roman"/>
                      <w:color w:val="auto"/>
                      <w:spacing w:val="2"/>
                      <w:sz w:val="21"/>
                      <w:szCs w:val="21"/>
                    </w:rPr>
                    <w:t>m</w:t>
                  </w:r>
                </w:p>
              </w:tc>
              <w:tc>
                <w:tcPr>
                  <w:tcW w:w="1622" w:type="pct"/>
                  <w:vAlign w:val="center"/>
                </w:tcPr>
                <w:p w14:paraId="7744E1DC">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w:t>
                  </w:r>
                  <w:r>
                    <w:rPr>
                      <w:rFonts w:hint="eastAsia" w:cs="Times New Roman"/>
                      <w:color w:val="auto"/>
                      <w:sz w:val="21"/>
                      <w:szCs w:val="21"/>
                      <w:lang w:val="en-US" w:eastAsia="zh-CN"/>
                    </w:rPr>
                    <w:t>105</w:t>
                  </w:r>
                  <w:r>
                    <w:rPr>
                      <w:rFonts w:hint="default" w:ascii="Times New Roman" w:hAnsi="Times New Roman" w:cs="Times New Roman"/>
                      <w:color w:val="auto"/>
                      <w:sz w:val="21"/>
                      <w:szCs w:val="21"/>
                    </w:rPr>
                    <w:t>°</w:t>
                  </w:r>
                  <w:r>
                    <w:rPr>
                      <w:rFonts w:hint="eastAsia" w:cs="Times New Roman"/>
                      <w:color w:val="auto"/>
                      <w:sz w:val="21"/>
                      <w:szCs w:val="21"/>
                      <w:lang w:val="en-US" w:eastAsia="zh-CN"/>
                    </w:rPr>
                    <w:t>8</w:t>
                  </w:r>
                  <w:r>
                    <w:rPr>
                      <w:rFonts w:hint="default" w:ascii="Times New Roman" w:hAnsi="Times New Roman" w:cs="Times New Roman"/>
                      <w:color w:val="auto"/>
                      <w:sz w:val="21"/>
                      <w:szCs w:val="21"/>
                    </w:rPr>
                    <w:t>′</w:t>
                  </w:r>
                  <w:r>
                    <w:rPr>
                      <w:rFonts w:hint="eastAsia" w:cs="Times New Roman"/>
                      <w:color w:val="auto"/>
                      <w:sz w:val="21"/>
                      <w:szCs w:val="21"/>
                      <w:lang w:val="en-US" w:eastAsia="zh-CN"/>
                    </w:rPr>
                    <w:t>46.175</w:t>
                  </w:r>
                  <w:r>
                    <w:rPr>
                      <w:rFonts w:hint="default" w:ascii="Times New Roman" w:hAnsi="Times New Roman" w:cs="Times New Roman"/>
                      <w:color w:val="auto"/>
                      <w:sz w:val="21"/>
                      <w:szCs w:val="21"/>
                    </w:rPr>
                    <w:t>″，</w:t>
                  </w:r>
                </w:p>
                <w:p w14:paraId="2899B5A7">
                  <w:pPr>
                    <w:pStyle w:val="37"/>
                    <w:tabs>
                      <w:tab w:val="left" w:pos="4767"/>
                    </w:tabs>
                    <w:spacing w:line="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cr/>
                  </w:r>
                  <w:r>
                    <w:rPr>
                      <w:rFonts w:hint="default" w:ascii="Times New Roman" w:hAnsi="Times New Roman" w:cs="Times New Roman"/>
                      <w:color w:val="auto"/>
                      <w:sz w:val="21"/>
                      <w:szCs w:val="21"/>
                    </w:rPr>
                    <w:t>N：</w:t>
                  </w:r>
                  <w:r>
                    <w:rPr>
                      <w:rFonts w:hint="eastAsia" w:cs="Times New Roman"/>
                      <w:color w:val="auto"/>
                      <w:sz w:val="21"/>
                      <w:szCs w:val="21"/>
                      <w:lang w:val="en-US" w:eastAsia="zh-CN"/>
                    </w:rPr>
                    <w:t>37</w:t>
                  </w:r>
                  <w:r>
                    <w:rPr>
                      <w:rFonts w:hint="default" w:ascii="Times New Roman" w:hAnsi="Times New Roman" w:cs="Times New Roman"/>
                      <w:color w:val="auto"/>
                      <w:sz w:val="21"/>
                      <w:szCs w:val="21"/>
                    </w:rPr>
                    <w:t>°</w:t>
                  </w:r>
                  <w:r>
                    <w:rPr>
                      <w:rFonts w:hint="eastAsia" w:cs="Times New Roman"/>
                      <w:color w:val="auto"/>
                      <w:sz w:val="21"/>
                      <w:szCs w:val="21"/>
                      <w:lang w:val="en-US" w:eastAsia="zh-CN"/>
                    </w:rPr>
                    <w:t>27</w:t>
                  </w:r>
                  <w:r>
                    <w:rPr>
                      <w:rFonts w:hint="default" w:ascii="Times New Roman" w:hAnsi="Times New Roman" w:cs="Times New Roman"/>
                      <w:color w:val="auto"/>
                      <w:sz w:val="21"/>
                      <w:szCs w:val="21"/>
                    </w:rPr>
                    <w:t>′</w:t>
                  </w:r>
                  <w:r>
                    <w:rPr>
                      <w:rFonts w:hint="eastAsia" w:cs="Times New Roman"/>
                      <w:color w:val="auto"/>
                      <w:sz w:val="21"/>
                      <w:szCs w:val="21"/>
                      <w:lang w:val="en-US" w:eastAsia="zh-CN"/>
                    </w:rPr>
                    <w:t>53.999</w:t>
                  </w:r>
                  <w:r>
                    <w:rPr>
                      <w:rFonts w:hint="default" w:ascii="Times New Roman" w:hAnsi="Times New Roman" w:cs="Times New Roman"/>
                      <w:color w:val="auto"/>
                      <w:sz w:val="21"/>
                      <w:szCs w:val="21"/>
                    </w:rPr>
                    <w:t>″</w:t>
                  </w:r>
                </w:p>
              </w:tc>
              <w:tc>
                <w:tcPr>
                  <w:tcW w:w="1357" w:type="pct"/>
                  <w:vAlign w:val="center"/>
                </w:tcPr>
                <w:p w14:paraId="2BDA7D8B">
                  <w:pPr>
                    <w:pStyle w:val="37"/>
                    <w:tabs>
                      <w:tab w:val="left" w:pos="4767"/>
                    </w:tabs>
                    <w:spacing w:line="0" w:lineRule="atLeast"/>
                    <w:ind w:firstLine="0" w:firstLineChars="0"/>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TSP</w:t>
                  </w:r>
                  <w:r>
                    <w:rPr>
                      <w:rFonts w:hint="eastAsia" w:cs="Times New Roman"/>
                      <w:color w:val="auto"/>
                      <w:sz w:val="21"/>
                      <w:szCs w:val="21"/>
                      <w:lang w:eastAsia="zh-CN"/>
                    </w:rPr>
                    <w:t>、</w:t>
                  </w:r>
                  <w:r>
                    <w:rPr>
                      <w:rFonts w:hint="eastAsia" w:cs="Times New Roman"/>
                      <w:color w:val="auto"/>
                      <w:sz w:val="21"/>
                      <w:szCs w:val="21"/>
                      <w:lang w:val="en-US" w:eastAsia="zh-CN"/>
                    </w:rPr>
                    <w:t>苯并[a]芘</w:t>
                  </w:r>
                </w:p>
              </w:tc>
            </w:tr>
          </w:tbl>
          <w:p w14:paraId="73B1CA6C">
            <w:pPr>
              <w:tabs>
                <w:tab w:val="left" w:pos="4767"/>
              </w:tabs>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drawing>
                <wp:inline distT="0" distB="0" distL="114300" distR="114300">
                  <wp:extent cx="5241290" cy="3887470"/>
                  <wp:effectExtent l="0" t="0" r="16510" b="17780"/>
                  <wp:docPr id="5" name="图片 5" descr="941db58c0d10b714a65f7865b69cf3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41db58c0d10b714a65f7865b69cf34a"/>
                          <pic:cNvPicPr>
                            <a:picLocks noChangeAspect="1"/>
                          </pic:cNvPicPr>
                        </pic:nvPicPr>
                        <pic:blipFill>
                          <a:blip r:embed="rId15"/>
                          <a:stretch>
                            <a:fillRect/>
                          </a:stretch>
                        </pic:blipFill>
                        <pic:spPr>
                          <a:xfrm>
                            <a:off x="0" y="0"/>
                            <a:ext cx="5241290" cy="3887470"/>
                          </a:xfrm>
                          <a:prstGeom prst="rect">
                            <a:avLst/>
                          </a:prstGeom>
                        </pic:spPr>
                      </pic:pic>
                    </a:graphicData>
                  </a:graphic>
                </wp:inline>
              </w:drawing>
            </w:r>
          </w:p>
          <w:p w14:paraId="06AF91E4">
            <w:pPr>
              <w:tabs>
                <w:tab w:val="left" w:pos="4767"/>
              </w:tabs>
              <w:jc w:val="center"/>
              <w:rPr>
                <w:rFonts w:hint="default" w:ascii="Times New Roman" w:hAnsi="Times New Roman" w:cs="Times New Roman"/>
                <w:color w:val="auto"/>
                <w:sz w:val="24"/>
              </w:rPr>
            </w:pPr>
            <w:r>
              <w:rPr>
                <w:rFonts w:hint="default" w:ascii="Times New Roman" w:hAnsi="Times New Roman" w:eastAsia="黑体" w:cs="Times New Roman"/>
                <w:color w:val="auto"/>
                <w:sz w:val="24"/>
              </w:rPr>
              <w:t>图3-1  监测点位图</w:t>
            </w:r>
          </w:p>
          <w:p w14:paraId="187C86A9">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②监测结果统计</w:t>
            </w:r>
          </w:p>
          <w:p w14:paraId="7C46C906">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环境空气质量现状监测结果统计见表3-3。</w:t>
            </w:r>
          </w:p>
          <w:p w14:paraId="429ADDE5">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表3-3   环境空气监测结果一览表  单位：μg/m³</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061"/>
              <w:gridCol w:w="2497"/>
              <w:gridCol w:w="1627"/>
            </w:tblGrid>
            <w:tr w14:paraId="48FC82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87" w:type="dxa"/>
                  <w:vAlign w:val="center"/>
                </w:tcPr>
                <w:p w14:paraId="4A3F77A0">
                  <w:pPr>
                    <w:pStyle w:val="17"/>
                    <w:tabs>
                      <w:tab w:val="left" w:pos="4767"/>
                    </w:tabs>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pacing w:val="-20"/>
                      <w:sz w:val="21"/>
                      <w:szCs w:val="21"/>
                    </w:rPr>
                    <w:t>项目</w:t>
                  </w:r>
                </w:p>
              </w:tc>
              <w:tc>
                <w:tcPr>
                  <w:tcW w:w="2055" w:type="dxa"/>
                  <w:vAlign w:val="center"/>
                </w:tcPr>
                <w:p w14:paraId="7FDD225E">
                  <w:pPr>
                    <w:pStyle w:val="17"/>
                    <w:tabs>
                      <w:tab w:val="left" w:pos="4767"/>
                    </w:tabs>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pacing w:val="-20"/>
                      <w:sz w:val="21"/>
                      <w:szCs w:val="21"/>
                    </w:rPr>
                    <w:t>标准值</w:t>
                  </w:r>
                </w:p>
              </w:tc>
              <w:tc>
                <w:tcPr>
                  <w:tcW w:w="2490" w:type="dxa"/>
                  <w:vAlign w:val="center"/>
                </w:tcPr>
                <w:p w14:paraId="617C69E8">
                  <w:pPr>
                    <w:pStyle w:val="17"/>
                    <w:tabs>
                      <w:tab w:val="left" w:pos="4767"/>
                    </w:tabs>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pacing w:val="-20"/>
                      <w:sz w:val="21"/>
                      <w:szCs w:val="21"/>
                    </w:rPr>
                    <w:t>监测浓度范围</w:t>
                  </w:r>
                </w:p>
              </w:tc>
              <w:tc>
                <w:tcPr>
                  <w:tcW w:w="1622" w:type="dxa"/>
                  <w:vAlign w:val="center"/>
                </w:tcPr>
                <w:p w14:paraId="7CF7C990">
                  <w:pPr>
                    <w:pStyle w:val="17"/>
                    <w:tabs>
                      <w:tab w:val="left" w:pos="4767"/>
                    </w:tabs>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pacing w:val="-20"/>
                      <w:sz w:val="21"/>
                      <w:szCs w:val="21"/>
                    </w:rPr>
                    <w:t>达标情况</w:t>
                  </w:r>
                </w:p>
              </w:tc>
            </w:tr>
            <w:tr w14:paraId="1AA1D3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87" w:type="dxa"/>
                  <w:vAlign w:val="center"/>
                </w:tcPr>
                <w:p w14:paraId="1A3335D0">
                  <w:pPr>
                    <w:widowControl/>
                    <w:tabs>
                      <w:tab w:val="left" w:pos="4767"/>
                    </w:tabs>
                    <w:kinsoku w:val="0"/>
                    <w:autoSpaceDE w:val="0"/>
                    <w:autoSpaceDN w:val="0"/>
                    <w:adjustRightInd w:val="0"/>
                    <w:snapToGrid w:val="0"/>
                    <w:jc w:val="center"/>
                    <w:textAlignment w:val="baseline"/>
                    <w:rPr>
                      <w:rFonts w:hint="default" w:ascii="Times New Roman" w:hAnsi="Times New Roman" w:cs="Times New Roman"/>
                      <w:color w:val="auto"/>
                      <w:szCs w:val="21"/>
                    </w:rPr>
                  </w:pPr>
                  <w:r>
                    <w:rPr>
                      <w:rFonts w:hint="default" w:ascii="Times New Roman" w:hAnsi="Times New Roman" w:cs="Times New Roman"/>
                      <w:color w:val="auto"/>
                      <w:spacing w:val="-20"/>
                      <w:szCs w:val="21"/>
                    </w:rPr>
                    <w:t>颗粒物</w:t>
                  </w:r>
                </w:p>
              </w:tc>
              <w:tc>
                <w:tcPr>
                  <w:tcW w:w="2055" w:type="dxa"/>
                  <w:vAlign w:val="center"/>
                </w:tcPr>
                <w:p w14:paraId="39A434A5">
                  <w:pPr>
                    <w:widowControl/>
                    <w:tabs>
                      <w:tab w:val="left" w:pos="4767"/>
                    </w:tabs>
                    <w:kinsoku w:val="0"/>
                    <w:autoSpaceDE w:val="0"/>
                    <w:autoSpaceDN w:val="0"/>
                    <w:adjustRightInd w:val="0"/>
                    <w:snapToGrid w:val="0"/>
                    <w:jc w:val="center"/>
                    <w:textAlignment w:val="baseline"/>
                    <w:rPr>
                      <w:rFonts w:hint="default" w:ascii="Times New Roman" w:hAnsi="Times New Roman" w:cs="Times New Roman"/>
                      <w:color w:val="auto"/>
                      <w:szCs w:val="21"/>
                    </w:rPr>
                  </w:pPr>
                  <w:r>
                    <w:rPr>
                      <w:rFonts w:hint="default" w:ascii="Times New Roman" w:hAnsi="Times New Roman" w:cs="Times New Roman"/>
                      <w:color w:val="auto"/>
                      <w:spacing w:val="-20"/>
                      <w:szCs w:val="21"/>
                    </w:rPr>
                    <w:t>300</w:t>
                  </w:r>
                </w:p>
              </w:tc>
              <w:tc>
                <w:tcPr>
                  <w:tcW w:w="2490" w:type="dxa"/>
                  <w:vAlign w:val="center"/>
                </w:tcPr>
                <w:p w14:paraId="6B846DBD">
                  <w:pPr>
                    <w:widowControl/>
                    <w:tabs>
                      <w:tab w:val="left" w:pos="4767"/>
                    </w:tabs>
                    <w:kinsoku w:val="0"/>
                    <w:autoSpaceDE w:val="0"/>
                    <w:autoSpaceDN w:val="0"/>
                    <w:adjustRightInd w:val="0"/>
                    <w:snapToGrid w:val="0"/>
                    <w:jc w:val="center"/>
                    <w:textAlignment w:val="baseline"/>
                    <w:rPr>
                      <w:rFonts w:hint="default" w:ascii="Times New Roman" w:hAnsi="Times New Roman" w:eastAsia="宋体" w:cs="Times New Roman"/>
                      <w:color w:val="auto"/>
                      <w:szCs w:val="21"/>
                      <w:lang w:val="en-US" w:eastAsia="zh-CN"/>
                    </w:rPr>
                  </w:pPr>
                  <w:r>
                    <w:rPr>
                      <w:rFonts w:hint="eastAsia" w:cs="Times New Roman"/>
                      <w:color w:val="auto"/>
                      <w:spacing w:val="-20"/>
                      <w:szCs w:val="21"/>
                      <w:lang w:val="en-US" w:eastAsia="zh-CN"/>
                    </w:rPr>
                    <w:t>129</w:t>
                  </w:r>
                  <w:r>
                    <w:rPr>
                      <w:rFonts w:hint="default" w:ascii="Times New Roman" w:hAnsi="Times New Roman" w:cs="Times New Roman"/>
                      <w:color w:val="auto"/>
                      <w:spacing w:val="-20"/>
                      <w:szCs w:val="21"/>
                    </w:rPr>
                    <w:t>~1</w:t>
                  </w:r>
                  <w:r>
                    <w:rPr>
                      <w:rFonts w:hint="eastAsia" w:cs="Times New Roman"/>
                      <w:color w:val="auto"/>
                      <w:spacing w:val="-20"/>
                      <w:szCs w:val="21"/>
                      <w:lang w:val="en-US" w:eastAsia="zh-CN"/>
                    </w:rPr>
                    <w:t>37</w:t>
                  </w:r>
                </w:p>
              </w:tc>
              <w:tc>
                <w:tcPr>
                  <w:tcW w:w="1622" w:type="dxa"/>
                  <w:vAlign w:val="center"/>
                </w:tcPr>
                <w:p w14:paraId="5272D6A8">
                  <w:pPr>
                    <w:widowControl/>
                    <w:tabs>
                      <w:tab w:val="left" w:pos="4767"/>
                    </w:tabs>
                    <w:kinsoku w:val="0"/>
                    <w:autoSpaceDE w:val="0"/>
                    <w:autoSpaceDN w:val="0"/>
                    <w:adjustRightInd w:val="0"/>
                    <w:snapToGrid w:val="0"/>
                    <w:jc w:val="center"/>
                    <w:textAlignment w:val="baseline"/>
                    <w:rPr>
                      <w:rFonts w:hint="default" w:ascii="Times New Roman" w:hAnsi="Times New Roman" w:cs="Times New Roman"/>
                      <w:color w:val="auto"/>
                      <w:szCs w:val="21"/>
                    </w:rPr>
                  </w:pPr>
                  <w:r>
                    <w:rPr>
                      <w:rFonts w:hint="default" w:ascii="Times New Roman" w:hAnsi="Times New Roman" w:cs="Times New Roman"/>
                      <w:color w:val="auto"/>
                      <w:spacing w:val="-20"/>
                      <w:szCs w:val="21"/>
                    </w:rPr>
                    <w:t>达标</w:t>
                  </w:r>
                </w:p>
              </w:tc>
            </w:tr>
            <w:tr w14:paraId="4A23B5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87" w:type="dxa"/>
                  <w:vAlign w:val="center"/>
                </w:tcPr>
                <w:p w14:paraId="262B5CCD">
                  <w:pPr>
                    <w:widowControl/>
                    <w:tabs>
                      <w:tab w:val="left" w:pos="4767"/>
                    </w:tabs>
                    <w:kinsoku w:val="0"/>
                    <w:autoSpaceDE w:val="0"/>
                    <w:autoSpaceDN w:val="0"/>
                    <w:adjustRightInd w:val="0"/>
                    <w:snapToGrid w:val="0"/>
                    <w:jc w:val="center"/>
                    <w:textAlignment w:val="baseline"/>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lang w:val="en-US" w:eastAsia="zh-CN"/>
                    </w:rPr>
                    <w:t>苯并[a]芘</w:t>
                  </w:r>
                </w:p>
              </w:tc>
              <w:tc>
                <w:tcPr>
                  <w:tcW w:w="2055" w:type="dxa"/>
                  <w:vAlign w:val="center"/>
                </w:tcPr>
                <w:p w14:paraId="59781C8F">
                  <w:pPr>
                    <w:widowControl/>
                    <w:tabs>
                      <w:tab w:val="left" w:pos="4767"/>
                    </w:tabs>
                    <w:kinsoku w:val="0"/>
                    <w:autoSpaceDE w:val="0"/>
                    <w:autoSpaceDN w:val="0"/>
                    <w:adjustRightInd w:val="0"/>
                    <w:snapToGrid w:val="0"/>
                    <w:jc w:val="center"/>
                    <w:textAlignment w:val="baseline"/>
                    <w:rPr>
                      <w:rFonts w:hint="default" w:ascii="Times New Roman" w:hAnsi="Times New Roman" w:eastAsia="宋体" w:cs="Times New Roman"/>
                      <w:color w:val="auto"/>
                      <w:spacing w:val="-20"/>
                      <w:szCs w:val="21"/>
                      <w:lang w:val="en-US" w:eastAsia="zh-CN"/>
                    </w:rPr>
                  </w:pPr>
                  <w:r>
                    <w:rPr>
                      <w:rFonts w:hint="eastAsia" w:cs="Times New Roman"/>
                      <w:color w:val="auto"/>
                      <w:spacing w:val="-20"/>
                      <w:szCs w:val="21"/>
                      <w:lang w:val="en-US" w:eastAsia="zh-CN"/>
                    </w:rPr>
                    <w:t>0.0025</w:t>
                  </w:r>
                </w:p>
              </w:tc>
              <w:tc>
                <w:tcPr>
                  <w:tcW w:w="2490" w:type="dxa"/>
                  <w:vAlign w:val="center"/>
                </w:tcPr>
                <w:p w14:paraId="6F4F987D">
                  <w:pPr>
                    <w:widowControl/>
                    <w:tabs>
                      <w:tab w:val="left" w:pos="4767"/>
                    </w:tabs>
                    <w:kinsoku w:val="0"/>
                    <w:autoSpaceDE w:val="0"/>
                    <w:autoSpaceDN w:val="0"/>
                    <w:adjustRightInd w:val="0"/>
                    <w:snapToGrid w:val="0"/>
                    <w:jc w:val="center"/>
                    <w:textAlignment w:val="baseline"/>
                    <w:rPr>
                      <w:rFonts w:hint="default" w:ascii="Times New Roman" w:hAnsi="Times New Roman" w:eastAsia="宋体" w:cs="Times New Roman"/>
                      <w:color w:val="auto"/>
                      <w:spacing w:val="-20"/>
                      <w:szCs w:val="21"/>
                      <w:lang w:val="en-US" w:eastAsia="zh-CN"/>
                    </w:rPr>
                  </w:pPr>
                  <w:r>
                    <w:rPr>
                      <w:rFonts w:hint="eastAsia" w:cs="Times New Roman"/>
                      <w:color w:val="auto"/>
                      <w:spacing w:val="-20"/>
                      <w:szCs w:val="21"/>
                      <w:lang w:val="en-US" w:eastAsia="zh-CN"/>
                    </w:rPr>
                    <w:t>ND</w:t>
                  </w:r>
                </w:p>
              </w:tc>
              <w:tc>
                <w:tcPr>
                  <w:tcW w:w="1622" w:type="dxa"/>
                  <w:vAlign w:val="center"/>
                </w:tcPr>
                <w:p w14:paraId="14A9BD07">
                  <w:pPr>
                    <w:widowControl/>
                    <w:tabs>
                      <w:tab w:val="left" w:pos="4767"/>
                    </w:tabs>
                    <w:kinsoku w:val="0"/>
                    <w:autoSpaceDE w:val="0"/>
                    <w:autoSpaceDN w:val="0"/>
                    <w:adjustRightInd w:val="0"/>
                    <w:snapToGrid w:val="0"/>
                    <w:jc w:val="center"/>
                    <w:textAlignment w:val="baseline"/>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达标</w:t>
                  </w:r>
                </w:p>
              </w:tc>
            </w:tr>
          </w:tbl>
          <w:p w14:paraId="4D3DD756">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由上表监测结果可知，TSP</w:t>
            </w:r>
            <w:r>
              <w:rPr>
                <w:rFonts w:hint="default" w:ascii="Times New Roman" w:hAnsi="Times New Roman" w:cs="Times New Roman"/>
                <w:color w:val="auto"/>
                <w:sz w:val="24"/>
                <w:lang w:val="en-US" w:eastAsia="zh-CN"/>
              </w:rPr>
              <w:t>和苯并[a]芘</w:t>
            </w:r>
            <w:r>
              <w:rPr>
                <w:rFonts w:hint="default" w:ascii="Times New Roman" w:hAnsi="Times New Roman" w:cs="Times New Roman"/>
                <w:color w:val="auto"/>
                <w:sz w:val="24"/>
              </w:rPr>
              <w:t>的24小时平均浓度满足《环境空气质量标准》（GB</w:t>
            </w:r>
            <w:r>
              <w:rPr>
                <w:rFonts w:hint="eastAsia" w:cs="Times New Roman"/>
                <w:color w:val="auto"/>
                <w:sz w:val="24"/>
                <w:lang w:val="en-US" w:eastAsia="zh-CN"/>
              </w:rPr>
              <w:t xml:space="preserve"> </w:t>
            </w:r>
            <w:r>
              <w:rPr>
                <w:rFonts w:hint="default" w:ascii="Times New Roman" w:hAnsi="Times New Roman" w:cs="Times New Roman"/>
                <w:color w:val="auto"/>
                <w:sz w:val="24"/>
              </w:rPr>
              <w:t>3095-20</w:t>
            </w:r>
            <w:r>
              <w:rPr>
                <w:rFonts w:hint="eastAsia" w:cs="Times New Roman"/>
                <w:color w:val="auto"/>
                <w:sz w:val="24"/>
                <w:lang w:val="en-US" w:eastAsia="zh-CN"/>
              </w:rPr>
              <w:t>26</w:t>
            </w:r>
            <w:r>
              <w:rPr>
                <w:rFonts w:hint="default" w:ascii="Times New Roman" w:hAnsi="Times New Roman" w:cs="Times New Roman"/>
                <w:color w:val="auto"/>
                <w:sz w:val="24"/>
              </w:rPr>
              <w:t>）二级标准要求。</w:t>
            </w:r>
          </w:p>
          <w:p w14:paraId="587AD588">
            <w:pPr>
              <w:tabs>
                <w:tab w:val="left" w:pos="4767"/>
              </w:tabs>
              <w:adjustRightInd w:val="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2、地表水环境质量现状</w:t>
            </w:r>
          </w:p>
          <w:p w14:paraId="7B5EB3B2">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本项目厂址周边地表水体主要为黄河（N，0.7km）</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为了解项目所在区域地表水环境质量现状，本次地表水环境质量现状评价采用《2024年宁夏生态环境质量状况》中黄河中卫段（中卫下河沿断面）监测数据进行现状评价，其水质满足《地表水环境质量标准》Ⅱ类标准。</w:t>
            </w:r>
          </w:p>
          <w:p w14:paraId="7B20A614">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（1）监测断面设置</w:t>
            </w:r>
          </w:p>
          <w:p w14:paraId="2ED46B95">
            <w:pPr>
              <w:tabs>
                <w:tab w:val="left" w:pos="4767"/>
              </w:tabs>
              <w:ind w:firstLine="514"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监测断面为黄河中卫段（中卫下河沿断面），断面布设见表</w:t>
            </w:r>
            <w:r>
              <w:rPr>
                <w:rFonts w:hint="default" w:ascii="Times New Roman" w:hAnsi="Times New Roman" w:cs="Times New Roman"/>
                <w:color w:val="auto"/>
                <w:sz w:val="24"/>
                <w:lang w:val="en-US" w:eastAsia="zh-CN"/>
              </w:rPr>
              <w:t>3-</w:t>
            </w:r>
            <w:r>
              <w:rPr>
                <w:rFonts w:hint="eastAsia" w:ascii="Times New Roman" w:hAnsi="Times New Roman" w:cs="Times New Roman"/>
                <w:color w:val="auto"/>
                <w:sz w:val="24"/>
                <w:lang w:val="en-US" w:eastAsia="zh-CN"/>
              </w:rPr>
              <w:t>4</w:t>
            </w:r>
            <w:r>
              <w:rPr>
                <w:rFonts w:hint="default" w:ascii="Times New Roman" w:hAnsi="Times New Roman" w:eastAsia="宋体" w:cs="Times New Roman"/>
                <w:color w:val="auto"/>
                <w:sz w:val="24"/>
                <w:lang w:val="en-US" w:eastAsia="zh-CN"/>
              </w:rPr>
              <w:t>。</w:t>
            </w:r>
          </w:p>
          <w:p w14:paraId="2DACD11A">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w:t>
            </w:r>
            <w:r>
              <w:rPr>
                <w:rFonts w:hint="default" w:ascii="Times New Roman" w:hAnsi="Times New Roman" w:eastAsia="黑体" w:cs="Times New Roman"/>
                <w:color w:val="auto"/>
                <w:sz w:val="24"/>
                <w:lang w:val="en-US" w:eastAsia="zh-CN"/>
              </w:rPr>
              <w:t>3-</w:t>
            </w:r>
            <w:r>
              <w:rPr>
                <w:rFonts w:hint="eastAsia" w:ascii="Times New Roman" w:hAnsi="Times New Roman" w:eastAsia="黑体" w:cs="Times New Roman"/>
                <w:color w:val="auto"/>
                <w:sz w:val="24"/>
                <w:lang w:val="en-US" w:eastAsia="zh-CN"/>
              </w:rPr>
              <w:t>4</w:t>
            </w:r>
            <w:r>
              <w:rPr>
                <w:rFonts w:hint="default" w:ascii="Times New Roman" w:hAnsi="Times New Roman" w:eastAsia="黑体" w:cs="Times New Roman"/>
                <w:color w:val="auto"/>
                <w:sz w:val="24"/>
              </w:rPr>
              <w:t xml:space="preserve">  地表水质监测断面一览表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1424"/>
              <w:gridCol w:w="2106"/>
              <w:gridCol w:w="1762"/>
              <w:gridCol w:w="1789"/>
            </w:tblGrid>
            <w:tr w14:paraId="1825F7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vAlign w:val="center"/>
                </w:tcPr>
                <w:p w14:paraId="5EA44127">
                  <w:pPr>
                    <w:pStyle w:val="37"/>
                    <w:tabs>
                      <w:tab w:val="left" w:pos="4767"/>
                    </w:tabs>
                    <w:spacing w:line="0" w:lineRule="atLeas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城市</w:t>
                  </w:r>
                </w:p>
              </w:tc>
              <w:tc>
                <w:tcPr>
                  <w:tcW w:w="860" w:type="pct"/>
                  <w:vAlign w:val="center"/>
                </w:tcPr>
                <w:p w14:paraId="2CEC87C1">
                  <w:pPr>
                    <w:pStyle w:val="37"/>
                    <w:tabs>
                      <w:tab w:val="left" w:pos="4767"/>
                    </w:tabs>
                    <w:spacing w:line="0" w:lineRule="atLeas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水体名称</w:t>
                  </w:r>
                </w:p>
              </w:tc>
              <w:tc>
                <w:tcPr>
                  <w:tcW w:w="1272" w:type="pct"/>
                  <w:vAlign w:val="center"/>
                </w:tcPr>
                <w:p w14:paraId="1517BFB5">
                  <w:pPr>
                    <w:pStyle w:val="37"/>
                    <w:tabs>
                      <w:tab w:val="left" w:pos="4767"/>
                    </w:tabs>
                    <w:spacing w:line="0" w:lineRule="atLeas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断面名称</w:t>
                  </w:r>
                </w:p>
              </w:tc>
              <w:tc>
                <w:tcPr>
                  <w:tcW w:w="1064" w:type="pct"/>
                  <w:vAlign w:val="center"/>
                </w:tcPr>
                <w:p w14:paraId="3A3ED49A">
                  <w:pPr>
                    <w:pStyle w:val="37"/>
                    <w:tabs>
                      <w:tab w:val="left" w:pos="4767"/>
                    </w:tabs>
                    <w:spacing w:line="0" w:lineRule="atLeas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断面属性</w:t>
                  </w:r>
                </w:p>
              </w:tc>
              <w:tc>
                <w:tcPr>
                  <w:tcW w:w="1080" w:type="pct"/>
                  <w:vAlign w:val="center"/>
                </w:tcPr>
                <w:p w14:paraId="173E5AF6">
                  <w:pPr>
                    <w:pStyle w:val="37"/>
                    <w:tabs>
                      <w:tab w:val="left" w:pos="4767"/>
                    </w:tabs>
                    <w:spacing w:line="0" w:lineRule="atLeas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考核目标</w:t>
                  </w:r>
                </w:p>
              </w:tc>
            </w:tr>
            <w:tr w14:paraId="0EAB44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pct"/>
                  <w:vAlign w:val="center"/>
                </w:tcPr>
                <w:p w14:paraId="70E2D98C">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中卫</w:t>
                  </w:r>
                </w:p>
              </w:tc>
              <w:tc>
                <w:tcPr>
                  <w:tcW w:w="860" w:type="pct"/>
                  <w:vAlign w:val="center"/>
                </w:tcPr>
                <w:p w14:paraId="701FF536">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黄河</w:t>
                  </w:r>
                </w:p>
              </w:tc>
              <w:tc>
                <w:tcPr>
                  <w:tcW w:w="1272" w:type="pct"/>
                  <w:vAlign w:val="center"/>
                </w:tcPr>
                <w:p w14:paraId="623BB650">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中卫下河沿</w:t>
                  </w:r>
                </w:p>
              </w:tc>
              <w:tc>
                <w:tcPr>
                  <w:tcW w:w="1064" w:type="pct"/>
                  <w:vAlign w:val="center"/>
                </w:tcPr>
                <w:p w14:paraId="3102DEC3">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国</w:t>
                  </w:r>
                  <w:r>
                    <w:rPr>
                      <w:rFonts w:hint="default" w:ascii="Times New Roman" w:hAnsi="Times New Roman" w:eastAsia="宋体" w:cs="Times New Roman"/>
                      <w:color w:val="auto"/>
                      <w:sz w:val="21"/>
                      <w:szCs w:val="21"/>
                    </w:rPr>
                    <w:t>控</w:t>
                  </w:r>
                </w:p>
              </w:tc>
              <w:tc>
                <w:tcPr>
                  <w:tcW w:w="1080" w:type="pct"/>
                  <w:vAlign w:val="center"/>
                </w:tcPr>
                <w:p w14:paraId="1052C517">
                  <w:pPr>
                    <w:pStyle w:val="37"/>
                    <w:tabs>
                      <w:tab w:val="left" w:pos="4767"/>
                    </w:tabs>
                    <w:spacing w:line="0" w:lineRule="atLeas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Ⅱ类</w:t>
                  </w:r>
                </w:p>
              </w:tc>
            </w:tr>
          </w:tbl>
          <w:p w14:paraId="20EB235C">
            <w:pPr>
              <w:tabs>
                <w:tab w:val="left" w:pos="4767"/>
              </w:tabs>
              <w:ind w:firstLine="514"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（2）评价结果</w:t>
            </w:r>
          </w:p>
          <w:p w14:paraId="1C2011F6">
            <w:pPr>
              <w:tabs>
                <w:tab w:val="left" w:pos="4767"/>
              </w:tabs>
              <w:ind w:firstLine="514" w:firstLineChars="200"/>
              <w:rPr>
                <w:rFonts w:hint="default" w:ascii="Times New Roman" w:hAnsi="Times New Roman" w:cs="Times New Roman"/>
                <w:color w:val="auto"/>
                <w:sz w:val="24"/>
              </w:rPr>
            </w:pPr>
            <w:r>
              <w:rPr>
                <w:rFonts w:hint="default" w:ascii="Times New Roman" w:hAnsi="Times New Roman" w:eastAsia="宋体" w:cs="Times New Roman"/>
                <w:color w:val="auto"/>
                <w:sz w:val="24"/>
                <w:lang w:val="en-US" w:eastAsia="zh-CN"/>
              </w:rPr>
              <w:t>根据《202</w:t>
            </w:r>
            <w:r>
              <w:rPr>
                <w:rFonts w:hint="default" w:ascii="Times New Roman" w:hAnsi="Times New Roman" w:cs="Times New Roman"/>
                <w:color w:val="auto"/>
                <w:sz w:val="24"/>
                <w:lang w:val="en-US" w:eastAsia="zh-CN"/>
              </w:rPr>
              <w:t>3</w:t>
            </w:r>
            <w:r>
              <w:rPr>
                <w:rFonts w:hint="default" w:ascii="Times New Roman" w:hAnsi="Times New Roman" w:eastAsia="宋体" w:cs="Times New Roman"/>
                <w:color w:val="auto"/>
                <w:sz w:val="24"/>
                <w:lang w:val="en-US" w:eastAsia="zh-CN"/>
              </w:rPr>
              <w:t>年宁夏生态环境质量状况》中</w:t>
            </w:r>
            <w:r>
              <w:rPr>
                <w:rFonts w:hint="default" w:ascii="Times New Roman" w:hAnsi="Times New Roman" w:cs="Times New Roman"/>
                <w:color w:val="auto"/>
                <w:sz w:val="24"/>
                <w:lang w:val="en-US" w:eastAsia="zh-CN"/>
              </w:rPr>
              <w:t>对黄河中卫段（中卫下河沿断面）</w:t>
            </w:r>
            <w:r>
              <w:rPr>
                <w:rFonts w:hint="default" w:ascii="Times New Roman" w:hAnsi="Times New Roman" w:eastAsia="宋体" w:cs="Times New Roman"/>
                <w:color w:val="auto"/>
                <w:sz w:val="24"/>
                <w:lang w:val="en-US" w:eastAsia="zh-CN"/>
              </w:rPr>
              <w:t>水质评价结果，考核目标为</w:t>
            </w:r>
            <w:r>
              <w:rPr>
                <w:rFonts w:hint="default" w:ascii="Times New Roman" w:hAnsi="Times New Roman" w:cs="Times New Roman"/>
                <w:color w:val="auto"/>
                <w:sz w:val="24"/>
                <w:lang w:val="en-US" w:eastAsia="zh-CN"/>
              </w:rPr>
              <w:t>Ⅱ类</w:t>
            </w: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lang w:val="en-US" w:eastAsia="zh-CN"/>
              </w:rPr>
              <w:t>与上年相比，水质无明显变化，</w:t>
            </w:r>
            <w:r>
              <w:rPr>
                <w:rFonts w:hint="default" w:ascii="Times New Roman" w:hAnsi="Times New Roman" w:eastAsia="宋体" w:cs="Times New Roman"/>
                <w:color w:val="auto"/>
                <w:sz w:val="24"/>
                <w:lang w:val="en-US" w:eastAsia="zh-CN"/>
              </w:rPr>
              <w:t>其水质满足《地表水环境质量标准》Ⅱ类标准。</w:t>
            </w:r>
          </w:p>
          <w:p w14:paraId="7E41CA13">
            <w:pPr>
              <w:tabs>
                <w:tab w:val="left" w:pos="4767"/>
              </w:tabs>
              <w:adjustRightInd w:val="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3、声环境质量现状</w:t>
            </w:r>
          </w:p>
          <w:p w14:paraId="3CF23483">
            <w:pPr>
              <w:tabs>
                <w:tab w:val="left" w:pos="4767"/>
              </w:tabs>
              <w:ind w:firstLine="514" w:firstLineChars="200"/>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根据《建设项目环境影响报告表编制技术指南》（污染影响类）（试行），“厂界外周边50m范围内存在声环境保护目标的建设项目，应监测保护目标声环境质量现状并评价达标情况”。本项目周边50m范围内无声环境保护目标，因此本次评价不再进行声环境质量现状监测。</w:t>
            </w:r>
          </w:p>
          <w:p w14:paraId="32D557F0">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4、生态环境质量现状</w:t>
            </w:r>
          </w:p>
          <w:p w14:paraId="3D9B5D91">
            <w:pPr>
              <w:tabs>
                <w:tab w:val="left" w:pos="4767"/>
              </w:tabs>
              <w:ind w:firstLine="514" w:firstLineChars="200"/>
              <w:rPr>
                <w:rFonts w:hint="default" w:ascii="Times New Roman" w:hAnsi="Times New Roman" w:cs="Times New Roman"/>
                <w:color w:val="auto"/>
                <w:kern w:val="0"/>
                <w:sz w:val="24"/>
                <w:szCs w:val="21"/>
              </w:rPr>
            </w:pPr>
            <w:r>
              <w:rPr>
                <w:rFonts w:hint="default" w:ascii="Times New Roman" w:hAnsi="Times New Roman" w:cs="Times New Roman"/>
                <w:color w:val="auto"/>
                <w:kern w:val="0"/>
                <w:sz w:val="24"/>
                <w:szCs w:val="21"/>
              </w:rPr>
              <w:t>根据《建设项目环境影响报告表编制技术指南》（污染影响类）（试行），“产业园区外建设项目新增用地且用地范围内含有生态环境保护目标时，应进行生态现状调查”。</w:t>
            </w:r>
            <w:r>
              <w:rPr>
                <w:rFonts w:hint="default" w:ascii="Times New Roman" w:hAnsi="Times New Roman" w:cs="Times New Roman"/>
                <w:color w:val="auto"/>
                <w:kern w:val="0"/>
                <w:sz w:val="24"/>
                <w:szCs w:val="21"/>
                <w:lang w:val="en-US" w:eastAsia="zh-CN"/>
              </w:rPr>
              <w:t>本项目占地范围内无生态环境保护目标，因此不进行生态现状调查。</w:t>
            </w:r>
          </w:p>
          <w:p w14:paraId="0C61532E">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5、地下水、土壤环境质量现状</w:t>
            </w:r>
          </w:p>
          <w:p w14:paraId="64D29E63">
            <w:pPr>
              <w:tabs>
                <w:tab w:val="left" w:pos="4767"/>
              </w:tabs>
              <w:ind w:firstLine="514" w:firstLineChars="200"/>
              <w:rPr>
                <w:rFonts w:hint="default" w:ascii="Times New Roman" w:hAnsi="Times New Roman" w:cs="Times New Roman"/>
                <w:color w:val="auto"/>
                <w:kern w:val="0"/>
                <w:sz w:val="24"/>
                <w:szCs w:val="21"/>
                <w:lang w:val="en-US" w:eastAsia="zh-CN"/>
              </w:rPr>
            </w:pPr>
            <w:r>
              <w:rPr>
                <w:rFonts w:hint="default" w:ascii="Times New Roman" w:hAnsi="Times New Roman" w:cs="Times New Roman"/>
                <w:color w:val="auto"/>
                <w:kern w:val="0"/>
                <w:sz w:val="24"/>
                <w:szCs w:val="21"/>
              </w:rPr>
              <w:t>根据《建设项目环境影响报告表编制技术指南》（污染影响类）（试行）要求：“原则上不开展环境质量现状调查。建设项目存在土壤、地下水环境污染途径的，应结合污染源、保护目标分布情况开展现状调查以留作背景值”。</w:t>
            </w:r>
            <w:r>
              <w:rPr>
                <w:rFonts w:hint="default" w:ascii="Times New Roman" w:hAnsi="Times New Roman" w:cs="Times New Roman"/>
                <w:color w:val="auto"/>
                <w:kern w:val="0"/>
                <w:sz w:val="24"/>
                <w:szCs w:val="21"/>
                <w:lang w:val="en-US" w:eastAsia="zh-CN"/>
              </w:rPr>
              <w:t>本项目在严格落实报告提出的防渗措施后，可有效阻隔对地下水及土壤的污染途径，对土壤、地下水的污染极小。根据现场勘查，本项目</w:t>
            </w:r>
            <w:r>
              <w:rPr>
                <w:rFonts w:hint="eastAsia" w:cs="Times New Roman"/>
                <w:color w:val="auto"/>
                <w:kern w:val="0"/>
                <w:sz w:val="24"/>
                <w:szCs w:val="21"/>
                <w:lang w:val="en-US" w:eastAsia="zh-CN"/>
              </w:rPr>
              <w:t>所在区域为迁出区，</w:t>
            </w:r>
            <w:r>
              <w:rPr>
                <w:rFonts w:hint="default" w:ascii="Times New Roman" w:hAnsi="Times New Roman" w:cs="Times New Roman"/>
                <w:color w:val="auto"/>
                <w:kern w:val="0"/>
                <w:sz w:val="24"/>
                <w:szCs w:val="21"/>
                <w:lang w:val="en-US" w:eastAsia="zh-CN"/>
              </w:rPr>
              <w:t>占地500m范围内无地下水、土壤环境保护目标，且厂界外200m范围内，无农田优先保护区，无土壤环境敏感目标。</w:t>
            </w:r>
          </w:p>
          <w:p w14:paraId="0CC0B47A">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kern w:val="0"/>
                <w:sz w:val="24"/>
                <w:szCs w:val="21"/>
                <w:lang w:val="en-US" w:eastAsia="zh-CN"/>
              </w:rPr>
              <w:t>综上，本项目无需对土壤和地下水开展环境质量现状调查。</w:t>
            </w:r>
          </w:p>
        </w:tc>
      </w:tr>
      <w:tr w14:paraId="5075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1CBF333">
            <w:pPr>
              <w:tabs>
                <w:tab w:val="left" w:pos="4767"/>
              </w:tabs>
              <w:spacing w:line="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环境保护目标</w:t>
            </w:r>
          </w:p>
        </w:tc>
        <w:tc>
          <w:tcPr>
            <w:tcW w:w="8473" w:type="dxa"/>
          </w:tcPr>
          <w:p w14:paraId="283DAA8B">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根据《建设项目环境影响报告表编制技术指南（污染影响类）（试行）》环境保护目标要求：</w:t>
            </w:r>
          </w:p>
          <w:p w14:paraId="7F68B20C">
            <w:pPr>
              <w:tabs>
                <w:tab w:val="left" w:pos="4767"/>
              </w:tabs>
              <w:ind w:firstLine="514" w:firstLineChars="200"/>
              <w:rPr>
                <w:rFonts w:hint="default" w:ascii="Times New Roman" w:hAnsi="Times New Roman" w:cs="Times New Roman"/>
                <w:color w:val="auto"/>
                <w:kern w:val="0"/>
                <w:sz w:val="24"/>
                <w:lang w:eastAsia="zh-CN"/>
              </w:rPr>
            </w:pPr>
            <w:r>
              <w:rPr>
                <w:rFonts w:hint="default" w:ascii="Times New Roman" w:hAnsi="Times New Roman" w:cs="Times New Roman"/>
                <w:color w:val="auto"/>
                <w:kern w:val="0"/>
                <w:sz w:val="24"/>
              </w:rPr>
              <w:t>（1）大气环境：根据《建设项目环境影响报告表编制技术指南》（污染影响类）（试行），大气环境须明确厂界外500m范围内的自然保护区、风景名胜区、居住区、文化区和农村地区中人群较集中的区域等保护目标的名称及与建设项目厂界位置的关系。根据现场勘查，厂界外500m范围内</w:t>
            </w:r>
            <w:r>
              <w:rPr>
                <w:rFonts w:hint="default" w:ascii="Times New Roman" w:hAnsi="Times New Roman" w:cs="Times New Roman"/>
                <w:color w:val="auto"/>
                <w:kern w:val="0"/>
                <w:sz w:val="24"/>
                <w:lang w:eastAsia="zh-CN"/>
              </w:rPr>
              <w:t>无自然保护区、风景名胜区、居住区、文化区和农村地区中人群较集中的区域等环境空气保护敏感目标。</w:t>
            </w:r>
          </w:p>
          <w:p w14:paraId="51D33091">
            <w:pPr>
              <w:tabs>
                <w:tab w:val="left" w:pos="4767"/>
              </w:tabs>
              <w:ind w:firstLine="514"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（2）声环境：本项目厂界外50米范围内无声环境保护目标。</w:t>
            </w:r>
          </w:p>
          <w:p w14:paraId="2DFAFE72">
            <w:pPr>
              <w:tabs>
                <w:tab w:val="left" w:pos="4767"/>
              </w:tabs>
              <w:ind w:firstLine="514"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（3）地下水环境：本项目厂界外500米范围内无地下水集中式饮用水水源和热水、矿泉水、温泉等特殊地下水资源。</w:t>
            </w:r>
          </w:p>
          <w:p w14:paraId="1100381B">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kern w:val="0"/>
                <w:sz w:val="24"/>
              </w:rPr>
              <w:t>（4）生态环境：本项目</w:t>
            </w:r>
            <w:r>
              <w:rPr>
                <w:rFonts w:hint="default" w:ascii="Times New Roman" w:hAnsi="Times New Roman" w:cs="Times New Roman"/>
                <w:color w:val="auto"/>
                <w:kern w:val="0"/>
                <w:sz w:val="24"/>
                <w:lang w:val="en-US" w:eastAsia="zh-CN"/>
              </w:rPr>
              <w:t>不新增用地</w:t>
            </w:r>
            <w:r>
              <w:rPr>
                <w:rFonts w:hint="default" w:ascii="Times New Roman" w:hAnsi="Times New Roman" w:cs="Times New Roman"/>
                <w:color w:val="auto"/>
                <w:kern w:val="0"/>
                <w:sz w:val="24"/>
              </w:rPr>
              <w:t>，不涉及生态保护目标。</w:t>
            </w:r>
          </w:p>
        </w:tc>
      </w:tr>
      <w:tr w14:paraId="6C19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54211C1">
            <w:pPr>
              <w:tabs>
                <w:tab w:val="left" w:pos="4767"/>
              </w:tabs>
              <w:spacing w:line="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污染物排放控制标准</w:t>
            </w:r>
          </w:p>
        </w:tc>
        <w:tc>
          <w:tcPr>
            <w:tcW w:w="8473" w:type="dxa"/>
          </w:tcPr>
          <w:p w14:paraId="42AFF593">
            <w:pPr>
              <w:tabs>
                <w:tab w:val="left" w:pos="4767"/>
              </w:tabs>
              <w:adjustRightInd w:val="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1、废气排放标准</w:t>
            </w:r>
          </w:p>
          <w:p w14:paraId="62158429">
            <w:pPr>
              <w:tabs>
                <w:tab w:val="left" w:pos="4767"/>
              </w:tabs>
              <w:ind w:firstLine="514"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施工期</w:t>
            </w:r>
          </w:p>
          <w:p w14:paraId="736CE7C9">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本项目施工期扬尘执行《大气污染物综合排放标准》（GB 16297-1996）表2中排放标准要求，具体标准值见表3-</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rPr>
              <w:t>。</w:t>
            </w:r>
          </w:p>
          <w:p w14:paraId="3404ECA0">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表3-</w:t>
            </w:r>
            <w:r>
              <w:rPr>
                <w:rFonts w:hint="eastAsia" w:ascii="Times New Roman" w:hAnsi="Times New Roman" w:eastAsia="黑体" w:cs="Times New Roman"/>
                <w:color w:val="auto"/>
                <w:sz w:val="24"/>
                <w:lang w:val="en-US" w:eastAsia="zh-CN"/>
              </w:rPr>
              <w:t>5</w:t>
            </w:r>
            <w:r>
              <w:rPr>
                <w:rFonts w:hint="default" w:ascii="Times New Roman" w:hAnsi="Times New Roman" w:eastAsia="黑体" w:cs="Times New Roman"/>
                <w:color w:val="auto"/>
                <w:sz w:val="24"/>
              </w:rPr>
              <w:t xml:space="preserve">  《大气污染物综合排放标准》（GB 16297-1996）</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522"/>
              <w:gridCol w:w="1703"/>
              <w:gridCol w:w="1653"/>
              <w:gridCol w:w="3402"/>
            </w:tblGrid>
            <w:tr w14:paraId="210247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919" w:type="pct"/>
                  <w:vAlign w:val="center"/>
                </w:tcPr>
                <w:p w14:paraId="3BF69177">
                  <w:pPr>
                    <w:tabs>
                      <w:tab w:val="left" w:pos="4767"/>
                    </w:tabs>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w:t>
                  </w:r>
                </w:p>
              </w:tc>
              <w:tc>
                <w:tcPr>
                  <w:tcW w:w="2026" w:type="pct"/>
                  <w:gridSpan w:val="2"/>
                  <w:vAlign w:val="center"/>
                </w:tcPr>
                <w:p w14:paraId="7D3745D0">
                  <w:pPr>
                    <w:tabs>
                      <w:tab w:val="left" w:pos="4767"/>
                    </w:tabs>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排放浓度限值(mg/m³)</w:t>
                  </w:r>
                </w:p>
              </w:tc>
              <w:tc>
                <w:tcPr>
                  <w:tcW w:w="2054" w:type="pct"/>
                  <w:vAlign w:val="center"/>
                </w:tcPr>
                <w:p w14:paraId="4C7E369F">
                  <w:pPr>
                    <w:tabs>
                      <w:tab w:val="left" w:pos="4767"/>
                    </w:tabs>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执行标准</w:t>
                  </w:r>
                </w:p>
              </w:tc>
            </w:tr>
            <w:tr w14:paraId="416157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919" w:type="pct"/>
                  <w:vAlign w:val="center"/>
                </w:tcPr>
                <w:p w14:paraId="6F7FEB99">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w:t>
                  </w:r>
                </w:p>
              </w:tc>
              <w:tc>
                <w:tcPr>
                  <w:tcW w:w="1028" w:type="pct"/>
                  <w:tcBorders>
                    <w:right w:val="single" w:color="auto" w:sz="4" w:space="0"/>
                  </w:tcBorders>
                  <w:vAlign w:val="center"/>
                </w:tcPr>
                <w:p w14:paraId="197E44B2">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无组织</w:t>
                  </w:r>
                </w:p>
              </w:tc>
              <w:tc>
                <w:tcPr>
                  <w:tcW w:w="997" w:type="pct"/>
                  <w:tcBorders>
                    <w:left w:val="single" w:color="auto" w:sz="4" w:space="0"/>
                  </w:tcBorders>
                  <w:vAlign w:val="center"/>
                </w:tcPr>
                <w:p w14:paraId="1C1E1ABC">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2054" w:type="pct"/>
                  <w:vAlign w:val="center"/>
                </w:tcPr>
                <w:p w14:paraId="49F46F5E">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《大气污染物综合排放标准》（GB 16297-1996）</w:t>
                  </w:r>
                </w:p>
              </w:tc>
            </w:tr>
          </w:tbl>
          <w:p w14:paraId="394336DD">
            <w:pPr>
              <w:tabs>
                <w:tab w:val="left" w:pos="4767"/>
              </w:tabs>
              <w:ind w:firstLine="514" w:firstLineChars="200"/>
              <w:rPr>
                <w:rFonts w:hint="default" w:ascii="Times New Roman" w:hAnsi="Times New Roman" w:cs="Times New Roman"/>
                <w:color w:val="auto"/>
                <w:sz w:val="24"/>
                <w:lang w:val="en-US" w:eastAsia="zh-CN"/>
              </w:rPr>
            </w:pPr>
            <w:bookmarkStart w:id="1" w:name="_Hlk532457872"/>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运营期</w:t>
            </w:r>
          </w:p>
          <w:p w14:paraId="0643E243">
            <w:pPr>
              <w:tabs>
                <w:tab w:val="left" w:pos="4767"/>
              </w:tabs>
              <w:ind w:firstLine="514"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①</w:t>
            </w:r>
            <w:r>
              <w:rPr>
                <w:rFonts w:hint="default" w:ascii="Times New Roman" w:hAnsi="Times New Roman" w:cs="Times New Roman"/>
                <w:color w:val="auto"/>
                <w:sz w:val="24"/>
                <w:lang w:val="en-US" w:eastAsia="zh-CN"/>
              </w:rPr>
              <w:t>有组织废气</w:t>
            </w:r>
          </w:p>
          <w:p w14:paraId="26D9BCCC">
            <w:pPr>
              <w:tabs>
                <w:tab w:val="left" w:pos="4767"/>
              </w:tabs>
              <w:ind w:firstLine="514"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本项目矿石加料及输送</w:t>
            </w:r>
            <w:r>
              <w:rPr>
                <w:rFonts w:hint="eastAsia" w:cs="Times New Roman"/>
                <w:color w:val="auto"/>
                <w:sz w:val="24"/>
                <w:lang w:val="en-US" w:eastAsia="zh-CN"/>
              </w:rPr>
              <w:t>、振动筛分、沥青储罐及拌合罐、矿粉加料等</w:t>
            </w:r>
            <w:r>
              <w:rPr>
                <w:rFonts w:hint="default" w:ascii="Times New Roman" w:hAnsi="Times New Roman" w:eastAsia="宋体" w:cs="Times New Roman"/>
                <w:color w:val="auto"/>
                <w:sz w:val="24"/>
                <w:lang w:val="en-US" w:eastAsia="zh-CN"/>
              </w:rPr>
              <w:t>生产过程产生的粉尘、沥青烟、苯并[a]芘执行《大气污染物综合排放标准》（GB16297-1996）中二级标准浓度限值。根据7.1“排气筒高度除须遵守表列排放速率标准值外，还应高出周围200m半径范围的建筑5m以上，不能达到该要求的排气筒，应按其高度对应的表列排放速率标准值严格50%执行”。本项目周边200m范围内最高建筑物高度为4m，本项目排气筒高度为15m，满足高出周围200m半径范围内的建筑物5m以上，因此本项目执行大气综排的各项污染因子排放速率执行15m排气筒高度的标准要求；烘干筒天然气燃烧及烘干</w:t>
            </w:r>
            <w:r>
              <w:rPr>
                <w:rFonts w:hint="eastAsia" w:cs="Times New Roman"/>
                <w:color w:val="auto"/>
                <w:sz w:val="24"/>
                <w:lang w:val="en-US" w:eastAsia="zh-CN"/>
              </w:rPr>
              <w:t>废气执行《工业炉窑大气污染综合治理方案》（环大气〔2019〕56号）中“重点区域”限值要求。</w:t>
            </w:r>
          </w:p>
          <w:p w14:paraId="0D1DE484">
            <w:pPr>
              <w:tabs>
                <w:tab w:val="left" w:pos="4767"/>
              </w:tabs>
              <w:ind w:firstLine="514"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highlight w:val="none"/>
                <w:lang w:val="en-US" w:eastAsia="zh-CN"/>
              </w:rPr>
              <w:t>低氮导热油炉以天然气为燃料，颗粒物和SO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执行《锅炉大气污染物排放标准》(GB 13271-2014)表3中大气污染物特别排放限值；NOx执行《宁夏回族自治区空气质量改善“十四五”规划”》中相关要求（NOx＜50mg/m³）</w:t>
            </w:r>
            <w:r>
              <w:rPr>
                <w:rFonts w:hint="default" w:ascii="Times New Roman" w:hAnsi="Times New Roman" w:eastAsia="宋体" w:cs="Times New Roman"/>
                <w:color w:val="auto"/>
                <w:sz w:val="24"/>
                <w:lang w:val="en-US" w:eastAsia="zh-CN"/>
              </w:rPr>
              <w:t>。</w:t>
            </w:r>
          </w:p>
          <w:p w14:paraId="6B2FB43E">
            <w:pPr>
              <w:tabs>
                <w:tab w:val="left" w:pos="4767"/>
              </w:tabs>
              <w:ind w:firstLine="514"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②无组织废气</w:t>
            </w:r>
          </w:p>
          <w:p w14:paraId="01F4B4C3">
            <w:pPr>
              <w:tabs>
                <w:tab w:val="left" w:pos="4767"/>
              </w:tabs>
              <w:ind w:firstLine="514"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厂界颗粒物、苯并[a]芘排放执行《大气污染物综合排放标准》（GB 16297-1996）表2中无组织排放监控浓度限值。</w:t>
            </w:r>
          </w:p>
          <w:p w14:paraId="38F212AA">
            <w:pPr>
              <w:tabs>
                <w:tab w:val="left" w:pos="4767"/>
              </w:tabs>
              <w:ind w:firstLine="514"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具体限值见</w:t>
            </w:r>
            <w:r>
              <w:rPr>
                <w:rFonts w:hint="default" w:ascii="Times New Roman" w:hAnsi="Times New Roman" w:cs="Times New Roman"/>
                <w:color w:val="auto"/>
                <w:sz w:val="24"/>
                <w:lang w:val="en-US" w:eastAsia="zh-CN"/>
              </w:rPr>
              <w:t>表3-</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lang w:val="en-US" w:eastAsia="zh-CN"/>
              </w:rPr>
              <w:t>、3-</w:t>
            </w:r>
            <w:r>
              <w:rPr>
                <w:rFonts w:hint="eastAsia" w:ascii="Times New Roman" w:hAnsi="Times New Roman" w:cs="Times New Roman"/>
                <w:color w:val="auto"/>
                <w:sz w:val="24"/>
                <w:lang w:val="en-US" w:eastAsia="zh-CN"/>
              </w:rPr>
              <w:t>7</w:t>
            </w:r>
            <w:r>
              <w:rPr>
                <w:rFonts w:hint="eastAsia" w:cs="Times New Roman"/>
                <w:color w:val="auto"/>
                <w:sz w:val="24"/>
                <w:lang w:val="en-US" w:eastAsia="zh-CN"/>
              </w:rPr>
              <w:t>、3-8</w:t>
            </w:r>
            <w:r>
              <w:rPr>
                <w:rFonts w:hint="default" w:ascii="Times New Roman" w:hAnsi="Times New Roman" w:cs="Times New Roman"/>
                <w:color w:val="auto"/>
                <w:sz w:val="24"/>
              </w:rPr>
              <w:t>。</w:t>
            </w:r>
          </w:p>
          <w:p w14:paraId="2FCED2BB">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表3-</w:t>
            </w:r>
            <w:r>
              <w:rPr>
                <w:rFonts w:hint="eastAsia" w:ascii="Times New Roman" w:hAnsi="Times New Roman" w:eastAsia="黑体" w:cs="Times New Roman"/>
                <w:color w:val="auto"/>
                <w:sz w:val="24"/>
                <w:lang w:val="en-US" w:eastAsia="zh-CN"/>
              </w:rPr>
              <w:t>6</w:t>
            </w:r>
            <w:r>
              <w:rPr>
                <w:rFonts w:hint="default" w:ascii="Times New Roman" w:hAnsi="Times New Roman" w:eastAsia="黑体" w:cs="Times New Roman"/>
                <w:color w:val="auto"/>
                <w:sz w:val="24"/>
              </w:rPr>
              <w:t xml:space="preserve">  </w:t>
            </w:r>
            <w:r>
              <w:rPr>
                <w:rFonts w:hint="default" w:ascii="Times New Roman" w:hAnsi="Times New Roman" w:eastAsia="黑体" w:cs="Times New Roman"/>
                <w:color w:val="auto"/>
                <w:sz w:val="24"/>
                <w:lang w:val="en-US" w:eastAsia="zh-CN"/>
              </w:rPr>
              <w:t>《大气污染物综合排放标准》（GB 16297-1996）</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591"/>
              <w:gridCol w:w="1189"/>
              <w:gridCol w:w="1774"/>
              <w:gridCol w:w="1639"/>
              <w:gridCol w:w="1344"/>
            </w:tblGrid>
            <w:tr w14:paraId="606FC5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7" w:type="pct"/>
                  <w:vMerge w:val="restart"/>
                  <w:vAlign w:val="center"/>
                </w:tcPr>
                <w:p w14:paraId="58193DDE">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项目</w:t>
                  </w:r>
                </w:p>
              </w:tc>
              <w:tc>
                <w:tcPr>
                  <w:tcW w:w="1679" w:type="pct"/>
                  <w:gridSpan w:val="2"/>
                  <w:vAlign w:val="center"/>
                </w:tcPr>
                <w:p w14:paraId="5EED12D7">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最高允许排放速率（kg/h）</w:t>
                  </w:r>
                </w:p>
              </w:tc>
              <w:tc>
                <w:tcPr>
                  <w:tcW w:w="1071" w:type="pct"/>
                  <w:vMerge w:val="restart"/>
                  <w:vAlign w:val="center"/>
                </w:tcPr>
                <w:p w14:paraId="15D93C31">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最高允许排放浓度（mg/m</w:t>
                  </w:r>
                  <w:r>
                    <w:rPr>
                      <w:rFonts w:hint="default" w:ascii="Times New Roman" w:hAnsi="Times New Roman" w:eastAsia="宋体" w:cs="Times New Roman"/>
                      <w:b/>
                      <w:bCs/>
                      <w:color w:val="auto"/>
                      <w:szCs w:val="21"/>
                      <w:lang w:val="en-US" w:eastAsia="zh-CN"/>
                    </w:rPr>
                    <w:t>³</w:t>
                  </w:r>
                  <w:r>
                    <w:rPr>
                      <w:rFonts w:hint="default" w:ascii="Times New Roman" w:hAnsi="Times New Roman" w:eastAsia="宋体" w:cs="Times New Roman"/>
                      <w:b/>
                      <w:bCs/>
                      <w:color w:val="auto"/>
                      <w:szCs w:val="21"/>
                    </w:rPr>
                    <w:t>）</w:t>
                  </w:r>
                </w:p>
              </w:tc>
              <w:tc>
                <w:tcPr>
                  <w:tcW w:w="1801" w:type="pct"/>
                  <w:gridSpan w:val="2"/>
                  <w:vAlign w:val="center"/>
                </w:tcPr>
                <w:p w14:paraId="3E4CDED6">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无组织排放监控浓度限值</w:t>
                  </w:r>
                </w:p>
              </w:tc>
            </w:tr>
            <w:tr w14:paraId="5C56B5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47" w:type="pct"/>
                  <w:vMerge w:val="continue"/>
                  <w:vAlign w:val="center"/>
                </w:tcPr>
                <w:p w14:paraId="791F0D7C">
                  <w:pPr>
                    <w:tabs>
                      <w:tab w:val="left" w:pos="4767"/>
                    </w:tabs>
                    <w:spacing w:line="0" w:lineRule="atLeast"/>
                    <w:jc w:val="center"/>
                    <w:rPr>
                      <w:rFonts w:hint="default" w:ascii="Times New Roman" w:hAnsi="Times New Roman" w:eastAsia="宋体" w:cs="Times New Roman"/>
                      <w:color w:val="auto"/>
                      <w:szCs w:val="21"/>
                    </w:rPr>
                  </w:pPr>
                </w:p>
              </w:tc>
              <w:tc>
                <w:tcPr>
                  <w:tcW w:w="961" w:type="pct"/>
                  <w:vAlign w:val="center"/>
                </w:tcPr>
                <w:p w14:paraId="7A9C5066">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排放高度（m）</w:t>
                  </w:r>
                </w:p>
              </w:tc>
              <w:tc>
                <w:tcPr>
                  <w:tcW w:w="717" w:type="pct"/>
                  <w:vAlign w:val="center"/>
                </w:tcPr>
                <w:p w14:paraId="6FC78702">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二级</w:t>
                  </w:r>
                </w:p>
              </w:tc>
              <w:tc>
                <w:tcPr>
                  <w:tcW w:w="1071" w:type="pct"/>
                  <w:vMerge w:val="continue"/>
                  <w:vAlign w:val="center"/>
                </w:tcPr>
                <w:p w14:paraId="5FAE295B">
                  <w:pPr>
                    <w:tabs>
                      <w:tab w:val="left" w:pos="4767"/>
                    </w:tabs>
                    <w:spacing w:line="0" w:lineRule="atLeast"/>
                    <w:jc w:val="center"/>
                    <w:rPr>
                      <w:rFonts w:hint="default" w:ascii="Times New Roman" w:hAnsi="Times New Roman" w:eastAsia="宋体" w:cs="Times New Roman"/>
                      <w:color w:val="auto"/>
                      <w:szCs w:val="21"/>
                    </w:rPr>
                  </w:pPr>
                </w:p>
              </w:tc>
              <w:tc>
                <w:tcPr>
                  <w:tcW w:w="990" w:type="pct"/>
                  <w:vAlign w:val="center"/>
                </w:tcPr>
                <w:p w14:paraId="0064D6C8">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监控点</w:t>
                  </w:r>
                </w:p>
              </w:tc>
              <w:tc>
                <w:tcPr>
                  <w:tcW w:w="811" w:type="pct"/>
                  <w:vAlign w:val="center"/>
                </w:tcPr>
                <w:p w14:paraId="35EB4615">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浓度</w:t>
                  </w:r>
                </w:p>
              </w:tc>
            </w:tr>
            <w:tr w14:paraId="2A5B46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47" w:type="pct"/>
                  <w:vAlign w:val="center"/>
                </w:tcPr>
                <w:p w14:paraId="2ADDA69E">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961" w:type="pct"/>
                  <w:vAlign w:val="center"/>
                </w:tcPr>
                <w:p w14:paraId="44DE7C7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w:t>
                  </w:r>
                </w:p>
              </w:tc>
              <w:tc>
                <w:tcPr>
                  <w:tcW w:w="717" w:type="pct"/>
                  <w:vAlign w:val="center"/>
                </w:tcPr>
                <w:p w14:paraId="455D44E4">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3.5</w:t>
                  </w:r>
                </w:p>
              </w:tc>
              <w:tc>
                <w:tcPr>
                  <w:tcW w:w="1071" w:type="pct"/>
                  <w:vAlign w:val="center"/>
                </w:tcPr>
                <w:p w14:paraId="13D0ED1F">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120</w:t>
                  </w:r>
                </w:p>
              </w:tc>
              <w:tc>
                <w:tcPr>
                  <w:tcW w:w="990" w:type="pct"/>
                  <w:vAlign w:val="center"/>
                </w:tcPr>
                <w:p w14:paraId="7D3F5D36">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周界外浓度最高点</w:t>
                  </w:r>
                </w:p>
              </w:tc>
              <w:tc>
                <w:tcPr>
                  <w:tcW w:w="811" w:type="pct"/>
                  <w:vAlign w:val="center"/>
                </w:tcPr>
                <w:p w14:paraId="0052C8D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1.0mg/m³</w:t>
                  </w:r>
                </w:p>
              </w:tc>
            </w:tr>
            <w:tr w14:paraId="4794FD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47" w:type="pct"/>
                  <w:vAlign w:val="center"/>
                </w:tcPr>
                <w:p w14:paraId="615B1FA2">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苯并[a]芘</w:t>
                  </w:r>
                </w:p>
              </w:tc>
              <w:tc>
                <w:tcPr>
                  <w:tcW w:w="961" w:type="pct"/>
                  <w:vAlign w:val="center"/>
                </w:tcPr>
                <w:p w14:paraId="1E276D24">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w:t>
                  </w:r>
                </w:p>
              </w:tc>
              <w:tc>
                <w:tcPr>
                  <w:tcW w:w="717" w:type="pct"/>
                  <w:vAlign w:val="center"/>
                </w:tcPr>
                <w:p w14:paraId="64363E87">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0.05×10</w:t>
                  </w:r>
                  <w:r>
                    <w:rPr>
                      <w:rFonts w:hint="default" w:ascii="Times New Roman" w:hAnsi="Times New Roman" w:eastAsia="宋体" w:cs="Times New Roman"/>
                      <w:color w:val="auto"/>
                      <w:szCs w:val="21"/>
                      <w:vertAlign w:val="superscript"/>
                      <w:lang w:val="en-US" w:eastAsia="zh-CN"/>
                    </w:rPr>
                    <w:t>-3</w:t>
                  </w:r>
                </w:p>
              </w:tc>
              <w:tc>
                <w:tcPr>
                  <w:tcW w:w="1071" w:type="pct"/>
                  <w:vAlign w:val="center"/>
                </w:tcPr>
                <w:p w14:paraId="5DB91807">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3×10</w:t>
                  </w:r>
                  <w:r>
                    <w:rPr>
                      <w:rFonts w:hint="default" w:ascii="Times New Roman" w:hAnsi="Times New Roman" w:eastAsia="宋体" w:cs="Times New Roman"/>
                      <w:color w:val="auto"/>
                      <w:szCs w:val="21"/>
                      <w:vertAlign w:val="superscript"/>
                      <w:lang w:val="en-US" w:eastAsia="zh-CN"/>
                    </w:rPr>
                    <w:t>-4</w:t>
                  </w:r>
                </w:p>
              </w:tc>
              <w:tc>
                <w:tcPr>
                  <w:tcW w:w="990" w:type="pct"/>
                  <w:vAlign w:val="center"/>
                </w:tcPr>
                <w:p w14:paraId="31C17E17">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周界外浓度最高点</w:t>
                  </w:r>
                </w:p>
              </w:tc>
              <w:tc>
                <w:tcPr>
                  <w:tcW w:w="811" w:type="pct"/>
                  <w:vAlign w:val="center"/>
                </w:tcPr>
                <w:p w14:paraId="30C384A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0.008ug/m³</w:t>
                  </w:r>
                </w:p>
              </w:tc>
            </w:tr>
            <w:tr w14:paraId="2BE8D4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47" w:type="pct"/>
                  <w:vAlign w:val="center"/>
                </w:tcPr>
                <w:p w14:paraId="33E66A42">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沥青烟</w:t>
                  </w:r>
                </w:p>
              </w:tc>
              <w:tc>
                <w:tcPr>
                  <w:tcW w:w="961" w:type="pct"/>
                  <w:vAlign w:val="center"/>
                </w:tcPr>
                <w:p w14:paraId="503F074C">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w:t>
                  </w:r>
                </w:p>
              </w:tc>
              <w:tc>
                <w:tcPr>
                  <w:tcW w:w="717" w:type="pct"/>
                  <w:vAlign w:val="center"/>
                </w:tcPr>
                <w:p w14:paraId="622260CF">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0.18</w:t>
                  </w:r>
                </w:p>
              </w:tc>
              <w:tc>
                <w:tcPr>
                  <w:tcW w:w="1071" w:type="pct"/>
                  <w:vAlign w:val="center"/>
                </w:tcPr>
                <w:p w14:paraId="661EB54A">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75</w:t>
                  </w:r>
                </w:p>
              </w:tc>
              <w:tc>
                <w:tcPr>
                  <w:tcW w:w="1801" w:type="pct"/>
                  <w:gridSpan w:val="2"/>
                  <w:vAlign w:val="center"/>
                </w:tcPr>
                <w:p w14:paraId="41B1044F">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生产设备不得有明显的无组织排放存在</w:t>
                  </w:r>
                </w:p>
              </w:tc>
            </w:tr>
            <w:tr w14:paraId="62415B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47" w:type="pct"/>
                  <w:vAlign w:val="center"/>
                </w:tcPr>
                <w:p w14:paraId="5D0DDD40">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二氧化硫</w:t>
                  </w:r>
                </w:p>
              </w:tc>
              <w:tc>
                <w:tcPr>
                  <w:tcW w:w="1587" w:type="dxa"/>
                  <w:vAlign w:val="center"/>
                </w:tcPr>
                <w:p w14:paraId="4EC2CF2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w:t>
                  </w:r>
                </w:p>
              </w:tc>
              <w:tc>
                <w:tcPr>
                  <w:tcW w:w="717" w:type="pct"/>
                  <w:vAlign w:val="center"/>
                </w:tcPr>
                <w:p w14:paraId="4610C96E">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2.6</w:t>
                  </w:r>
                </w:p>
              </w:tc>
              <w:tc>
                <w:tcPr>
                  <w:tcW w:w="1071" w:type="pct"/>
                  <w:vAlign w:val="center"/>
                </w:tcPr>
                <w:p w14:paraId="2EE63EA6">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550</w:t>
                  </w:r>
                </w:p>
              </w:tc>
              <w:tc>
                <w:tcPr>
                  <w:tcW w:w="1801" w:type="pct"/>
                  <w:gridSpan w:val="2"/>
                  <w:vAlign w:val="center"/>
                </w:tcPr>
                <w:p w14:paraId="6AD0044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5FF5B9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47" w:type="pct"/>
                  <w:vAlign w:val="center"/>
                </w:tcPr>
                <w:p w14:paraId="3109A09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氮氧化物</w:t>
                  </w:r>
                </w:p>
              </w:tc>
              <w:tc>
                <w:tcPr>
                  <w:tcW w:w="1587" w:type="dxa"/>
                  <w:vAlign w:val="center"/>
                </w:tcPr>
                <w:p w14:paraId="356ECD2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w:t>
                  </w:r>
                </w:p>
              </w:tc>
              <w:tc>
                <w:tcPr>
                  <w:tcW w:w="717" w:type="pct"/>
                  <w:vAlign w:val="center"/>
                </w:tcPr>
                <w:p w14:paraId="3934727A">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0.77</w:t>
                  </w:r>
                </w:p>
              </w:tc>
              <w:tc>
                <w:tcPr>
                  <w:tcW w:w="1071" w:type="pct"/>
                  <w:vAlign w:val="center"/>
                </w:tcPr>
                <w:p w14:paraId="71448D5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240</w:t>
                  </w:r>
                </w:p>
              </w:tc>
              <w:tc>
                <w:tcPr>
                  <w:tcW w:w="1801" w:type="pct"/>
                  <w:gridSpan w:val="2"/>
                  <w:vAlign w:val="center"/>
                </w:tcPr>
                <w:p w14:paraId="3E2CC94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bl>
          <w:p w14:paraId="6535E0F0">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表3-</w:t>
            </w:r>
            <w:r>
              <w:rPr>
                <w:rFonts w:hint="eastAsia" w:ascii="Times New Roman" w:hAnsi="Times New Roman" w:eastAsia="黑体" w:cs="Times New Roman"/>
                <w:color w:val="auto"/>
                <w:sz w:val="24"/>
                <w:lang w:val="en-US" w:eastAsia="zh-CN"/>
              </w:rPr>
              <w:t>7</w:t>
            </w:r>
            <w:r>
              <w:rPr>
                <w:rFonts w:hint="default" w:ascii="Times New Roman" w:hAnsi="Times New Roman" w:eastAsia="黑体" w:cs="Times New Roman"/>
                <w:color w:val="auto"/>
                <w:sz w:val="24"/>
              </w:rPr>
              <w:t xml:space="preserve">  </w:t>
            </w:r>
            <w:r>
              <w:rPr>
                <w:rFonts w:hint="default" w:ascii="Times New Roman" w:hAnsi="Times New Roman" w:eastAsia="黑体" w:cs="Times New Roman"/>
                <w:color w:val="auto"/>
                <w:sz w:val="24"/>
                <w:lang w:val="en-US" w:eastAsia="zh-CN"/>
              </w:rPr>
              <w:t>《工业炉窑大气污染综合治理方案》（环大气〔2019〕56号）</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399"/>
              <w:gridCol w:w="2528"/>
              <w:gridCol w:w="3131"/>
            </w:tblGrid>
            <w:tr w14:paraId="5D31D9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pct"/>
                  <w:vAlign w:val="center"/>
                </w:tcPr>
                <w:p w14:paraId="4549317B">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炉窑类别</w:t>
                  </w:r>
                </w:p>
              </w:tc>
              <w:tc>
                <w:tcPr>
                  <w:tcW w:w="845" w:type="pct"/>
                  <w:vAlign w:val="center"/>
                </w:tcPr>
                <w:p w14:paraId="696D2EAB">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污染物</w:t>
                  </w:r>
                </w:p>
              </w:tc>
              <w:tc>
                <w:tcPr>
                  <w:tcW w:w="1527" w:type="pct"/>
                  <w:vAlign w:val="center"/>
                </w:tcPr>
                <w:p w14:paraId="2D030A9D">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排放浓度</w:t>
                  </w:r>
                  <w:r>
                    <w:rPr>
                      <w:rFonts w:hint="default" w:ascii="Times New Roman" w:hAnsi="Times New Roman" w:eastAsia="宋体" w:cs="Times New Roman"/>
                      <w:b/>
                      <w:bCs/>
                      <w:color w:val="auto"/>
                      <w:szCs w:val="21"/>
                      <w:lang w:val="en-US" w:eastAsia="zh-CN"/>
                    </w:rPr>
                    <w:t>限值</w:t>
                  </w:r>
                  <w:r>
                    <w:rPr>
                      <w:rFonts w:hint="default" w:ascii="Times New Roman" w:hAnsi="Times New Roman" w:eastAsia="宋体" w:cs="Times New Roman"/>
                      <w:b/>
                      <w:bCs/>
                      <w:color w:val="auto"/>
                      <w:szCs w:val="21"/>
                    </w:rPr>
                    <w:t>（mg/m</w:t>
                  </w:r>
                  <w:r>
                    <w:rPr>
                      <w:rFonts w:hint="default" w:ascii="Times New Roman" w:hAnsi="Times New Roman" w:eastAsia="宋体" w:cs="Times New Roman"/>
                      <w:b/>
                      <w:bCs/>
                      <w:color w:val="auto"/>
                      <w:szCs w:val="21"/>
                      <w:lang w:val="en-US" w:eastAsia="zh-CN"/>
                    </w:rPr>
                    <w:t>³</w:t>
                  </w:r>
                  <w:r>
                    <w:rPr>
                      <w:rFonts w:hint="default" w:ascii="Times New Roman" w:hAnsi="Times New Roman" w:eastAsia="宋体" w:cs="Times New Roman"/>
                      <w:b/>
                      <w:bCs/>
                      <w:color w:val="auto"/>
                      <w:szCs w:val="21"/>
                    </w:rPr>
                    <w:t>）</w:t>
                  </w:r>
                </w:p>
              </w:tc>
              <w:tc>
                <w:tcPr>
                  <w:tcW w:w="1891" w:type="pct"/>
                  <w:vAlign w:val="center"/>
                </w:tcPr>
                <w:p w14:paraId="39B924F9">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标准来源</w:t>
                  </w:r>
                </w:p>
              </w:tc>
            </w:tr>
            <w:tr w14:paraId="6F1B54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6" w:type="pct"/>
                  <w:vMerge w:val="restart"/>
                  <w:vAlign w:val="center"/>
                </w:tcPr>
                <w:p w14:paraId="00CC3C6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烘干筒天然气燃烧及烘干废气</w:t>
                  </w:r>
                </w:p>
              </w:tc>
              <w:tc>
                <w:tcPr>
                  <w:tcW w:w="845" w:type="pct"/>
                  <w:vAlign w:val="center"/>
                </w:tcPr>
                <w:p w14:paraId="7C50F0D7">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1527" w:type="pct"/>
                  <w:vAlign w:val="center"/>
                </w:tcPr>
                <w:p w14:paraId="6C409FA0">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w:t>
                  </w:r>
                </w:p>
              </w:tc>
              <w:tc>
                <w:tcPr>
                  <w:tcW w:w="1891" w:type="pct"/>
                  <w:vMerge w:val="restart"/>
                  <w:vAlign w:val="center"/>
                </w:tcPr>
                <w:p w14:paraId="67C2FEE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《工业炉窑大气污染综合治理方案》（环大气〔2019〕56号）中“重点区域”限值要求</w:t>
                  </w:r>
                </w:p>
              </w:tc>
            </w:tr>
            <w:tr w14:paraId="47CE9E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pct"/>
                  <w:vMerge w:val="continue"/>
                  <w:vAlign w:val="center"/>
                </w:tcPr>
                <w:p w14:paraId="54C5A564">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845" w:type="pct"/>
                  <w:vAlign w:val="center"/>
                </w:tcPr>
                <w:p w14:paraId="431AF386">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二氧化硫</w:t>
                  </w:r>
                </w:p>
              </w:tc>
              <w:tc>
                <w:tcPr>
                  <w:tcW w:w="1527" w:type="pct"/>
                  <w:vAlign w:val="center"/>
                </w:tcPr>
                <w:p w14:paraId="541CBEF0">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200</w:t>
                  </w:r>
                </w:p>
              </w:tc>
              <w:tc>
                <w:tcPr>
                  <w:tcW w:w="1891" w:type="pct"/>
                  <w:vMerge w:val="continue"/>
                  <w:vAlign w:val="center"/>
                </w:tcPr>
                <w:p w14:paraId="5296412B">
                  <w:pPr>
                    <w:tabs>
                      <w:tab w:val="left" w:pos="4767"/>
                    </w:tabs>
                    <w:spacing w:line="0" w:lineRule="atLeast"/>
                    <w:jc w:val="center"/>
                    <w:rPr>
                      <w:rFonts w:hint="default" w:ascii="Times New Roman" w:hAnsi="Times New Roman" w:eastAsia="宋体" w:cs="Times New Roman"/>
                      <w:color w:val="auto"/>
                      <w:szCs w:val="21"/>
                      <w:lang w:val="en-US" w:eastAsia="zh-CN"/>
                    </w:rPr>
                  </w:pPr>
                </w:p>
              </w:tc>
            </w:tr>
            <w:tr w14:paraId="514D7A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pct"/>
                  <w:vMerge w:val="continue"/>
                  <w:vAlign w:val="center"/>
                </w:tcPr>
                <w:p w14:paraId="5F4C09DA">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845" w:type="pct"/>
                  <w:vAlign w:val="center"/>
                </w:tcPr>
                <w:p w14:paraId="115AA89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氮氧化物</w:t>
                  </w:r>
                </w:p>
              </w:tc>
              <w:tc>
                <w:tcPr>
                  <w:tcW w:w="1527" w:type="pct"/>
                  <w:vAlign w:val="center"/>
                </w:tcPr>
                <w:p w14:paraId="6C43D80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300</w:t>
                  </w:r>
                </w:p>
              </w:tc>
              <w:tc>
                <w:tcPr>
                  <w:tcW w:w="1891" w:type="pct"/>
                  <w:vMerge w:val="continue"/>
                  <w:vAlign w:val="center"/>
                </w:tcPr>
                <w:p w14:paraId="1EF2CA7C">
                  <w:pPr>
                    <w:tabs>
                      <w:tab w:val="left" w:pos="4767"/>
                    </w:tabs>
                    <w:spacing w:line="0" w:lineRule="atLeast"/>
                    <w:jc w:val="center"/>
                    <w:rPr>
                      <w:rFonts w:hint="default" w:ascii="Times New Roman" w:hAnsi="Times New Roman" w:eastAsia="宋体" w:cs="Times New Roman"/>
                      <w:color w:val="auto"/>
                      <w:szCs w:val="21"/>
                      <w:lang w:val="en-US" w:eastAsia="zh-CN"/>
                    </w:rPr>
                  </w:pPr>
                </w:p>
              </w:tc>
            </w:tr>
          </w:tbl>
          <w:p w14:paraId="146B0E29">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表3-</w:t>
            </w:r>
            <w:r>
              <w:rPr>
                <w:rFonts w:hint="eastAsia" w:eastAsia="黑体" w:cs="Times New Roman"/>
                <w:color w:val="auto"/>
                <w:sz w:val="24"/>
                <w:lang w:val="en-US" w:eastAsia="zh-CN"/>
              </w:rPr>
              <w:t>8</w:t>
            </w:r>
            <w:r>
              <w:rPr>
                <w:rFonts w:hint="default" w:ascii="Times New Roman" w:hAnsi="Times New Roman" w:eastAsia="黑体" w:cs="Times New Roman"/>
                <w:color w:val="auto"/>
                <w:sz w:val="24"/>
              </w:rPr>
              <w:t xml:space="preserve">  </w:t>
            </w:r>
            <w:r>
              <w:rPr>
                <w:rFonts w:hint="default" w:ascii="Times New Roman" w:hAnsi="Times New Roman" w:eastAsia="黑体" w:cs="Times New Roman"/>
                <w:color w:val="auto"/>
                <w:sz w:val="24"/>
                <w:lang w:val="en-US" w:eastAsia="zh-CN"/>
              </w:rPr>
              <w:t>《锅炉大气污染物排放标准》(GB 13271-2014)</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399"/>
              <w:gridCol w:w="2528"/>
              <w:gridCol w:w="3131"/>
            </w:tblGrid>
            <w:tr w14:paraId="045431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pct"/>
                  <w:vAlign w:val="center"/>
                </w:tcPr>
                <w:p w14:paraId="6245D558">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炉窑类别</w:t>
                  </w:r>
                </w:p>
              </w:tc>
              <w:tc>
                <w:tcPr>
                  <w:tcW w:w="845" w:type="pct"/>
                  <w:vAlign w:val="center"/>
                </w:tcPr>
                <w:p w14:paraId="6F041059">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污染物</w:t>
                  </w:r>
                </w:p>
              </w:tc>
              <w:tc>
                <w:tcPr>
                  <w:tcW w:w="1527" w:type="pct"/>
                  <w:vAlign w:val="center"/>
                </w:tcPr>
                <w:p w14:paraId="7636AD63">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排放浓度</w:t>
                  </w:r>
                  <w:r>
                    <w:rPr>
                      <w:rFonts w:hint="default" w:ascii="Times New Roman" w:hAnsi="Times New Roman" w:eastAsia="宋体" w:cs="Times New Roman"/>
                      <w:b/>
                      <w:bCs/>
                      <w:color w:val="auto"/>
                      <w:szCs w:val="21"/>
                      <w:lang w:val="en-US" w:eastAsia="zh-CN"/>
                    </w:rPr>
                    <w:t>限值</w:t>
                  </w:r>
                  <w:r>
                    <w:rPr>
                      <w:rFonts w:hint="default" w:ascii="Times New Roman" w:hAnsi="Times New Roman" w:eastAsia="宋体" w:cs="Times New Roman"/>
                      <w:b/>
                      <w:bCs/>
                      <w:color w:val="auto"/>
                      <w:szCs w:val="21"/>
                    </w:rPr>
                    <w:t>（mg/m</w:t>
                  </w:r>
                  <w:r>
                    <w:rPr>
                      <w:rFonts w:hint="default" w:ascii="Times New Roman" w:hAnsi="Times New Roman" w:eastAsia="宋体" w:cs="Times New Roman"/>
                      <w:b/>
                      <w:bCs/>
                      <w:color w:val="auto"/>
                      <w:szCs w:val="21"/>
                      <w:lang w:val="en-US" w:eastAsia="zh-CN"/>
                    </w:rPr>
                    <w:t>³</w:t>
                  </w:r>
                  <w:r>
                    <w:rPr>
                      <w:rFonts w:hint="default" w:ascii="Times New Roman" w:hAnsi="Times New Roman" w:eastAsia="宋体" w:cs="Times New Roman"/>
                      <w:b/>
                      <w:bCs/>
                      <w:color w:val="auto"/>
                      <w:szCs w:val="21"/>
                    </w:rPr>
                    <w:t>）</w:t>
                  </w:r>
                </w:p>
              </w:tc>
              <w:tc>
                <w:tcPr>
                  <w:tcW w:w="1891" w:type="pct"/>
                  <w:vAlign w:val="center"/>
                </w:tcPr>
                <w:p w14:paraId="4B858245">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标准来源</w:t>
                  </w:r>
                </w:p>
              </w:tc>
            </w:tr>
            <w:tr w14:paraId="1E5640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6" w:type="pct"/>
                  <w:vMerge w:val="restart"/>
                  <w:vAlign w:val="center"/>
                </w:tcPr>
                <w:p w14:paraId="33212D64">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低氮导热油炉</w:t>
                  </w:r>
                </w:p>
                <w:p w14:paraId="58FC6E8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（燃料天然气）</w:t>
                  </w:r>
                </w:p>
              </w:tc>
              <w:tc>
                <w:tcPr>
                  <w:tcW w:w="845" w:type="pct"/>
                  <w:vAlign w:val="center"/>
                </w:tcPr>
                <w:p w14:paraId="4BF246B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1527" w:type="pct"/>
                  <w:vAlign w:val="center"/>
                </w:tcPr>
                <w:p w14:paraId="69BF19D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w:t>
                  </w:r>
                </w:p>
              </w:tc>
              <w:tc>
                <w:tcPr>
                  <w:tcW w:w="1891" w:type="pct"/>
                  <w:vMerge w:val="restart"/>
                  <w:vAlign w:val="center"/>
                </w:tcPr>
                <w:p w14:paraId="45FADE3C">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《锅炉大气污染物排放标准》(GB 13271-2014)表3中大气污染物特别排放限值</w:t>
                  </w:r>
                </w:p>
              </w:tc>
            </w:tr>
            <w:tr w14:paraId="3FB9D8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6" w:type="pct"/>
                  <w:vMerge w:val="continue"/>
                  <w:vAlign w:val="center"/>
                </w:tcPr>
                <w:p w14:paraId="3EDF3709">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845" w:type="pct"/>
                  <w:vAlign w:val="center"/>
                </w:tcPr>
                <w:p w14:paraId="086E683C">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二氧化硫</w:t>
                  </w:r>
                </w:p>
              </w:tc>
              <w:tc>
                <w:tcPr>
                  <w:tcW w:w="1527" w:type="pct"/>
                  <w:vAlign w:val="center"/>
                </w:tcPr>
                <w:p w14:paraId="18FF9CEF">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50</w:t>
                  </w:r>
                </w:p>
              </w:tc>
              <w:tc>
                <w:tcPr>
                  <w:tcW w:w="1891" w:type="pct"/>
                  <w:vMerge w:val="continue"/>
                  <w:vAlign w:val="center"/>
                </w:tcPr>
                <w:p w14:paraId="3C4CC8E1">
                  <w:pPr>
                    <w:tabs>
                      <w:tab w:val="left" w:pos="4767"/>
                    </w:tabs>
                    <w:spacing w:line="0" w:lineRule="atLeast"/>
                    <w:jc w:val="center"/>
                    <w:rPr>
                      <w:rFonts w:hint="default" w:ascii="Times New Roman" w:hAnsi="Times New Roman" w:eastAsia="宋体" w:cs="Times New Roman"/>
                      <w:color w:val="auto"/>
                      <w:szCs w:val="21"/>
                      <w:lang w:val="en-US" w:eastAsia="zh-CN"/>
                    </w:rPr>
                  </w:pPr>
                </w:p>
              </w:tc>
            </w:tr>
            <w:tr w14:paraId="489ACB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pct"/>
                  <w:vMerge w:val="continue"/>
                  <w:vAlign w:val="center"/>
                </w:tcPr>
                <w:p w14:paraId="00F2A3FB">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845" w:type="pct"/>
                  <w:vAlign w:val="center"/>
                </w:tcPr>
                <w:p w14:paraId="7CB964CF">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烟气黑度(林格曼黑度，级)</w:t>
                  </w:r>
                </w:p>
              </w:tc>
              <w:tc>
                <w:tcPr>
                  <w:tcW w:w="1527" w:type="pct"/>
                  <w:vAlign w:val="center"/>
                </w:tcPr>
                <w:p w14:paraId="2122AF86">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w:t>
                  </w:r>
                </w:p>
              </w:tc>
              <w:tc>
                <w:tcPr>
                  <w:tcW w:w="1891" w:type="pct"/>
                  <w:vMerge w:val="continue"/>
                  <w:vAlign w:val="center"/>
                </w:tcPr>
                <w:p w14:paraId="6344E85A">
                  <w:pPr>
                    <w:tabs>
                      <w:tab w:val="left" w:pos="4767"/>
                    </w:tabs>
                    <w:spacing w:line="0" w:lineRule="atLeast"/>
                    <w:jc w:val="center"/>
                    <w:rPr>
                      <w:rFonts w:hint="default" w:ascii="Times New Roman" w:hAnsi="Times New Roman" w:eastAsia="宋体" w:cs="Times New Roman"/>
                      <w:color w:val="auto"/>
                      <w:szCs w:val="21"/>
                      <w:lang w:val="en-US" w:eastAsia="zh-CN"/>
                    </w:rPr>
                  </w:pPr>
                </w:p>
              </w:tc>
            </w:tr>
            <w:tr w14:paraId="0BB5DF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pct"/>
                  <w:vMerge w:val="continue"/>
                  <w:vAlign w:val="center"/>
                </w:tcPr>
                <w:p w14:paraId="71B588EE">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845" w:type="pct"/>
                  <w:vAlign w:val="center"/>
                </w:tcPr>
                <w:p w14:paraId="146FB78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氮氧化物</w:t>
                  </w:r>
                </w:p>
              </w:tc>
              <w:tc>
                <w:tcPr>
                  <w:tcW w:w="1527" w:type="pct"/>
                  <w:vAlign w:val="center"/>
                </w:tcPr>
                <w:p w14:paraId="63E9BC4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50</w:t>
                  </w:r>
                </w:p>
              </w:tc>
              <w:tc>
                <w:tcPr>
                  <w:tcW w:w="1891" w:type="pct"/>
                  <w:vAlign w:val="center"/>
                </w:tcPr>
                <w:p w14:paraId="36B8F424">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执行《宁夏回族自治区空气质量改善“十四五”规划”》</w:t>
                  </w:r>
                </w:p>
              </w:tc>
            </w:tr>
            <w:bookmarkEnd w:id="1"/>
          </w:tbl>
          <w:p w14:paraId="141F2201">
            <w:pPr>
              <w:tabs>
                <w:tab w:val="left" w:pos="4767"/>
              </w:tabs>
              <w:adjustRightInd w:val="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2、噪声排放标准</w:t>
            </w:r>
          </w:p>
          <w:p w14:paraId="09684D18">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本项目施工期厂界噪声执行《建筑施工噪声排放标准》（GB 12523-20</w:t>
            </w:r>
            <w:r>
              <w:rPr>
                <w:rFonts w:hint="eastAsia" w:cs="Times New Roman"/>
                <w:color w:val="auto"/>
                <w:sz w:val="24"/>
                <w:lang w:val="en-US" w:eastAsia="zh-CN"/>
              </w:rPr>
              <w:t>25</w:t>
            </w:r>
            <w:r>
              <w:rPr>
                <w:rFonts w:hint="default" w:ascii="Times New Roman" w:hAnsi="Times New Roman" w:cs="Times New Roman"/>
                <w:color w:val="auto"/>
                <w:sz w:val="24"/>
              </w:rPr>
              <w:t>），运营期厂界噪声执行《工业企业厂界环境噪声排放标准》(GB 12348-2008)中</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类区标准，见表3-</w:t>
            </w:r>
            <w:r>
              <w:rPr>
                <w:rFonts w:hint="eastAsia" w:cs="Times New Roman"/>
                <w:color w:val="auto"/>
                <w:sz w:val="24"/>
                <w:lang w:val="en-US" w:eastAsia="zh-CN"/>
              </w:rPr>
              <w:t>9</w:t>
            </w:r>
            <w:r>
              <w:rPr>
                <w:rFonts w:hint="default" w:ascii="Times New Roman" w:hAnsi="Times New Roman" w:cs="Times New Roman"/>
                <w:color w:val="auto"/>
                <w:sz w:val="24"/>
              </w:rPr>
              <w:t>。</w:t>
            </w:r>
          </w:p>
          <w:p w14:paraId="20F5129C">
            <w:pPr>
              <w:tabs>
                <w:tab w:val="left" w:pos="4767"/>
              </w:tabs>
              <w:jc w:val="center"/>
              <w:rPr>
                <w:rFonts w:hint="default" w:ascii="Times New Roman" w:hAnsi="Times New Roman" w:eastAsia="黑体" w:cs="Times New Roman"/>
                <w:bCs/>
                <w:color w:val="auto"/>
                <w:sz w:val="24"/>
              </w:rPr>
            </w:pPr>
          </w:p>
          <w:p w14:paraId="01624533">
            <w:pPr>
              <w:tabs>
                <w:tab w:val="left" w:pos="4767"/>
              </w:tabs>
              <w:jc w:val="center"/>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表3-</w:t>
            </w:r>
            <w:r>
              <w:rPr>
                <w:rFonts w:hint="eastAsia" w:eastAsia="黑体" w:cs="Times New Roman"/>
                <w:bCs/>
                <w:color w:val="auto"/>
                <w:sz w:val="24"/>
                <w:lang w:val="en-US" w:eastAsia="zh-CN"/>
              </w:rPr>
              <w:t>9</w:t>
            </w:r>
            <w:r>
              <w:rPr>
                <w:rFonts w:hint="default" w:ascii="Times New Roman" w:hAnsi="Times New Roman" w:eastAsia="黑体" w:cs="Times New Roman"/>
                <w:bCs/>
                <w:color w:val="auto"/>
                <w:sz w:val="24"/>
              </w:rPr>
              <w:t xml:space="preserve">  厂界环境噪声排放标准一览表  单位：dB（A）</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206"/>
              <w:gridCol w:w="4049"/>
              <w:gridCol w:w="1006"/>
              <w:gridCol w:w="2019"/>
            </w:tblGrid>
            <w:tr w14:paraId="3E0381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pct"/>
                  <w:vMerge w:val="restart"/>
                  <w:tcBorders>
                    <w:right w:val="single" w:color="auto" w:sz="4" w:space="0"/>
                  </w:tcBorders>
                  <w:vAlign w:val="center"/>
                </w:tcPr>
                <w:p w14:paraId="59C31217">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施工期</w:t>
                  </w:r>
                </w:p>
              </w:tc>
              <w:tc>
                <w:tcPr>
                  <w:tcW w:w="2444" w:type="pct"/>
                  <w:vMerge w:val="restart"/>
                  <w:tcBorders>
                    <w:left w:val="single" w:color="auto" w:sz="4" w:space="0"/>
                  </w:tcBorders>
                  <w:vAlign w:val="center"/>
                </w:tcPr>
                <w:p w14:paraId="26F3F540">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《建筑施工噪声排放标准》</w:t>
                  </w:r>
                </w:p>
                <w:p w14:paraId="2B99DED0">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（GB 12523-20</w:t>
                  </w:r>
                  <w:r>
                    <w:rPr>
                      <w:rFonts w:hint="default" w:ascii="Times New Roman" w:hAnsi="Times New Roman" w:cs="Times New Roman"/>
                      <w:color w:val="auto"/>
                      <w:szCs w:val="21"/>
                      <w:lang w:val="en-US" w:eastAsia="zh-CN"/>
                    </w:rPr>
                    <w:t>25</w:t>
                  </w:r>
                  <w:r>
                    <w:rPr>
                      <w:rFonts w:hint="default" w:ascii="Times New Roman" w:hAnsi="Times New Roman" w:cs="Times New Roman"/>
                      <w:color w:val="auto"/>
                      <w:szCs w:val="21"/>
                    </w:rPr>
                    <w:t>）</w:t>
                  </w:r>
                </w:p>
              </w:tc>
              <w:tc>
                <w:tcPr>
                  <w:tcW w:w="607" w:type="pct"/>
                  <w:vMerge w:val="restart"/>
                  <w:tcBorders>
                    <w:right w:val="single" w:color="auto" w:sz="4" w:space="0"/>
                  </w:tcBorders>
                  <w:vAlign w:val="center"/>
                </w:tcPr>
                <w:p w14:paraId="49059EF7">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219" w:type="pct"/>
                  <w:tcBorders>
                    <w:left w:val="single" w:color="auto" w:sz="4" w:space="0"/>
                  </w:tcBorders>
                  <w:vAlign w:val="center"/>
                </w:tcPr>
                <w:p w14:paraId="77B0358E">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昼间：70dB(A)</w:t>
                  </w:r>
                </w:p>
              </w:tc>
            </w:tr>
            <w:tr w14:paraId="2442D2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pct"/>
                  <w:vMerge w:val="continue"/>
                  <w:tcBorders>
                    <w:right w:val="single" w:color="auto" w:sz="4" w:space="0"/>
                  </w:tcBorders>
                  <w:vAlign w:val="center"/>
                </w:tcPr>
                <w:p w14:paraId="279B0B08">
                  <w:pPr>
                    <w:tabs>
                      <w:tab w:val="left" w:pos="4767"/>
                    </w:tabs>
                    <w:spacing w:line="0" w:lineRule="atLeast"/>
                    <w:jc w:val="center"/>
                    <w:rPr>
                      <w:rFonts w:hint="default" w:ascii="Times New Roman" w:hAnsi="Times New Roman" w:cs="Times New Roman"/>
                      <w:color w:val="auto"/>
                      <w:szCs w:val="21"/>
                    </w:rPr>
                  </w:pPr>
                </w:p>
              </w:tc>
              <w:tc>
                <w:tcPr>
                  <w:tcW w:w="2444" w:type="pct"/>
                  <w:vMerge w:val="continue"/>
                  <w:tcBorders>
                    <w:left w:val="single" w:color="auto" w:sz="4" w:space="0"/>
                  </w:tcBorders>
                  <w:vAlign w:val="center"/>
                </w:tcPr>
                <w:p w14:paraId="0202E769">
                  <w:pPr>
                    <w:tabs>
                      <w:tab w:val="left" w:pos="4767"/>
                    </w:tabs>
                    <w:spacing w:line="0" w:lineRule="atLeast"/>
                    <w:jc w:val="center"/>
                    <w:rPr>
                      <w:rFonts w:hint="default" w:ascii="Times New Roman" w:hAnsi="Times New Roman" w:cs="Times New Roman"/>
                      <w:color w:val="auto"/>
                      <w:szCs w:val="21"/>
                    </w:rPr>
                  </w:pPr>
                </w:p>
              </w:tc>
              <w:tc>
                <w:tcPr>
                  <w:tcW w:w="607" w:type="pct"/>
                  <w:vMerge w:val="continue"/>
                  <w:tcBorders>
                    <w:right w:val="single" w:color="auto" w:sz="4" w:space="0"/>
                  </w:tcBorders>
                  <w:vAlign w:val="center"/>
                </w:tcPr>
                <w:p w14:paraId="44744EC8">
                  <w:pPr>
                    <w:tabs>
                      <w:tab w:val="left" w:pos="4767"/>
                    </w:tabs>
                    <w:spacing w:line="0" w:lineRule="atLeast"/>
                    <w:jc w:val="center"/>
                    <w:rPr>
                      <w:rFonts w:hint="default" w:ascii="Times New Roman" w:hAnsi="Times New Roman" w:cs="Times New Roman"/>
                      <w:color w:val="auto"/>
                      <w:szCs w:val="21"/>
                    </w:rPr>
                  </w:pPr>
                </w:p>
              </w:tc>
              <w:tc>
                <w:tcPr>
                  <w:tcW w:w="1219" w:type="pct"/>
                  <w:tcBorders>
                    <w:left w:val="single" w:color="auto" w:sz="4" w:space="0"/>
                  </w:tcBorders>
                  <w:vAlign w:val="center"/>
                </w:tcPr>
                <w:p w14:paraId="3CFF2BDF">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夜间：55dB(A)</w:t>
                  </w:r>
                </w:p>
              </w:tc>
            </w:tr>
            <w:tr w14:paraId="377BC7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pct"/>
                  <w:vMerge w:val="restart"/>
                  <w:tcBorders>
                    <w:right w:val="single" w:color="auto" w:sz="4" w:space="0"/>
                  </w:tcBorders>
                  <w:vAlign w:val="center"/>
                </w:tcPr>
                <w:p w14:paraId="278BB243">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运营期</w:t>
                  </w:r>
                </w:p>
              </w:tc>
              <w:tc>
                <w:tcPr>
                  <w:tcW w:w="2444" w:type="pct"/>
                  <w:vMerge w:val="restart"/>
                  <w:tcBorders>
                    <w:left w:val="single" w:color="auto" w:sz="4" w:space="0"/>
                  </w:tcBorders>
                  <w:vAlign w:val="center"/>
                </w:tcPr>
                <w:p w14:paraId="0299DAE1">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《工业企业厂界环境噪声排放标准》（GB 12348-2008）</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类标准</w:t>
                  </w:r>
                </w:p>
              </w:tc>
              <w:tc>
                <w:tcPr>
                  <w:tcW w:w="607" w:type="pct"/>
                  <w:vMerge w:val="restart"/>
                  <w:tcBorders>
                    <w:right w:val="single" w:color="auto" w:sz="4" w:space="0"/>
                  </w:tcBorders>
                  <w:vAlign w:val="center"/>
                </w:tcPr>
                <w:p w14:paraId="3D036323">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219" w:type="pct"/>
                  <w:tcBorders>
                    <w:left w:val="single" w:color="auto" w:sz="4" w:space="0"/>
                  </w:tcBorders>
                  <w:vAlign w:val="center"/>
                </w:tcPr>
                <w:p w14:paraId="4DAA1AEE">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昼间：6</w:t>
                  </w:r>
                  <w:r>
                    <w:rPr>
                      <w:rFonts w:hint="default" w:ascii="Times New Roman" w:hAnsi="Times New Roman" w:cs="Times New Roman"/>
                      <w:color w:val="auto"/>
                      <w:szCs w:val="21"/>
                      <w:lang w:val="en-US" w:eastAsia="zh-CN"/>
                    </w:rPr>
                    <w:t>0</w:t>
                  </w:r>
                  <w:r>
                    <w:rPr>
                      <w:rFonts w:hint="default" w:ascii="Times New Roman" w:hAnsi="Times New Roman" w:cs="Times New Roman"/>
                      <w:color w:val="auto"/>
                      <w:szCs w:val="21"/>
                    </w:rPr>
                    <w:t>dB(A)</w:t>
                  </w:r>
                </w:p>
              </w:tc>
            </w:tr>
            <w:tr w14:paraId="4783FF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8" w:type="pct"/>
                  <w:vMerge w:val="continue"/>
                  <w:tcBorders>
                    <w:right w:val="single" w:color="auto" w:sz="4" w:space="0"/>
                  </w:tcBorders>
                  <w:vAlign w:val="center"/>
                </w:tcPr>
                <w:p w14:paraId="54E0C332">
                  <w:pPr>
                    <w:tabs>
                      <w:tab w:val="left" w:pos="4767"/>
                    </w:tabs>
                    <w:spacing w:line="0" w:lineRule="atLeast"/>
                    <w:jc w:val="center"/>
                    <w:rPr>
                      <w:rFonts w:hint="default" w:ascii="Times New Roman" w:hAnsi="Times New Roman" w:cs="Times New Roman"/>
                      <w:color w:val="auto"/>
                      <w:szCs w:val="21"/>
                    </w:rPr>
                  </w:pPr>
                </w:p>
              </w:tc>
              <w:tc>
                <w:tcPr>
                  <w:tcW w:w="2444" w:type="pct"/>
                  <w:vMerge w:val="continue"/>
                  <w:tcBorders>
                    <w:left w:val="single" w:color="auto" w:sz="4" w:space="0"/>
                  </w:tcBorders>
                  <w:vAlign w:val="center"/>
                </w:tcPr>
                <w:p w14:paraId="18ACCA93">
                  <w:pPr>
                    <w:tabs>
                      <w:tab w:val="left" w:pos="4767"/>
                    </w:tabs>
                    <w:spacing w:line="0" w:lineRule="atLeast"/>
                    <w:jc w:val="center"/>
                    <w:rPr>
                      <w:rFonts w:hint="default" w:ascii="Times New Roman" w:hAnsi="Times New Roman" w:cs="Times New Roman"/>
                      <w:color w:val="auto"/>
                      <w:szCs w:val="21"/>
                    </w:rPr>
                  </w:pPr>
                </w:p>
              </w:tc>
              <w:tc>
                <w:tcPr>
                  <w:tcW w:w="607" w:type="pct"/>
                  <w:vMerge w:val="continue"/>
                  <w:tcBorders>
                    <w:right w:val="single" w:color="auto" w:sz="4" w:space="0"/>
                  </w:tcBorders>
                  <w:vAlign w:val="center"/>
                </w:tcPr>
                <w:p w14:paraId="0C5F94BF">
                  <w:pPr>
                    <w:tabs>
                      <w:tab w:val="left" w:pos="4767"/>
                    </w:tabs>
                    <w:spacing w:line="0" w:lineRule="atLeast"/>
                    <w:jc w:val="center"/>
                    <w:rPr>
                      <w:rFonts w:hint="default" w:ascii="Times New Roman" w:hAnsi="Times New Roman" w:cs="Times New Roman"/>
                      <w:color w:val="auto"/>
                      <w:szCs w:val="21"/>
                    </w:rPr>
                  </w:pPr>
                </w:p>
              </w:tc>
              <w:tc>
                <w:tcPr>
                  <w:tcW w:w="1219" w:type="pct"/>
                  <w:tcBorders>
                    <w:left w:val="single" w:color="auto" w:sz="4" w:space="0"/>
                  </w:tcBorders>
                  <w:vAlign w:val="center"/>
                </w:tcPr>
                <w:p w14:paraId="64B73A9D">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夜间：5</w:t>
                  </w:r>
                  <w:r>
                    <w:rPr>
                      <w:rFonts w:hint="default" w:ascii="Times New Roman" w:hAnsi="Times New Roman" w:cs="Times New Roman"/>
                      <w:color w:val="auto"/>
                      <w:szCs w:val="21"/>
                      <w:lang w:val="en-US" w:eastAsia="zh-CN"/>
                    </w:rPr>
                    <w:t>0</w:t>
                  </w:r>
                  <w:r>
                    <w:rPr>
                      <w:rFonts w:hint="default" w:ascii="Times New Roman" w:hAnsi="Times New Roman" w:cs="Times New Roman"/>
                      <w:color w:val="auto"/>
                      <w:szCs w:val="21"/>
                    </w:rPr>
                    <w:t>dB(A)</w:t>
                  </w:r>
                </w:p>
              </w:tc>
            </w:tr>
          </w:tbl>
          <w:p w14:paraId="32A530F7">
            <w:pPr>
              <w:tabs>
                <w:tab w:val="left" w:pos="4767"/>
              </w:tabs>
              <w:adjustRightInd w:val="0"/>
              <w:snapToGrid w:val="0"/>
              <w:spacing w:line="360" w:lineRule="auto"/>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4、固体废物控制标准</w:t>
            </w:r>
          </w:p>
          <w:p w14:paraId="1D88115B">
            <w:pPr>
              <w:keepNext w:val="0"/>
              <w:keepLines w:val="0"/>
              <w:pageBreakBefore w:val="0"/>
              <w:widowControl w:val="0"/>
              <w:tabs>
                <w:tab w:val="left" w:pos="4767"/>
              </w:tabs>
              <w:kinsoku/>
              <w:wordWrap/>
              <w:overflowPunct/>
              <w:topLinePunct w:val="0"/>
              <w:autoSpaceDE/>
              <w:autoSpaceDN/>
              <w:bidi w:val="0"/>
              <w:adjustRightInd w:val="0"/>
              <w:snapToGrid w:val="0"/>
              <w:spacing w:line="360" w:lineRule="auto"/>
              <w:ind w:firstLine="514" w:firstLineChars="200"/>
              <w:textAlignment w:val="auto"/>
              <w:rPr>
                <w:rFonts w:hint="default" w:ascii="Times New Roman" w:hAnsi="Times New Roman" w:cs="Times New Roman"/>
                <w:color w:val="auto"/>
                <w:sz w:val="24"/>
                <w:szCs w:val="32"/>
                <w:lang w:val="zh-CN" w:eastAsia="zh-CN"/>
              </w:rPr>
            </w:pPr>
            <w:r>
              <w:rPr>
                <w:rFonts w:hint="default" w:ascii="Times New Roman" w:hAnsi="Times New Roman" w:cs="Times New Roman"/>
                <w:color w:val="auto"/>
                <w:sz w:val="24"/>
                <w:szCs w:val="32"/>
                <w:lang w:val="zh-CN"/>
              </w:rPr>
              <w:t>本项目固废防治和管理按《中华人民共和国固体废物污染环境防治法》及《宁夏回族自治区固体废物污染环境防治条例》有关规定执行；固体废物处理贮存设施满足防渗漏、防雨淋、防扬尘等环境保护要求。</w:t>
            </w:r>
            <w:r>
              <w:rPr>
                <w:rFonts w:hint="default" w:ascii="Times New Roman" w:hAnsi="Times New Roman" w:cs="Times New Roman"/>
                <w:color w:val="auto"/>
                <w:sz w:val="24"/>
                <w:szCs w:val="32"/>
                <w:lang w:val="zh-CN" w:eastAsia="zh-CN"/>
              </w:rPr>
              <w:t>危险废物执行《危险废物贮存污染控制标准》（GB18597-20</w:t>
            </w:r>
            <w:r>
              <w:rPr>
                <w:rFonts w:hint="eastAsia" w:cs="Times New Roman"/>
                <w:color w:val="auto"/>
                <w:sz w:val="24"/>
                <w:szCs w:val="32"/>
                <w:lang w:val="en-US" w:eastAsia="zh-CN"/>
              </w:rPr>
              <w:t>23</w:t>
            </w:r>
            <w:r>
              <w:rPr>
                <w:rFonts w:hint="default" w:ascii="Times New Roman" w:hAnsi="Times New Roman" w:cs="Times New Roman"/>
                <w:color w:val="auto"/>
                <w:sz w:val="24"/>
                <w:szCs w:val="32"/>
                <w:lang w:val="zh-CN" w:eastAsia="zh-CN"/>
              </w:rPr>
              <w:t>）要求。</w:t>
            </w:r>
          </w:p>
        </w:tc>
      </w:tr>
      <w:tr w14:paraId="6C50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97FBFA7">
            <w:pPr>
              <w:tabs>
                <w:tab w:val="left" w:pos="4767"/>
              </w:tabs>
              <w:spacing w:line="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总量控制指标</w:t>
            </w:r>
          </w:p>
        </w:tc>
        <w:tc>
          <w:tcPr>
            <w:tcW w:w="8473" w:type="dxa"/>
          </w:tcPr>
          <w:p w14:paraId="24E83007">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（1）总量控制</w:t>
            </w:r>
          </w:p>
          <w:p w14:paraId="7A874585">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根据宁夏回族自治区生态环境保护领导小组办公室于2021年12月28日《关于印发&lt;宁夏回族自治区“十四五”主要污染物减排综合工作方案&gt;的通知》（宁生态环保办【2021】14号），宁夏大气污染物排放总量控制因子为NOx、VOCs；水污染物排放总量控制因子为COD、NH</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-N。</w:t>
            </w:r>
          </w:p>
          <w:p w14:paraId="3282FC5F">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本项目运营期生活污水</w:t>
            </w:r>
            <w:r>
              <w:rPr>
                <w:rFonts w:hint="default" w:ascii="Times New Roman" w:hAnsi="Times New Roman" w:cs="Times New Roman"/>
                <w:color w:val="auto"/>
                <w:sz w:val="24"/>
                <w:lang w:val="en-US" w:eastAsia="zh-CN"/>
              </w:rPr>
              <w:t>利用砖厂原有旱厕，清掏物定期清运至附近农田</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生产废水经沉淀处理后全部回用，因此本项目废水不需要总量核算。</w:t>
            </w:r>
          </w:p>
          <w:p w14:paraId="6618A87E">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本项目废气</w:t>
            </w:r>
            <w:r>
              <w:rPr>
                <w:rFonts w:hint="default" w:ascii="Times New Roman" w:hAnsi="Times New Roman" w:cs="Times New Roman"/>
                <w:color w:val="auto"/>
                <w:sz w:val="24"/>
                <w:lang w:val="en-US" w:eastAsia="zh-CN"/>
              </w:rPr>
              <w:t>总量控制指标为颗粒物：</w:t>
            </w:r>
            <w:r>
              <w:rPr>
                <w:rFonts w:hint="eastAsia" w:cs="Times New Roman"/>
                <w:color w:val="auto"/>
                <w:sz w:val="24"/>
                <w:lang w:val="en-US" w:eastAsia="zh-CN"/>
              </w:rPr>
              <w:t>4.59</w:t>
            </w:r>
            <w:r>
              <w:rPr>
                <w:rFonts w:hint="default" w:ascii="Times New Roman" w:hAnsi="Times New Roman" w:cs="Times New Roman"/>
                <w:color w:val="auto"/>
                <w:sz w:val="24"/>
                <w:lang w:val="en-US" w:eastAsia="zh-CN"/>
              </w:rPr>
              <w:t>t</w:t>
            </w:r>
            <w:r>
              <w:rPr>
                <w:rFonts w:hint="default" w:ascii="Times New Roman" w:hAnsi="Times New Roman" w:cs="Times New Roman"/>
                <w:color w:val="auto"/>
                <w:sz w:val="24"/>
              </w:rPr>
              <w:t>/a</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SO</w:t>
            </w:r>
            <w:r>
              <w:rPr>
                <w:rFonts w:hint="default" w:ascii="Times New Roman" w:hAnsi="Times New Roman" w:cs="Times New Roman"/>
                <w:color w:val="auto"/>
                <w:sz w:val="24"/>
                <w:vertAlign w:val="subscript"/>
                <w:lang w:val="en-US" w:eastAsia="zh-CN"/>
              </w:rPr>
              <w:t>2</w:t>
            </w:r>
            <w:r>
              <w:rPr>
                <w:rFonts w:hint="default" w:ascii="Times New Roman" w:hAnsi="Times New Roman" w:cs="Times New Roman"/>
                <w:color w:val="auto"/>
                <w:sz w:val="24"/>
                <w:lang w:val="en-US" w:eastAsia="zh-CN"/>
              </w:rPr>
              <w:t>：</w:t>
            </w:r>
            <w:r>
              <w:rPr>
                <w:rFonts w:hint="eastAsia" w:cs="Times New Roman"/>
                <w:color w:val="auto"/>
                <w:sz w:val="24"/>
                <w:lang w:val="en-US" w:eastAsia="zh-CN"/>
              </w:rPr>
              <w:t>0.1876</w:t>
            </w:r>
            <w:r>
              <w:rPr>
                <w:rFonts w:hint="default" w:ascii="Times New Roman" w:hAnsi="Times New Roman" w:cs="Times New Roman"/>
                <w:color w:val="auto"/>
                <w:sz w:val="24"/>
                <w:lang w:val="en-US" w:eastAsia="zh-CN"/>
              </w:rPr>
              <w:t>t/a、NOx：</w:t>
            </w:r>
            <w:r>
              <w:rPr>
                <w:rFonts w:hint="eastAsia" w:cs="Times New Roman"/>
                <w:color w:val="auto"/>
                <w:sz w:val="24"/>
                <w:lang w:val="en-US" w:eastAsia="zh-CN"/>
              </w:rPr>
              <w:t>0.283</w:t>
            </w:r>
            <w:r>
              <w:rPr>
                <w:rFonts w:hint="default" w:ascii="Times New Roman" w:hAnsi="Times New Roman" w:cs="Times New Roman"/>
                <w:color w:val="auto"/>
                <w:sz w:val="24"/>
                <w:lang w:val="en-US" w:eastAsia="zh-CN"/>
              </w:rPr>
              <w:t>t/a</w:t>
            </w:r>
            <w:r>
              <w:rPr>
                <w:rFonts w:hint="default" w:ascii="Times New Roman" w:hAnsi="Times New Roman" w:cs="Times New Roman"/>
                <w:color w:val="auto"/>
                <w:sz w:val="24"/>
              </w:rPr>
              <w:t>。</w:t>
            </w:r>
          </w:p>
          <w:p w14:paraId="5B04DDC3">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（2）排污权交易</w:t>
            </w:r>
          </w:p>
          <w:p w14:paraId="64BC6292">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根据宁夏回族自治区生态环境厅《关于开展主要污染物排污权确权等工作的通知》（宁环办发〔2021〕41号）环境影响评价文件中新（改、扩）建项目新增排污地先期对氮氧化物、二氧化硫和化学需氧量、氨氮四项指标开展核定，并逐步将挥发性有机物以及影响全区环境质量改善的其他特征污染物纳入核定范围。</w:t>
            </w:r>
          </w:p>
          <w:p w14:paraId="283DCC29">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根据宁夏回族自治区生态环境保护领导小组办公室2022年2月28日发布《关于全面深化排污权改革工作的函》（宁生态环保办函〔2022〕2号），排污单位生产废水排入集中式污水处理厂的，按照《宁夏回族自治区排污权交易规则》（宁环规发〔202</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号）的有关要求，对废水主要污染物指标进行核算，纳入环评审批内容，从排污权交易市场购得；依据宁夏回族自治区生态办公厅办公室于2022年3月18日发布《关于优化排污权交易与环评审批排污许可制度衔接流程的通知》（宁环办函〔2022〕23号），新（改、扩）建项目，明确建设项目须在建设期内由全区统一的排污权交易平台通过市场交易方式购得新增排污权指标（包括二氧化硫、氮氧化物、化学需氧量、氨氮），并作为主要污染物总量控制指标的来源和取得排污许可证的前置条件。</w:t>
            </w:r>
          </w:p>
          <w:p w14:paraId="1B11ED00">
            <w:pPr>
              <w:tabs>
                <w:tab w:val="left" w:pos="4767"/>
              </w:tabs>
              <w:ind w:firstLine="490" w:firstLineChars="200"/>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本项目涉及排污权因子</w:t>
            </w:r>
            <w:r>
              <w:rPr>
                <w:rFonts w:hint="default" w:ascii="Times New Roman" w:hAnsi="Times New Roman" w:cs="Times New Roman"/>
                <w:color w:val="auto"/>
                <w:spacing w:val="-6"/>
                <w:sz w:val="24"/>
                <w:lang w:val="en-US" w:eastAsia="zh-CN"/>
              </w:rPr>
              <w:t>为SO</w:t>
            </w:r>
            <w:r>
              <w:rPr>
                <w:rFonts w:hint="default" w:ascii="Times New Roman" w:hAnsi="Times New Roman" w:cs="Times New Roman"/>
                <w:color w:val="auto"/>
                <w:spacing w:val="-6"/>
                <w:sz w:val="24"/>
                <w:vertAlign w:val="subscript"/>
                <w:lang w:val="en-US" w:eastAsia="zh-CN"/>
              </w:rPr>
              <w:t>2</w:t>
            </w:r>
            <w:r>
              <w:rPr>
                <w:rFonts w:hint="default" w:ascii="Times New Roman" w:hAnsi="Times New Roman" w:cs="Times New Roman"/>
                <w:color w:val="auto"/>
                <w:spacing w:val="-6"/>
                <w:sz w:val="24"/>
                <w:lang w:val="en-US" w:eastAsia="zh-CN"/>
              </w:rPr>
              <w:t>：</w:t>
            </w:r>
            <w:r>
              <w:rPr>
                <w:rFonts w:hint="eastAsia" w:cs="Times New Roman"/>
                <w:color w:val="auto"/>
                <w:spacing w:val="-6"/>
                <w:sz w:val="24"/>
                <w:lang w:val="en-US" w:eastAsia="zh-CN"/>
              </w:rPr>
              <w:t>0.1876</w:t>
            </w:r>
            <w:r>
              <w:rPr>
                <w:rFonts w:hint="default" w:ascii="Times New Roman" w:hAnsi="Times New Roman" w:cs="Times New Roman"/>
                <w:color w:val="auto"/>
                <w:spacing w:val="-6"/>
                <w:sz w:val="24"/>
                <w:lang w:val="en-US" w:eastAsia="zh-CN"/>
              </w:rPr>
              <w:t>t/a、NOx：</w:t>
            </w:r>
            <w:r>
              <w:rPr>
                <w:rFonts w:hint="eastAsia" w:cs="Times New Roman"/>
                <w:color w:val="auto"/>
                <w:spacing w:val="-6"/>
                <w:sz w:val="24"/>
                <w:lang w:val="en-US" w:eastAsia="zh-CN"/>
              </w:rPr>
              <w:t>0.283</w:t>
            </w:r>
            <w:r>
              <w:rPr>
                <w:rFonts w:hint="default" w:ascii="Times New Roman" w:hAnsi="Times New Roman" w:cs="Times New Roman"/>
                <w:color w:val="auto"/>
                <w:spacing w:val="-6"/>
                <w:sz w:val="24"/>
                <w:lang w:val="en-US" w:eastAsia="zh-CN"/>
              </w:rPr>
              <w:t>t/a，本次建议企业在全区统一的排污权交易平台通过市场交易方式购得新增排污权指标</w:t>
            </w:r>
            <w:r>
              <w:rPr>
                <w:rFonts w:hint="default" w:ascii="Times New Roman" w:hAnsi="Times New Roman" w:cs="Times New Roman"/>
                <w:color w:val="auto"/>
                <w:spacing w:val="-6"/>
                <w:sz w:val="24"/>
              </w:rPr>
              <w:t>。</w:t>
            </w:r>
          </w:p>
          <w:p w14:paraId="2B627E91">
            <w:pPr>
              <w:tabs>
                <w:tab w:val="left" w:pos="4767"/>
              </w:tabs>
              <w:ind w:firstLine="490" w:firstLineChars="200"/>
              <w:rPr>
                <w:rFonts w:hint="default" w:ascii="Times New Roman" w:hAnsi="Times New Roman" w:cs="Times New Roman"/>
                <w:color w:val="auto"/>
                <w:spacing w:val="-6"/>
                <w:sz w:val="24"/>
              </w:rPr>
            </w:pPr>
          </w:p>
          <w:p w14:paraId="24C714B4">
            <w:pPr>
              <w:tabs>
                <w:tab w:val="left" w:pos="4767"/>
              </w:tabs>
              <w:ind w:firstLine="490" w:firstLineChars="200"/>
              <w:rPr>
                <w:rFonts w:hint="default" w:ascii="Times New Roman" w:hAnsi="Times New Roman" w:cs="Times New Roman"/>
                <w:color w:val="auto"/>
                <w:spacing w:val="-6"/>
                <w:sz w:val="24"/>
              </w:rPr>
            </w:pPr>
          </w:p>
          <w:p w14:paraId="20163F0B">
            <w:pPr>
              <w:tabs>
                <w:tab w:val="left" w:pos="4767"/>
              </w:tabs>
              <w:ind w:firstLine="490" w:firstLineChars="200"/>
              <w:rPr>
                <w:rFonts w:hint="default" w:ascii="Times New Roman" w:hAnsi="Times New Roman" w:cs="Times New Roman"/>
                <w:color w:val="auto"/>
                <w:spacing w:val="-6"/>
                <w:sz w:val="24"/>
              </w:rPr>
            </w:pPr>
          </w:p>
          <w:p w14:paraId="58CB2D82">
            <w:pPr>
              <w:tabs>
                <w:tab w:val="left" w:pos="4767"/>
              </w:tabs>
              <w:ind w:firstLine="490" w:firstLineChars="200"/>
              <w:rPr>
                <w:rFonts w:hint="default" w:ascii="Times New Roman" w:hAnsi="Times New Roman" w:cs="Times New Roman"/>
                <w:color w:val="auto"/>
                <w:spacing w:val="-6"/>
                <w:sz w:val="24"/>
              </w:rPr>
            </w:pPr>
          </w:p>
          <w:p w14:paraId="72B51215">
            <w:pPr>
              <w:tabs>
                <w:tab w:val="left" w:pos="4767"/>
              </w:tabs>
              <w:ind w:firstLine="490" w:firstLineChars="200"/>
              <w:rPr>
                <w:rFonts w:hint="default" w:ascii="Times New Roman" w:hAnsi="Times New Roman" w:cs="Times New Roman"/>
                <w:color w:val="auto"/>
                <w:spacing w:val="-6"/>
                <w:sz w:val="24"/>
              </w:rPr>
            </w:pPr>
          </w:p>
          <w:p w14:paraId="5EF27EC4">
            <w:pPr>
              <w:tabs>
                <w:tab w:val="left" w:pos="4767"/>
              </w:tabs>
              <w:ind w:firstLine="490" w:firstLineChars="200"/>
              <w:rPr>
                <w:rFonts w:hint="default" w:ascii="Times New Roman" w:hAnsi="Times New Roman" w:cs="Times New Roman"/>
                <w:color w:val="auto"/>
                <w:spacing w:val="-6"/>
                <w:sz w:val="24"/>
              </w:rPr>
            </w:pPr>
          </w:p>
          <w:p w14:paraId="7C5FD65B">
            <w:pPr>
              <w:tabs>
                <w:tab w:val="left" w:pos="4767"/>
              </w:tabs>
              <w:ind w:firstLine="490" w:firstLineChars="200"/>
              <w:rPr>
                <w:rFonts w:hint="default" w:ascii="Times New Roman" w:hAnsi="Times New Roman" w:cs="Times New Roman"/>
                <w:color w:val="auto"/>
                <w:spacing w:val="-6"/>
                <w:sz w:val="24"/>
              </w:rPr>
            </w:pPr>
          </w:p>
          <w:p w14:paraId="2DEC68BF">
            <w:pPr>
              <w:tabs>
                <w:tab w:val="left" w:pos="4767"/>
              </w:tabs>
              <w:ind w:firstLine="490" w:firstLineChars="200"/>
              <w:rPr>
                <w:rFonts w:hint="default" w:ascii="Times New Roman" w:hAnsi="Times New Roman" w:cs="Times New Roman"/>
                <w:color w:val="auto"/>
                <w:spacing w:val="-6"/>
                <w:sz w:val="24"/>
              </w:rPr>
            </w:pPr>
          </w:p>
          <w:p w14:paraId="61242EA9">
            <w:pPr>
              <w:tabs>
                <w:tab w:val="left" w:pos="4767"/>
              </w:tabs>
              <w:ind w:firstLine="490" w:firstLineChars="200"/>
              <w:rPr>
                <w:rFonts w:hint="default" w:ascii="Times New Roman" w:hAnsi="Times New Roman" w:cs="Times New Roman"/>
                <w:color w:val="auto"/>
                <w:spacing w:val="-6"/>
                <w:sz w:val="24"/>
              </w:rPr>
            </w:pPr>
          </w:p>
          <w:p w14:paraId="460065CB">
            <w:pPr>
              <w:tabs>
                <w:tab w:val="left" w:pos="4767"/>
              </w:tabs>
              <w:ind w:firstLine="490" w:firstLineChars="200"/>
              <w:rPr>
                <w:rFonts w:hint="default" w:ascii="Times New Roman" w:hAnsi="Times New Roman" w:cs="Times New Roman"/>
                <w:color w:val="auto"/>
                <w:spacing w:val="-6"/>
                <w:sz w:val="24"/>
              </w:rPr>
            </w:pPr>
          </w:p>
          <w:p w14:paraId="7AAA7EFD">
            <w:pPr>
              <w:tabs>
                <w:tab w:val="left" w:pos="4767"/>
              </w:tabs>
              <w:ind w:firstLine="490" w:firstLineChars="200"/>
              <w:rPr>
                <w:rFonts w:hint="default" w:ascii="Times New Roman" w:hAnsi="Times New Roman" w:cs="Times New Roman"/>
                <w:color w:val="auto"/>
                <w:spacing w:val="-6"/>
                <w:sz w:val="24"/>
              </w:rPr>
            </w:pPr>
          </w:p>
          <w:p w14:paraId="2662A64F">
            <w:pPr>
              <w:tabs>
                <w:tab w:val="left" w:pos="4767"/>
              </w:tabs>
              <w:ind w:firstLine="490" w:firstLineChars="200"/>
              <w:rPr>
                <w:rFonts w:hint="default" w:ascii="Times New Roman" w:hAnsi="Times New Roman" w:cs="Times New Roman"/>
                <w:color w:val="auto"/>
                <w:spacing w:val="-6"/>
                <w:sz w:val="24"/>
              </w:rPr>
            </w:pPr>
          </w:p>
          <w:p w14:paraId="16E7E262">
            <w:pPr>
              <w:tabs>
                <w:tab w:val="left" w:pos="4767"/>
              </w:tabs>
              <w:ind w:firstLine="490" w:firstLineChars="200"/>
              <w:rPr>
                <w:rFonts w:hint="default" w:ascii="Times New Roman" w:hAnsi="Times New Roman" w:cs="Times New Roman"/>
                <w:color w:val="auto"/>
                <w:spacing w:val="-6"/>
                <w:sz w:val="24"/>
              </w:rPr>
            </w:pPr>
          </w:p>
          <w:p w14:paraId="771BC75A">
            <w:pPr>
              <w:tabs>
                <w:tab w:val="left" w:pos="4767"/>
              </w:tabs>
              <w:ind w:firstLine="490" w:firstLineChars="200"/>
              <w:rPr>
                <w:rFonts w:hint="default" w:ascii="Times New Roman" w:hAnsi="Times New Roman" w:cs="Times New Roman"/>
                <w:color w:val="auto"/>
                <w:spacing w:val="-6"/>
                <w:sz w:val="24"/>
              </w:rPr>
            </w:pPr>
          </w:p>
          <w:p w14:paraId="1286DA07">
            <w:pPr>
              <w:tabs>
                <w:tab w:val="left" w:pos="4767"/>
              </w:tabs>
              <w:ind w:firstLine="490" w:firstLineChars="200"/>
              <w:rPr>
                <w:rFonts w:hint="default" w:ascii="Times New Roman" w:hAnsi="Times New Roman" w:cs="Times New Roman"/>
                <w:color w:val="auto"/>
                <w:spacing w:val="-6"/>
                <w:sz w:val="24"/>
              </w:rPr>
            </w:pPr>
          </w:p>
          <w:p w14:paraId="2639741B">
            <w:pPr>
              <w:tabs>
                <w:tab w:val="left" w:pos="4767"/>
              </w:tabs>
              <w:ind w:firstLine="490" w:firstLineChars="200"/>
              <w:rPr>
                <w:rFonts w:hint="default" w:ascii="Times New Roman" w:hAnsi="Times New Roman" w:cs="Times New Roman"/>
                <w:color w:val="auto"/>
                <w:spacing w:val="-6"/>
                <w:sz w:val="24"/>
              </w:rPr>
            </w:pPr>
          </w:p>
          <w:p w14:paraId="433F0E4B">
            <w:pPr>
              <w:tabs>
                <w:tab w:val="left" w:pos="4767"/>
              </w:tabs>
              <w:ind w:firstLine="490" w:firstLineChars="200"/>
              <w:rPr>
                <w:rFonts w:hint="default" w:ascii="Times New Roman" w:hAnsi="Times New Roman" w:cs="Times New Roman"/>
                <w:color w:val="auto"/>
                <w:spacing w:val="-6"/>
                <w:sz w:val="24"/>
              </w:rPr>
            </w:pPr>
          </w:p>
          <w:p w14:paraId="72A542AB">
            <w:pPr>
              <w:tabs>
                <w:tab w:val="left" w:pos="4767"/>
              </w:tabs>
              <w:ind w:firstLine="490" w:firstLineChars="200"/>
              <w:rPr>
                <w:rFonts w:hint="default" w:ascii="Times New Roman" w:hAnsi="Times New Roman" w:cs="Times New Roman"/>
                <w:color w:val="auto"/>
                <w:spacing w:val="-6"/>
                <w:sz w:val="24"/>
              </w:rPr>
            </w:pPr>
          </w:p>
          <w:p w14:paraId="570AA134">
            <w:pPr>
              <w:tabs>
                <w:tab w:val="left" w:pos="4767"/>
              </w:tabs>
              <w:ind w:firstLine="490" w:firstLineChars="200"/>
              <w:rPr>
                <w:rFonts w:hint="default" w:ascii="Times New Roman" w:hAnsi="Times New Roman" w:cs="Times New Roman"/>
                <w:color w:val="auto"/>
                <w:spacing w:val="-6"/>
                <w:sz w:val="24"/>
              </w:rPr>
            </w:pPr>
          </w:p>
          <w:p w14:paraId="52E368F7">
            <w:pPr>
              <w:tabs>
                <w:tab w:val="left" w:pos="4767"/>
              </w:tabs>
              <w:ind w:firstLine="490" w:firstLineChars="200"/>
              <w:rPr>
                <w:rFonts w:hint="default" w:ascii="Times New Roman" w:hAnsi="Times New Roman" w:cs="Times New Roman"/>
                <w:color w:val="auto"/>
                <w:spacing w:val="-6"/>
                <w:sz w:val="24"/>
              </w:rPr>
            </w:pPr>
          </w:p>
          <w:p w14:paraId="6B7F65DD">
            <w:pPr>
              <w:tabs>
                <w:tab w:val="left" w:pos="4767"/>
              </w:tabs>
              <w:ind w:firstLine="490" w:firstLineChars="200"/>
              <w:rPr>
                <w:rFonts w:hint="default" w:ascii="Times New Roman" w:hAnsi="Times New Roman" w:cs="Times New Roman"/>
                <w:color w:val="auto"/>
                <w:spacing w:val="-6"/>
                <w:sz w:val="24"/>
              </w:rPr>
            </w:pPr>
          </w:p>
          <w:p w14:paraId="4A718728">
            <w:pPr>
              <w:tabs>
                <w:tab w:val="left" w:pos="4767"/>
              </w:tabs>
              <w:ind w:firstLine="490" w:firstLineChars="200"/>
              <w:rPr>
                <w:rFonts w:hint="default" w:ascii="Times New Roman" w:hAnsi="Times New Roman" w:cs="Times New Roman"/>
                <w:color w:val="auto"/>
                <w:spacing w:val="-6"/>
                <w:sz w:val="24"/>
              </w:rPr>
            </w:pPr>
          </w:p>
          <w:p w14:paraId="49FB2E0C">
            <w:pPr>
              <w:tabs>
                <w:tab w:val="left" w:pos="4767"/>
              </w:tabs>
              <w:rPr>
                <w:rFonts w:hint="default" w:ascii="Times New Roman" w:hAnsi="Times New Roman" w:cs="Times New Roman"/>
                <w:color w:val="auto"/>
                <w:spacing w:val="-6"/>
                <w:sz w:val="24"/>
                <w:lang w:val="zh-CN"/>
              </w:rPr>
            </w:pPr>
          </w:p>
        </w:tc>
      </w:tr>
    </w:tbl>
    <w:p w14:paraId="68BEB21F">
      <w:pPr>
        <w:tabs>
          <w:tab w:val="left" w:pos="4767"/>
        </w:tabs>
        <w:rPr>
          <w:rFonts w:hint="default" w:ascii="Times New Roman" w:hAnsi="Times New Roman" w:cs="Times New Roman"/>
          <w:color w:val="auto"/>
        </w:rPr>
        <w:sectPr>
          <w:pgSz w:w="11905" w:h="16838"/>
          <w:pgMar w:top="1417" w:right="1417" w:bottom="1417" w:left="1417" w:header="851" w:footer="964" w:gutter="0"/>
          <w:pgBorders>
            <w:top w:val="none" w:sz="0" w:space="0"/>
            <w:left w:val="none" w:sz="0" w:space="0"/>
            <w:bottom w:val="none" w:sz="0" w:space="0"/>
            <w:right w:val="none" w:sz="0" w:space="0"/>
          </w:pgBorders>
          <w:cols w:space="0" w:num="1"/>
          <w:docGrid w:type="linesAndChars" w:linePitch="466" w:charSpace="3482"/>
        </w:sectPr>
      </w:pPr>
    </w:p>
    <w:p w14:paraId="76C44E43">
      <w:pPr>
        <w:tabs>
          <w:tab w:val="left" w:pos="4767"/>
        </w:tabs>
        <w:jc w:val="center"/>
        <w:outlineLvl w:val="0"/>
        <w:rPr>
          <w:rFonts w:hint="default" w:ascii="Times New Roman" w:hAnsi="Times New Roman" w:cs="Times New Roman"/>
          <w:color w:val="auto"/>
        </w:rPr>
      </w:pPr>
      <w:r>
        <w:rPr>
          <w:rFonts w:hint="default" w:ascii="Times New Roman" w:hAnsi="Times New Roman" w:eastAsia="黑体" w:cs="Times New Roman"/>
          <w:snapToGrid w:val="0"/>
          <w:color w:val="auto"/>
          <w:sz w:val="30"/>
          <w:szCs w:val="30"/>
        </w:rPr>
        <w:t>四、主要环境影响和保护措施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8425"/>
      </w:tblGrid>
      <w:tr w14:paraId="231D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Align w:val="center"/>
          </w:tcPr>
          <w:p w14:paraId="63FB5BF8">
            <w:pPr>
              <w:tabs>
                <w:tab w:val="left" w:pos="4767"/>
              </w:tabs>
              <w:spacing w:line="0" w:lineRule="atLeast"/>
              <w:jc w:val="center"/>
              <w:rPr>
                <w:rFonts w:hint="default" w:ascii="Times New Roman" w:hAnsi="Times New Roman" w:cs="Times New Roman"/>
                <w:color w:val="auto"/>
              </w:rPr>
            </w:pPr>
            <w:r>
              <w:rPr>
                <w:rFonts w:hint="default" w:ascii="Times New Roman" w:hAnsi="Times New Roman" w:cs="Times New Roman"/>
                <w:color w:val="auto"/>
                <w:sz w:val="24"/>
              </w:rPr>
              <w:t>施工期环境保护措施</w:t>
            </w:r>
          </w:p>
        </w:tc>
        <w:tc>
          <w:tcPr>
            <w:tcW w:w="4535" w:type="pct"/>
            <w:vAlign w:val="center"/>
          </w:tcPr>
          <w:p w14:paraId="646D7D6B">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1、施工期大气环境保护措施</w:t>
            </w:r>
          </w:p>
          <w:p w14:paraId="57716DBA">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根据《关于进一步加强施工工地和道路扬尘管控工作的通知》（建办质〔2019〕23号），本项目施工期应落实如下施工扬尘污染防治措施：</w:t>
            </w:r>
          </w:p>
          <w:p w14:paraId="358B5C13">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（1）施工单位应建立健全施工扬尘治理责任制，严格执行施工工地扬尘治理实施方案，设专职管理人员负责落实扬尘治理措施。将项目扬尘防控经费纳入项目预算。</w:t>
            </w:r>
          </w:p>
          <w:p w14:paraId="3E582722">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对施工现场和建筑体分别采取围栏、设置工棚、覆盖遮蔽等措施，阻隔施工扬尘污染；施工围挡（墙）要规范封闭、连续设置，材质、高度符合标准，做到坚固、整齐、洁净、美观，鼓励使用定型化设施围挡。</w:t>
            </w:r>
          </w:p>
          <w:p w14:paraId="56E22236">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3）土方开挖、运输和填筑、易产生扬尘工序等施工时，必须进行湿法作业，应配备足量除尘雾炮、喷淋设施。气象预报5级以上大风或重度污染天气时，严禁土方开挖、回填、转运以及其他可能产生扬尘污染的施工，并做好作业面覆盖工作。</w:t>
            </w:r>
          </w:p>
          <w:p w14:paraId="3C4749CF">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（4）施工现场内存放的土堆、水洗砂、石灰等易产生扬尘的材料和裸露土地要使用防尘网等材料进行覆盖或进行绿化，覆盖要封闭严密，破损的要及时修复。</w:t>
            </w:r>
          </w:p>
          <w:p w14:paraId="15E75C06">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（5）现场主要道路必须进行硬化，防止起尘。施工场地出入口，配备专门的清洗设备和人员，负责对出入工地的运输车辆及时冲洗，不得携带泥土驶出施工工地；车辆冲洗设施要完好、有效，正常使用。</w:t>
            </w:r>
          </w:p>
          <w:p w14:paraId="67C21324">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（6）运输车辆应当采取密闭或者其他措施防止物料遗撒造成扬尘污染，并按照规定路线行驶。</w:t>
            </w:r>
          </w:p>
          <w:p w14:paraId="1B65386D">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（7）项目完工后应及时清理和平整场地，按要求对地面绿化，当年不能绿化的，在主体工程完工后一个月内对裸露地面采取有效措施，防止扬尘污染。</w:t>
            </w:r>
          </w:p>
          <w:p w14:paraId="15327A1A">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（8）建筑工地全面落实“六个100%”的扬尘防控措施：</w:t>
            </w:r>
          </w:p>
          <w:p w14:paraId="4C82FC61">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①100%标准围挡。</w:t>
            </w:r>
          </w:p>
          <w:p w14:paraId="5818F346">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②裸露黄土100%覆盖。未能及时清运或要存留的土方必须集中堆放，同时采取密目网覆盖或绿化措施，定时进行洒水、防止扬尘产生。</w:t>
            </w:r>
          </w:p>
          <w:p w14:paraId="50399CB2">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③施工道路100%硬化。施工现场内主要道路必须进行硬化处理，根据项目规模配备相应数量的专职保洁人员清扫保洁，保持道路干净无扬尘。</w:t>
            </w:r>
          </w:p>
          <w:p w14:paraId="4D3D3174">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④渣土运输车辆100%密闭拉运。渣土车辆进行清运时必须采取密闭措施，防止车辆在行进过程中出现扬尘或造土漏撒。</w:t>
            </w:r>
          </w:p>
          <w:p w14:paraId="3F9F1259">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⑤施工现场出入车辆100%冲洗清洁。新建项目工地必须严格按照《图例》标准在出入口设置车辆冲洗台；有条件的在建项目工地出入口冲洗参照《图例》进行完善。现场安排保洁人员用高压水枪对车辆槽帮和车轮进行补充冲洗，确保所有运输车辆干净出场，严禁带泥上路。</w:t>
            </w:r>
          </w:p>
          <w:p w14:paraId="548FA6B0">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⑥建筑物拆除100%湿法作业。对建筑物实施拆除时，必须辅以持续加压洒水或喷淋措施，抑制扬尘污染。</w:t>
            </w:r>
          </w:p>
          <w:p w14:paraId="25FA9D48">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综上，本项目只要加强管理、切实落实好以上防治措施，施工场地扬尘对环境的影响较小。</w:t>
            </w:r>
          </w:p>
          <w:p w14:paraId="1A70A9DA">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2、施工期水环境保护措施</w:t>
            </w:r>
          </w:p>
          <w:p w14:paraId="6F30C9BD">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本项目施工期产生的废水主要为施工废水和生活污水。</w:t>
            </w:r>
          </w:p>
          <w:p w14:paraId="3DB844AE">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施工期生产废水和生活污水若不妥善处理将会造成一定的环境污染，因此建议施工期废水做好以下防治措施：</w:t>
            </w:r>
          </w:p>
          <w:p w14:paraId="612FAC23">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（1）项目施工期间，施工单位应严格执行《建设工程施工场地文明施工及环境管理暂行规定》，对地面水的排放进行组织设计，严禁乱排、乱流污染道路及周边环境；</w:t>
            </w:r>
          </w:p>
          <w:p w14:paraId="7CEBAE40">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（2）施工时产生的废水应设置临时沉淀池，含泥沙雨水、生产废水经沉沙池沉淀后回用到场地洒水降尘，生活污水</w:t>
            </w:r>
            <w:r>
              <w:rPr>
                <w:rFonts w:hint="default" w:ascii="Times New Roman" w:hAnsi="Times New Roman" w:cs="Times New Roman"/>
                <w:bCs/>
                <w:color w:val="auto"/>
                <w:sz w:val="24"/>
                <w:lang w:val="en-US" w:eastAsia="zh-CN"/>
              </w:rPr>
              <w:t>利用砖厂原有旱厕，清掏物运至附近农田施肥</w:t>
            </w:r>
            <w:r>
              <w:rPr>
                <w:rFonts w:hint="default" w:ascii="Times New Roman" w:hAnsi="Times New Roman" w:cs="Times New Roman"/>
                <w:bCs/>
                <w:color w:val="auto"/>
                <w:sz w:val="24"/>
              </w:rPr>
              <w:t>。</w:t>
            </w:r>
          </w:p>
          <w:p w14:paraId="7888D0E5">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综上所述，在采取本次评价提出的防治措施后，项目施工过程对周围环境的不利影响较小。</w:t>
            </w:r>
          </w:p>
          <w:p w14:paraId="33C2E6F1">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3、施工期声环境保护措施</w:t>
            </w:r>
          </w:p>
          <w:p w14:paraId="572267DE">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项目施工期噪声主要为施工作业产生的噪声。主要来源于运输车辆、挖掘机、推土机等施工机械作业时产生的噪声，噪声值在76~85dB（A）之间。</w:t>
            </w:r>
          </w:p>
          <w:p w14:paraId="5DF791F4">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为了减轻本项目施工期噪声的环境影响，需采取以下控制措施：</w:t>
            </w:r>
          </w:p>
          <w:p w14:paraId="7DA72377">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（1）合理布局施工现场：避免在同一地点安排大量动力机械设备，以避免局部累积声级过高；</w:t>
            </w:r>
          </w:p>
          <w:p w14:paraId="100886AB">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（2）合理安排施工时间：制定施工计划时，应尽可能避免大量高噪声设备同时施工；禁止夜间施工；工艺要求的夜间施工必须报请环境保护管理部门同意；</w:t>
            </w:r>
          </w:p>
          <w:p w14:paraId="3222FA1B">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3）施工时采用降噪作业方式：施工机械选型时尽量选用可替代的低噪声的设备，对动力机械设备进行定期的维修、养护，避免设备因松动部件的振动或消声器的损坏而增加其工作时的声压级；设备用完后或不用时应立即关闭；</w:t>
            </w:r>
          </w:p>
          <w:p w14:paraId="02E1A931">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（4）降低人为噪声：按规定操作机械设备，管道装卸过程中，尽量减少碰撞声音；尽量少用哨子、笛等指挥作业；</w:t>
            </w:r>
          </w:p>
          <w:p w14:paraId="262465F0">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（5）设立禁止汽车鸣笛标志，控制汽车鸣笛。</w:t>
            </w:r>
          </w:p>
          <w:p w14:paraId="5D677750">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施工期对环境产生的上述影响，均为可逆的、短期的。建设单位和施工单位在施工过程中只要切实强化扬尘、噪声、固体废物的管理和控制措施落实，施工期环境影响将得到有效控制。</w:t>
            </w:r>
          </w:p>
          <w:p w14:paraId="655921B6">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4、施工期固体废物保护措施</w:t>
            </w:r>
          </w:p>
          <w:p w14:paraId="276F214E">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施工现场的固体废物主要来源于生活垃圾及建筑垃圾。</w:t>
            </w:r>
          </w:p>
          <w:p w14:paraId="6D5D6D2C">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本项目施工期人员约</w:t>
            </w:r>
            <w:r>
              <w:rPr>
                <w:rFonts w:hint="eastAsia" w:cs="Times New Roman"/>
                <w:color w:val="auto"/>
                <w:sz w:val="24"/>
                <w:lang w:val="en-US" w:eastAsia="zh-CN"/>
              </w:rPr>
              <w:t>10</w:t>
            </w:r>
            <w:r>
              <w:rPr>
                <w:rFonts w:hint="default" w:ascii="Times New Roman" w:hAnsi="Times New Roman" w:cs="Times New Roman"/>
                <w:color w:val="auto"/>
                <w:sz w:val="24"/>
              </w:rPr>
              <w:t>人，生活垃圾产生量以0.5kg/人·d计，施工期生活垃圾最大产生量为</w:t>
            </w:r>
            <w:r>
              <w:rPr>
                <w:rFonts w:hint="eastAsia" w:cs="Times New Roman"/>
                <w:color w:val="auto"/>
                <w:sz w:val="24"/>
                <w:lang w:val="en-US" w:eastAsia="zh-CN"/>
              </w:rPr>
              <w:t>5</w:t>
            </w:r>
            <w:r>
              <w:rPr>
                <w:rFonts w:hint="default" w:ascii="Times New Roman" w:hAnsi="Times New Roman" w:cs="Times New Roman"/>
                <w:color w:val="auto"/>
                <w:sz w:val="24"/>
              </w:rPr>
              <w:t>kg/d，生活垃圾集中收集后交由环卫部门统一清运处置。</w:t>
            </w:r>
            <w:r>
              <w:rPr>
                <w:rFonts w:hint="default" w:ascii="Times New Roman" w:hAnsi="Times New Roman" w:cs="Times New Roman"/>
                <w:color w:val="auto"/>
                <w:sz w:val="24"/>
                <w:lang w:val="en-US" w:eastAsia="zh-CN"/>
              </w:rPr>
              <w:t>施工产生的建筑垃圾须及时清运至市政规定的建筑垃圾堆放点。</w:t>
            </w:r>
          </w:p>
          <w:p w14:paraId="7A7CDC55">
            <w:pPr>
              <w:tabs>
                <w:tab w:val="left" w:pos="4767"/>
              </w:tabs>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通过以上措施，项目施工期产生的固体废物对环境的不利影响较小。</w:t>
            </w:r>
          </w:p>
        </w:tc>
      </w:tr>
      <w:tr w14:paraId="35D5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pct"/>
            <w:vAlign w:val="center"/>
          </w:tcPr>
          <w:p w14:paraId="436B0245">
            <w:pPr>
              <w:tabs>
                <w:tab w:val="left" w:pos="4767"/>
              </w:tabs>
              <w:spacing w:line="0" w:lineRule="atLeast"/>
              <w:jc w:val="center"/>
              <w:rPr>
                <w:rFonts w:hint="default" w:ascii="Times New Roman" w:hAnsi="Times New Roman" w:cs="Times New Roman"/>
                <w:color w:val="auto"/>
                <w:sz w:val="24"/>
              </w:rPr>
            </w:pPr>
            <w:r>
              <w:rPr>
                <w:rFonts w:hint="default" w:ascii="Times New Roman" w:hAnsi="Times New Roman" w:cs="Times New Roman"/>
                <w:color w:val="auto"/>
                <w:sz w:val="24"/>
              </w:rPr>
              <w:t>运营期环境影响和保护措施</w:t>
            </w:r>
          </w:p>
        </w:tc>
        <w:tc>
          <w:tcPr>
            <w:tcW w:w="4535" w:type="pct"/>
          </w:tcPr>
          <w:p w14:paraId="7B42F205">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1、废气</w:t>
            </w:r>
          </w:p>
          <w:p w14:paraId="524BABAB">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（1）污染源强核算及达标情况分析</w:t>
            </w:r>
          </w:p>
          <w:p w14:paraId="3C0590B8">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本项目运营期废气污染物主要为矿石下料、输送、筛分、烘干过程中产生的粉尘；烘干筒中天然气燃烧产生的烟气；矿粉罐粉尘；沥青加热、搅拌缸搅拌及成品装车过程中产生的沥青烟气、苯并[a]芘；导热炉天然气燃烧产生的烟气。</w:t>
            </w:r>
          </w:p>
          <w:p w14:paraId="3C8DB544">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①</w:t>
            </w:r>
            <w:r>
              <w:rPr>
                <w:rFonts w:hint="default" w:ascii="Times New Roman" w:hAnsi="Times New Roman" w:cs="Times New Roman"/>
                <w:color w:val="auto"/>
                <w:sz w:val="24"/>
                <w:szCs w:val="32"/>
                <w:lang w:val="en-US" w:eastAsia="zh-CN"/>
              </w:rPr>
              <w:t>矿石加料及输送产生的粉尘</w:t>
            </w:r>
          </w:p>
          <w:p w14:paraId="318A4748">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本项目在矿石输送时会产生粉尘。矿石冷配在冷料斗中进行，非</w:t>
            </w:r>
            <w:r>
              <w:rPr>
                <w:rFonts w:hint="eastAsia" w:cs="Times New Roman"/>
                <w:color w:val="auto"/>
                <w:sz w:val="24"/>
                <w:szCs w:val="32"/>
                <w:lang w:val="en-US" w:eastAsia="zh-CN"/>
              </w:rPr>
              <w:t>加</w:t>
            </w:r>
            <w:r>
              <w:rPr>
                <w:rFonts w:hint="default" w:ascii="Times New Roman" w:hAnsi="Times New Roman" w:cs="Times New Roman"/>
                <w:color w:val="auto"/>
                <w:sz w:val="24"/>
                <w:szCs w:val="32"/>
                <w:lang w:val="en-US" w:eastAsia="zh-CN"/>
              </w:rPr>
              <w:t>料状态时处于封闭状态，</w:t>
            </w:r>
            <w:r>
              <w:rPr>
                <w:rFonts w:hint="eastAsia" w:cs="Times New Roman"/>
                <w:color w:val="auto"/>
                <w:sz w:val="24"/>
                <w:szCs w:val="32"/>
                <w:lang w:val="en-US" w:eastAsia="zh-CN"/>
              </w:rPr>
              <w:t>加</w:t>
            </w:r>
            <w:r>
              <w:rPr>
                <w:rFonts w:hint="default" w:ascii="Times New Roman" w:hAnsi="Times New Roman" w:cs="Times New Roman"/>
                <w:color w:val="auto"/>
                <w:sz w:val="24"/>
                <w:szCs w:val="32"/>
                <w:lang w:val="en-US" w:eastAsia="zh-CN"/>
              </w:rPr>
              <w:t>料时</w:t>
            </w:r>
            <w:r>
              <w:rPr>
                <w:rFonts w:hint="eastAsia" w:cs="Times New Roman"/>
                <w:color w:val="auto"/>
                <w:sz w:val="24"/>
                <w:szCs w:val="32"/>
                <w:lang w:val="en-US" w:eastAsia="zh-CN"/>
              </w:rPr>
              <w:t>加</w:t>
            </w:r>
            <w:r>
              <w:rPr>
                <w:rFonts w:hint="default" w:ascii="Times New Roman" w:hAnsi="Times New Roman" w:cs="Times New Roman"/>
                <w:color w:val="auto"/>
                <w:sz w:val="24"/>
                <w:szCs w:val="32"/>
                <w:lang w:val="en-US" w:eastAsia="zh-CN"/>
              </w:rPr>
              <w:t>料仓开启一面，将不同粒径的矿石分别送入冷料斗。参考《逸散性工业粉尘控制技术》沥青混凝土厂，</w:t>
            </w:r>
            <w:r>
              <w:rPr>
                <w:rFonts w:hint="eastAsia" w:cs="Times New Roman"/>
                <w:color w:val="auto"/>
                <w:sz w:val="24"/>
                <w:szCs w:val="32"/>
                <w:lang w:val="en-US" w:eastAsia="zh-CN"/>
              </w:rPr>
              <w:t>加</w:t>
            </w:r>
            <w:r>
              <w:rPr>
                <w:rFonts w:hint="default" w:ascii="Times New Roman" w:hAnsi="Times New Roman" w:cs="Times New Roman"/>
                <w:color w:val="auto"/>
                <w:sz w:val="24"/>
                <w:szCs w:val="32"/>
                <w:lang w:val="en-US" w:eastAsia="zh-CN"/>
              </w:rPr>
              <w:t>料粉尘排放因子为0.02kg/t（上堆料），本项目矿石用量144000t/a，则粉尘的产生量为2.88t/a。建设单位拟在冷料斗一侧安装软帘有效防止粉尘无序外溢，同时在</w:t>
            </w:r>
            <w:r>
              <w:rPr>
                <w:rFonts w:hint="eastAsia" w:cs="Times New Roman"/>
                <w:color w:val="auto"/>
                <w:sz w:val="24"/>
                <w:szCs w:val="32"/>
                <w:lang w:val="en-US" w:eastAsia="zh-CN"/>
              </w:rPr>
              <w:t>加</w:t>
            </w:r>
            <w:r>
              <w:rPr>
                <w:rFonts w:hint="default" w:ascii="Times New Roman" w:hAnsi="Times New Roman" w:cs="Times New Roman"/>
                <w:color w:val="auto"/>
                <w:sz w:val="24"/>
                <w:szCs w:val="32"/>
                <w:lang w:val="en-US" w:eastAsia="zh-CN"/>
              </w:rPr>
              <w:t>料口内侧安装吸尘装置对粉尘进行收集</w:t>
            </w:r>
            <w:r>
              <w:rPr>
                <w:rFonts w:hint="eastAsia" w:cs="Times New Roman"/>
                <w:color w:val="auto"/>
                <w:sz w:val="24"/>
                <w:szCs w:val="32"/>
                <w:lang w:val="en-US" w:eastAsia="zh-CN"/>
              </w:rPr>
              <w:t>（收集效率90%）</w:t>
            </w:r>
            <w:r>
              <w:rPr>
                <w:rFonts w:hint="default" w:ascii="Times New Roman" w:hAnsi="Times New Roman" w:cs="Times New Roman"/>
                <w:color w:val="auto"/>
                <w:sz w:val="24"/>
                <w:szCs w:val="32"/>
                <w:lang w:val="en-US" w:eastAsia="zh-CN"/>
              </w:rPr>
              <w:t>经袋式除尘器（除尘效率≥99%），除尘系统为末端引风方式，整个除尘系统呈负压状态，引风机风量约10000m³/h，废气经1#布袋除尘器处理后通过15m排气筒（DA001）排入大气，故项目矿石加料及输送的粉尘产生量约为2.88t/a，粉尘产生的速率约为1.44kg/h，产生浓度为144mg/m³（年工作200d，每天工作10h），排放量为0.02</w:t>
            </w:r>
            <w:r>
              <w:rPr>
                <w:rFonts w:hint="eastAsia" w:cs="Times New Roman"/>
                <w:color w:val="auto"/>
                <w:sz w:val="24"/>
                <w:szCs w:val="32"/>
                <w:lang w:val="en-US" w:eastAsia="zh-CN"/>
              </w:rPr>
              <w:t>6</w:t>
            </w:r>
            <w:r>
              <w:rPr>
                <w:rFonts w:hint="default" w:ascii="Times New Roman" w:hAnsi="Times New Roman" w:cs="Times New Roman"/>
                <w:color w:val="auto"/>
                <w:sz w:val="24"/>
                <w:szCs w:val="32"/>
                <w:lang w:val="en-US" w:eastAsia="zh-CN"/>
              </w:rPr>
              <w:t>t/a，粉尘排放速率约为0.01</w:t>
            </w:r>
            <w:r>
              <w:rPr>
                <w:rFonts w:hint="eastAsia" w:cs="Times New Roman"/>
                <w:color w:val="auto"/>
                <w:sz w:val="24"/>
                <w:szCs w:val="32"/>
                <w:lang w:val="en-US" w:eastAsia="zh-CN"/>
              </w:rPr>
              <w:t>3</w:t>
            </w:r>
            <w:r>
              <w:rPr>
                <w:rFonts w:hint="default" w:ascii="Times New Roman" w:hAnsi="Times New Roman" w:cs="Times New Roman"/>
                <w:color w:val="auto"/>
                <w:sz w:val="24"/>
                <w:szCs w:val="32"/>
                <w:lang w:val="en-US" w:eastAsia="zh-CN"/>
              </w:rPr>
              <w:t>kg/h，排放浓度为</w:t>
            </w:r>
            <w:r>
              <w:rPr>
                <w:rFonts w:hint="eastAsia" w:cs="Times New Roman"/>
                <w:color w:val="auto"/>
                <w:sz w:val="24"/>
                <w:szCs w:val="32"/>
                <w:lang w:val="en-US" w:eastAsia="zh-CN"/>
              </w:rPr>
              <w:t>1.296</w:t>
            </w:r>
            <w:r>
              <w:rPr>
                <w:rFonts w:hint="default" w:ascii="Times New Roman" w:hAnsi="Times New Roman" w:cs="Times New Roman"/>
                <w:color w:val="auto"/>
                <w:sz w:val="24"/>
                <w:szCs w:val="32"/>
                <w:lang w:val="en-US" w:eastAsia="zh-CN"/>
              </w:rPr>
              <w:t>mg/m³。</w:t>
            </w:r>
          </w:p>
          <w:p w14:paraId="20DD560C">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②烘干筒天然气燃烧废气、烘干粉尘</w:t>
            </w:r>
          </w:p>
          <w:p w14:paraId="293C1DFE">
            <w:pPr>
              <w:tabs>
                <w:tab w:val="left" w:pos="4767"/>
              </w:tabs>
              <w:ind w:firstLine="514"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为使沥青混凝土产品不至于因过快冷却而带来运输上的不便，矿石在与沥青混合搅拌前要经过加热处理，烘干筒内通过燃烧器燃烧天然气释放热源以此来加热矿石。矿石在烘干滚筒内翻滚过程中产生粉尘、燃烧器燃烧天然气产生废气。本项目采用间歇式沥青混合料搅拌设备，该套设备自带较完备的粉尘收集系统，对干烘干筒产生的含尘废气全部进入废气处理系统；项目设置的废气处理系统采用水喷淋+低温等离子净化（效率为90%），废气处理系统为末端引风方式，整个除尘系统呈负压状态，引风机风量约</w:t>
            </w:r>
            <w:r>
              <w:rPr>
                <w:rFonts w:hint="eastAsia" w:cs="Times New Roman"/>
                <w:color w:val="auto"/>
                <w:sz w:val="24"/>
                <w:szCs w:val="32"/>
                <w:lang w:val="en-US" w:eastAsia="zh-CN"/>
              </w:rPr>
              <w:t>5</w:t>
            </w:r>
            <w:r>
              <w:rPr>
                <w:rFonts w:hint="default" w:ascii="Times New Roman" w:hAnsi="Times New Roman" w:cs="Times New Roman"/>
                <w:color w:val="auto"/>
                <w:sz w:val="24"/>
                <w:szCs w:val="32"/>
                <w:lang w:val="en-US" w:eastAsia="zh-CN"/>
              </w:rPr>
              <w:t>000m³/h，废气经水喷淋+低温等离子净化后通过15m高排气筒（DA002）排出。烘干的矿石比重比较大，粉尘产生量较小，该部分粉尘根据《逸散性工业粉尘控制技术》（中国环境科学出版社）矿石在烘干等工序中粉尘的产生系数为0.1565kg/t原料。本项目矿石用量约为144000t/a，故项目沥青矿石烘干粉尘产生量约为22.54t/a，粉尘产生的速率约为11.27kg/h，产生浓度为</w:t>
            </w:r>
            <w:r>
              <w:rPr>
                <w:rFonts w:hint="eastAsia" w:cs="Times New Roman"/>
                <w:color w:val="auto"/>
                <w:sz w:val="24"/>
                <w:szCs w:val="32"/>
                <w:lang w:val="en-US" w:eastAsia="zh-CN"/>
              </w:rPr>
              <w:t>2254</w:t>
            </w:r>
            <w:r>
              <w:rPr>
                <w:rFonts w:hint="default" w:ascii="Times New Roman" w:hAnsi="Times New Roman" w:cs="Times New Roman"/>
                <w:color w:val="auto"/>
                <w:sz w:val="24"/>
                <w:szCs w:val="32"/>
                <w:lang w:val="en-US" w:eastAsia="zh-CN"/>
              </w:rPr>
              <w:t>mg/m³（年工作200d，每天工作10h），排放量为2.254t/a，粉尘排放速率约为1.127kg/h，排放浓度为</w:t>
            </w:r>
            <w:r>
              <w:rPr>
                <w:rFonts w:hint="eastAsia" w:cs="Times New Roman"/>
                <w:color w:val="auto"/>
                <w:sz w:val="24"/>
                <w:szCs w:val="32"/>
                <w:lang w:val="en-US" w:eastAsia="zh-CN"/>
              </w:rPr>
              <w:t>225.4</w:t>
            </w:r>
            <w:r>
              <w:rPr>
                <w:rFonts w:hint="default" w:ascii="Times New Roman" w:hAnsi="Times New Roman" w:cs="Times New Roman"/>
                <w:color w:val="auto"/>
                <w:sz w:val="24"/>
                <w:szCs w:val="32"/>
                <w:lang w:val="en-US" w:eastAsia="zh-CN"/>
              </w:rPr>
              <w:t>mg/m³</w:t>
            </w:r>
            <w:r>
              <w:rPr>
                <w:rFonts w:hint="eastAsia" w:cs="Times New Roman"/>
                <w:color w:val="auto"/>
                <w:sz w:val="24"/>
                <w:szCs w:val="32"/>
                <w:lang w:val="en-US" w:eastAsia="zh-CN"/>
              </w:rPr>
              <w:t>（DA002混合排放浓度见表4-5）</w:t>
            </w:r>
            <w:r>
              <w:rPr>
                <w:rFonts w:hint="default" w:ascii="Times New Roman" w:hAnsi="Times New Roman" w:cs="Times New Roman"/>
                <w:color w:val="auto"/>
                <w:sz w:val="24"/>
                <w:szCs w:val="32"/>
                <w:lang w:val="en-US" w:eastAsia="zh-CN"/>
              </w:rPr>
              <w:t>。</w:t>
            </w:r>
          </w:p>
          <w:p w14:paraId="128D7294">
            <w:pPr>
              <w:tabs>
                <w:tab w:val="left" w:pos="4767"/>
              </w:tabs>
              <w:ind w:firstLine="514"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项目采用燃烧器向热风炉喷入火焰的方式对矿石进行烘干，本项目以天然气为燃料，天然气燃烧产生烟气。烟气主要成份为烟尘、SO</w:t>
            </w:r>
            <w:r>
              <w:rPr>
                <w:rFonts w:hint="default" w:ascii="Times New Roman" w:hAnsi="Times New Roman" w:cs="Times New Roman"/>
                <w:color w:val="auto"/>
                <w:sz w:val="24"/>
                <w:szCs w:val="32"/>
                <w:vertAlign w:val="subscript"/>
                <w:lang w:val="en-US" w:eastAsia="zh-CN"/>
              </w:rPr>
              <w:t>2</w:t>
            </w:r>
            <w:r>
              <w:rPr>
                <w:rFonts w:hint="default" w:ascii="Times New Roman" w:hAnsi="Times New Roman" w:cs="Times New Roman"/>
                <w:color w:val="auto"/>
                <w:sz w:val="24"/>
                <w:szCs w:val="32"/>
                <w:lang w:val="en-US" w:eastAsia="zh-CN"/>
              </w:rPr>
              <w:t>、NOx。根据建设单位提供，天然气年用量约为7.3万m³（年使用时间约为2000h）。参考《关于第二次全国污染源普查工业污染源产排污系数手册》表4430及《排污许可证申请与核发技术规范锅炉》（HJ953-2018）表F.3燃气工业锅炉的废气产排污系数及《实用环境保护数据大全》（湖北人民出版社1999年4月）中相关产排污系数进行核算，本项目热风炉NOx、SO</w:t>
            </w:r>
            <w:r>
              <w:rPr>
                <w:rFonts w:hint="default" w:ascii="Times New Roman" w:hAnsi="Times New Roman" w:cs="Times New Roman"/>
                <w:color w:val="auto"/>
                <w:sz w:val="24"/>
                <w:szCs w:val="32"/>
                <w:vertAlign w:val="subscript"/>
                <w:lang w:val="en-US" w:eastAsia="zh-CN"/>
              </w:rPr>
              <w:t>2</w:t>
            </w:r>
            <w:r>
              <w:rPr>
                <w:rFonts w:hint="default" w:ascii="Times New Roman" w:hAnsi="Times New Roman" w:cs="Times New Roman"/>
                <w:color w:val="auto"/>
                <w:sz w:val="24"/>
                <w:szCs w:val="32"/>
                <w:lang w:val="en-US" w:eastAsia="zh-CN"/>
              </w:rPr>
              <w:t>、颗粒物产污系数见表4-1、废气排放情况见表4-2。</w:t>
            </w:r>
          </w:p>
          <w:p w14:paraId="79542DE0">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w:t>
            </w:r>
            <w:r>
              <w:rPr>
                <w:rFonts w:hint="default" w:ascii="Times New Roman" w:hAnsi="Times New Roman" w:eastAsia="黑体" w:cs="Times New Roman"/>
                <w:color w:val="auto"/>
                <w:sz w:val="24"/>
                <w:lang w:val="en-US" w:eastAsia="zh-CN"/>
              </w:rPr>
              <w:t>4-1</w:t>
            </w:r>
            <w:r>
              <w:rPr>
                <w:rFonts w:hint="default" w:ascii="Times New Roman" w:hAnsi="Times New Roman" w:eastAsia="黑体" w:cs="Times New Roman"/>
                <w:color w:val="auto"/>
                <w:sz w:val="24"/>
              </w:rPr>
              <w:t xml:space="preserve">  </w:t>
            </w:r>
            <w:r>
              <w:rPr>
                <w:rFonts w:hint="default" w:ascii="Times New Roman" w:hAnsi="Times New Roman" w:eastAsia="黑体" w:cs="Times New Roman"/>
                <w:color w:val="auto"/>
                <w:sz w:val="24"/>
                <w:lang w:val="en-US" w:eastAsia="zh-CN"/>
              </w:rPr>
              <w:t>热风炉产排污系数一览表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904"/>
              <w:gridCol w:w="2780"/>
              <w:gridCol w:w="1984"/>
            </w:tblGrid>
            <w:tr w14:paraId="51F82A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7" w:type="pct"/>
                  <w:vAlign w:val="center"/>
                </w:tcPr>
                <w:p w14:paraId="630466DF">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污染物指标</w:t>
                  </w:r>
                </w:p>
              </w:tc>
              <w:tc>
                <w:tcPr>
                  <w:tcW w:w="1160" w:type="pct"/>
                  <w:vAlign w:val="center"/>
                </w:tcPr>
                <w:p w14:paraId="26633FC5">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单位</w:t>
                  </w:r>
                </w:p>
              </w:tc>
              <w:tc>
                <w:tcPr>
                  <w:tcW w:w="1693" w:type="pct"/>
                  <w:vAlign w:val="center"/>
                </w:tcPr>
                <w:p w14:paraId="24931B08">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产污系数</w:t>
                  </w:r>
                </w:p>
              </w:tc>
              <w:tc>
                <w:tcPr>
                  <w:tcW w:w="1208" w:type="pct"/>
                  <w:vAlign w:val="center"/>
                </w:tcPr>
                <w:p w14:paraId="71927DFD">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依据</w:t>
                  </w:r>
                </w:p>
              </w:tc>
            </w:tr>
            <w:tr w14:paraId="7BEF6D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7" w:type="pct"/>
                  <w:vAlign w:val="center"/>
                </w:tcPr>
                <w:p w14:paraId="18EB8AC2">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工业废气量</w:t>
                  </w:r>
                </w:p>
              </w:tc>
              <w:tc>
                <w:tcPr>
                  <w:tcW w:w="1160" w:type="pct"/>
                  <w:vAlign w:val="center"/>
                </w:tcPr>
                <w:p w14:paraId="6C585CC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标m³/万m³-原料</w:t>
                  </w:r>
                </w:p>
              </w:tc>
              <w:tc>
                <w:tcPr>
                  <w:tcW w:w="1693" w:type="pct"/>
                  <w:vAlign w:val="center"/>
                </w:tcPr>
                <w:p w14:paraId="2EC50B7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107753</w:t>
                  </w:r>
                </w:p>
              </w:tc>
              <w:tc>
                <w:tcPr>
                  <w:tcW w:w="1208" w:type="pct"/>
                  <w:vMerge w:val="restart"/>
                  <w:vAlign w:val="center"/>
                </w:tcPr>
                <w:p w14:paraId="2309A4EA">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《关于第二次全国污染源普查工业污染源产排污系数手册》表4430</w:t>
                  </w:r>
                </w:p>
              </w:tc>
            </w:tr>
            <w:tr w14:paraId="498B8C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7" w:type="pct"/>
                  <w:vAlign w:val="center"/>
                </w:tcPr>
                <w:p w14:paraId="738BCABE">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SO</w:t>
                  </w:r>
                  <w:r>
                    <w:rPr>
                      <w:rFonts w:hint="default" w:ascii="Times New Roman" w:hAnsi="Times New Roman" w:eastAsia="宋体" w:cs="Times New Roman"/>
                      <w:color w:val="auto"/>
                      <w:szCs w:val="21"/>
                      <w:vertAlign w:val="subscript"/>
                      <w:lang w:val="en-US" w:eastAsia="zh-CN"/>
                    </w:rPr>
                    <w:t>2</w:t>
                  </w:r>
                </w:p>
              </w:tc>
              <w:tc>
                <w:tcPr>
                  <w:tcW w:w="1160" w:type="pct"/>
                  <w:vAlign w:val="center"/>
                </w:tcPr>
                <w:p w14:paraId="25EA3314">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kg/万m³-原料</w:t>
                  </w:r>
                </w:p>
              </w:tc>
              <w:tc>
                <w:tcPr>
                  <w:tcW w:w="1693" w:type="pct"/>
                  <w:vAlign w:val="center"/>
                </w:tcPr>
                <w:p w14:paraId="4005269A">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0.02S</w:t>
                  </w:r>
                </w:p>
              </w:tc>
              <w:tc>
                <w:tcPr>
                  <w:tcW w:w="1208" w:type="pct"/>
                  <w:vMerge w:val="continue"/>
                  <w:vAlign w:val="center"/>
                </w:tcPr>
                <w:p w14:paraId="6273C1C6">
                  <w:pPr>
                    <w:tabs>
                      <w:tab w:val="left" w:pos="4767"/>
                    </w:tabs>
                    <w:spacing w:line="0" w:lineRule="atLeast"/>
                    <w:jc w:val="center"/>
                    <w:rPr>
                      <w:rFonts w:hint="default" w:ascii="Times New Roman" w:hAnsi="Times New Roman" w:eastAsia="宋体" w:cs="Times New Roman"/>
                      <w:color w:val="auto"/>
                      <w:szCs w:val="21"/>
                      <w:lang w:val="en-US" w:eastAsia="zh-CN"/>
                    </w:rPr>
                  </w:pPr>
                </w:p>
              </w:tc>
            </w:tr>
            <w:tr w14:paraId="7C0D6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7" w:type="pct"/>
                  <w:vAlign w:val="center"/>
                </w:tcPr>
                <w:p w14:paraId="5EA03B7C">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NOx</w:t>
                  </w:r>
                </w:p>
              </w:tc>
              <w:tc>
                <w:tcPr>
                  <w:tcW w:w="1160" w:type="pct"/>
                  <w:vAlign w:val="center"/>
                </w:tcPr>
                <w:p w14:paraId="6165688A">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kg/万m³-原料</w:t>
                  </w:r>
                </w:p>
              </w:tc>
              <w:tc>
                <w:tcPr>
                  <w:tcW w:w="1693" w:type="pct"/>
                  <w:vAlign w:val="center"/>
                </w:tcPr>
                <w:p w14:paraId="479E751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3.03(低氮燃烧-国际领先)</w:t>
                  </w:r>
                </w:p>
              </w:tc>
              <w:tc>
                <w:tcPr>
                  <w:tcW w:w="1208" w:type="pct"/>
                  <w:vMerge w:val="continue"/>
                  <w:vAlign w:val="center"/>
                </w:tcPr>
                <w:p w14:paraId="4861626F">
                  <w:pPr>
                    <w:tabs>
                      <w:tab w:val="left" w:pos="4767"/>
                    </w:tabs>
                    <w:spacing w:line="0" w:lineRule="atLeast"/>
                    <w:jc w:val="center"/>
                    <w:rPr>
                      <w:rFonts w:hint="default" w:ascii="Times New Roman" w:hAnsi="Times New Roman" w:eastAsia="宋体" w:cs="Times New Roman"/>
                      <w:color w:val="auto"/>
                      <w:szCs w:val="21"/>
                      <w:lang w:val="en-US" w:eastAsia="zh-CN"/>
                    </w:rPr>
                  </w:pPr>
                </w:p>
              </w:tc>
            </w:tr>
            <w:tr w14:paraId="3DBC81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7" w:type="pct"/>
                  <w:vAlign w:val="center"/>
                </w:tcPr>
                <w:p w14:paraId="4DFCEFA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烟尘</w:t>
                  </w:r>
                </w:p>
              </w:tc>
              <w:tc>
                <w:tcPr>
                  <w:tcW w:w="1160" w:type="pct"/>
                  <w:vAlign w:val="center"/>
                </w:tcPr>
                <w:p w14:paraId="31975A4F">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kg/万m³-原料</w:t>
                  </w:r>
                </w:p>
              </w:tc>
              <w:tc>
                <w:tcPr>
                  <w:tcW w:w="1693" w:type="pct"/>
                  <w:vAlign w:val="center"/>
                </w:tcPr>
                <w:p w14:paraId="07733FD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1.3</w:t>
                  </w:r>
                </w:p>
              </w:tc>
              <w:tc>
                <w:tcPr>
                  <w:tcW w:w="1208" w:type="pct"/>
                  <w:vAlign w:val="center"/>
                </w:tcPr>
                <w:p w14:paraId="058AAFB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《实用环境保护数据大全》</w:t>
                  </w:r>
                </w:p>
              </w:tc>
            </w:tr>
            <w:tr w14:paraId="3BCB8C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000" w:type="pct"/>
                  <w:gridSpan w:val="4"/>
                  <w:vAlign w:val="center"/>
                </w:tcPr>
                <w:p w14:paraId="42EC48E7">
                  <w:pPr>
                    <w:tabs>
                      <w:tab w:val="left" w:pos="4086"/>
                      <w:tab w:val="left" w:pos="4767"/>
                    </w:tabs>
                    <w:spacing w:line="0" w:lineRule="atLeast"/>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注：产排污系数表中二氧化硫的产排污系数是以含硫量（S）的形式表示的，其中含硫量（S）是指燃气硫分含量，单位为毫克/立方米，例如燃料中含硫量（S）为100毫克/立方米，则S=100。本项目取S=100。</w:t>
                  </w:r>
                </w:p>
              </w:tc>
            </w:tr>
          </w:tbl>
          <w:p w14:paraId="7E5F5E13">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w:t>
            </w:r>
            <w:r>
              <w:rPr>
                <w:rFonts w:hint="default" w:ascii="Times New Roman" w:hAnsi="Times New Roman" w:eastAsia="黑体" w:cs="Times New Roman"/>
                <w:color w:val="auto"/>
                <w:sz w:val="24"/>
                <w:lang w:val="en-US" w:eastAsia="zh-CN"/>
              </w:rPr>
              <w:t>4-2</w:t>
            </w:r>
            <w:r>
              <w:rPr>
                <w:rFonts w:hint="default" w:ascii="Times New Roman" w:hAnsi="Times New Roman" w:eastAsia="黑体" w:cs="Times New Roman"/>
                <w:color w:val="auto"/>
                <w:sz w:val="24"/>
              </w:rPr>
              <w:t xml:space="preserve">  </w:t>
            </w:r>
            <w:r>
              <w:rPr>
                <w:rFonts w:hint="default" w:ascii="Times New Roman" w:hAnsi="Times New Roman" w:eastAsia="黑体" w:cs="Times New Roman"/>
                <w:color w:val="auto"/>
                <w:sz w:val="24"/>
                <w:lang w:val="en-US" w:eastAsia="zh-CN"/>
              </w:rPr>
              <w:t>热风炉</w:t>
            </w:r>
            <w:r>
              <w:rPr>
                <w:rFonts w:hint="default" w:ascii="Times New Roman" w:hAnsi="Times New Roman" w:eastAsia="黑体" w:cs="Times New Roman"/>
                <w:color w:val="auto"/>
                <w:sz w:val="24"/>
                <w:lang w:eastAsia="zh-CN"/>
              </w:rPr>
              <w:t>废气排放情况</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16"/>
              <w:gridCol w:w="825"/>
              <w:gridCol w:w="915"/>
              <w:gridCol w:w="735"/>
              <w:gridCol w:w="840"/>
              <w:gridCol w:w="1020"/>
              <w:gridCol w:w="810"/>
              <w:gridCol w:w="735"/>
              <w:gridCol w:w="708"/>
            </w:tblGrid>
            <w:tr w14:paraId="62995D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Merge w:val="restart"/>
                  <w:vAlign w:val="center"/>
                </w:tcPr>
                <w:p w14:paraId="2AB0570B">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污染源</w:t>
                  </w:r>
                </w:p>
              </w:tc>
              <w:tc>
                <w:tcPr>
                  <w:tcW w:w="916" w:type="dxa"/>
                  <w:vMerge w:val="restart"/>
                  <w:vAlign w:val="center"/>
                </w:tcPr>
                <w:p w14:paraId="38519436">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废气量</w:t>
                  </w:r>
                </w:p>
              </w:tc>
              <w:tc>
                <w:tcPr>
                  <w:tcW w:w="825" w:type="dxa"/>
                  <w:vMerge w:val="restart"/>
                  <w:vAlign w:val="center"/>
                </w:tcPr>
                <w:p w14:paraId="3A8F6623">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污染物</w:t>
                  </w:r>
                </w:p>
              </w:tc>
              <w:tc>
                <w:tcPr>
                  <w:tcW w:w="2490" w:type="dxa"/>
                  <w:gridSpan w:val="3"/>
                  <w:vAlign w:val="center"/>
                </w:tcPr>
                <w:p w14:paraId="7F9BFCAD">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产生情况</w:t>
                  </w:r>
                </w:p>
              </w:tc>
              <w:tc>
                <w:tcPr>
                  <w:tcW w:w="1020" w:type="dxa"/>
                  <w:vMerge w:val="restart"/>
                  <w:vAlign w:val="center"/>
                </w:tcPr>
                <w:p w14:paraId="15E8EAA1">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处理</w:t>
                  </w:r>
                </w:p>
                <w:p w14:paraId="3D417F68">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措施及效率</w:t>
                  </w:r>
                </w:p>
              </w:tc>
              <w:tc>
                <w:tcPr>
                  <w:tcW w:w="2253" w:type="dxa"/>
                  <w:gridSpan w:val="3"/>
                  <w:vAlign w:val="center"/>
                </w:tcPr>
                <w:p w14:paraId="79935FA9">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排放情况</w:t>
                  </w:r>
                </w:p>
              </w:tc>
            </w:tr>
            <w:tr w14:paraId="08EA57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02" w:type="dxa"/>
                  <w:vMerge w:val="continue"/>
                  <w:vAlign w:val="center"/>
                </w:tcPr>
                <w:p w14:paraId="6C1E557B">
                  <w:pPr>
                    <w:tabs>
                      <w:tab w:val="left" w:pos="4767"/>
                    </w:tabs>
                    <w:spacing w:line="0" w:lineRule="atLeast"/>
                    <w:jc w:val="center"/>
                    <w:rPr>
                      <w:rFonts w:hint="default" w:ascii="Times New Roman" w:hAnsi="Times New Roman" w:eastAsia="宋体" w:cs="Times New Roman"/>
                      <w:b/>
                      <w:bCs/>
                      <w:color w:val="auto"/>
                      <w:szCs w:val="21"/>
                      <w:lang w:val="en-US" w:eastAsia="zh-CN"/>
                    </w:rPr>
                  </w:pPr>
                </w:p>
              </w:tc>
              <w:tc>
                <w:tcPr>
                  <w:tcW w:w="916" w:type="dxa"/>
                  <w:vMerge w:val="continue"/>
                  <w:vAlign w:val="center"/>
                </w:tcPr>
                <w:p w14:paraId="79A757C6">
                  <w:pPr>
                    <w:tabs>
                      <w:tab w:val="left" w:pos="4767"/>
                    </w:tabs>
                    <w:spacing w:line="0" w:lineRule="atLeast"/>
                    <w:jc w:val="center"/>
                    <w:rPr>
                      <w:rFonts w:hint="default" w:ascii="Times New Roman" w:hAnsi="Times New Roman" w:eastAsia="宋体" w:cs="Times New Roman"/>
                      <w:b/>
                      <w:bCs/>
                      <w:color w:val="auto"/>
                      <w:szCs w:val="21"/>
                      <w:lang w:val="en-US" w:eastAsia="zh-CN"/>
                    </w:rPr>
                  </w:pPr>
                </w:p>
              </w:tc>
              <w:tc>
                <w:tcPr>
                  <w:tcW w:w="825" w:type="dxa"/>
                  <w:vMerge w:val="continue"/>
                  <w:vAlign w:val="center"/>
                </w:tcPr>
                <w:p w14:paraId="14B1549E">
                  <w:pPr>
                    <w:tabs>
                      <w:tab w:val="left" w:pos="4767"/>
                    </w:tabs>
                    <w:spacing w:line="0" w:lineRule="atLeast"/>
                    <w:jc w:val="center"/>
                    <w:rPr>
                      <w:rFonts w:hint="default" w:ascii="Times New Roman" w:hAnsi="Times New Roman" w:eastAsia="宋体" w:cs="Times New Roman"/>
                      <w:b/>
                      <w:bCs/>
                      <w:color w:val="auto"/>
                      <w:szCs w:val="21"/>
                      <w:lang w:val="en-US" w:eastAsia="zh-CN"/>
                    </w:rPr>
                  </w:pPr>
                </w:p>
              </w:tc>
              <w:tc>
                <w:tcPr>
                  <w:tcW w:w="915" w:type="dxa"/>
                  <w:vAlign w:val="center"/>
                </w:tcPr>
                <w:p w14:paraId="2347F6F5">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浓度</w:t>
                  </w:r>
                </w:p>
                <w:p w14:paraId="59E50F67">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mg/m³</w:t>
                  </w:r>
                </w:p>
              </w:tc>
              <w:tc>
                <w:tcPr>
                  <w:tcW w:w="735" w:type="dxa"/>
                  <w:vAlign w:val="center"/>
                </w:tcPr>
                <w:p w14:paraId="653BC989">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速率</w:t>
                  </w:r>
                </w:p>
                <w:p w14:paraId="28DCF1FC">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kg/h</w:t>
                  </w:r>
                </w:p>
              </w:tc>
              <w:tc>
                <w:tcPr>
                  <w:tcW w:w="840" w:type="dxa"/>
                  <w:vAlign w:val="center"/>
                </w:tcPr>
                <w:p w14:paraId="09843BD7">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产生量</w:t>
                  </w:r>
                </w:p>
                <w:p w14:paraId="7465A987">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t/a</w:t>
                  </w:r>
                </w:p>
              </w:tc>
              <w:tc>
                <w:tcPr>
                  <w:tcW w:w="1020" w:type="dxa"/>
                  <w:vMerge w:val="continue"/>
                  <w:vAlign w:val="center"/>
                </w:tcPr>
                <w:p w14:paraId="4B961F66">
                  <w:pPr>
                    <w:tabs>
                      <w:tab w:val="left" w:pos="4767"/>
                    </w:tabs>
                    <w:spacing w:line="0" w:lineRule="atLeast"/>
                    <w:jc w:val="center"/>
                    <w:rPr>
                      <w:rFonts w:hint="default" w:ascii="Times New Roman" w:hAnsi="Times New Roman" w:eastAsia="宋体" w:cs="Times New Roman"/>
                      <w:b/>
                      <w:bCs/>
                      <w:color w:val="auto"/>
                      <w:szCs w:val="21"/>
                      <w:lang w:val="en-US" w:eastAsia="zh-CN"/>
                    </w:rPr>
                  </w:pPr>
                </w:p>
              </w:tc>
              <w:tc>
                <w:tcPr>
                  <w:tcW w:w="810" w:type="dxa"/>
                  <w:vAlign w:val="center"/>
                </w:tcPr>
                <w:p w14:paraId="6353CCA7">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浓度mg/m³</w:t>
                  </w:r>
                </w:p>
              </w:tc>
              <w:tc>
                <w:tcPr>
                  <w:tcW w:w="735" w:type="dxa"/>
                  <w:vAlign w:val="center"/>
                </w:tcPr>
                <w:p w14:paraId="58574173">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速率</w:t>
                  </w:r>
                </w:p>
                <w:p w14:paraId="2858A530">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kg/h</w:t>
                  </w:r>
                </w:p>
              </w:tc>
              <w:tc>
                <w:tcPr>
                  <w:tcW w:w="708" w:type="dxa"/>
                  <w:vAlign w:val="center"/>
                </w:tcPr>
                <w:p w14:paraId="49C9D932">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排放量t/a</w:t>
                  </w:r>
                </w:p>
              </w:tc>
            </w:tr>
            <w:tr w14:paraId="3E0357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02" w:type="dxa"/>
                  <w:vMerge w:val="restart"/>
                  <w:vAlign w:val="center"/>
                </w:tcPr>
                <w:p w14:paraId="56A0EF28">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热风炉燃烧器燃烧天然气</w:t>
                  </w:r>
                </w:p>
              </w:tc>
              <w:tc>
                <w:tcPr>
                  <w:tcW w:w="916" w:type="dxa"/>
                  <w:vMerge w:val="restart"/>
                  <w:vAlign w:val="center"/>
                </w:tcPr>
                <w:p w14:paraId="1EDD8B1C">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工业废气量</w:t>
                  </w:r>
                  <w:r>
                    <w:rPr>
                      <w:rFonts w:hint="eastAsia" w:ascii="Times New Roman" w:hAnsi="Times New Roman" w:eastAsia="宋体" w:cs="Times New Roman"/>
                      <w:color w:val="auto"/>
                      <w:szCs w:val="21"/>
                      <w:lang w:val="en-US" w:eastAsia="zh-CN"/>
                    </w:rPr>
                    <w:t>78.66</w:t>
                  </w:r>
                  <w:r>
                    <w:rPr>
                      <w:rFonts w:hint="default" w:ascii="Times New Roman" w:hAnsi="Times New Roman" w:eastAsia="宋体" w:cs="Times New Roman"/>
                      <w:color w:val="auto"/>
                      <w:szCs w:val="21"/>
                      <w:lang w:val="en-US" w:eastAsia="zh-CN"/>
                    </w:rPr>
                    <w:t>万m</w:t>
                  </w:r>
                  <w:r>
                    <w:rPr>
                      <w:rFonts w:hint="default" w:ascii="Times New Roman" w:hAnsi="Times New Roman" w:cs="Times New Roman"/>
                      <w:color w:val="auto"/>
                      <w:szCs w:val="21"/>
                      <w:lang w:val="en-US" w:eastAsia="zh-CN"/>
                    </w:rPr>
                    <w:t>³</w:t>
                  </w:r>
                  <w:r>
                    <w:rPr>
                      <w:rFonts w:hint="default" w:ascii="Times New Roman" w:hAnsi="Times New Roman" w:eastAsia="宋体" w:cs="Times New Roman"/>
                      <w:color w:val="auto"/>
                      <w:szCs w:val="21"/>
                      <w:lang w:val="en-US" w:eastAsia="zh-CN"/>
                    </w:rPr>
                    <w:t>/a；排气筒出口排气量</w:t>
                  </w:r>
                  <w:r>
                    <w:rPr>
                      <w:rFonts w:hint="eastAsia" w:cs="Times New Roman"/>
                      <w:color w:val="auto"/>
                      <w:szCs w:val="21"/>
                      <w:lang w:val="en-US" w:eastAsia="zh-CN"/>
                    </w:rPr>
                    <w:t>20000</w:t>
                  </w:r>
                  <w:r>
                    <w:rPr>
                      <w:rFonts w:hint="default" w:ascii="Times New Roman" w:hAnsi="Times New Roman" w:eastAsia="宋体" w:cs="Times New Roman"/>
                      <w:color w:val="auto"/>
                      <w:szCs w:val="21"/>
                      <w:lang w:val="en-US" w:eastAsia="zh-CN"/>
                    </w:rPr>
                    <w:t>m</w:t>
                  </w:r>
                  <w:r>
                    <w:rPr>
                      <w:rFonts w:hint="default" w:ascii="Times New Roman" w:hAnsi="Times New Roman" w:cs="Times New Roman"/>
                      <w:color w:val="auto"/>
                      <w:szCs w:val="21"/>
                      <w:lang w:val="en-US" w:eastAsia="zh-CN"/>
                    </w:rPr>
                    <w:t>³</w:t>
                  </w:r>
                  <w:r>
                    <w:rPr>
                      <w:rFonts w:hint="default" w:ascii="Times New Roman" w:hAnsi="Times New Roman" w:eastAsia="宋体" w:cs="Times New Roman"/>
                      <w:color w:val="auto"/>
                      <w:szCs w:val="21"/>
                      <w:lang w:val="en-US" w:eastAsia="zh-CN"/>
                    </w:rPr>
                    <w:t>/h</w:t>
                  </w:r>
                </w:p>
              </w:tc>
              <w:tc>
                <w:tcPr>
                  <w:tcW w:w="825" w:type="dxa"/>
                  <w:vAlign w:val="center"/>
                </w:tcPr>
                <w:p w14:paraId="04AB6C9A">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SO</w:t>
                  </w:r>
                  <w:r>
                    <w:rPr>
                      <w:rFonts w:hint="default" w:ascii="Times New Roman" w:hAnsi="Times New Roman" w:eastAsia="宋体" w:cs="Times New Roman"/>
                      <w:color w:val="auto"/>
                      <w:szCs w:val="21"/>
                      <w:vertAlign w:val="subscript"/>
                      <w:lang w:val="en-US" w:eastAsia="zh-CN"/>
                    </w:rPr>
                    <w:t>2</w:t>
                  </w:r>
                </w:p>
              </w:tc>
              <w:tc>
                <w:tcPr>
                  <w:tcW w:w="915" w:type="dxa"/>
                  <w:vAlign w:val="center"/>
                </w:tcPr>
                <w:p w14:paraId="2B3E269F">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0.365</w:t>
                  </w:r>
                </w:p>
              </w:tc>
              <w:tc>
                <w:tcPr>
                  <w:tcW w:w="735" w:type="dxa"/>
                  <w:vAlign w:val="center"/>
                </w:tcPr>
                <w:p w14:paraId="0FFC359F">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0.0073</w:t>
                  </w:r>
                </w:p>
              </w:tc>
              <w:tc>
                <w:tcPr>
                  <w:tcW w:w="840" w:type="dxa"/>
                  <w:vAlign w:val="center"/>
                </w:tcPr>
                <w:p w14:paraId="4D8F47E2">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0.0146</w:t>
                  </w:r>
                </w:p>
              </w:tc>
              <w:tc>
                <w:tcPr>
                  <w:tcW w:w="1020" w:type="dxa"/>
                  <w:vAlign w:val="center"/>
                </w:tcPr>
                <w:p w14:paraId="115124C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w:t>
                  </w:r>
                </w:p>
              </w:tc>
              <w:tc>
                <w:tcPr>
                  <w:tcW w:w="810" w:type="dxa"/>
                  <w:vAlign w:val="center"/>
                </w:tcPr>
                <w:p w14:paraId="1EDFE6E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0.365</w:t>
                  </w:r>
                </w:p>
              </w:tc>
              <w:tc>
                <w:tcPr>
                  <w:tcW w:w="735" w:type="dxa"/>
                  <w:vAlign w:val="center"/>
                </w:tcPr>
                <w:p w14:paraId="1A0C6D6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0.0073</w:t>
                  </w:r>
                </w:p>
              </w:tc>
              <w:tc>
                <w:tcPr>
                  <w:tcW w:w="708" w:type="dxa"/>
                  <w:vAlign w:val="center"/>
                </w:tcPr>
                <w:p w14:paraId="5AA174F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0.0146</w:t>
                  </w:r>
                </w:p>
              </w:tc>
            </w:tr>
            <w:tr w14:paraId="1D2333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02" w:type="dxa"/>
                  <w:vMerge w:val="continue"/>
                  <w:vAlign w:val="center"/>
                </w:tcPr>
                <w:p w14:paraId="2A48E302">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916" w:type="dxa"/>
                  <w:vMerge w:val="continue"/>
                  <w:vAlign w:val="center"/>
                </w:tcPr>
                <w:p w14:paraId="34228DCE">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825" w:type="dxa"/>
                  <w:vAlign w:val="center"/>
                </w:tcPr>
                <w:p w14:paraId="3015921C">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NOx</w:t>
                  </w:r>
                </w:p>
              </w:tc>
              <w:tc>
                <w:tcPr>
                  <w:tcW w:w="915" w:type="dxa"/>
                  <w:vAlign w:val="center"/>
                </w:tcPr>
                <w:p w14:paraId="4602CE17">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0.55</w:t>
                  </w:r>
                </w:p>
              </w:tc>
              <w:tc>
                <w:tcPr>
                  <w:tcW w:w="735" w:type="dxa"/>
                  <w:vAlign w:val="center"/>
                </w:tcPr>
                <w:p w14:paraId="3853E0E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0.011</w:t>
                  </w:r>
                </w:p>
              </w:tc>
              <w:tc>
                <w:tcPr>
                  <w:tcW w:w="840" w:type="dxa"/>
                  <w:vAlign w:val="center"/>
                </w:tcPr>
                <w:p w14:paraId="0208AD5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0.022</w:t>
                  </w:r>
                </w:p>
              </w:tc>
              <w:tc>
                <w:tcPr>
                  <w:tcW w:w="1020" w:type="dxa"/>
                  <w:vAlign w:val="center"/>
                </w:tcPr>
                <w:p w14:paraId="610BA3D4">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w:t>
                  </w:r>
                </w:p>
              </w:tc>
              <w:tc>
                <w:tcPr>
                  <w:tcW w:w="810" w:type="dxa"/>
                  <w:vAlign w:val="center"/>
                </w:tcPr>
                <w:p w14:paraId="3065E43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0.55</w:t>
                  </w:r>
                </w:p>
              </w:tc>
              <w:tc>
                <w:tcPr>
                  <w:tcW w:w="735" w:type="dxa"/>
                  <w:vAlign w:val="center"/>
                </w:tcPr>
                <w:p w14:paraId="4E270FF7">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0.011</w:t>
                  </w:r>
                </w:p>
              </w:tc>
              <w:tc>
                <w:tcPr>
                  <w:tcW w:w="708" w:type="dxa"/>
                  <w:vAlign w:val="center"/>
                </w:tcPr>
                <w:p w14:paraId="29726FB6">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0.022</w:t>
                  </w:r>
                </w:p>
              </w:tc>
            </w:tr>
            <w:tr w14:paraId="792FB3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02" w:type="dxa"/>
                  <w:vMerge w:val="continue"/>
                  <w:vAlign w:val="center"/>
                </w:tcPr>
                <w:p w14:paraId="438C2509">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916" w:type="dxa"/>
                  <w:vMerge w:val="continue"/>
                  <w:vAlign w:val="center"/>
                </w:tcPr>
                <w:p w14:paraId="53A3EE69">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825" w:type="dxa"/>
                  <w:vAlign w:val="center"/>
                </w:tcPr>
                <w:p w14:paraId="6556B47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915" w:type="dxa"/>
                  <w:vAlign w:val="center"/>
                </w:tcPr>
                <w:p w14:paraId="3A666338">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0.0235</w:t>
                  </w:r>
                </w:p>
              </w:tc>
              <w:tc>
                <w:tcPr>
                  <w:tcW w:w="735" w:type="dxa"/>
                  <w:vAlign w:val="center"/>
                </w:tcPr>
                <w:p w14:paraId="6BBE5DD0">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w:t>
                  </w:r>
                  <w:r>
                    <w:rPr>
                      <w:rFonts w:hint="eastAsia" w:cs="Times New Roman"/>
                      <w:color w:val="auto"/>
                      <w:szCs w:val="21"/>
                      <w:lang w:val="en-US" w:eastAsia="zh-CN"/>
                    </w:rPr>
                    <w:t>0047</w:t>
                  </w:r>
                </w:p>
              </w:tc>
              <w:tc>
                <w:tcPr>
                  <w:tcW w:w="840" w:type="dxa"/>
                  <w:vAlign w:val="center"/>
                </w:tcPr>
                <w:p w14:paraId="209E7CA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w:t>
                  </w:r>
                  <w:r>
                    <w:rPr>
                      <w:rFonts w:hint="eastAsia" w:cs="Times New Roman"/>
                      <w:color w:val="auto"/>
                      <w:szCs w:val="21"/>
                      <w:lang w:val="en-US" w:eastAsia="zh-CN"/>
                    </w:rPr>
                    <w:t>095</w:t>
                  </w:r>
                </w:p>
              </w:tc>
              <w:tc>
                <w:tcPr>
                  <w:tcW w:w="1020" w:type="dxa"/>
                  <w:vAlign w:val="center"/>
                </w:tcPr>
                <w:p w14:paraId="08E32DE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水喷淋+低温等离子净化（90%）</w:t>
                  </w:r>
                </w:p>
              </w:tc>
              <w:tc>
                <w:tcPr>
                  <w:tcW w:w="810" w:type="dxa"/>
                  <w:vAlign w:val="center"/>
                </w:tcPr>
                <w:p w14:paraId="5DCC9C8C">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0.00235</w:t>
                  </w:r>
                </w:p>
              </w:tc>
              <w:tc>
                <w:tcPr>
                  <w:tcW w:w="735" w:type="dxa"/>
                  <w:vAlign w:val="center"/>
                </w:tcPr>
                <w:p w14:paraId="22C32EE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w:t>
                  </w:r>
                  <w:r>
                    <w:rPr>
                      <w:rFonts w:hint="eastAsia" w:cs="Times New Roman"/>
                      <w:color w:val="auto"/>
                      <w:szCs w:val="21"/>
                      <w:lang w:val="en-US" w:eastAsia="zh-CN"/>
                    </w:rPr>
                    <w:t>00047</w:t>
                  </w:r>
                </w:p>
              </w:tc>
              <w:tc>
                <w:tcPr>
                  <w:tcW w:w="708" w:type="dxa"/>
                  <w:vAlign w:val="center"/>
                </w:tcPr>
                <w:p w14:paraId="04342CD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w:t>
                  </w:r>
                  <w:r>
                    <w:rPr>
                      <w:rFonts w:hint="eastAsia" w:cs="Times New Roman"/>
                      <w:color w:val="auto"/>
                      <w:szCs w:val="21"/>
                      <w:lang w:val="en-US" w:eastAsia="zh-CN"/>
                    </w:rPr>
                    <w:t>0095</w:t>
                  </w:r>
                </w:p>
              </w:tc>
            </w:tr>
            <w:tr w14:paraId="0B2E07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206" w:type="dxa"/>
                  <w:gridSpan w:val="10"/>
                  <w:vAlign w:val="center"/>
                </w:tcPr>
                <w:p w14:paraId="09271DE0">
                  <w:pPr>
                    <w:tabs>
                      <w:tab w:val="left" w:pos="4767"/>
                    </w:tabs>
                    <w:spacing w:line="0" w:lineRule="atLeast"/>
                    <w:jc w:val="both"/>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注：</w:t>
                  </w:r>
                  <w:r>
                    <w:rPr>
                      <w:rFonts w:hint="default" w:ascii="Times New Roman" w:hAnsi="Times New Roman" w:cs="Times New Roman"/>
                      <w:color w:val="auto"/>
                      <w:szCs w:val="21"/>
                    </w:rPr>
                    <w:t>烘干筒天然气燃烧废气</w:t>
                  </w:r>
                  <w:r>
                    <w:rPr>
                      <w:rFonts w:hint="eastAsia" w:cs="Times New Roman"/>
                      <w:color w:val="auto"/>
                      <w:szCs w:val="21"/>
                      <w:lang w:eastAsia="zh-CN"/>
                    </w:rPr>
                    <w:t>、</w:t>
                  </w:r>
                  <w:r>
                    <w:rPr>
                      <w:rFonts w:hint="default" w:ascii="Times New Roman" w:hAnsi="Times New Roman" w:cs="Times New Roman"/>
                      <w:color w:val="auto"/>
                      <w:szCs w:val="21"/>
                    </w:rPr>
                    <w:t>烘干筒烘干粉尘</w:t>
                  </w:r>
                  <w:r>
                    <w:rPr>
                      <w:rFonts w:hint="eastAsia" w:cs="Times New Roman"/>
                      <w:color w:val="auto"/>
                      <w:szCs w:val="21"/>
                      <w:lang w:eastAsia="zh-CN"/>
                    </w:rPr>
                    <w:t>、振动筛分</w:t>
                  </w:r>
                  <w:r>
                    <w:rPr>
                      <w:rFonts w:hint="eastAsia" w:cs="Times New Roman"/>
                      <w:color w:val="auto"/>
                      <w:szCs w:val="21"/>
                      <w:lang w:val="en-US" w:eastAsia="zh-CN"/>
                    </w:rPr>
                    <w:t>和</w:t>
                  </w:r>
                  <w:r>
                    <w:rPr>
                      <w:rFonts w:hint="default" w:ascii="Times New Roman" w:hAnsi="Times New Roman" w:cs="Times New Roman"/>
                      <w:color w:val="auto"/>
                    </w:rPr>
                    <w:t>沥青储罐及拌合罐</w:t>
                  </w:r>
                  <w:r>
                    <w:rPr>
                      <w:rFonts w:hint="eastAsia" w:cs="Times New Roman"/>
                      <w:color w:val="auto"/>
                      <w:lang w:val="en-US" w:eastAsia="zh-CN"/>
                    </w:rPr>
                    <w:t>废气共用排气筒DA002排放，该处</w:t>
                  </w:r>
                  <w:r>
                    <w:rPr>
                      <w:rFonts w:hint="eastAsia" w:ascii="Times New Roman" w:hAnsi="Times New Roman" w:eastAsia="宋体" w:cs="Times New Roman"/>
                      <w:color w:val="auto"/>
                      <w:szCs w:val="21"/>
                      <w:lang w:val="en-US" w:eastAsia="zh-CN"/>
                    </w:rPr>
                    <w:t>以</w:t>
                  </w:r>
                  <w:r>
                    <w:rPr>
                      <w:rFonts w:hint="default" w:ascii="Times New Roman" w:hAnsi="Times New Roman" w:eastAsia="宋体" w:cs="Times New Roman"/>
                      <w:color w:val="auto"/>
                      <w:szCs w:val="21"/>
                      <w:lang w:val="en-US" w:eastAsia="zh-CN"/>
                    </w:rPr>
                    <w:t>排气筒出口排气量</w:t>
                  </w:r>
                  <w:r>
                    <w:rPr>
                      <w:rFonts w:hint="eastAsia" w:ascii="Times New Roman" w:hAnsi="Times New Roman" w:eastAsia="宋体" w:cs="Times New Roman"/>
                      <w:color w:val="auto"/>
                      <w:szCs w:val="21"/>
                      <w:lang w:val="en-US" w:eastAsia="zh-CN"/>
                    </w:rPr>
                    <w:t>总和约20000</w:t>
                  </w:r>
                  <w:r>
                    <w:rPr>
                      <w:rFonts w:hint="default" w:ascii="Times New Roman" w:hAnsi="Times New Roman" w:eastAsia="宋体" w:cs="Times New Roman"/>
                      <w:color w:val="auto"/>
                      <w:szCs w:val="21"/>
                      <w:lang w:val="en-US" w:eastAsia="zh-CN"/>
                    </w:rPr>
                    <w:t>m</w:t>
                  </w:r>
                  <w:r>
                    <w:rPr>
                      <w:rFonts w:hint="default" w:ascii="Times New Roman" w:hAnsi="Times New Roman" w:cs="Times New Roman"/>
                      <w:color w:val="auto"/>
                      <w:szCs w:val="21"/>
                      <w:lang w:val="en-US" w:eastAsia="zh-CN"/>
                    </w:rPr>
                    <w:t>³</w:t>
                  </w:r>
                  <w:r>
                    <w:rPr>
                      <w:rFonts w:hint="default" w:ascii="Times New Roman" w:hAnsi="Times New Roman" w:eastAsia="宋体" w:cs="Times New Roman"/>
                      <w:color w:val="auto"/>
                      <w:szCs w:val="21"/>
                      <w:lang w:val="en-US" w:eastAsia="zh-CN"/>
                    </w:rPr>
                    <w:t>/h</w:t>
                  </w:r>
                  <w:r>
                    <w:rPr>
                      <w:rFonts w:hint="eastAsia" w:ascii="Times New Roman" w:hAnsi="Times New Roman" w:eastAsia="宋体" w:cs="Times New Roman"/>
                      <w:color w:val="auto"/>
                      <w:szCs w:val="21"/>
                      <w:lang w:val="en-US" w:eastAsia="zh-CN"/>
                    </w:rPr>
                    <w:t>计</w:t>
                  </w:r>
                  <w:r>
                    <w:rPr>
                      <w:rFonts w:hint="eastAsia" w:cs="Times New Roman"/>
                      <w:color w:val="auto"/>
                      <w:lang w:val="en-US" w:eastAsia="zh-CN"/>
                    </w:rPr>
                    <w:t>。</w:t>
                  </w:r>
                </w:p>
              </w:tc>
            </w:tr>
          </w:tbl>
          <w:p w14:paraId="37A7F370">
            <w:pPr>
              <w:tabs>
                <w:tab w:val="left" w:pos="4767"/>
              </w:tabs>
              <w:ind w:firstLine="514" w:firstLineChars="200"/>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由表4-2可知：烘干系统天然气燃烧废气经排气筒（DA002）排放。各污染物排放浓度分别为SO</w:t>
            </w:r>
            <w:r>
              <w:rPr>
                <w:rFonts w:hint="default" w:ascii="Times New Roman" w:hAnsi="Times New Roman" w:eastAsia="宋体" w:cs="Times New Roman"/>
                <w:color w:val="auto"/>
                <w:sz w:val="24"/>
                <w:szCs w:val="32"/>
                <w:vertAlign w:val="subscript"/>
                <w:lang w:val="en-US" w:eastAsia="zh-CN"/>
              </w:rPr>
              <w:t>2</w:t>
            </w:r>
            <w:r>
              <w:rPr>
                <w:rFonts w:hint="default" w:ascii="Times New Roman" w:hAnsi="Times New Roman" w:eastAsia="宋体" w:cs="Times New Roman"/>
                <w:color w:val="auto"/>
                <w:sz w:val="24"/>
                <w:szCs w:val="32"/>
                <w:lang w:val="en-US" w:eastAsia="zh-CN"/>
              </w:rPr>
              <w:t>：0.365mg/m³，烟尘：0.00</w:t>
            </w:r>
            <w:r>
              <w:rPr>
                <w:rFonts w:hint="eastAsia" w:cs="Times New Roman"/>
                <w:color w:val="auto"/>
                <w:sz w:val="24"/>
                <w:szCs w:val="32"/>
                <w:lang w:val="en-US" w:eastAsia="zh-CN"/>
              </w:rPr>
              <w:t>235</w:t>
            </w:r>
            <w:r>
              <w:rPr>
                <w:rFonts w:hint="default" w:ascii="Times New Roman" w:hAnsi="Times New Roman" w:eastAsia="宋体" w:cs="Times New Roman"/>
                <w:color w:val="auto"/>
                <w:sz w:val="24"/>
                <w:szCs w:val="32"/>
                <w:lang w:val="en-US" w:eastAsia="zh-CN"/>
              </w:rPr>
              <w:t>mg/m³，NOx：0.55mg/m³</w:t>
            </w:r>
            <w:r>
              <w:rPr>
                <w:rFonts w:hint="eastAsia" w:cs="Times New Roman"/>
                <w:color w:val="auto"/>
                <w:sz w:val="24"/>
                <w:szCs w:val="32"/>
                <w:lang w:val="en-US" w:eastAsia="zh-CN"/>
              </w:rPr>
              <w:t>（DA002混合排放浓度见表4-5）</w:t>
            </w:r>
            <w:r>
              <w:rPr>
                <w:rFonts w:hint="default" w:ascii="Times New Roman" w:hAnsi="Times New Roman" w:eastAsia="宋体" w:cs="Times New Roman"/>
                <w:color w:val="auto"/>
                <w:sz w:val="24"/>
                <w:szCs w:val="32"/>
                <w:lang w:val="en-US" w:eastAsia="zh-CN"/>
              </w:rPr>
              <w:t>。</w:t>
            </w:r>
          </w:p>
          <w:p w14:paraId="784C387F">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③振动筛分粉尘</w:t>
            </w:r>
          </w:p>
          <w:p w14:paraId="34EC6015">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沥青拌合站主楼产生的粉尘主要有筛分系统、皮带输送机及矿粉供给系统产生。其中皮带输送机及矿粉供给系统均为密闭装置，粉尘产生量较小，烘干后的矿石通过矿石提升机送到筛分系统经过振动筛分，振动筛分过程中会产生粉尘。搅拌楼分级振动筛为全封闭结构设计，有较完备的粉尘收集系统，含尘废气全部进入废气处理系统；废气处理设备采用水喷淋+低温等离子净化（效率为90%），废气处理系统为末端引风方式，整个废气处理系统呈负压状态，引风机风量约</w:t>
            </w:r>
            <w:r>
              <w:rPr>
                <w:rFonts w:hint="eastAsia" w:cs="Times New Roman"/>
                <w:color w:val="auto"/>
                <w:sz w:val="24"/>
                <w:szCs w:val="32"/>
                <w:lang w:val="en-US" w:eastAsia="zh-CN"/>
              </w:rPr>
              <w:t>5</w:t>
            </w:r>
            <w:r>
              <w:rPr>
                <w:rFonts w:hint="default" w:ascii="Times New Roman" w:hAnsi="Times New Roman" w:cs="Times New Roman"/>
                <w:color w:val="auto"/>
                <w:sz w:val="24"/>
                <w:szCs w:val="32"/>
                <w:lang w:val="en-US" w:eastAsia="zh-CN"/>
              </w:rPr>
              <w:t>000m³/h，废气经水喷淋+低温等离子净化后通过15m排气筒（DA002）排入大气。筛分的矿石，比重比较大，粉尘产生量较小，根据《逸散性工业粉尘控制技术》，原料进行筛选、运输和搬运产生的粉尘产生量约为0.15kg/t，本项目矿石矿石用量约为144000t，则振动筛分粉尘产生量约为21.6t/a，粉尘产生的速率约为10.8kg/h，产生浓度为</w:t>
            </w:r>
            <w:r>
              <w:rPr>
                <w:rFonts w:hint="eastAsia" w:cs="Times New Roman"/>
                <w:color w:val="auto"/>
                <w:sz w:val="24"/>
                <w:szCs w:val="32"/>
                <w:lang w:val="en-US" w:eastAsia="zh-CN"/>
              </w:rPr>
              <w:t>2160</w:t>
            </w:r>
            <w:r>
              <w:rPr>
                <w:rFonts w:hint="default" w:ascii="Times New Roman" w:hAnsi="Times New Roman" w:cs="Times New Roman"/>
                <w:color w:val="auto"/>
                <w:sz w:val="24"/>
                <w:szCs w:val="32"/>
                <w:lang w:val="en-US" w:eastAsia="zh-CN"/>
              </w:rPr>
              <w:t>mg/m³（年工作200d，每天工作10h），排放量为2.16t/a，粉尘排放速率约为1.08kg/h，排放浓度为</w:t>
            </w:r>
            <w:r>
              <w:rPr>
                <w:rFonts w:hint="eastAsia" w:cs="Times New Roman"/>
                <w:color w:val="auto"/>
                <w:sz w:val="24"/>
                <w:szCs w:val="32"/>
                <w:lang w:val="en-US" w:eastAsia="zh-CN"/>
              </w:rPr>
              <w:t>216</w:t>
            </w:r>
            <w:r>
              <w:rPr>
                <w:rFonts w:hint="default" w:ascii="Times New Roman" w:hAnsi="Times New Roman" w:cs="Times New Roman"/>
                <w:color w:val="auto"/>
                <w:sz w:val="24"/>
                <w:szCs w:val="32"/>
                <w:lang w:val="en-US" w:eastAsia="zh-CN"/>
              </w:rPr>
              <w:t>mg/m³</w:t>
            </w:r>
            <w:r>
              <w:rPr>
                <w:rFonts w:hint="eastAsia" w:cs="Times New Roman"/>
                <w:color w:val="auto"/>
                <w:sz w:val="24"/>
                <w:szCs w:val="32"/>
                <w:lang w:val="en-US" w:eastAsia="zh-CN"/>
              </w:rPr>
              <w:t>（DA002混合排放浓度见表4-5）</w:t>
            </w:r>
            <w:r>
              <w:rPr>
                <w:rFonts w:hint="default" w:ascii="Times New Roman" w:hAnsi="Times New Roman" w:cs="Times New Roman"/>
                <w:color w:val="auto"/>
                <w:sz w:val="24"/>
                <w:szCs w:val="32"/>
                <w:lang w:val="en-US" w:eastAsia="zh-CN"/>
              </w:rPr>
              <w:t>。</w:t>
            </w:r>
          </w:p>
          <w:p w14:paraId="6B2ED31A">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④沥青储罐及拌合罐产生的沥青烟</w:t>
            </w:r>
          </w:p>
          <w:p w14:paraId="01248704">
            <w:pPr>
              <w:tabs>
                <w:tab w:val="left" w:pos="4767"/>
              </w:tabs>
              <w:ind w:firstLine="514"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本项目沥青烟气主要为搅拌主楼西侧配套沥青储罐、搅拌缸及成品出料口产生的沥青烟气、苯并[a]芘。</w:t>
            </w:r>
          </w:p>
          <w:p w14:paraId="521AF0AC">
            <w:pPr>
              <w:tabs>
                <w:tab w:val="left" w:pos="4767"/>
              </w:tabs>
              <w:ind w:firstLine="514"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沥青在163℃的温度下拌和过程沥青烟挥发量为76.2475mg/kg。根据本项目沥青年用量为5500t，则本项目沥青烟产生量为0.42t/a。每吨沥青在加热过程中可产生苯并[a]芘气体0.10g~0.15g，本次环评取中间值0.1g。则本项目苯并[a]芘产生量约为0.55kg/a。废气处理系统为末端引风方式，整个除尘系统呈负压状态，引风机风量约</w:t>
            </w:r>
            <w:r>
              <w:rPr>
                <w:rFonts w:hint="eastAsia" w:cs="Times New Roman"/>
                <w:color w:val="auto"/>
                <w:sz w:val="24"/>
                <w:szCs w:val="32"/>
                <w:lang w:val="en-US" w:eastAsia="zh-CN"/>
              </w:rPr>
              <w:t>5</w:t>
            </w:r>
            <w:r>
              <w:rPr>
                <w:rFonts w:hint="default" w:ascii="Times New Roman" w:hAnsi="Times New Roman" w:cs="Times New Roman"/>
                <w:color w:val="auto"/>
                <w:sz w:val="24"/>
                <w:szCs w:val="32"/>
                <w:lang w:val="en-US" w:eastAsia="zh-CN"/>
              </w:rPr>
              <w:t>000m³/h，经二次燃烧后</w:t>
            </w:r>
            <w:r>
              <w:rPr>
                <w:rFonts w:hint="eastAsia" w:cs="Times New Roman"/>
                <w:color w:val="auto"/>
                <w:sz w:val="24"/>
                <w:szCs w:val="32"/>
                <w:lang w:val="en-US" w:eastAsia="zh-CN"/>
              </w:rPr>
              <w:t>进入水喷淋+低温等离子净化</w:t>
            </w:r>
            <w:r>
              <w:rPr>
                <w:rFonts w:hint="default" w:ascii="Times New Roman" w:hAnsi="Times New Roman" w:cs="Times New Roman"/>
                <w:color w:val="auto"/>
                <w:sz w:val="24"/>
                <w:szCs w:val="32"/>
                <w:lang w:val="en-US" w:eastAsia="zh-CN"/>
              </w:rPr>
              <w:t>（净化效率约99.5%），苯并[a]芘排放量为2.75×10</w:t>
            </w:r>
            <w:r>
              <w:rPr>
                <w:rFonts w:hint="default" w:ascii="Times New Roman" w:hAnsi="Times New Roman" w:cs="Times New Roman"/>
                <w:color w:val="auto"/>
                <w:sz w:val="24"/>
                <w:szCs w:val="32"/>
                <w:vertAlign w:val="superscript"/>
                <w:lang w:val="en-US" w:eastAsia="zh-CN"/>
              </w:rPr>
              <w:t>-3</w:t>
            </w:r>
            <w:r>
              <w:rPr>
                <w:rFonts w:hint="default" w:ascii="Times New Roman" w:hAnsi="Times New Roman" w:cs="Times New Roman"/>
                <w:color w:val="auto"/>
                <w:sz w:val="24"/>
                <w:szCs w:val="32"/>
                <w:lang w:val="en-US" w:eastAsia="zh-CN"/>
              </w:rPr>
              <w:t>kg/a，排放速率为1.375×10</w:t>
            </w:r>
            <w:r>
              <w:rPr>
                <w:rFonts w:hint="default" w:ascii="Times New Roman" w:hAnsi="Times New Roman" w:cs="Times New Roman"/>
                <w:color w:val="auto"/>
                <w:sz w:val="24"/>
                <w:szCs w:val="32"/>
                <w:vertAlign w:val="superscript"/>
                <w:lang w:val="en-US" w:eastAsia="zh-CN"/>
              </w:rPr>
              <w:t>-6</w:t>
            </w:r>
            <w:r>
              <w:rPr>
                <w:rFonts w:hint="default" w:ascii="Times New Roman" w:hAnsi="Times New Roman" w:cs="Times New Roman"/>
                <w:color w:val="auto"/>
                <w:sz w:val="24"/>
                <w:szCs w:val="32"/>
                <w:lang w:val="en-US" w:eastAsia="zh-CN"/>
              </w:rPr>
              <w:t>kg/h，排放浓度为</w:t>
            </w:r>
            <w:r>
              <w:rPr>
                <w:rFonts w:hint="eastAsia" w:cs="Times New Roman"/>
                <w:color w:val="auto"/>
                <w:sz w:val="24"/>
                <w:szCs w:val="32"/>
                <w:lang w:val="en-US" w:eastAsia="zh-CN"/>
              </w:rPr>
              <w:t>1.1</w:t>
            </w:r>
            <w:r>
              <w:rPr>
                <w:rFonts w:hint="default" w:ascii="Times New Roman" w:hAnsi="Times New Roman" w:cs="Times New Roman"/>
                <w:color w:val="auto"/>
                <w:sz w:val="24"/>
                <w:szCs w:val="32"/>
                <w:lang w:val="en-US" w:eastAsia="zh-CN"/>
              </w:rPr>
              <w:t>×10</w:t>
            </w:r>
            <w:r>
              <w:rPr>
                <w:rFonts w:hint="default" w:ascii="Times New Roman" w:hAnsi="Times New Roman" w:cs="Times New Roman"/>
                <w:color w:val="auto"/>
                <w:sz w:val="24"/>
                <w:szCs w:val="32"/>
                <w:vertAlign w:val="superscript"/>
                <w:lang w:val="en-US" w:eastAsia="zh-CN"/>
              </w:rPr>
              <w:t>-</w:t>
            </w:r>
            <w:r>
              <w:rPr>
                <w:rFonts w:hint="eastAsia" w:cs="Times New Roman"/>
                <w:color w:val="auto"/>
                <w:sz w:val="24"/>
                <w:szCs w:val="32"/>
                <w:vertAlign w:val="superscript"/>
                <w:lang w:val="en-US" w:eastAsia="zh-CN"/>
              </w:rPr>
              <w:t>3</w:t>
            </w:r>
            <w:r>
              <w:rPr>
                <w:rFonts w:hint="default" w:ascii="Times New Roman" w:hAnsi="Times New Roman" w:cs="Times New Roman"/>
                <w:color w:val="auto"/>
                <w:sz w:val="24"/>
                <w:szCs w:val="32"/>
                <w:lang w:val="en-US" w:eastAsia="zh-CN"/>
              </w:rPr>
              <w:t>mg/m</w:t>
            </w:r>
            <w:r>
              <w:rPr>
                <w:rFonts w:hint="default" w:ascii="Times New Roman" w:hAnsi="Times New Roman" w:cs="Times New Roman"/>
                <w:color w:val="auto"/>
                <w:sz w:val="24"/>
                <w:szCs w:val="32"/>
                <w:vertAlign w:val="baseline"/>
                <w:lang w:val="en-US" w:eastAsia="zh-CN"/>
              </w:rPr>
              <w:t>³</w:t>
            </w:r>
            <w:r>
              <w:rPr>
                <w:rFonts w:hint="default" w:ascii="Times New Roman" w:hAnsi="Times New Roman" w:cs="Times New Roman"/>
                <w:color w:val="auto"/>
                <w:sz w:val="24"/>
                <w:szCs w:val="32"/>
                <w:lang w:val="en-US" w:eastAsia="zh-CN"/>
              </w:rPr>
              <w:t>；沥青烟排放量为0.0021t/a，排放速率为1.05×10</w:t>
            </w:r>
            <w:r>
              <w:rPr>
                <w:rFonts w:hint="default" w:ascii="Times New Roman" w:hAnsi="Times New Roman" w:cs="Times New Roman"/>
                <w:color w:val="auto"/>
                <w:sz w:val="24"/>
                <w:szCs w:val="32"/>
                <w:vertAlign w:val="superscript"/>
                <w:lang w:val="en-US" w:eastAsia="zh-CN"/>
              </w:rPr>
              <w:t>-3</w:t>
            </w:r>
            <w:r>
              <w:rPr>
                <w:rFonts w:hint="default" w:ascii="Times New Roman" w:hAnsi="Times New Roman" w:cs="Times New Roman"/>
                <w:color w:val="auto"/>
                <w:sz w:val="24"/>
                <w:szCs w:val="32"/>
                <w:lang w:val="en-US" w:eastAsia="zh-CN"/>
              </w:rPr>
              <w:t>kg/h，排放浓度为0.</w:t>
            </w:r>
            <w:r>
              <w:rPr>
                <w:rFonts w:hint="eastAsia" w:cs="Times New Roman"/>
                <w:color w:val="auto"/>
                <w:sz w:val="24"/>
                <w:szCs w:val="32"/>
                <w:lang w:val="en-US" w:eastAsia="zh-CN"/>
              </w:rPr>
              <w:t>21</w:t>
            </w:r>
            <w:r>
              <w:rPr>
                <w:rFonts w:hint="default" w:ascii="Times New Roman" w:hAnsi="Times New Roman" w:cs="Times New Roman"/>
                <w:color w:val="auto"/>
                <w:sz w:val="24"/>
                <w:szCs w:val="32"/>
                <w:lang w:val="en-US" w:eastAsia="zh-CN"/>
              </w:rPr>
              <w:t>mg/m</w:t>
            </w:r>
            <w:r>
              <w:rPr>
                <w:rFonts w:hint="default" w:ascii="Times New Roman" w:hAnsi="Times New Roman" w:cs="Times New Roman"/>
                <w:color w:val="auto"/>
                <w:sz w:val="24"/>
                <w:szCs w:val="32"/>
                <w:vertAlign w:val="baseline"/>
                <w:lang w:val="en-US" w:eastAsia="zh-CN"/>
              </w:rPr>
              <w:t>³</w:t>
            </w:r>
            <w:r>
              <w:rPr>
                <w:rFonts w:hint="eastAsia" w:cs="Times New Roman"/>
                <w:color w:val="auto"/>
                <w:sz w:val="24"/>
                <w:szCs w:val="32"/>
                <w:lang w:val="en-US" w:eastAsia="zh-CN"/>
              </w:rPr>
              <w:t>（DA002混合排放浓度见表4-5）</w:t>
            </w:r>
            <w:r>
              <w:rPr>
                <w:rFonts w:hint="default" w:ascii="Times New Roman" w:hAnsi="Times New Roman" w:cs="Times New Roman"/>
                <w:color w:val="auto"/>
                <w:sz w:val="24"/>
                <w:szCs w:val="32"/>
                <w:lang w:val="en-US" w:eastAsia="zh-CN"/>
              </w:rPr>
              <w:t>。处理后</w:t>
            </w:r>
            <w:r>
              <w:rPr>
                <w:rFonts w:hint="eastAsia" w:cs="Times New Roman"/>
                <w:color w:val="auto"/>
                <w:sz w:val="24"/>
                <w:szCs w:val="32"/>
                <w:lang w:val="en-US" w:eastAsia="zh-CN"/>
              </w:rPr>
              <w:t>的</w:t>
            </w:r>
            <w:r>
              <w:rPr>
                <w:rFonts w:hint="default" w:ascii="Times New Roman" w:hAnsi="Times New Roman" w:cs="Times New Roman"/>
                <w:color w:val="auto"/>
                <w:sz w:val="24"/>
                <w:szCs w:val="32"/>
                <w:lang w:val="en-US" w:eastAsia="zh-CN"/>
              </w:rPr>
              <w:t>废气通过15m高排气筒（DA002）排入大气。</w:t>
            </w:r>
          </w:p>
          <w:p w14:paraId="53FC05C5">
            <w:pPr>
              <w:tabs>
                <w:tab w:val="left" w:pos="4767"/>
              </w:tabs>
              <w:ind w:firstLine="514" w:firstLineChars="200"/>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⑤矿粉加料产生的粉尘</w:t>
            </w:r>
          </w:p>
          <w:p w14:paraId="248B0CF8">
            <w:pPr>
              <w:tabs>
                <w:tab w:val="left" w:pos="4767"/>
              </w:tabs>
              <w:ind w:firstLine="514"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沥青混凝土生产粉料为矿粉，使用矿粉罐暂存，经矿粉专用密闭罐车运输到厂内后再通过密闭管道经气力作用输送到矿粉罐。为平衡料仓内的气压，多余气体从料仓顶部排放，少量粉尘进入气体中随气体排放。项目在矿粉罐仓顶部设置布袋除尘器，对粉尘进行处理，收集的粉尘经反吹后落回矿粉罐。本项目矿粉（含回收粉）用量约为700t/a，储罐每天运行24h（2400h/a）。矿粉输送到矿粉罐后大部分沉降在罐内，少部分随气流一起经设备自带的2#布袋除尘器处理后经高15m排气筒（DA002）排放，除尘器除尘效率按99%计。</w:t>
            </w:r>
          </w:p>
          <w:p w14:paraId="5F52DEAB">
            <w:pPr>
              <w:tabs>
                <w:tab w:val="left" w:pos="4767"/>
              </w:tabs>
              <w:ind w:firstLine="514"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本项目矿粉罐工业粉尘产污系数按2.09kg/t-原料，则项目年产生粉尘量为1.46t/a（0.73kg/h），排放量为0.0</w:t>
            </w:r>
            <w:r>
              <w:rPr>
                <w:rFonts w:hint="eastAsia" w:cs="Times New Roman"/>
                <w:color w:val="auto"/>
                <w:sz w:val="24"/>
                <w:szCs w:val="32"/>
                <w:lang w:val="en-US" w:eastAsia="zh-CN"/>
              </w:rPr>
              <w:t>146</w:t>
            </w:r>
            <w:r>
              <w:rPr>
                <w:rFonts w:hint="default" w:ascii="Times New Roman" w:hAnsi="Times New Roman" w:cs="Times New Roman"/>
                <w:color w:val="auto"/>
                <w:sz w:val="24"/>
                <w:szCs w:val="32"/>
                <w:lang w:val="en-US" w:eastAsia="zh-CN"/>
              </w:rPr>
              <w:t>t/a（0.007</w:t>
            </w:r>
            <w:r>
              <w:rPr>
                <w:rFonts w:hint="eastAsia" w:cs="Times New Roman"/>
                <w:color w:val="auto"/>
                <w:sz w:val="24"/>
                <w:szCs w:val="32"/>
                <w:lang w:val="en-US" w:eastAsia="zh-CN"/>
              </w:rPr>
              <w:t>3</w:t>
            </w:r>
            <w:r>
              <w:rPr>
                <w:rFonts w:hint="default" w:ascii="Times New Roman" w:hAnsi="Times New Roman" w:cs="Times New Roman"/>
                <w:color w:val="auto"/>
                <w:sz w:val="24"/>
                <w:szCs w:val="32"/>
                <w:lang w:val="en-US" w:eastAsia="zh-CN"/>
              </w:rPr>
              <w:t>kg/h），满足《大气污染物综合排放标准》（GB16297-1996）中二级标准（排气筒15m，排放速率≤3.5kg/h）。</w:t>
            </w:r>
          </w:p>
          <w:p w14:paraId="44C8C2D4">
            <w:pPr>
              <w:tabs>
                <w:tab w:val="left" w:pos="4767"/>
              </w:tabs>
              <w:ind w:firstLine="514" w:firstLineChars="200"/>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⑥导热油炉天然气燃烧废气</w:t>
            </w:r>
          </w:p>
          <w:p w14:paraId="38F402D3">
            <w:pPr>
              <w:tabs>
                <w:tab w:val="left" w:pos="4767"/>
              </w:tabs>
              <w:ind w:firstLine="514"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本项目导热油炉采用燃料为天然气。天然气经燃烧器燃烧产生烟气。烟气主要成分为烟尘、SO</w:t>
            </w:r>
            <w:r>
              <w:rPr>
                <w:rFonts w:hint="default" w:ascii="Times New Roman" w:hAnsi="Times New Roman" w:cs="Times New Roman"/>
                <w:color w:val="auto"/>
                <w:sz w:val="24"/>
                <w:szCs w:val="32"/>
                <w:vertAlign w:val="subscript"/>
                <w:lang w:val="en-US" w:eastAsia="zh-CN"/>
              </w:rPr>
              <w:t>2</w:t>
            </w:r>
            <w:r>
              <w:rPr>
                <w:rFonts w:hint="default" w:ascii="Times New Roman" w:hAnsi="Times New Roman" w:cs="Times New Roman"/>
                <w:color w:val="auto"/>
                <w:sz w:val="24"/>
                <w:szCs w:val="32"/>
                <w:lang w:val="en-US" w:eastAsia="zh-CN"/>
              </w:rPr>
              <w:t>、NOx。根据建设单位提供，燃烧器天然气年用量约为86.3万m</w:t>
            </w:r>
            <w:r>
              <w:rPr>
                <w:rFonts w:hint="default" w:ascii="Times New Roman" w:hAnsi="Times New Roman" w:cs="Times New Roman"/>
                <w:color w:val="auto"/>
                <w:sz w:val="24"/>
                <w:szCs w:val="32"/>
                <w:vertAlign w:val="baseline"/>
                <w:lang w:val="en-US" w:eastAsia="zh-CN"/>
              </w:rPr>
              <w:t>³</w:t>
            </w:r>
            <w:r>
              <w:rPr>
                <w:rFonts w:hint="eastAsia" w:cs="Times New Roman"/>
                <w:color w:val="auto"/>
                <w:sz w:val="24"/>
                <w:szCs w:val="32"/>
                <w:vertAlign w:val="baseline"/>
                <w:lang w:val="en-US" w:eastAsia="zh-CN"/>
              </w:rPr>
              <w:t>，</w:t>
            </w:r>
            <w:r>
              <w:rPr>
                <w:rFonts w:hint="default" w:ascii="Times New Roman" w:hAnsi="Times New Roman" w:cs="Times New Roman"/>
                <w:color w:val="auto"/>
                <w:sz w:val="24"/>
                <w:szCs w:val="32"/>
                <w:lang w:val="en-US" w:eastAsia="zh-CN"/>
              </w:rPr>
              <w:t>参考《排污许可证申请与核发技术规范锅炉》（HJ953-2018）表F.3燃气工业锅炉的废气产排污系数及《实用环境保护数据大全》（湖北人民出版社1999年4月）中相关产排污系数进行核算，本项目导热油炉NOx、SO</w:t>
            </w:r>
            <w:r>
              <w:rPr>
                <w:rFonts w:hint="default" w:ascii="Times New Roman" w:hAnsi="Times New Roman" w:cs="Times New Roman"/>
                <w:color w:val="auto"/>
                <w:sz w:val="24"/>
                <w:szCs w:val="32"/>
                <w:vertAlign w:val="subscript"/>
                <w:lang w:val="en-US" w:eastAsia="zh-CN"/>
              </w:rPr>
              <w:t>2</w:t>
            </w:r>
            <w:r>
              <w:rPr>
                <w:rFonts w:hint="default" w:ascii="Times New Roman" w:hAnsi="Times New Roman" w:cs="Times New Roman"/>
                <w:color w:val="auto"/>
                <w:sz w:val="24"/>
                <w:szCs w:val="32"/>
                <w:lang w:val="en-US" w:eastAsia="zh-CN"/>
              </w:rPr>
              <w:t>、烟尘产污系数见表4-3，废气排放情况见表4-4。</w:t>
            </w:r>
          </w:p>
          <w:p w14:paraId="752A7459">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w:t>
            </w:r>
            <w:r>
              <w:rPr>
                <w:rFonts w:hint="default" w:ascii="Times New Roman" w:hAnsi="Times New Roman" w:eastAsia="黑体" w:cs="Times New Roman"/>
                <w:color w:val="auto"/>
                <w:sz w:val="24"/>
                <w:lang w:val="en-US" w:eastAsia="zh-CN"/>
              </w:rPr>
              <w:t>4-3</w:t>
            </w:r>
            <w:r>
              <w:rPr>
                <w:rFonts w:hint="default" w:ascii="Times New Roman" w:hAnsi="Times New Roman" w:eastAsia="黑体" w:cs="Times New Roman"/>
                <w:color w:val="auto"/>
                <w:sz w:val="24"/>
              </w:rPr>
              <w:t xml:space="preserve">  </w:t>
            </w:r>
            <w:r>
              <w:rPr>
                <w:rFonts w:hint="default" w:ascii="Times New Roman" w:hAnsi="Times New Roman" w:eastAsia="黑体" w:cs="Times New Roman"/>
                <w:color w:val="auto"/>
                <w:sz w:val="24"/>
                <w:lang w:val="en-US" w:eastAsia="zh-CN"/>
              </w:rPr>
              <w:t>导热油炉产排污系数一览表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904"/>
              <w:gridCol w:w="2676"/>
              <w:gridCol w:w="2088"/>
            </w:tblGrid>
            <w:tr w14:paraId="6D8AF6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7" w:type="pct"/>
                  <w:vAlign w:val="center"/>
                </w:tcPr>
                <w:p w14:paraId="14D605CF">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污染物指标</w:t>
                  </w:r>
                </w:p>
              </w:tc>
              <w:tc>
                <w:tcPr>
                  <w:tcW w:w="1160" w:type="pct"/>
                  <w:vAlign w:val="center"/>
                </w:tcPr>
                <w:p w14:paraId="1F1220FA">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单位</w:t>
                  </w:r>
                </w:p>
              </w:tc>
              <w:tc>
                <w:tcPr>
                  <w:tcW w:w="1630" w:type="pct"/>
                  <w:vAlign w:val="center"/>
                </w:tcPr>
                <w:p w14:paraId="04FDB5EC">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产污系数</w:t>
                  </w:r>
                </w:p>
              </w:tc>
              <w:tc>
                <w:tcPr>
                  <w:tcW w:w="1272" w:type="pct"/>
                  <w:vAlign w:val="center"/>
                </w:tcPr>
                <w:p w14:paraId="2005A799">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依据</w:t>
                  </w:r>
                </w:p>
              </w:tc>
            </w:tr>
            <w:tr w14:paraId="74AE92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7" w:type="pct"/>
                  <w:vAlign w:val="center"/>
                </w:tcPr>
                <w:p w14:paraId="13F655E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工业废气量</w:t>
                  </w:r>
                </w:p>
              </w:tc>
              <w:tc>
                <w:tcPr>
                  <w:tcW w:w="1160" w:type="pct"/>
                  <w:vAlign w:val="center"/>
                </w:tcPr>
                <w:p w14:paraId="79ED1C37">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标m³/万m³-原料</w:t>
                  </w:r>
                </w:p>
              </w:tc>
              <w:tc>
                <w:tcPr>
                  <w:tcW w:w="1630" w:type="pct"/>
                  <w:vAlign w:val="center"/>
                </w:tcPr>
                <w:p w14:paraId="1BA67F9A">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107753</w:t>
                  </w:r>
                </w:p>
              </w:tc>
              <w:tc>
                <w:tcPr>
                  <w:tcW w:w="1272" w:type="pct"/>
                  <w:vMerge w:val="restart"/>
                  <w:vAlign w:val="center"/>
                </w:tcPr>
                <w:p w14:paraId="0EA382E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《关于第二次全国污染源普查工业污染源产排污系数手册》表4430</w:t>
                  </w:r>
                </w:p>
              </w:tc>
            </w:tr>
            <w:tr w14:paraId="48BF26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7" w:type="pct"/>
                  <w:vAlign w:val="center"/>
                </w:tcPr>
                <w:p w14:paraId="060DC7E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SO</w:t>
                  </w:r>
                  <w:r>
                    <w:rPr>
                      <w:rFonts w:hint="default" w:ascii="Times New Roman" w:hAnsi="Times New Roman" w:eastAsia="宋体" w:cs="Times New Roman"/>
                      <w:color w:val="auto"/>
                      <w:szCs w:val="21"/>
                      <w:vertAlign w:val="subscript"/>
                      <w:lang w:val="en-US" w:eastAsia="zh-CN"/>
                    </w:rPr>
                    <w:t>2</w:t>
                  </w:r>
                </w:p>
              </w:tc>
              <w:tc>
                <w:tcPr>
                  <w:tcW w:w="1160" w:type="pct"/>
                  <w:vAlign w:val="center"/>
                </w:tcPr>
                <w:p w14:paraId="025DF81E">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kg/万m³-原料</w:t>
                  </w:r>
                </w:p>
              </w:tc>
              <w:tc>
                <w:tcPr>
                  <w:tcW w:w="1630" w:type="pct"/>
                  <w:vAlign w:val="center"/>
                </w:tcPr>
                <w:p w14:paraId="3E84357A">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0.02S</w:t>
                  </w:r>
                </w:p>
              </w:tc>
              <w:tc>
                <w:tcPr>
                  <w:tcW w:w="1272" w:type="pct"/>
                  <w:vMerge w:val="continue"/>
                  <w:vAlign w:val="center"/>
                </w:tcPr>
                <w:p w14:paraId="1EE9E55B">
                  <w:pPr>
                    <w:tabs>
                      <w:tab w:val="left" w:pos="4767"/>
                    </w:tabs>
                    <w:spacing w:line="0" w:lineRule="atLeast"/>
                    <w:jc w:val="center"/>
                    <w:rPr>
                      <w:rFonts w:hint="default" w:ascii="Times New Roman" w:hAnsi="Times New Roman" w:eastAsia="宋体" w:cs="Times New Roman"/>
                      <w:color w:val="auto"/>
                      <w:szCs w:val="21"/>
                      <w:lang w:val="en-US" w:eastAsia="zh-CN"/>
                    </w:rPr>
                  </w:pPr>
                </w:p>
              </w:tc>
            </w:tr>
            <w:tr w14:paraId="100EB5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7" w:type="pct"/>
                  <w:vAlign w:val="center"/>
                </w:tcPr>
                <w:p w14:paraId="068B6852">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NOx</w:t>
                  </w:r>
                </w:p>
              </w:tc>
              <w:tc>
                <w:tcPr>
                  <w:tcW w:w="1160" w:type="pct"/>
                  <w:vAlign w:val="center"/>
                </w:tcPr>
                <w:p w14:paraId="411F07AD">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kg/万m³-原料</w:t>
                  </w:r>
                </w:p>
              </w:tc>
              <w:tc>
                <w:tcPr>
                  <w:tcW w:w="1630" w:type="pct"/>
                  <w:vAlign w:val="center"/>
                </w:tcPr>
                <w:p w14:paraId="4F8A9D36">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3.03(低氮燃烧-国际领先)</w:t>
                  </w:r>
                </w:p>
              </w:tc>
              <w:tc>
                <w:tcPr>
                  <w:tcW w:w="1272" w:type="pct"/>
                  <w:vMerge w:val="continue"/>
                  <w:vAlign w:val="center"/>
                </w:tcPr>
                <w:p w14:paraId="351E270F">
                  <w:pPr>
                    <w:tabs>
                      <w:tab w:val="left" w:pos="4767"/>
                    </w:tabs>
                    <w:spacing w:line="0" w:lineRule="atLeast"/>
                    <w:jc w:val="center"/>
                    <w:rPr>
                      <w:rFonts w:hint="default" w:ascii="Times New Roman" w:hAnsi="Times New Roman" w:eastAsia="宋体" w:cs="Times New Roman"/>
                      <w:color w:val="auto"/>
                      <w:szCs w:val="21"/>
                      <w:lang w:val="en-US" w:eastAsia="zh-CN"/>
                    </w:rPr>
                  </w:pPr>
                </w:p>
              </w:tc>
            </w:tr>
            <w:tr w14:paraId="1EF843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7" w:type="pct"/>
                  <w:vAlign w:val="center"/>
                </w:tcPr>
                <w:p w14:paraId="178DF166">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烟尘</w:t>
                  </w:r>
                </w:p>
              </w:tc>
              <w:tc>
                <w:tcPr>
                  <w:tcW w:w="1160" w:type="pct"/>
                  <w:vAlign w:val="center"/>
                </w:tcPr>
                <w:p w14:paraId="2EAAC3A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kg/万m³-原料</w:t>
                  </w:r>
                </w:p>
              </w:tc>
              <w:tc>
                <w:tcPr>
                  <w:tcW w:w="1630" w:type="pct"/>
                  <w:vAlign w:val="center"/>
                </w:tcPr>
                <w:p w14:paraId="56AEB528">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1.3</w:t>
                  </w:r>
                </w:p>
              </w:tc>
              <w:tc>
                <w:tcPr>
                  <w:tcW w:w="1272" w:type="pct"/>
                  <w:vAlign w:val="center"/>
                </w:tcPr>
                <w:p w14:paraId="53F860D7">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《实用环境保护数据大全》</w:t>
                  </w:r>
                </w:p>
              </w:tc>
            </w:tr>
            <w:tr w14:paraId="11A3ED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000" w:type="pct"/>
                  <w:gridSpan w:val="4"/>
                  <w:vAlign w:val="center"/>
                </w:tcPr>
                <w:p w14:paraId="1CFD1D72">
                  <w:pPr>
                    <w:tabs>
                      <w:tab w:val="left" w:pos="4767"/>
                    </w:tabs>
                    <w:spacing w:line="0" w:lineRule="atLeast"/>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注：产排污系数表中二氧化硫的产排污系数是以含硫量（S）的形式表示的，其中含硫量（S）是指燃气硫分含量，单位为毫克/立方米，例如燃料中含硫量（S）为100毫克/立方米，则S=100。本项目取S=100。</w:t>
                  </w:r>
                </w:p>
              </w:tc>
            </w:tr>
          </w:tbl>
          <w:p w14:paraId="264B1610">
            <w:pPr>
              <w:tabs>
                <w:tab w:val="left" w:pos="4767"/>
              </w:tabs>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表</w:t>
            </w:r>
            <w:r>
              <w:rPr>
                <w:rFonts w:hint="default" w:ascii="Times New Roman" w:hAnsi="Times New Roman" w:eastAsia="黑体" w:cs="Times New Roman"/>
                <w:color w:val="auto"/>
                <w:sz w:val="24"/>
                <w:lang w:val="en-US" w:eastAsia="zh-CN"/>
              </w:rPr>
              <w:t>4-4</w:t>
            </w:r>
            <w:r>
              <w:rPr>
                <w:rFonts w:hint="default" w:ascii="Times New Roman" w:hAnsi="Times New Roman" w:eastAsia="黑体" w:cs="Times New Roman"/>
                <w:color w:val="auto"/>
                <w:sz w:val="24"/>
              </w:rPr>
              <w:t xml:space="preserve">  </w:t>
            </w:r>
            <w:r>
              <w:rPr>
                <w:rFonts w:hint="default" w:ascii="Times New Roman" w:hAnsi="Times New Roman" w:eastAsia="黑体" w:cs="Times New Roman"/>
                <w:color w:val="auto"/>
                <w:sz w:val="24"/>
                <w:lang w:val="en-US" w:eastAsia="zh-CN"/>
              </w:rPr>
              <w:t>导热油炉</w:t>
            </w:r>
            <w:r>
              <w:rPr>
                <w:rFonts w:hint="default" w:ascii="Times New Roman" w:hAnsi="Times New Roman" w:eastAsia="黑体" w:cs="Times New Roman"/>
                <w:color w:val="auto"/>
                <w:sz w:val="24"/>
                <w:lang w:eastAsia="zh-CN"/>
              </w:rPr>
              <w:t>废气排放情况</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94"/>
              <w:gridCol w:w="825"/>
              <w:gridCol w:w="915"/>
              <w:gridCol w:w="735"/>
              <w:gridCol w:w="840"/>
              <w:gridCol w:w="1020"/>
              <w:gridCol w:w="810"/>
              <w:gridCol w:w="735"/>
              <w:gridCol w:w="708"/>
            </w:tblGrid>
            <w:tr w14:paraId="12D152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vMerge w:val="restart"/>
                  <w:vAlign w:val="center"/>
                </w:tcPr>
                <w:p w14:paraId="38373AF5">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污染源</w:t>
                  </w:r>
                </w:p>
              </w:tc>
              <w:tc>
                <w:tcPr>
                  <w:tcW w:w="994" w:type="dxa"/>
                  <w:vMerge w:val="restart"/>
                  <w:vAlign w:val="center"/>
                </w:tcPr>
                <w:p w14:paraId="108C1368">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废气量</w:t>
                  </w:r>
                </w:p>
              </w:tc>
              <w:tc>
                <w:tcPr>
                  <w:tcW w:w="825" w:type="dxa"/>
                  <w:vMerge w:val="restart"/>
                  <w:vAlign w:val="center"/>
                </w:tcPr>
                <w:p w14:paraId="74716156">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污染物</w:t>
                  </w:r>
                </w:p>
              </w:tc>
              <w:tc>
                <w:tcPr>
                  <w:tcW w:w="2490" w:type="dxa"/>
                  <w:gridSpan w:val="3"/>
                  <w:vAlign w:val="center"/>
                </w:tcPr>
                <w:p w14:paraId="7EAECD07">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产生情况</w:t>
                  </w:r>
                </w:p>
              </w:tc>
              <w:tc>
                <w:tcPr>
                  <w:tcW w:w="1020" w:type="dxa"/>
                  <w:vMerge w:val="restart"/>
                  <w:vAlign w:val="center"/>
                </w:tcPr>
                <w:p w14:paraId="12F951E0">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处理</w:t>
                  </w:r>
                </w:p>
                <w:p w14:paraId="75266DEF">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措施及效率</w:t>
                  </w:r>
                </w:p>
              </w:tc>
              <w:tc>
                <w:tcPr>
                  <w:tcW w:w="2253" w:type="dxa"/>
                  <w:gridSpan w:val="3"/>
                  <w:vAlign w:val="center"/>
                </w:tcPr>
                <w:p w14:paraId="03DD6A11">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排放情况</w:t>
                  </w:r>
                </w:p>
              </w:tc>
            </w:tr>
            <w:tr w14:paraId="386BCF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24" w:type="dxa"/>
                  <w:vMerge w:val="continue"/>
                  <w:vAlign w:val="center"/>
                </w:tcPr>
                <w:p w14:paraId="44A48A5F">
                  <w:pPr>
                    <w:tabs>
                      <w:tab w:val="left" w:pos="4767"/>
                    </w:tabs>
                    <w:spacing w:line="0" w:lineRule="atLeast"/>
                    <w:jc w:val="center"/>
                    <w:rPr>
                      <w:rFonts w:hint="default" w:ascii="Times New Roman" w:hAnsi="Times New Roman" w:eastAsia="宋体" w:cs="Times New Roman"/>
                      <w:b/>
                      <w:bCs/>
                      <w:color w:val="auto"/>
                      <w:szCs w:val="21"/>
                      <w:lang w:val="en-US" w:eastAsia="zh-CN"/>
                    </w:rPr>
                  </w:pPr>
                </w:p>
              </w:tc>
              <w:tc>
                <w:tcPr>
                  <w:tcW w:w="994" w:type="dxa"/>
                  <w:vMerge w:val="continue"/>
                  <w:vAlign w:val="center"/>
                </w:tcPr>
                <w:p w14:paraId="608DF7DF">
                  <w:pPr>
                    <w:tabs>
                      <w:tab w:val="left" w:pos="4767"/>
                    </w:tabs>
                    <w:spacing w:line="0" w:lineRule="atLeast"/>
                    <w:jc w:val="center"/>
                    <w:rPr>
                      <w:rFonts w:hint="default" w:ascii="Times New Roman" w:hAnsi="Times New Roman" w:eastAsia="宋体" w:cs="Times New Roman"/>
                      <w:b/>
                      <w:bCs/>
                      <w:color w:val="auto"/>
                      <w:szCs w:val="21"/>
                      <w:lang w:val="en-US" w:eastAsia="zh-CN"/>
                    </w:rPr>
                  </w:pPr>
                </w:p>
              </w:tc>
              <w:tc>
                <w:tcPr>
                  <w:tcW w:w="825" w:type="dxa"/>
                  <w:vMerge w:val="continue"/>
                  <w:vAlign w:val="center"/>
                </w:tcPr>
                <w:p w14:paraId="6AAE496E">
                  <w:pPr>
                    <w:tabs>
                      <w:tab w:val="left" w:pos="4767"/>
                    </w:tabs>
                    <w:spacing w:line="0" w:lineRule="atLeast"/>
                    <w:jc w:val="center"/>
                    <w:rPr>
                      <w:rFonts w:hint="default" w:ascii="Times New Roman" w:hAnsi="Times New Roman" w:eastAsia="宋体" w:cs="Times New Roman"/>
                      <w:b/>
                      <w:bCs/>
                      <w:color w:val="auto"/>
                      <w:szCs w:val="21"/>
                      <w:lang w:val="en-US" w:eastAsia="zh-CN"/>
                    </w:rPr>
                  </w:pPr>
                </w:p>
              </w:tc>
              <w:tc>
                <w:tcPr>
                  <w:tcW w:w="915" w:type="dxa"/>
                  <w:vAlign w:val="center"/>
                </w:tcPr>
                <w:p w14:paraId="0E39EBDB">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浓度</w:t>
                  </w:r>
                </w:p>
                <w:p w14:paraId="029C9B9C">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mg/m³</w:t>
                  </w:r>
                </w:p>
              </w:tc>
              <w:tc>
                <w:tcPr>
                  <w:tcW w:w="735" w:type="dxa"/>
                  <w:vAlign w:val="center"/>
                </w:tcPr>
                <w:p w14:paraId="599739BD">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速率</w:t>
                  </w:r>
                </w:p>
                <w:p w14:paraId="3A7363A2">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kg/h</w:t>
                  </w:r>
                </w:p>
              </w:tc>
              <w:tc>
                <w:tcPr>
                  <w:tcW w:w="840" w:type="dxa"/>
                  <w:vAlign w:val="center"/>
                </w:tcPr>
                <w:p w14:paraId="064B1140">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产生量</w:t>
                  </w:r>
                </w:p>
                <w:p w14:paraId="3E36361F">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t/a</w:t>
                  </w:r>
                </w:p>
              </w:tc>
              <w:tc>
                <w:tcPr>
                  <w:tcW w:w="1020" w:type="dxa"/>
                  <w:vMerge w:val="continue"/>
                  <w:vAlign w:val="center"/>
                </w:tcPr>
                <w:p w14:paraId="4A25823E">
                  <w:pPr>
                    <w:tabs>
                      <w:tab w:val="left" w:pos="4767"/>
                    </w:tabs>
                    <w:spacing w:line="0" w:lineRule="atLeast"/>
                    <w:jc w:val="center"/>
                    <w:rPr>
                      <w:rFonts w:hint="default" w:ascii="Times New Roman" w:hAnsi="Times New Roman" w:eastAsia="宋体" w:cs="Times New Roman"/>
                      <w:b/>
                      <w:bCs/>
                      <w:color w:val="auto"/>
                      <w:szCs w:val="21"/>
                      <w:lang w:val="en-US" w:eastAsia="zh-CN"/>
                    </w:rPr>
                  </w:pPr>
                </w:p>
              </w:tc>
              <w:tc>
                <w:tcPr>
                  <w:tcW w:w="810" w:type="dxa"/>
                  <w:vAlign w:val="center"/>
                </w:tcPr>
                <w:p w14:paraId="7CDDF96B">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浓度mg/m³</w:t>
                  </w:r>
                </w:p>
              </w:tc>
              <w:tc>
                <w:tcPr>
                  <w:tcW w:w="735" w:type="dxa"/>
                  <w:vAlign w:val="center"/>
                </w:tcPr>
                <w:p w14:paraId="0BD26323">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速率</w:t>
                  </w:r>
                </w:p>
                <w:p w14:paraId="20AD503D">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kg/h</w:t>
                  </w:r>
                </w:p>
              </w:tc>
              <w:tc>
                <w:tcPr>
                  <w:tcW w:w="708" w:type="dxa"/>
                  <w:vAlign w:val="center"/>
                </w:tcPr>
                <w:p w14:paraId="204DC5D3">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排放量t/a</w:t>
                  </w:r>
                </w:p>
              </w:tc>
            </w:tr>
            <w:tr w14:paraId="54AC35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24" w:type="dxa"/>
                  <w:vMerge w:val="restart"/>
                  <w:vAlign w:val="center"/>
                </w:tcPr>
                <w:p w14:paraId="52490D04">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导热油炉燃烧天然气</w:t>
                  </w:r>
                </w:p>
              </w:tc>
              <w:tc>
                <w:tcPr>
                  <w:tcW w:w="994" w:type="dxa"/>
                  <w:vMerge w:val="restart"/>
                  <w:vAlign w:val="center"/>
                </w:tcPr>
                <w:p w14:paraId="0DB9ECB8">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工业废气量929.9万m</w:t>
                  </w:r>
                  <w:r>
                    <w:rPr>
                      <w:rFonts w:hint="default" w:ascii="Times New Roman" w:hAnsi="Times New Roman" w:cs="Times New Roman"/>
                      <w:color w:val="auto"/>
                      <w:szCs w:val="21"/>
                      <w:lang w:val="en-US" w:eastAsia="zh-CN"/>
                    </w:rPr>
                    <w:t>³</w:t>
                  </w:r>
                  <w:r>
                    <w:rPr>
                      <w:rFonts w:hint="default" w:ascii="Times New Roman" w:hAnsi="Times New Roman" w:eastAsia="宋体" w:cs="Times New Roman"/>
                      <w:color w:val="auto"/>
                      <w:szCs w:val="21"/>
                      <w:lang w:val="en-US" w:eastAsia="zh-CN"/>
                    </w:rPr>
                    <w:t>/a；排气筒出口排气量</w:t>
                  </w:r>
                  <w:r>
                    <w:rPr>
                      <w:rFonts w:hint="eastAsia" w:cs="Times New Roman"/>
                      <w:color w:val="auto"/>
                      <w:szCs w:val="21"/>
                      <w:lang w:val="en-US" w:eastAsia="zh-CN"/>
                    </w:rPr>
                    <w:t>4650</w:t>
                  </w:r>
                  <w:r>
                    <w:rPr>
                      <w:rFonts w:hint="default" w:ascii="Times New Roman" w:hAnsi="Times New Roman" w:eastAsia="宋体" w:cs="Times New Roman"/>
                      <w:color w:val="auto"/>
                      <w:szCs w:val="21"/>
                      <w:lang w:val="en-US" w:eastAsia="zh-CN"/>
                    </w:rPr>
                    <w:t>m</w:t>
                  </w:r>
                  <w:r>
                    <w:rPr>
                      <w:rFonts w:hint="default" w:ascii="Times New Roman" w:hAnsi="Times New Roman" w:cs="Times New Roman"/>
                      <w:color w:val="auto"/>
                      <w:szCs w:val="21"/>
                      <w:lang w:val="en-US" w:eastAsia="zh-CN"/>
                    </w:rPr>
                    <w:t>³</w:t>
                  </w:r>
                  <w:r>
                    <w:rPr>
                      <w:rFonts w:hint="default" w:ascii="Times New Roman" w:hAnsi="Times New Roman" w:eastAsia="宋体" w:cs="Times New Roman"/>
                      <w:color w:val="auto"/>
                      <w:szCs w:val="21"/>
                      <w:lang w:val="en-US" w:eastAsia="zh-CN"/>
                    </w:rPr>
                    <w:t>/h</w:t>
                  </w:r>
                </w:p>
              </w:tc>
              <w:tc>
                <w:tcPr>
                  <w:tcW w:w="825" w:type="dxa"/>
                  <w:vAlign w:val="center"/>
                </w:tcPr>
                <w:p w14:paraId="7F3B6C0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SO</w:t>
                  </w:r>
                  <w:r>
                    <w:rPr>
                      <w:rFonts w:hint="default" w:ascii="Times New Roman" w:hAnsi="Times New Roman" w:eastAsia="宋体" w:cs="Times New Roman"/>
                      <w:color w:val="auto"/>
                      <w:szCs w:val="21"/>
                      <w:vertAlign w:val="subscript"/>
                      <w:lang w:val="en-US" w:eastAsia="zh-CN"/>
                    </w:rPr>
                    <w:t>2</w:t>
                  </w:r>
                </w:p>
              </w:tc>
              <w:tc>
                <w:tcPr>
                  <w:tcW w:w="915" w:type="dxa"/>
                  <w:vAlign w:val="center"/>
                </w:tcPr>
                <w:p w14:paraId="635EACF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18.60</w:t>
                  </w:r>
                </w:p>
              </w:tc>
              <w:tc>
                <w:tcPr>
                  <w:tcW w:w="735" w:type="dxa"/>
                  <w:vAlign w:val="center"/>
                </w:tcPr>
                <w:p w14:paraId="3499EB08">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0.0865</w:t>
                  </w:r>
                </w:p>
              </w:tc>
              <w:tc>
                <w:tcPr>
                  <w:tcW w:w="840" w:type="dxa"/>
                  <w:vAlign w:val="center"/>
                </w:tcPr>
                <w:p w14:paraId="346E82E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0.173</w:t>
                  </w:r>
                </w:p>
              </w:tc>
              <w:tc>
                <w:tcPr>
                  <w:tcW w:w="1020" w:type="dxa"/>
                  <w:vMerge w:val="restart"/>
                  <w:vAlign w:val="center"/>
                </w:tcPr>
                <w:p w14:paraId="0D24403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低氮燃烧+15m排气筒（DA003）</w:t>
                  </w:r>
                </w:p>
              </w:tc>
              <w:tc>
                <w:tcPr>
                  <w:tcW w:w="810" w:type="dxa"/>
                  <w:vAlign w:val="center"/>
                </w:tcPr>
                <w:p w14:paraId="1097A48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18.60</w:t>
                  </w:r>
                </w:p>
              </w:tc>
              <w:tc>
                <w:tcPr>
                  <w:tcW w:w="735" w:type="dxa"/>
                  <w:vAlign w:val="center"/>
                </w:tcPr>
                <w:p w14:paraId="5164C488">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0.0865</w:t>
                  </w:r>
                </w:p>
              </w:tc>
              <w:tc>
                <w:tcPr>
                  <w:tcW w:w="708" w:type="dxa"/>
                  <w:vAlign w:val="center"/>
                </w:tcPr>
                <w:p w14:paraId="38D8E00D">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0.173</w:t>
                  </w:r>
                </w:p>
              </w:tc>
            </w:tr>
            <w:tr w14:paraId="16CD4B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24" w:type="dxa"/>
                  <w:vMerge w:val="continue"/>
                  <w:vAlign w:val="center"/>
                </w:tcPr>
                <w:p w14:paraId="6BA041B2">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994" w:type="dxa"/>
                  <w:vMerge w:val="continue"/>
                  <w:vAlign w:val="center"/>
                </w:tcPr>
                <w:p w14:paraId="3914AE60">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825" w:type="dxa"/>
                  <w:vAlign w:val="center"/>
                </w:tcPr>
                <w:p w14:paraId="770A083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NOx</w:t>
                  </w:r>
                </w:p>
              </w:tc>
              <w:tc>
                <w:tcPr>
                  <w:tcW w:w="915" w:type="dxa"/>
                  <w:vAlign w:val="center"/>
                </w:tcPr>
                <w:p w14:paraId="47D0A744">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28.17</w:t>
                  </w:r>
                </w:p>
              </w:tc>
              <w:tc>
                <w:tcPr>
                  <w:tcW w:w="735" w:type="dxa"/>
                  <w:vAlign w:val="center"/>
                </w:tcPr>
                <w:p w14:paraId="5B25ACD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0.131</w:t>
                  </w:r>
                </w:p>
              </w:tc>
              <w:tc>
                <w:tcPr>
                  <w:tcW w:w="840" w:type="dxa"/>
                  <w:vAlign w:val="center"/>
                </w:tcPr>
                <w:p w14:paraId="1AB4DBB0">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0.261</w:t>
                  </w:r>
                </w:p>
              </w:tc>
              <w:tc>
                <w:tcPr>
                  <w:tcW w:w="1020" w:type="dxa"/>
                  <w:vMerge w:val="continue"/>
                  <w:vAlign w:val="center"/>
                </w:tcPr>
                <w:p w14:paraId="475F174E">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810" w:type="dxa"/>
                  <w:vAlign w:val="center"/>
                </w:tcPr>
                <w:p w14:paraId="692954A2">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28.17</w:t>
                  </w:r>
                </w:p>
              </w:tc>
              <w:tc>
                <w:tcPr>
                  <w:tcW w:w="735" w:type="dxa"/>
                  <w:vAlign w:val="center"/>
                </w:tcPr>
                <w:p w14:paraId="0B76E45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0.131</w:t>
                  </w:r>
                </w:p>
              </w:tc>
              <w:tc>
                <w:tcPr>
                  <w:tcW w:w="708" w:type="dxa"/>
                  <w:vAlign w:val="center"/>
                </w:tcPr>
                <w:p w14:paraId="5E5B2B7E">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0.261</w:t>
                  </w:r>
                </w:p>
              </w:tc>
            </w:tr>
            <w:tr w14:paraId="361828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24" w:type="dxa"/>
                  <w:vMerge w:val="continue"/>
                  <w:vAlign w:val="center"/>
                </w:tcPr>
                <w:p w14:paraId="346C1386">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994" w:type="dxa"/>
                  <w:vMerge w:val="continue"/>
                  <w:vAlign w:val="center"/>
                </w:tcPr>
                <w:p w14:paraId="5C5E4247">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825" w:type="dxa"/>
                  <w:vAlign w:val="center"/>
                </w:tcPr>
                <w:p w14:paraId="4EB5363D">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烟尘</w:t>
                  </w:r>
                </w:p>
              </w:tc>
              <w:tc>
                <w:tcPr>
                  <w:tcW w:w="915" w:type="dxa"/>
                  <w:vAlign w:val="center"/>
                </w:tcPr>
                <w:p w14:paraId="7F5E3B2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12.04</w:t>
                  </w:r>
                </w:p>
              </w:tc>
              <w:tc>
                <w:tcPr>
                  <w:tcW w:w="735" w:type="dxa"/>
                  <w:vAlign w:val="center"/>
                </w:tcPr>
                <w:p w14:paraId="3EA2277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056</w:t>
                  </w:r>
                </w:p>
              </w:tc>
              <w:tc>
                <w:tcPr>
                  <w:tcW w:w="840" w:type="dxa"/>
                  <w:vAlign w:val="center"/>
                </w:tcPr>
                <w:p w14:paraId="53AD0F9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112</w:t>
                  </w:r>
                </w:p>
              </w:tc>
              <w:tc>
                <w:tcPr>
                  <w:tcW w:w="1020" w:type="dxa"/>
                  <w:vMerge w:val="continue"/>
                  <w:vAlign w:val="center"/>
                </w:tcPr>
                <w:p w14:paraId="5092B271">
                  <w:pPr>
                    <w:tabs>
                      <w:tab w:val="left" w:pos="4767"/>
                    </w:tabs>
                    <w:spacing w:line="0" w:lineRule="atLeast"/>
                    <w:jc w:val="center"/>
                    <w:rPr>
                      <w:rFonts w:hint="default" w:ascii="Times New Roman" w:hAnsi="Times New Roman" w:eastAsia="宋体" w:cs="Times New Roman"/>
                      <w:color w:val="auto"/>
                      <w:szCs w:val="21"/>
                      <w:lang w:val="en-US" w:eastAsia="zh-CN"/>
                    </w:rPr>
                  </w:pPr>
                </w:p>
              </w:tc>
              <w:tc>
                <w:tcPr>
                  <w:tcW w:w="810" w:type="dxa"/>
                  <w:vAlign w:val="center"/>
                </w:tcPr>
                <w:p w14:paraId="6C51A9F6">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12.04</w:t>
                  </w:r>
                </w:p>
              </w:tc>
              <w:tc>
                <w:tcPr>
                  <w:tcW w:w="735" w:type="dxa"/>
                  <w:vAlign w:val="center"/>
                </w:tcPr>
                <w:p w14:paraId="55F461E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056</w:t>
                  </w:r>
                </w:p>
              </w:tc>
              <w:tc>
                <w:tcPr>
                  <w:tcW w:w="708" w:type="dxa"/>
                  <w:vAlign w:val="center"/>
                </w:tcPr>
                <w:p w14:paraId="157AD2C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112</w:t>
                  </w:r>
                </w:p>
              </w:tc>
            </w:tr>
          </w:tbl>
          <w:p w14:paraId="3AD928A3">
            <w:pPr>
              <w:tabs>
                <w:tab w:val="left" w:pos="4767"/>
              </w:tabs>
              <w:ind w:firstLine="514" w:firstLineChars="200"/>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由上表可知：导热油炉燃烧天然气废气经排气筒（DA003）排放。各污染物排放浓度为SO</w:t>
            </w:r>
            <w:r>
              <w:rPr>
                <w:rFonts w:hint="default" w:ascii="Times New Roman" w:hAnsi="Times New Roman" w:eastAsia="宋体" w:cs="Times New Roman"/>
                <w:color w:val="auto"/>
                <w:sz w:val="24"/>
                <w:szCs w:val="32"/>
                <w:vertAlign w:val="subscript"/>
                <w:lang w:val="en-US" w:eastAsia="zh-CN"/>
              </w:rPr>
              <w:t>2</w:t>
            </w:r>
            <w:r>
              <w:rPr>
                <w:rFonts w:hint="default" w:ascii="Times New Roman" w:hAnsi="Times New Roman" w:eastAsia="宋体" w:cs="Times New Roman"/>
                <w:color w:val="auto"/>
                <w:sz w:val="24"/>
                <w:szCs w:val="32"/>
                <w:lang w:val="en-US" w:eastAsia="zh-CN"/>
              </w:rPr>
              <w:t>：</w:t>
            </w:r>
            <w:r>
              <w:rPr>
                <w:rFonts w:hint="eastAsia" w:cs="Times New Roman"/>
                <w:color w:val="auto"/>
                <w:sz w:val="24"/>
                <w:szCs w:val="32"/>
                <w:lang w:val="en-US" w:eastAsia="zh-CN"/>
              </w:rPr>
              <w:t>18.60</w:t>
            </w:r>
            <w:r>
              <w:rPr>
                <w:rFonts w:hint="default" w:ascii="Times New Roman" w:hAnsi="Times New Roman" w:eastAsia="宋体" w:cs="Times New Roman"/>
                <w:color w:val="auto"/>
                <w:sz w:val="24"/>
                <w:szCs w:val="32"/>
                <w:lang w:val="en-US" w:eastAsia="zh-CN"/>
              </w:rPr>
              <w:t>mg/m³，烟尘：</w:t>
            </w:r>
            <w:r>
              <w:rPr>
                <w:rFonts w:hint="eastAsia" w:cs="Times New Roman"/>
                <w:color w:val="auto"/>
                <w:sz w:val="24"/>
                <w:szCs w:val="32"/>
                <w:lang w:val="en-US" w:eastAsia="zh-CN"/>
              </w:rPr>
              <w:t>12.04</w:t>
            </w:r>
            <w:r>
              <w:rPr>
                <w:rFonts w:hint="default" w:ascii="Times New Roman" w:hAnsi="Times New Roman" w:eastAsia="宋体" w:cs="Times New Roman"/>
                <w:color w:val="auto"/>
                <w:sz w:val="24"/>
                <w:szCs w:val="32"/>
                <w:lang w:val="en-US" w:eastAsia="zh-CN"/>
              </w:rPr>
              <w:t>mg/m³，NOx：</w:t>
            </w:r>
            <w:r>
              <w:rPr>
                <w:rFonts w:hint="eastAsia" w:cs="Times New Roman"/>
                <w:color w:val="auto"/>
                <w:sz w:val="24"/>
                <w:szCs w:val="32"/>
                <w:lang w:val="en-US" w:eastAsia="zh-CN"/>
              </w:rPr>
              <w:t>28.17</w:t>
            </w:r>
            <w:r>
              <w:rPr>
                <w:rFonts w:hint="default" w:ascii="Times New Roman" w:hAnsi="Times New Roman" w:eastAsia="宋体" w:cs="Times New Roman"/>
                <w:color w:val="auto"/>
                <w:sz w:val="24"/>
                <w:szCs w:val="32"/>
                <w:lang w:val="en-US" w:eastAsia="zh-CN"/>
              </w:rPr>
              <w:t>mg/m³，颗粒物、SO</w:t>
            </w:r>
            <w:r>
              <w:rPr>
                <w:rFonts w:hint="default" w:ascii="Times New Roman" w:hAnsi="Times New Roman" w:eastAsia="宋体" w:cs="Times New Roman"/>
                <w:color w:val="auto"/>
                <w:sz w:val="24"/>
                <w:szCs w:val="32"/>
                <w:vertAlign w:val="subscript"/>
                <w:lang w:val="en-US" w:eastAsia="zh-CN"/>
              </w:rPr>
              <w:t>2</w:t>
            </w:r>
            <w:r>
              <w:rPr>
                <w:rFonts w:hint="default" w:ascii="Times New Roman" w:hAnsi="Times New Roman" w:eastAsia="宋体" w:cs="Times New Roman"/>
                <w:color w:val="auto"/>
                <w:sz w:val="24"/>
                <w:szCs w:val="32"/>
                <w:lang w:val="en-US" w:eastAsia="zh-CN"/>
              </w:rPr>
              <w:t>均</w:t>
            </w:r>
            <w:r>
              <w:rPr>
                <w:rFonts w:hint="eastAsia" w:cs="Times New Roman"/>
                <w:color w:val="auto"/>
                <w:sz w:val="24"/>
                <w:szCs w:val="32"/>
                <w:lang w:val="en-US" w:eastAsia="zh-CN"/>
              </w:rPr>
              <w:t>执行</w:t>
            </w:r>
            <w:r>
              <w:rPr>
                <w:rFonts w:hint="default" w:ascii="Times New Roman" w:hAnsi="Times New Roman" w:eastAsia="宋体" w:cs="Times New Roman"/>
                <w:color w:val="auto"/>
                <w:sz w:val="24"/>
                <w:szCs w:val="32"/>
                <w:lang w:val="en-US" w:eastAsia="zh-CN"/>
              </w:rPr>
              <w:t>《锅炉大气污染物排放标准》(GB13271-2014)表3中大气污染物特别排放限值；NOx参照执行《宁夏回族自治区空气质量改善“十四五”规划”》中相关要求（NOx＜50mg/m³）。</w:t>
            </w:r>
          </w:p>
          <w:p w14:paraId="1120818C">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综上所述，本项目废气排放情况见表4-</w:t>
            </w:r>
            <w:r>
              <w:rPr>
                <w:rFonts w:hint="default" w:ascii="Times New Roman" w:hAnsi="Times New Roman" w:cs="Times New Roman"/>
                <w:color w:val="auto"/>
                <w:sz w:val="24"/>
                <w:szCs w:val="32"/>
                <w:lang w:val="en-US" w:eastAsia="zh-CN"/>
              </w:rPr>
              <w:t>5</w:t>
            </w:r>
            <w:r>
              <w:rPr>
                <w:rFonts w:hint="default" w:ascii="Times New Roman" w:hAnsi="Times New Roman" w:cs="Times New Roman"/>
                <w:color w:val="auto"/>
                <w:sz w:val="24"/>
                <w:szCs w:val="32"/>
              </w:rPr>
              <w:t>。</w:t>
            </w:r>
          </w:p>
          <w:p w14:paraId="62D7E213">
            <w:pPr>
              <w:tabs>
                <w:tab w:val="left" w:pos="4767"/>
              </w:tabs>
              <w:ind w:firstLine="514"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本项目DA001颗粒物排放浓度为1.5mg/m³，满足《大气污染物综合排放标准》（GB 16297-1996）表2中二级标准限值要求（排气筒15m，排放浓度≤120mg/m³）</w:t>
            </w:r>
            <w:r>
              <w:rPr>
                <w:rFonts w:hint="eastAsia" w:cs="Times New Roman"/>
                <w:color w:val="auto"/>
                <w:sz w:val="24"/>
                <w:szCs w:val="32"/>
                <w:lang w:val="en-US" w:eastAsia="zh-CN"/>
              </w:rPr>
              <w:t>，</w:t>
            </w:r>
            <w:r>
              <w:rPr>
                <w:rFonts w:hint="default" w:ascii="Times New Roman" w:hAnsi="Times New Roman" w:cs="Times New Roman"/>
                <w:color w:val="auto"/>
                <w:sz w:val="24"/>
                <w:szCs w:val="32"/>
                <w:lang w:val="en-US" w:eastAsia="zh-CN"/>
              </w:rPr>
              <w:t>DA002颗粒物排放浓度总值为111.855mg/m³，</w:t>
            </w:r>
            <w:r>
              <w:rPr>
                <w:rFonts w:hint="eastAsia" w:cs="Times New Roman"/>
                <w:color w:val="auto"/>
                <w:sz w:val="24"/>
                <w:szCs w:val="32"/>
                <w:lang w:val="en-US" w:eastAsia="zh-CN"/>
              </w:rPr>
              <w:t>满足《工业炉窑大气污染综合治理方案》（环大气〔2019〕56号）中“重点区域”限值要求</w:t>
            </w:r>
            <w:r>
              <w:rPr>
                <w:rFonts w:hint="default" w:ascii="Times New Roman" w:hAnsi="Times New Roman" w:cs="Times New Roman"/>
                <w:color w:val="auto"/>
                <w:sz w:val="24"/>
                <w:szCs w:val="32"/>
                <w:lang w:val="en-US" w:eastAsia="zh-CN"/>
              </w:rPr>
              <w:t>；DA003颗粒物排放浓度为6.175mg/m³，满足《锅炉大气污染物排放标准》(GB 13271-2014)表3中大气污染物特别排放限值要求（排气筒15m，排放浓度≤20mg/m³）。</w:t>
            </w:r>
          </w:p>
          <w:p w14:paraId="18C098D0">
            <w:pPr>
              <w:tabs>
                <w:tab w:val="left" w:pos="4767"/>
              </w:tabs>
              <w:ind w:firstLine="514"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本项目DA002 SO</w:t>
            </w:r>
            <w:r>
              <w:rPr>
                <w:rFonts w:hint="default" w:ascii="Times New Roman" w:hAnsi="Times New Roman" w:cs="Times New Roman"/>
                <w:color w:val="auto"/>
                <w:sz w:val="24"/>
                <w:szCs w:val="32"/>
                <w:vertAlign w:val="subscript"/>
                <w:lang w:val="en-US" w:eastAsia="zh-CN"/>
              </w:rPr>
              <w:t>2</w:t>
            </w:r>
            <w:r>
              <w:rPr>
                <w:rFonts w:hint="default" w:ascii="Times New Roman" w:hAnsi="Times New Roman" w:cs="Times New Roman"/>
                <w:color w:val="auto"/>
                <w:sz w:val="24"/>
                <w:szCs w:val="32"/>
                <w:lang w:val="en-US" w:eastAsia="zh-CN"/>
              </w:rPr>
              <w:t>排放浓度为0.365mg/m³，满足《工业炉窑大气污染综合治理方案》（环大气〔2019〕56号）中“重点区域”限值要求；DA003 SO</w:t>
            </w:r>
            <w:r>
              <w:rPr>
                <w:rFonts w:hint="default" w:ascii="Times New Roman" w:hAnsi="Times New Roman" w:cs="Times New Roman"/>
                <w:color w:val="auto"/>
                <w:sz w:val="24"/>
                <w:szCs w:val="32"/>
                <w:vertAlign w:val="subscript"/>
                <w:lang w:val="en-US" w:eastAsia="zh-CN"/>
              </w:rPr>
              <w:t>2</w:t>
            </w:r>
            <w:r>
              <w:rPr>
                <w:rFonts w:hint="default" w:ascii="Times New Roman" w:hAnsi="Times New Roman" w:cs="Times New Roman"/>
                <w:color w:val="auto"/>
                <w:sz w:val="24"/>
                <w:szCs w:val="32"/>
                <w:lang w:val="en-US" w:eastAsia="zh-CN"/>
              </w:rPr>
              <w:t>排放浓度为4.325mg/m³，满足《锅炉大气污染物排放标准》(GB 13271-2014)表3中大气污染物特别排放限值要求（排气筒15m，排放浓度</w:t>
            </w:r>
            <w:r>
              <w:rPr>
                <w:rFonts w:hint="default" w:ascii="Times New Roman" w:hAnsi="Times New Roman" w:eastAsia="宋体" w:cs="Times New Roman"/>
                <w:color w:val="auto"/>
                <w:sz w:val="24"/>
                <w:szCs w:val="32"/>
                <w:lang w:val="en-US" w:eastAsia="zh-CN"/>
              </w:rPr>
              <w:t>＜</w:t>
            </w:r>
            <w:r>
              <w:rPr>
                <w:rFonts w:hint="default" w:ascii="Times New Roman" w:hAnsi="Times New Roman" w:cs="Times New Roman"/>
                <w:color w:val="auto"/>
                <w:sz w:val="24"/>
                <w:szCs w:val="32"/>
                <w:lang w:val="en-US" w:eastAsia="zh-CN"/>
              </w:rPr>
              <w:t>50mg/m³）。</w:t>
            </w:r>
          </w:p>
          <w:p w14:paraId="296277C7">
            <w:pPr>
              <w:tabs>
                <w:tab w:val="left" w:pos="4767"/>
              </w:tabs>
              <w:ind w:firstLine="514"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本项目DA002 NOx排放浓度为0.55mg/m³，满足《工业炉窑大气污染综合治理方案》（环大气〔2019〕56号）中“重点区域”限值要求。DA003 NOx排放浓度为6.55mg/m³，满足《宁夏回族自治区空气质量改善“十四五”规划》（宁环发[2021]85号）中要求（</w:t>
            </w:r>
            <w:r>
              <w:rPr>
                <w:rFonts w:hint="default" w:ascii="Times New Roman" w:hAnsi="Times New Roman" w:eastAsia="宋体" w:cs="Times New Roman"/>
                <w:color w:val="auto"/>
                <w:sz w:val="24"/>
                <w:szCs w:val="32"/>
                <w:lang w:val="en-US" w:eastAsia="zh-CN"/>
              </w:rPr>
              <w:t>NOx＜50mg/m³</w:t>
            </w:r>
            <w:r>
              <w:rPr>
                <w:rFonts w:hint="default" w:ascii="Times New Roman" w:hAnsi="Times New Roman" w:cs="Times New Roman"/>
                <w:color w:val="auto"/>
                <w:sz w:val="24"/>
                <w:szCs w:val="32"/>
                <w:lang w:val="en-US" w:eastAsia="zh-CN"/>
              </w:rPr>
              <w:t>）。</w:t>
            </w:r>
          </w:p>
          <w:p w14:paraId="271691A2">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本项目苯并[a]芘排放速率为1.375×10</w:t>
            </w:r>
            <w:r>
              <w:rPr>
                <w:rFonts w:hint="default" w:ascii="Times New Roman" w:hAnsi="Times New Roman" w:cs="Times New Roman"/>
                <w:color w:val="auto"/>
                <w:sz w:val="24"/>
                <w:szCs w:val="32"/>
                <w:vertAlign w:val="superscript"/>
                <w:lang w:val="en-US" w:eastAsia="zh-CN"/>
              </w:rPr>
              <w:t>-6</w:t>
            </w:r>
            <w:r>
              <w:rPr>
                <w:rFonts w:hint="default" w:ascii="Times New Roman" w:hAnsi="Times New Roman" w:cs="Times New Roman"/>
                <w:color w:val="auto"/>
                <w:sz w:val="24"/>
                <w:szCs w:val="32"/>
                <w:lang w:val="en-US" w:eastAsia="zh-CN"/>
              </w:rPr>
              <w:t>kg/h，排放浓度为6.875×10</w:t>
            </w:r>
            <w:r>
              <w:rPr>
                <w:rFonts w:hint="default" w:ascii="Times New Roman" w:hAnsi="Times New Roman" w:cs="Times New Roman"/>
                <w:color w:val="auto"/>
                <w:sz w:val="24"/>
                <w:szCs w:val="32"/>
                <w:vertAlign w:val="superscript"/>
                <w:lang w:val="en-US" w:eastAsia="zh-CN"/>
              </w:rPr>
              <w:t>-5</w:t>
            </w:r>
            <w:r>
              <w:rPr>
                <w:rFonts w:hint="default" w:ascii="Times New Roman" w:hAnsi="Times New Roman" w:cs="Times New Roman"/>
                <w:color w:val="auto"/>
                <w:sz w:val="24"/>
                <w:szCs w:val="32"/>
                <w:lang w:val="en-US" w:eastAsia="zh-CN"/>
              </w:rPr>
              <w:t>mg/m³；沥青烟排放速率为1.05×10</w:t>
            </w:r>
            <w:r>
              <w:rPr>
                <w:rFonts w:hint="default" w:ascii="Times New Roman" w:hAnsi="Times New Roman" w:cs="Times New Roman"/>
                <w:color w:val="auto"/>
                <w:sz w:val="24"/>
                <w:szCs w:val="32"/>
                <w:vertAlign w:val="superscript"/>
                <w:lang w:val="en-US" w:eastAsia="zh-CN"/>
              </w:rPr>
              <w:t>-3</w:t>
            </w:r>
            <w:r>
              <w:rPr>
                <w:rFonts w:hint="default" w:ascii="Times New Roman" w:hAnsi="Times New Roman" w:cs="Times New Roman"/>
                <w:color w:val="auto"/>
                <w:sz w:val="24"/>
                <w:szCs w:val="32"/>
                <w:lang w:val="en-US" w:eastAsia="zh-CN"/>
              </w:rPr>
              <w:t>kg/h，排放浓度为0.0525mg/m³。均满足《大气污染物综合排放标准》（GB 16297-1996）表2排放限值要求。（沥青烟：排放浓度≤75mg/m³，排放速率≤0.18kg/h；苯并[a]芘：排放浓度≤3×10</w:t>
            </w:r>
            <w:r>
              <w:rPr>
                <w:rFonts w:hint="default" w:ascii="Times New Roman" w:hAnsi="Times New Roman" w:cs="Times New Roman"/>
                <w:color w:val="auto"/>
                <w:sz w:val="24"/>
                <w:szCs w:val="32"/>
                <w:vertAlign w:val="superscript"/>
                <w:lang w:val="en-US" w:eastAsia="zh-CN"/>
              </w:rPr>
              <w:t>-4</w:t>
            </w:r>
            <w:r>
              <w:rPr>
                <w:rFonts w:hint="default" w:ascii="Times New Roman" w:hAnsi="Times New Roman" w:cs="Times New Roman"/>
                <w:color w:val="auto"/>
                <w:sz w:val="24"/>
                <w:szCs w:val="32"/>
                <w:lang w:val="en-US" w:eastAsia="zh-CN"/>
              </w:rPr>
              <w:t>mg/m³，排放速率≤0.05×10</w:t>
            </w:r>
            <w:r>
              <w:rPr>
                <w:rFonts w:hint="default" w:ascii="Times New Roman" w:hAnsi="Times New Roman" w:cs="Times New Roman"/>
                <w:color w:val="auto"/>
                <w:sz w:val="24"/>
                <w:szCs w:val="32"/>
                <w:vertAlign w:val="superscript"/>
                <w:lang w:val="en-US" w:eastAsia="zh-CN"/>
              </w:rPr>
              <w:t>-3</w:t>
            </w:r>
            <w:r>
              <w:rPr>
                <w:rFonts w:hint="default" w:ascii="Times New Roman" w:hAnsi="Times New Roman" w:cs="Times New Roman"/>
                <w:color w:val="auto"/>
                <w:sz w:val="24"/>
                <w:szCs w:val="32"/>
                <w:lang w:val="en-US" w:eastAsia="zh-CN"/>
              </w:rPr>
              <w:t>kg/h）。</w:t>
            </w:r>
          </w:p>
          <w:p w14:paraId="6D2EC1FE">
            <w:pPr>
              <w:pStyle w:val="37"/>
              <w:tabs>
                <w:tab w:val="left" w:pos="4767"/>
              </w:tabs>
              <w:ind w:firstLine="0" w:firstLineChars="0"/>
              <w:rPr>
                <w:rFonts w:hint="default" w:ascii="Times New Roman" w:hAnsi="Times New Roman" w:cs="Times New Roman"/>
                <w:color w:val="auto"/>
              </w:rPr>
            </w:pPr>
          </w:p>
        </w:tc>
      </w:tr>
    </w:tbl>
    <w:p w14:paraId="4A3C4150">
      <w:pPr>
        <w:tabs>
          <w:tab w:val="left" w:pos="4767"/>
        </w:tabs>
        <w:rPr>
          <w:rFonts w:hint="default" w:ascii="Times New Roman" w:hAnsi="Times New Roman" w:cs="Times New Roman"/>
          <w:color w:val="auto"/>
        </w:rPr>
        <w:sectPr>
          <w:pgSz w:w="11905" w:h="16838"/>
          <w:pgMar w:top="1417" w:right="1417" w:bottom="1417" w:left="1417" w:header="851" w:footer="964" w:gutter="0"/>
          <w:pgBorders>
            <w:top w:val="none" w:sz="0" w:space="0"/>
            <w:left w:val="none" w:sz="0" w:space="0"/>
            <w:bottom w:val="none" w:sz="0" w:space="0"/>
            <w:right w:val="none" w:sz="0" w:space="0"/>
          </w:pgBorders>
          <w:cols w:space="0" w:num="1"/>
          <w:docGrid w:type="linesAndChars" w:linePitch="466" w:charSpace="3482"/>
        </w:sectPr>
      </w:pPr>
    </w:p>
    <w:p w14:paraId="04A26871">
      <w:pPr>
        <w:tabs>
          <w:tab w:val="left" w:pos="4767"/>
        </w:tabs>
        <w:jc w:val="center"/>
        <w:rPr>
          <w:rFonts w:hint="default" w:ascii="Times New Roman" w:hAnsi="Times New Roman" w:eastAsia="黑体" w:cs="Times New Roman"/>
          <w:color w:val="auto"/>
        </w:rPr>
      </w:pPr>
      <w:r>
        <w:rPr>
          <w:rFonts w:hint="default" w:ascii="Times New Roman" w:hAnsi="Times New Roman" w:eastAsia="黑体" w:cs="Times New Roman"/>
          <w:color w:val="auto"/>
          <w:sz w:val="24"/>
          <w:szCs w:val="32"/>
        </w:rPr>
        <w:t>表4-</w:t>
      </w:r>
      <w:r>
        <w:rPr>
          <w:rFonts w:hint="default" w:ascii="Times New Roman" w:hAnsi="Times New Roman" w:eastAsia="黑体" w:cs="Times New Roman"/>
          <w:color w:val="auto"/>
          <w:sz w:val="24"/>
          <w:szCs w:val="32"/>
          <w:lang w:val="en-US" w:eastAsia="zh-CN"/>
        </w:rPr>
        <w:t>5</w:t>
      </w:r>
      <w:r>
        <w:rPr>
          <w:rFonts w:hint="default" w:ascii="Times New Roman" w:hAnsi="Times New Roman" w:eastAsia="黑体" w:cs="Times New Roman"/>
          <w:color w:val="auto"/>
          <w:sz w:val="24"/>
          <w:szCs w:val="32"/>
        </w:rPr>
        <w:t xml:space="preserve">  本项目废气排放情况一览表</w:t>
      </w:r>
    </w:p>
    <w:tbl>
      <w:tblPr>
        <w:tblStyle w:val="50"/>
        <w:tblW w:w="4771"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1359"/>
        <w:gridCol w:w="1025"/>
        <w:gridCol w:w="1271"/>
        <w:gridCol w:w="1102"/>
        <w:gridCol w:w="1897"/>
        <w:gridCol w:w="1011"/>
        <w:gridCol w:w="1648"/>
        <w:gridCol w:w="1910"/>
        <w:gridCol w:w="1209"/>
        <w:gridCol w:w="931"/>
      </w:tblGrid>
      <w:tr w14:paraId="12F6E14E">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08" w:type="pct"/>
            <w:tcBorders>
              <w:right w:val="single" w:color="auto" w:sz="4" w:space="0"/>
              <w:tl2br w:val="nil"/>
              <w:tr2bl w:val="nil"/>
            </w:tcBorders>
            <w:vAlign w:val="center"/>
          </w:tcPr>
          <w:p w14:paraId="658D6A60">
            <w:pPr>
              <w:pStyle w:val="74"/>
              <w:tabs>
                <w:tab w:val="left" w:pos="4767"/>
              </w:tabs>
              <w:snapToGrid w:val="0"/>
              <w:spacing w:line="24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产排污环节</w:t>
            </w:r>
          </w:p>
        </w:tc>
        <w:tc>
          <w:tcPr>
            <w:tcW w:w="383" w:type="pct"/>
            <w:tcBorders>
              <w:left w:val="single" w:color="auto" w:sz="4" w:space="0"/>
              <w:right w:val="single" w:color="auto" w:sz="4" w:space="0"/>
              <w:tl2br w:val="nil"/>
              <w:tr2bl w:val="nil"/>
            </w:tcBorders>
            <w:vAlign w:val="center"/>
          </w:tcPr>
          <w:p w14:paraId="7D36CEF8">
            <w:pPr>
              <w:pStyle w:val="74"/>
              <w:tabs>
                <w:tab w:val="left" w:pos="4767"/>
              </w:tabs>
              <w:snapToGrid w:val="0"/>
              <w:spacing w:line="24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污染因子</w:t>
            </w:r>
          </w:p>
        </w:tc>
        <w:tc>
          <w:tcPr>
            <w:tcW w:w="475" w:type="pct"/>
            <w:tcBorders>
              <w:tl2br w:val="nil"/>
              <w:tr2bl w:val="nil"/>
            </w:tcBorders>
            <w:vAlign w:val="center"/>
          </w:tcPr>
          <w:p w14:paraId="3AAF0817">
            <w:pPr>
              <w:pStyle w:val="74"/>
              <w:tabs>
                <w:tab w:val="left" w:pos="4767"/>
              </w:tabs>
              <w:snapToGrid w:val="0"/>
              <w:spacing w:line="24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废气量（m³/h）</w:t>
            </w:r>
          </w:p>
        </w:tc>
        <w:tc>
          <w:tcPr>
            <w:tcW w:w="412" w:type="pct"/>
            <w:tcBorders>
              <w:tl2br w:val="nil"/>
              <w:tr2bl w:val="nil"/>
            </w:tcBorders>
            <w:vAlign w:val="center"/>
          </w:tcPr>
          <w:p w14:paraId="47BE9C10">
            <w:pPr>
              <w:pStyle w:val="74"/>
              <w:tabs>
                <w:tab w:val="left" w:pos="4767"/>
              </w:tabs>
              <w:snapToGrid w:val="0"/>
              <w:spacing w:line="24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产生量（t/a）</w:t>
            </w:r>
          </w:p>
        </w:tc>
        <w:tc>
          <w:tcPr>
            <w:tcW w:w="709" w:type="pct"/>
            <w:tcBorders>
              <w:tl2br w:val="nil"/>
              <w:tr2bl w:val="nil"/>
            </w:tcBorders>
            <w:vAlign w:val="center"/>
          </w:tcPr>
          <w:p w14:paraId="7675EF52">
            <w:pPr>
              <w:pStyle w:val="74"/>
              <w:tabs>
                <w:tab w:val="left" w:pos="4767"/>
              </w:tabs>
              <w:snapToGrid w:val="0"/>
              <w:spacing w:line="24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防治措施</w:t>
            </w:r>
          </w:p>
        </w:tc>
        <w:tc>
          <w:tcPr>
            <w:tcW w:w="378" w:type="pct"/>
            <w:tcBorders>
              <w:tl2br w:val="nil"/>
              <w:tr2bl w:val="nil"/>
            </w:tcBorders>
            <w:vAlign w:val="center"/>
          </w:tcPr>
          <w:p w14:paraId="256B1101">
            <w:pPr>
              <w:pStyle w:val="74"/>
              <w:tabs>
                <w:tab w:val="left" w:pos="4767"/>
              </w:tabs>
              <w:snapToGrid w:val="0"/>
              <w:spacing w:line="24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处理效率</w:t>
            </w:r>
          </w:p>
        </w:tc>
        <w:tc>
          <w:tcPr>
            <w:tcW w:w="616" w:type="pct"/>
            <w:tcBorders>
              <w:tl2br w:val="nil"/>
              <w:tr2bl w:val="nil"/>
            </w:tcBorders>
            <w:vAlign w:val="center"/>
          </w:tcPr>
          <w:p w14:paraId="333AF87C">
            <w:pPr>
              <w:pStyle w:val="74"/>
              <w:tabs>
                <w:tab w:val="left" w:pos="4767"/>
              </w:tabs>
              <w:snapToGrid w:val="0"/>
              <w:spacing w:line="24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排气量（m³/h）</w:t>
            </w:r>
          </w:p>
        </w:tc>
        <w:tc>
          <w:tcPr>
            <w:tcW w:w="714" w:type="pct"/>
            <w:tcBorders>
              <w:tl2br w:val="nil"/>
              <w:tr2bl w:val="nil"/>
            </w:tcBorders>
            <w:vAlign w:val="center"/>
          </w:tcPr>
          <w:p w14:paraId="177822B7">
            <w:pPr>
              <w:pStyle w:val="74"/>
              <w:tabs>
                <w:tab w:val="left" w:pos="4767"/>
              </w:tabs>
              <w:snapToGrid w:val="0"/>
              <w:spacing w:line="24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排放浓度（mg/m³）</w:t>
            </w:r>
          </w:p>
        </w:tc>
        <w:tc>
          <w:tcPr>
            <w:tcW w:w="452" w:type="pct"/>
            <w:tcBorders>
              <w:tl2br w:val="nil"/>
              <w:tr2bl w:val="nil"/>
            </w:tcBorders>
            <w:vAlign w:val="center"/>
          </w:tcPr>
          <w:p w14:paraId="76D887AA">
            <w:pPr>
              <w:pStyle w:val="74"/>
              <w:tabs>
                <w:tab w:val="left" w:pos="4767"/>
              </w:tabs>
              <w:snapToGrid w:val="0"/>
              <w:spacing w:line="24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排放速率（kg/h）</w:t>
            </w:r>
          </w:p>
        </w:tc>
        <w:tc>
          <w:tcPr>
            <w:tcW w:w="348" w:type="pct"/>
            <w:tcBorders>
              <w:tl2br w:val="nil"/>
              <w:tr2bl w:val="nil"/>
            </w:tcBorders>
            <w:vAlign w:val="center"/>
          </w:tcPr>
          <w:p w14:paraId="6BD98602">
            <w:pPr>
              <w:pStyle w:val="74"/>
              <w:tabs>
                <w:tab w:val="left" w:pos="4767"/>
              </w:tabs>
              <w:snapToGrid w:val="0"/>
              <w:spacing w:line="24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排放量（t/a）</w:t>
            </w:r>
          </w:p>
        </w:tc>
      </w:tr>
      <w:tr w14:paraId="052823F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8" w:type="pct"/>
            <w:tcBorders>
              <w:right w:val="single" w:color="auto" w:sz="4" w:space="0"/>
              <w:tl2br w:val="nil"/>
              <w:tr2bl w:val="nil"/>
            </w:tcBorders>
            <w:vAlign w:val="center"/>
          </w:tcPr>
          <w:p w14:paraId="242E3A70">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矿石加料及输送产生的粉尘</w:t>
            </w:r>
          </w:p>
        </w:tc>
        <w:tc>
          <w:tcPr>
            <w:tcW w:w="383" w:type="pct"/>
            <w:tcBorders>
              <w:right w:val="single" w:color="auto" w:sz="4" w:space="0"/>
              <w:tl2br w:val="nil"/>
              <w:tr2bl w:val="nil"/>
            </w:tcBorders>
            <w:vAlign w:val="center"/>
          </w:tcPr>
          <w:p w14:paraId="1C84B102">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rPr>
              <w:t>颗粒物</w:t>
            </w:r>
          </w:p>
        </w:tc>
        <w:tc>
          <w:tcPr>
            <w:tcW w:w="475" w:type="pct"/>
            <w:tcBorders>
              <w:tl2br w:val="nil"/>
              <w:tr2bl w:val="nil"/>
            </w:tcBorders>
            <w:vAlign w:val="center"/>
          </w:tcPr>
          <w:p w14:paraId="298756CB">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10000</w:t>
            </w:r>
          </w:p>
        </w:tc>
        <w:tc>
          <w:tcPr>
            <w:tcW w:w="412" w:type="pct"/>
            <w:tcBorders>
              <w:tl2br w:val="nil"/>
              <w:tr2bl w:val="nil"/>
            </w:tcBorders>
            <w:vAlign w:val="center"/>
          </w:tcPr>
          <w:p w14:paraId="12267793">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2.88</w:t>
            </w:r>
          </w:p>
        </w:tc>
        <w:tc>
          <w:tcPr>
            <w:tcW w:w="709" w:type="pct"/>
            <w:tcBorders>
              <w:tl2br w:val="nil"/>
              <w:tr2bl w:val="nil"/>
            </w:tcBorders>
            <w:vAlign w:val="center"/>
          </w:tcPr>
          <w:p w14:paraId="68C5F161">
            <w:pPr>
              <w:pStyle w:val="74"/>
              <w:tabs>
                <w:tab w:val="left" w:pos="4767"/>
              </w:tabs>
              <w:snapToGrid w:val="0"/>
              <w:spacing w:line="240" w:lineRule="auto"/>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eastAsia="zh-CN"/>
              </w:rPr>
              <w:t>1#布袋除尘器+15m排气筒DA001</w:t>
            </w:r>
          </w:p>
        </w:tc>
        <w:tc>
          <w:tcPr>
            <w:tcW w:w="378" w:type="pct"/>
            <w:tcBorders>
              <w:right w:val="single" w:color="auto" w:sz="4" w:space="0"/>
              <w:tl2br w:val="nil"/>
              <w:tr2bl w:val="nil"/>
            </w:tcBorders>
            <w:vAlign w:val="center"/>
          </w:tcPr>
          <w:p w14:paraId="0CCA122C">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rPr>
              <w:t>吸尘装置收集效率90%，布袋除尘器处理效率99%</w:t>
            </w:r>
          </w:p>
        </w:tc>
        <w:tc>
          <w:tcPr>
            <w:tcW w:w="616" w:type="pct"/>
            <w:tcBorders>
              <w:right w:val="single" w:color="auto" w:sz="4" w:space="0"/>
              <w:tl2br w:val="nil"/>
              <w:tr2bl w:val="nil"/>
            </w:tcBorders>
            <w:vAlign w:val="center"/>
          </w:tcPr>
          <w:p w14:paraId="4A813B8E">
            <w:pPr>
              <w:pStyle w:val="74"/>
              <w:tabs>
                <w:tab w:val="left" w:pos="4767"/>
              </w:tabs>
              <w:snapToGrid w:val="0"/>
              <w:spacing w:line="240" w:lineRule="auto"/>
              <w:rPr>
                <w:rFonts w:hint="default" w:ascii="Times New Roman" w:hAnsi="Times New Roman" w:cs="Times New Roman"/>
                <w:color w:val="auto"/>
                <w:szCs w:val="21"/>
                <w:lang w:val="en-US" w:eastAsia="zh-CN"/>
              </w:rPr>
            </w:pPr>
            <w:r>
              <w:rPr>
                <w:rFonts w:hint="eastAsia" w:cs="Times New Roman"/>
                <w:color w:val="auto"/>
                <w:szCs w:val="21"/>
                <w:lang w:val="en-US" w:eastAsia="zh-CN"/>
              </w:rPr>
              <w:t>10000</w:t>
            </w:r>
          </w:p>
        </w:tc>
        <w:tc>
          <w:tcPr>
            <w:tcW w:w="714" w:type="pct"/>
            <w:tcBorders>
              <w:right w:val="single" w:color="auto" w:sz="4" w:space="0"/>
              <w:tl2br w:val="nil"/>
              <w:tr2bl w:val="nil"/>
            </w:tcBorders>
            <w:vAlign w:val="center"/>
          </w:tcPr>
          <w:p w14:paraId="3F27E618">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1.296</w:t>
            </w:r>
          </w:p>
        </w:tc>
        <w:tc>
          <w:tcPr>
            <w:tcW w:w="452" w:type="pct"/>
            <w:tcBorders>
              <w:left w:val="single" w:color="auto" w:sz="4" w:space="0"/>
              <w:right w:val="single" w:color="auto" w:sz="4" w:space="0"/>
              <w:tl2br w:val="nil"/>
              <w:tr2bl w:val="nil"/>
            </w:tcBorders>
            <w:vAlign w:val="center"/>
          </w:tcPr>
          <w:p w14:paraId="78B304D3">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0.013</w:t>
            </w:r>
          </w:p>
        </w:tc>
        <w:tc>
          <w:tcPr>
            <w:tcW w:w="348" w:type="pct"/>
            <w:tcBorders>
              <w:left w:val="single" w:color="auto" w:sz="4" w:space="0"/>
              <w:tl2br w:val="nil"/>
              <w:tr2bl w:val="nil"/>
            </w:tcBorders>
            <w:vAlign w:val="center"/>
          </w:tcPr>
          <w:p w14:paraId="06CD1841">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0.026</w:t>
            </w:r>
          </w:p>
        </w:tc>
      </w:tr>
      <w:tr w14:paraId="26C03FA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8" w:type="pct"/>
            <w:vMerge w:val="restart"/>
            <w:tcBorders>
              <w:right w:val="single" w:color="auto" w:sz="4" w:space="0"/>
              <w:tl2br w:val="nil"/>
              <w:tr2bl w:val="nil"/>
            </w:tcBorders>
            <w:vAlign w:val="center"/>
          </w:tcPr>
          <w:p w14:paraId="6FF9B1D2">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rPr>
              <w:t>烘干筒天然气燃烧废气</w:t>
            </w:r>
          </w:p>
        </w:tc>
        <w:tc>
          <w:tcPr>
            <w:tcW w:w="383" w:type="pct"/>
            <w:tcBorders>
              <w:right w:val="single" w:color="auto" w:sz="4" w:space="0"/>
              <w:tl2br w:val="nil"/>
              <w:tr2bl w:val="nil"/>
            </w:tcBorders>
            <w:vAlign w:val="center"/>
          </w:tcPr>
          <w:p w14:paraId="5927AA5E">
            <w:pPr>
              <w:pStyle w:val="74"/>
              <w:tabs>
                <w:tab w:val="left" w:pos="4767"/>
              </w:tabs>
              <w:snapToGrid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SO</w:t>
            </w:r>
            <w:r>
              <w:rPr>
                <w:rFonts w:hint="default" w:ascii="Times New Roman" w:hAnsi="Times New Roman" w:eastAsia="宋体" w:cs="Times New Roman"/>
                <w:color w:val="auto"/>
                <w:szCs w:val="21"/>
                <w:vertAlign w:val="subscript"/>
                <w:lang w:val="en-US" w:eastAsia="zh-CN"/>
              </w:rPr>
              <w:t>2</w:t>
            </w:r>
          </w:p>
        </w:tc>
        <w:tc>
          <w:tcPr>
            <w:tcW w:w="475" w:type="pct"/>
            <w:vMerge w:val="restart"/>
            <w:tcBorders>
              <w:tl2br w:val="nil"/>
              <w:tr2bl w:val="nil"/>
            </w:tcBorders>
            <w:vAlign w:val="center"/>
          </w:tcPr>
          <w:p w14:paraId="1EBC3015">
            <w:pPr>
              <w:pStyle w:val="74"/>
              <w:tabs>
                <w:tab w:val="left" w:pos="4767"/>
              </w:tabs>
              <w:snapToGrid w:val="0"/>
              <w:spacing w:line="240" w:lineRule="auto"/>
              <w:rPr>
                <w:rFonts w:hint="default" w:ascii="Times New Roman" w:hAnsi="Times New Roman" w:cs="Times New Roman"/>
                <w:color w:val="auto"/>
                <w:szCs w:val="21"/>
                <w:lang w:val="en-US" w:eastAsia="zh-CN"/>
              </w:rPr>
            </w:pPr>
            <w:r>
              <w:rPr>
                <w:rFonts w:hint="eastAsia" w:cs="Times New Roman"/>
                <w:color w:val="auto"/>
                <w:szCs w:val="21"/>
                <w:lang w:val="en-US" w:eastAsia="zh-CN"/>
              </w:rPr>
              <w:t>393</w:t>
            </w:r>
          </w:p>
        </w:tc>
        <w:tc>
          <w:tcPr>
            <w:tcW w:w="412" w:type="pct"/>
            <w:tcBorders>
              <w:tl2br w:val="nil"/>
              <w:tr2bl w:val="nil"/>
            </w:tcBorders>
            <w:vAlign w:val="center"/>
          </w:tcPr>
          <w:p w14:paraId="4CDE0131">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0.0146</w:t>
            </w:r>
          </w:p>
        </w:tc>
        <w:tc>
          <w:tcPr>
            <w:tcW w:w="709" w:type="pct"/>
            <w:vMerge w:val="restart"/>
            <w:tcBorders>
              <w:tl2br w:val="nil"/>
              <w:tr2bl w:val="nil"/>
            </w:tcBorders>
            <w:vAlign w:val="center"/>
          </w:tcPr>
          <w:p w14:paraId="67146255">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水喷淋+低温等离子净化+15m排气筒DA002</w:t>
            </w:r>
          </w:p>
        </w:tc>
        <w:tc>
          <w:tcPr>
            <w:tcW w:w="378" w:type="pct"/>
            <w:tcBorders>
              <w:right w:val="single" w:color="auto" w:sz="4" w:space="0"/>
              <w:tl2br w:val="nil"/>
              <w:tr2bl w:val="nil"/>
            </w:tcBorders>
            <w:vAlign w:val="center"/>
          </w:tcPr>
          <w:p w14:paraId="70B03C8A">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w:t>
            </w:r>
          </w:p>
        </w:tc>
        <w:tc>
          <w:tcPr>
            <w:tcW w:w="616" w:type="pct"/>
            <w:vMerge w:val="restart"/>
            <w:tcBorders>
              <w:right w:val="single" w:color="auto" w:sz="4" w:space="0"/>
              <w:tl2br w:val="nil"/>
              <w:tr2bl w:val="nil"/>
            </w:tcBorders>
            <w:vAlign w:val="center"/>
          </w:tcPr>
          <w:p w14:paraId="3C0FC260">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20000</w:t>
            </w:r>
          </w:p>
        </w:tc>
        <w:tc>
          <w:tcPr>
            <w:tcW w:w="714" w:type="pct"/>
            <w:tcBorders>
              <w:right w:val="single" w:color="auto" w:sz="4" w:space="0"/>
              <w:tl2br w:val="nil"/>
              <w:tr2bl w:val="nil"/>
            </w:tcBorders>
            <w:vAlign w:val="center"/>
          </w:tcPr>
          <w:p w14:paraId="340F7CBC">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0.365</w:t>
            </w:r>
          </w:p>
        </w:tc>
        <w:tc>
          <w:tcPr>
            <w:tcW w:w="452" w:type="pct"/>
            <w:tcBorders>
              <w:left w:val="single" w:color="auto" w:sz="4" w:space="0"/>
              <w:right w:val="single" w:color="auto" w:sz="4" w:space="0"/>
              <w:tl2br w:val="nil"/>
              <w:tr2bl w:val="nil"/>
            </w:tcBorders>
            <w:vAlign w:val="center"/>
          </w:tcPr>
          <w:p w14:paraId="513102DA">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0.0073</w:t>
            </w:r>
          </w:p>
        </w:tc>
        <w:tc>
          <w:tcPr>
            <w:tcW w:w="348" w:type="pct"/>
            <w:tcBorders>
              <w:left w:val="single" w:color="auto" w:sz="4" w:space="0"/>
              <w:tl2br w:val="nil"/>
              <w:tr2bl w:val="nil"/>
            </w:tcBorders>
            <w:vAlign w:val="center"/>
          </w:tcPr>
          <w:p w14:paraId="604734C4">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0.0146</w:t>
            </w:r>
          </w:p>
        </w:tc>
      </w:tr>
      <w:tr w14:paraId="4504D4A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8" w:type="pct"/>
            <w:vMerge w:val="continue"/>
            <w:tcBorders>
              <w:right w:val="single" w:color="auto" w:sz="4" w:space="0"/>
              <w:tl2br w:val="nil"/>
              <w:tr2bl w:val="nil"/>
            </w:tcBorders>
            <w:vAlign w:val="center"/>
          </w:tcPr>
          <w:p w14:paraId="385704EC">
            <w:pPr>
              <w:pStyle w:val="74"/>
              <w:tabs>
                <w:tab w:val="left" w:pos="4767"/>
              </w:tabs>
              <w:snapToGrid w:val="0"/>
              <w:spacing w:line="240" w:lineRule="auto"/>
              <w:rPr>
                <w:rFonts w:hint="default" w:ascii="Times New Roman" w:hAnsi="Times New Roman" w:cs="Times New Roman"/>
                <w:color w:val="auto"/>
                <w:szCs w:val="21"/>
              </w:rPr>
            </w:pPr>
          </w:p>
        </w:tc>
        <w:tc>
          <w:tcPr>
            <w:tcW w:w="383" w:type="pct"/>
            <w:tcBorders>
              <w:right w:val="single" w:color="auto" w:sz="4" w:space="0"/>
              <w:tl2br w:val="nil"/>
              <w:tr2bl w:val="nil"/>
            </w:tcBorders>
            <w:vAlign w:val="center"/>
          </w:tcPr>
          <w:p w14:paraId="7D6492FE">
            <w:pPr>
              <w:pStyle w:val="74"/>
              <w:tabs>
                <w:tab w:val="left" w:pos="4767"/>
              </w:tabs>
              <w:snapToGrid w:val="0"/>
              <w:spacing w:line="240" w:lineRule="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NOx</w:t>
            </w:r>
          </w:p>
        </w:tc>
        <w:tc>
          <w:tcPr>
            <w:tcW w:w="475" w:type="pct"/>
            <w:vMerge w:val="continue"/>
            <w:tcBorders>
              <w:tl2br w:val="nil"/>
              <w:tr2bl w:val="nil"/>
            </w:tcBorders>
            <w:vAlign w:val="center"/>
          </w:tcPr>
          <w:p w14:paraId="0681021E">
            <w:pPr>
              <w:pStyle w:val="74"/>
              <w:tabs>
                <w:tab w:val="left" w:pos="4767"/>
              </w:tabs>
              <w:snapToGrid w:val="0"/>
              <w:spacing w:line="240" w:lineRule="auto"/>
              <w:rPr>
                <w:rFonts w:hint="default" w:ascii="Times New Roman" w:hAnsi="Times New Roman" w:cs="Times New Roman"/>
                <w:color w:val="auto"/>
                <w:szCs w:val="21"/>
              </w:rPr>
            </w:pPr>
          </w:p>
        </w:tc>
        <w:tc>
          <w:tcPr>
            <w:tcW w:w="412" w:type="pct"/>
            <w:tcBorders>
              <w:tl2br w:val="nil"/>
              <w:tr2bl w:val="nil"/>
            </w:tcBorders>
            <w:vAlign w:val="center"/>
          </w:tcPr>
          <w:p w14:paraId="62E56975">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0.022</w:t>
            </w:r>
          </w:p>
        </w:tc>
        <w:tc>
          <w:tcPr>
            <w:tcW w:w="709" w:type="pct"/>
            <w:vMerge w:val="continue"/>
            <w:tcBorders>
              <w:tl2br w:val="nil"/>
              <w:tr2bl w:val="nil"/>
            </w:tcBorders>
            <w:vAlign w:val="center"/>
          </w:tcPr>
          <w:p w14:paraId="160BA731">
            <w:pPr>
              <w:pStyle w:val="74"/>
              <w:tabs>
                <w:tab w:val="left" w:pos="4767"/>
              </w:tabs>
              <w:snapToGrid w:val="0"/>
              <w:spacing w:line="240" w:lineRule="auto"/>
              <w:rPr>
                <w:rFonts w:hint="default" w:ascii="Times New Roman" w:hAnsi="Times New Roman" w:cs="Times New Roman"/>
                <w:color w:val="auto"/>
                <w:szCs w:val="21"/>
              </w:rPr>
            </w:pPr>
          </w:p>
        </w:tc>
        <w:tc>
          <w:tcPr>
            <w:tcW w:w="378" w:type="pct"/>
            <w:tcBorders>
              <w:right w:val="single" w:color="auto" w:sz="4" w:space="0"/>
              <w:tl2br w:val="nil"/>
              <w:tr2bl w:val="nil"/>
            </w:tcBorders>
            <w:vAlign w:val="center"/>
          </w:tcPr>
          <w:p w14:paraId="5819B5AD">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w:t>
            </w:r>
          </w:p>
        </w:tc>
        <w:tc>
          <w:tcPr>
            <w:tcW w:w="616" w:type="pct"/>
            <w:vMerge w:val="continue"/>
            <w:tcBorders>
              <w:right w:val="single" w:color="auto" w:sz="4" w:space="0"/>
              <w:tl2br w:val="nil"/>
              <w:tr2bl w:val="nil"/>
            </w:tcBorders>
            <w:vAlign w:val="center"/>
          </w:tcPr>
          <w:p w14:paraId="33F1511E">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p>
        </w:tc>
        <w:tc>
          <w:tcPr>
            <w:tcW w:w="714" w:type="pct"/>
            <w:tcBorders>
              <w:right w:val="single" w:color="auto" w:sz="4" w:space="0"/>
              <w:tl2br w:val="nil"/>
              <w:tr2bl w:val="nil"/>
            </w:tcBorders>
            <w:vAlign w:val="center"/>
          </w:tcPr>
          <w:p w14:paraId="6D5B947F">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0.55</w:t>
            </w:r>
          </w:p>
        </w:tc>
        <w:tc>
          <w:tcPr>
            <w:tcW w:w="452" w:type="pct"/>
            <w:tcBorders>
              <w:left w:val="single" w:color="auto" w:sz="4" w:space="0"/>
              <w:right w:val="single" w:color="auto" w:sz="4" w:space="0"/>
              <w:tl2br w:val="nil"/>
              <w:tr2bl w:val="nil"/>
            </w:tcBorders>
            <w:vAlign w:val="center"/>
          </w:tcPr>
          <w:p w14:paraId="6D5CC67E">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0.011</w:t>
            </w:r>
          </w:p>
        </w:tc>
        <w:tc>
          <w:tcPr>
            <w:tcW w:w="348" w:type="pct"/>
            <w:tcBorders>
              <w:left w:val="single" w:color="auto" w:sz="4" w:space="0"/>
              <w:tl2br w:val="nil"/>
              <w:tr2bl w:val="nil"/>
            </w:tcBorders>
            <w:vAlign w:val="center"/>
          </w:tcPr>
          <w:p w14:paraId="1B37C171">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0.022</w:t>
            </w:r>
          </w:p>
        </w:tc>
      </w:tr>
      <w:tr w14:paraId="4BC0F37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8" w:type="pct"/>
            <w:vMerge w:val="continue"/>
            <w:tcBorders>
              <w:right w:val="single" w:color="auto" w:sz="4" w:space="0"/>
              <w:tl2br w:val="nil"/>
              <w:tr2bl w:val="nil"/>
            </w:tcBorders>
            <w:vAlign w:val="center"/>
          </w:tcPr>
          <w:p w14:paraId="655F0B3E">
            <w:pPr>
              <w:pStyle w:val="74"/>
              <w:tabs>
                <w:tab w:val="left" w:pos="4767"/>
              </w:tabs>
              <w:snapToGrid w:val="0"/>
              <w:spacing w:line="240" w:lineRule="auto"/>
              <w:rPr>
                <w:rFonts w:hint="default" w:ascii="Times New Roman" w:hAnsi="Times New Roman" w:cs="Times New Roman"/>
                <w:color w:val="auto"/>
                <w:szCs w:val="21"/>
              </w:rPr>
            </w:pPr>
          </w:p>
        </w:tc>
        <w:tc>
          <w:tcPr>
            <w:tcW w:w="383" w:type="pct"/>
            <w:tcBorders>
              <w:right w:val="single" w:color="auto" w:sz="4" w:space="0"/>
              <w:tl2br w:val="nil"/>
              <w:tr2bl w:val="nil"/>
            </w:tcBorders>
            <w:vAlign w:val="center"/>
          </w:tcPr>
          <w:p w14:paraId="2EEEC0D0">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eastAsia="宋体" w:cs="Times New Roman"/>
                <w:color w:val="auto"/>
                <w:szCs w:val="21"/>
                <w:lang w:val="en-US" w:eastAsia="zh-CN"/>
              </w:rPr>
              <w:t>颗粒物</w:t>
            </w:r>
          </w:p>
        </w:tc>
        <w:tc>
          <w:tcPr>
            <w:tcW w:w="475" w:type="pct"/>
            <w:vMerge w:val="continue"/>
            <w:tcBorders>
              <w:tl2br w:val="nil"/>
              <w:tr2bl w:val="nil"/>
            </w:tcBorders>
            <w:vAlign w:val="center"/>
          </w:tcPr>
          <w:p w14:paraId="243610ED">
            <w:pPr>
              <w:pStyle w:val="74"/>
              <w:tabs>
                <w:tab w:val="left" w:pos="4767"/>
              </w:tabs>
              <w:snapToGrid w:val="0"/>
              <w:spacing w:line="240" w:lineRule="auto"/>
              <w:rPr>
                <w:rFonts w:hint="default" w:ascii="Times New Roman" w:hAnsi="Times New Roman" w:cs="Times New Roman"/>
                <w:color w:val="auto"/>
                <w:szCs w:val="21"/>
              </w:rPr>
            </w:pPr>
          </w:p>
        </w:tc>
        <w:tc>
          <w:tcPr>
            <w:tcW w:w="412" w:type="pct"/>
            <w:tcBorders>
              <w:tl2br w:val="nil"/>
              <w:tr2bl w:val="nil"/>
            </w:tcBorders>
            <w:vAlign w:val="center"/>
          </w:tcPr>
          <w:p w14:paraId="6EE617FC">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0.0095</w:t>
            </w:r>
          </w:p>
        </w:tc>
        <w:tc>
          <w:tcPr>
            <w:tcW w:w="709" w:type="pct"/>
            <w:vMerge w:val="continue"/>
            <w:tcBorders>
              <w:tl2br w:val="nil"/>
              <w:tr2bl w:val="nil"/>
            </w:tcBorders>
            <w:vAlign w:val="center"/>
          </w:tcPr>
          <w:p w14:paraId="0C3308E0">
            <w:pPr>
              <w:pStyle w:val="74"/>
              <w:tabs>
                <w:tab w:val="left" w:pos="4767"/>
              </w:tabs>
              <w:snapToGrid w:val="0"/>
              <w:spacing w:line="240" w:lineRule="auto"/>
              <w:rPr>
                <w:rFonts w:hint="default" w:ascii="Times New Roman" w:hAnsi="Times New Roman" w:cs="Times New Roman"/>
                <w:color w:val="auto"/>
                <w:szCs w:val="21"/>
              </w:rPr>
            </w:pPr>
          </w:p>
        </w:tc>
        <w:tc>
          <w:tcPr>
            <w:tcW w:w="378" w:type="pct"/>
            <w:vMerge w:val="restart"/>
            <w:tcBorders>
              <w:right w:val="single" w:color="auto" w:sz="4" w:space="0"/>
              <w:tl2br w:val="nil"/>
              <w:tr2bl w:val="nil"/>
            </w:tcBorders>
            <w:vAlign w:val="center"/>
          </w:tcPr>
          <w:p w14:paraId="1CE82343">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rPr>
              <w:t>9</w:t>
            </w:r>
            <w:r>
              <w:rPr>
                <w:rFonts w:hint="default" w:ascii="Times New Roman" w:hAnsi="Times New Roman" w:cs="Times New Roman"/>
                <w:color w:val="auto"/>
                <w:szCs w:val="21"/>
                <w:lang w:val="en-US" w:eastAsia="zh-CN"/>
              </w:rPr>
              <w:t>0</w:t>
            </w:r>
            <w:r>
              <w:rPr>
                <w:rFonts w:hint="default" w:ascii="Times New Roman" w:hAnsi="Times New Roman" w:cs="Times New Roman"/>
                <w:color w:val="auto"/>
                <w:szCs w:val="21"/>
              </w:rPr>
              <w:t>%</w:t>
            </w:r>
          </w:p>
        </w:tc>
        <w:tc>
          <w:tcPr>
            <w:tcW w:w="616" w:type="pct"/>
            <w:vMerge w:val="continue"/>
            <w:tcBorders>
              <w:right w:val="single" w:color="auto" w:sz="4" w:space="0"/>
              <w:tl2br w:val="nil"/>
              <w:tr2bl w:val="nil"/>
            </w:tcBorders>
            <w:vAlign w:val="center"/>
          </w:tcPr>
          <w:p w14:paraId="1F9F2AAE">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p>
        </w:tc>
        <w:tc>
          <w:tcPr>
            <w:tcW w:w="714" w:type="pct"/>
            <w:vMerge w:val="restart"/>
            <w:tcBorders>
              <w:right w:val="single" w:color="auto" w:sz="4" w:space="0"/>
              <w:tl2br w:val="nil"/>
              <w:tr2bl w:val="nil"/>
            </w:tcBorders>
            <w:vAlign w:val="center"/>
          </w:tcPr>
          <w:p w14:paraId="6FA3A37E">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110.75</w:t>
            </w:r>
          </w:p>
        </w:tc>
        <w:tc>
          <w:tcPr>
            <w:tcW w:w="452" w:type="pct"/>
            <w:vMerge w:val="restart"/>
            <w:tcBorders>
              <w:left w:val="single" w:color="auto" w:sz="4" w:space="0"/>
              <w:right w:val="single" w:color="auto" w:sz="4" w:space="0"/>
              <w:tl2br w:val="nil"/>
              <w:tr2bl w:val="nil"/>
            </w:tcBorders>
            <w:vAlign w:val="center"/>
          </w:tcPr>
          <w:p w14:paraId="06ADC409">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2.215</w:t>
            </w:r>
          </w:p>
        </w:tc>
        <w:tc>
          <w:tcPr>
            <w:tcW w:w="348" w:type="pct"/>
            <w:vMerge w:val="restart"/>
            <w:tcBorders>
              <w:left w:val="single" w:color="auto" w:sz="4" w:space="0"/>
              <w:tl2br w:val="nil"/>
              <w:tr2bl w:val="nil"/>
            </w:tcBorders>
            <w:vAlign w:val="center"/>
          </w:tcPr>
          <w:p w14:paraId="534651E7">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4.43</w:t>
            </w:r>
          </w:p>
        </w:tc>
      </w:tr>
      <w:tr w14:paraId="1CACE64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508" w:type="pct"/>
            <w:tcBorders>
              <w:right w:val="single" w:color="auto" w:sz="4" w:space="0"/>
              <w:tl2br w:val="nil"/>
              <w:tr2bl w:val="nil"/>
            </w:tcBorders>
            <w:vAlign w:val="center"/>
          </w:tcPr>
          <w:p w14:paraId="70525893">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cs="Times New Roman"/>
                <w:color w:val="auto"/>
                <w:szCs w:val="21"/>
              </w:rPr>
              <w:t>烘干筒烘干粉尘</w:t>
            </w:r>
          </w:p>
        </w:tc>
        <w:tc>
          <w:tcPr>
            <w:tcW w:w="383" w:type="pct"/>
            <w:tcBorders>
              <w:right w:val="single" w:color="auto" w:sz="4" w:space="0"/>
              <w:tl2br w:val="nil"/>
              <w:tr2bl w:val="nil"/>
            </w:tcBorders>
            <w:vAlign w:val="center"/>
          </w:tcPr>
          <w:p w14:paraId="221CFF9B">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eastAsia="宋体" w:cs="Times New Roman"/>
                <w:color w:val="auto"/>
                <w:szCs w:val="21"/>
                <w:lang w:val="en-US" w:eastAsia="zh-CN"/>
              </w:rPr>
              <w:t>颗粒物</w:t>
            </w:r>
          </w:p>
        </w:tc>
        <w:tc>
          <w:tcPr>
            <w:tcW w:w="475" w:type="pct"/>
            <w:tcBorders>
              <w:tl2br w:val="nil"/>
              <w:tr2bl w:val="nil"/>
            </w:tcBorders>
            <w:vAlign w:val="center"/>
          </w:tcPr>
          <w:p w14:paraId="11AA8C5F">
            <w:pPr>
              <w:pStyle w:val="74"/>
              <w:tabs>
                <w:tab w:val="left" w:pos="4767"/>
              </w:tabs>
              <w:snapToGrid w:val="0"/>
              <w:spacing w:line="240" w:lineRule="auto"/>
              <w:rPr>
                <w:rFonts w:hint="default" w:ascii="Times New Roman" w:hAnsi="Times New Roman" w:eastAsia="宋体" w:cs="Times New Roman"/>
                <w:color w:val="auto"/>
                <w:lang w:val="en-US" w:eastAsia="zh-CN"/>
              </w:rPr>
            </w:pPr>
            <w:r>
              <w:rPr>
                <w:rFonts w:hint="eastAsia" w:cs="Times New Roman"/>
                <w:color w:val="auto"/>
                <w:lang w:val="en-US" w:eastAsia="zh-CN"/>
              </w:rPr>
              <w:t>5000</w:t>
            </w:r>
          </w:p>
        </w:tc>
        <w:tc>
          <w:tcPr>
            <w:tcW w:w="412" w:type="pct"/>
            <w:tcBorders>
              <w:tl2br w:val="nil"/>
              <w:tr2bl w:val="nil"/>
            </w:tcBorders>
            <w:vAlign w:val="center"/>
          </w:tcPr>
          <w:p w14:paraId="7104A971">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cs="Times New Roman"/>
                <w:color w:val="auto"/>
                <w:szCs w:val="21"/>
                <w:lang w:val="en-US" w:eastAsia="zh-CN"/>
              </w:rPr>
              <w:t>22.54</w:t>
            </w:r>
          </w:p>
        </w:tc>
        <w:tc>
          <w:tcPr>
            <w:tcW w:w="709" w:type="pct"/>
            <w:vMerge w:val="continue"/>
            <w:tcBorders>
              <w:tl2br w:val="nil"/>
              <w:tr2bl w:val="nil"/>
            </w:tcBorders>
            <w:vAlign w:val="center"/>
          </w:tcPr>
          <w:p w14:paraId="5AE542DE">
            <w:pPr>
              <w:pStyle w:val="74"/>
              <w:tabs>
                <w:tab w:val="left" w:pos="4767"/>
              </w:tabs>
              <w:snapToGrid w:val="0"/>
              <w:spacing w:line="240" w:lineRule="auto"/>
              <w:rPr>
                <w:rFonts w:hint="default" w:ascii="Times New Roman" w:hAnsi="Times New Roman" w:cs="Times New Roman"/>
                <w:color w:val="auto"/>
                <w:szCs w:val="21"/>
              </w:rPr>
            </w:pPr>
          </w:p>
        </w:tc>
        <w:tc>
          <w:tcPr>
            <w:tcW w:w="378" w:type="pct"/>
            <w:vMerge w:val="continue"/>
            <w:tcBorders>
              <w:right w:val="single" w:color="auto" w:sz="4" w:space="0"/>
              <w:tl2br w:val="nil"/>
              <w:tr2bl w:val="nil"/>
            </w:tcBorders>
            <w:vAlign w:val="center"/>
          </w:tcPr>
          <w:p w14:paraId="2843315E">
            <w:pPr>
              <w:pStyle w:val="74"/>
              <w:tabs>
                <w:tab w:val="left" w:pos="4767"/>
              </w:tabs>
              <w:snapToGrid w:val="0"/>
              <w:spacing w:line="240" w:lineRule="auto"/>
              <w:rPr>
                <w:rFonts w:hint="default" w:ascii="Times New Roman" w:hAnsi="Times New Roman" w:cs="Times New Roman"/>
                <w:color w:val="auto"/>
                <w:szCs w:val="21"/>
              </w:rPr>
            </w:pPr>
          </w:p>
        </w:tc>
        <w:tc>
          <w:tcPr>
            <w:tcW w:w="616" w:type="pct"/>
            <w:vMerge w:val="continue"/>
            <w:tcBorders>
              <w:right w:val="single" w:color="auto" w:sz="4" w:space="0"/>
              <w:tl2br w:val="nil"/>
              <w:tr2bl w:val="nil"/>
            </w:tcBorders>
            <w:vAlign w:val="center"/>
          </w:tcPr>
          <w:p w14:paraId="65C9036B">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p>
        </w:tc>
        <w:tc>
          <w:tcPr>
            <w:tcW w:w="714" w:type="pct"/>
            <w:vMerge w:val="continue"/>
            <w:tcBorders>
              <w:right w:val="single" w:color="auto" w:sz="4" w:space="0"/>
              <w:tl2br w:val="nil"/>
              <w:tr2bl w:val="nil"/>
            </w:tcBorders>
            <w:vAlign w:val="center"/>
          </w:tcPr>
          <w:p w14:paraId="129CBB89">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p>
        </w:tc>
        <w:tc>
          <w:tcPr>
            <w:tcW w:w="452" w:type="pct"/>
            <w:vMerge w:val="continue"/>
            <w:tcBorders>
              <w:left w:val="single" w:color="auto" w:sz="4" w:space="0"/>
              <w:right w:val="single" w:color="auto" w:sz="4" w:space="0"/>
              <w:tl2br w:val="nil"/>
              <w:tr2bl w:val="nil"/>
            </w:tcBorders>
            <w:vAlign w:val="center"/>
          </w:tcPr>
          <w:p w14:paraId="352B63B8">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p>
        </w:tc>
        <w:tc>
          <w:tcPr>
            <w:tcW w:w="348" w:type="pct"/>
            <w:vMerge w:val="continue"/>
            <w:tcBorders>
              <w:left w:val="single" w:color="auto" w:sz="4" w:space="0"/>
              <w:tl2br w:val="nil"/>
              <w:tr2bl w:val="nil"/>
            </w:tcBorders>
            <w:vAlign w:val="center"/>
          </w:tcPr>
          <w:p w14:paraId="5C9D615C">
            <w:pPr>
              <w:pStyle w:val="74"/>
              <w:tabs>
                <w:tab w:val="left" w:pos="4767"/>
              </w:tabs>
              <w:snapToGrid w:val="0"/>
              <w:spacing w:line="240" w:lineRule="auto"/>
              <w:rPr>
                <w:rFonts w:hint="default" w:ascii="Times New Roman" w:hAnsi="Times New Roman" w:cs="Times New Roman"/>
                <w:color w:val="auto"/>
                <w:szCs w:val="21"/>
              </w:rPr>
            </w:pPr>
          </w:p>
        </w:tc>
      </w:tr>
      <w:tr w14:paraId="132720D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508" w:type="pct"/>
            <w:tcBorders>
              <w:right w:val="single" w:color="auto" w:sz="4" w:space="0"/>
              <w:tl2br w:val="nil"/>
              <w:tr2bl w:val="nil"/>
            </w:tcBorders>
            <w:vAlign w:val="center"/>
          </w:tcPr>
          <w:p w14:paraId="743E64A8">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cs="Times New Roman"/>
                <w:color w:val="auto"/>
              </w:rPr>
              <w:t>振动筛分</w:t>
            </w:r>
          </w:p>
        </w:tc>
        <w:tc>
          <w:tcPr>
            <w:tcW w:w="383" w:type="pct"/>
            <w:tcBorders>
              <w:right w:val="single" w:color="auto" w:sz="4" w:space="0"/>
              <w:tl2br w:val="nil"/>
              <w:tr2bl w:val="nil"/>
            </w:tcBorders>
            <w:vAlign w:val="center"/>
          </w:tcPr>
          <w:p w14:paraId="18A87506">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eastAsia="宋体" w:cs="Times New Roman"/>
                <w:color w:val="auto"/>
                <w:szCs w:val="21"/>
                <w:lang w:val="en-US" w:eastAsia="zh-CN"/>
              </w:rPr>
              <w:t>颗粒物</w:t>
            </w:r>
          </w:p>
        </w:tc>
        <w:tc>
          <w:tcPr>
            <w:tcW w:w="475" w:type="pct"/>
            <w:tcBorders>
              <w:tl2br w:val="nil"/>
              <w:tr2bl w:val="nil"/>
            </w:tcBorders>
            <w:vAlign w:val="center"/>
          </w:tcPr>
          <w:p w14:paraId="66C06D35">
            <w:pPr>
              <w:pStyle w:val="74"/>
              <w:tabs>
                <w:tab w:val="left" w:pos="4767"/>
              </w:tabs>
              <w:snapToGrid w:val="0"/>
              <w:spacing w:line="240" w:lineRule="auto"/>
              <w:rPr>
                <w:rFonts w:hint="default" w:ascii="Times New Roman" w:hAnsi="Times New Roman" w:eastAsia="宋体" w:cs="Times New Roman"/>
                <w:color w:val="auto"/>
                <w:lang w:val="en-US" w:eastAsia="zh-CN"/>
              </w:rPr>
            </w:pPr>
            <w:r>
              <w:rPr>
                <w:rFonts w:hint="eastAsia" w:cs="Times New Roman"/>
                <w:color w:val="auto"/>
                <w:lang w:val="en-US" w:eastAsia="zh-CN"/>
              </w:rPr>
              <w:t>5000</w:t>
            </w:r>
          </w:p>
        </w:tc>
        <w:tc>
          <w:tcPr>
            <w:tcW w:w="412" w:type="pct"/>
            <w:tcBorders>
              <w:tl2br w:val="nil"/>
              <w:tr2bl w:val="nil"/>
            </w:tcBorders>
            <w:vAlign w:val="center"/>
          </w:tcPr>
          <w:p w14:paraId="3AFBD39D">
            <w:pPr>
              <w:pStyle w:val="74"/>
              <w:tabs>
                <w:tab w:val="left" w:pos="4767"/>
              </w:tabs>
              <w:snapToGrid w:val="0"/>
              <w:spacing w:line="240" w:lineRule="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21.6</w:t>
            </w:r>
          </w:p>
        </w:tc>
        <w:tc>
          <w:tcPr>
            <w:tcW w:w="709" w:type="pct"/>
            <w:vMerge w:val="continue"/>
            <w:tcBorders>
              <w:tl2br w:val="nil"/>
              <w:tr2bl w:val="nil"/>
            </w:tcBorders>
            <w:vAlign w:val="center"/>
          </w:tcPr>
          <w:p w14:paraId="69F1EFAC">
            <w:pPr>
              <w:pStyle w:val="74"/>
              <w:tabs>
                <w:tab w:val="left" w:pos="4767"/>
              </w:tabs>
              <w:snapToGrid w:val="0"/>
              <w:spacing w:line="240" w:lineRule="auto"/>
              <w:rPr>
                <w:rFonts w:hint="default" w:ascii="Times New Roman" w:hAnsi="Times New Roman" w:cs="Times New Roman"/>
                <w:color w:val="auto"/>
                <w:szCs w:val="21"/>
              </w:rPr>
            </w:pPr>
          </w:p>
        </w:tc>
        <w:tc>
          <w:tcPr>
            <w:tcW w:w="378" w:type="pct"/>
            <w:vMerge w:val="continue"/>
            <w:tcBorders>
              <w:right w:val="single" w:color="auto" w:sz="4" w:space="0"/>
              <w:tl2br w:val="nil"/>
              <w:tr2bl w:val="nil"/>
            </w:tcBorders>
            <w:vAlign w:val="center"/>
          </w:tcPr>
          <w:p w14:paraId="018477D3">
            <w:pPr>
              <w:pStyle w:val="74"/>
              <w:tabs>
                <w:tab w:val="left" w:pos="4767"/>
              </w:tabs>
              <w:snapToGrid w:val="0"/>
              <w:spacing w:line="240" w:lineRule="auto"/>
              <w:rPr>
                <w:rFonts w:hint="default" w:ascii="Times New Roman" w:hAnsi="Times New Roman" w:cs="Times New Roman"/>
                <w:color w:val="auto"/>
                <w:szCs w:val="21"/>
              </w:rPr>
            </w:pPr>
          </w:p>
        </w:tc>
        <w:tc>
          <w:tcPr>
            <w:tcW w:w="616" w:type="pct"/>
            <w:vMerge w:val="continue"/>
            <w:tcBorders>
              <w:right w:val="single" w:color="auto" w:sz="4" w:space="0"/>
              <w:tl2br w:val="nil"/>
              <w:tr2bl w:val="nil"/>
            </w:tcBorders>
            <w:vAlign w:val="center"/>
          </w:tcPr>
          <w:p w14:paraId="0D33A948">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p>
        </w:tc>
        <w:tc>
          <w:tcPr>
            <w:tcW w:w="714" w:type="pct"/>
            <w:vMerge w:val="continue"/>
            <w:tcBorders>
              <w:right w:val="single" w:color="auto" w:sz="4" w:space="0"/>
              <w:tl2br w:val="nil"/>
              <w:tr2bl w:val="nil"/>
            </w:tcBorders>
            <w:vAlign w:val="center"/>
          </w:tcPr>
          <w:p w14:paraId="3F75E375">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p>
        </w:tc>
        <w:tc>
          <w:tcPr>
            <w:tcW w:w="452" w:type="pct"/>
            <w:vMerge w:val="continue"/>
            <w:tcBorders>
              <w:left w:val="single" w:color="auto" w:sz="4" w:space="0"/>
              <w:right w:val="single" w:color="auto" w:sz="4" w:space="0"/>
              <w:tl2br w:val="nil"/>
              <w:tr2bl w:val="nil"/>
            </w:tcBorders>
            <w:vAlign w:val="center"/>
          </w:tcPr>
          <w:p w14:paraId="5265317B">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p>
        </w:tc>
        <w:tc>
          <w:tcPr>
            <w:tcW w:w="348" w:type="pct"/>
            <w:vMerge w:val="continue"/>
            <w:tcBorders>
              <w:left w:val="single" w:color="auto" w:sz="4" w:space="0"/>
              <w:tl2br w:val="nil"/>
              <w:tr2bl w:val="nil"/>
            </w:tcBorders>
            <w:vAlign w:val="center"/>
          </w:tcPr>
          <w:p w14:paraId="0F282BDB">
            <w:pPr>
              <w:pStyle w:val="74"/>
              <w:tabs>
                <w:tab w:val="left" w:pos="4767"/>
              </w:tabs>
              <w:snapToGrid w:val="0"/>
              <w:spacing w:line="240" w:lineRule="auto"/>
              <w:rPr>
                <w:rFonts w:hint="default" w:ascii="Times New Roman" w:hAnsi="Times New Roman" w:cs="Times New Roman"/>
                <w:color w:val="auto"/>
                <w:szCs w:val="21"/>
              </w:rPr>
            </w:pPr>
          </w:p>
        </w:tc>
      </w:tr>
      <w:tr w14:paraId="2A0B18A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508" w:type="pct"/>
            <w:tcBorders>
              <w:right w:val="single" w:color="auto" w:sz="4" w:space="0"/>
              <w:tl2br w:val="nil"/>
              <w:tr2bl w:val="nil"/>
            </w:tcBorders>
            <w:vAlign w:val="center"/>
          </w:tcPr>
          <w:p w14:paraId="62D754A2">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cs="Times New Roman"/>
                <w:color w:val="auto"/>
              </w:rPr>
              <w:t>矿粉</w:t>
            </w:r>
            <w:r>
              <w:rPr>
                <w:rFonts w:hint="default" w:ascii="Times New Roman" w:hAnsi="Times New Roman" w:cs="Times New Roman"/>
                <w:color w:val="auto"/>
                <w:lang w:val="en-US" w:eastAsia="zh-CN"/>
              </w:rPr>
              <w:t>加料</w:t>
            </w:r>
          </w:p>
        </w:tc>
        <w:tc>
          <w:tcPr>
            <w:tcW w:w="383" w:type="pct"/>
            <w:tcBorders>
              <w:right w:val="single" w:color="auto" w:sz="4" w:space="0"/>
              <w:tl2br w:val="nil"/>
              <w:tr2bl w:val="nil"/>
            </w:tcBorders>
            <w:vAlign w:val="center"/>
          </w:tcPr>
          <w:p w14:paraId="18A66BF2">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eastAsia="宋体" w:cs="Times New Roman"/>
                <w:color w:val="auto"/>
                <w:szCs w:val="21"/>
                <w:lang w:val="en-US" w:eastAsia="zh-CN"/>
              </w:rPr>
              <w:t>颗粒物</w:t>
            </w:r>
          </w:p>
        </w:tc>
        <w:tc>
          <w:tcPr>
            <w:tcW w:w="475" w:type="pct"/>
            <w:tcBorders>
              <w:tl2br w:val="nil"/>
              <w:tr2bl w:val="nil"/>
            </w:tcBorders>
            <w:vAlign w:val="center"/>
          </w:tcPr>
          <w:p w14:paraId="64B8D4DC">
            <w:pPr>
              <w:pStyle w:val="74"/>
              <w:tabs>
                <w:tab w:val="left" w:pos="4767"/>
              </w:tabs>
              <w:snapToGrid w:val="0"/>
              <w:spacing w:line="240" w:lineRule="auto"/>
              <w:rPr>
                <w:rFonts w:hint="default" w:ascii="Times New Roman" w:hAnsi="Times New Roman" w:eastAsia="宋体" w:cs="Times New Roman"/>
                <w:color w:val="auto"/>
                <w:lang w:val="en-US" w:eastAsia="zh-CN"/>
              </w:rPr>
            </w:pPr>
            <w:r>
              <w:rPr>
                <w:rFonts w:hint="eastAsia" w:cs="Times New Roman"/>
                <w:color w:val="auto"/>
                <w:lang w:val="en-US" w:eastAsia="zh-CN"/>
              </w:rPr>
              <w:t>5000</w:t>
            </w:r>
          </w:p>
        </w:tc>
        <w:tc>
          <w:tcPr>
            <w:tcW w:w="412" w:type="pct"/>
            <w:tcBorders>
              <w:tl2br w:val="nil"/>
              <w:tr2bl w:val="nil"/>
            </w:tcBorders>
            <w:shd w:val="clear" w:color="auto" w:fill="auto"/>
            <w:vAlign w:val="center"/>
          </w:tcPr>
          <w:p w14:paraId="6C30DEC4">
            <w:pPr>
              <w:pStyle w:val="74"/>
              <w:tabs>
                <w:tab w:val="left" w:pos="4767"/>
              </w:tabs>
              <w:snapToGrid w:val="0"/>
              <w:spacing w:line="240" w:lineRule="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US" w:eastAsia="zh-CN"/>
              </w:rPr>
              <w:t>1.46</w:t>
            </w:r>
          </w:p>
        </w:tc>
        <w:tc>
          <w:tcPr>
            <w:tcW w:w="709" w:type="pct"/>
            <w:tcBorders>
              <w:tl2br w:val="nil"/>
              <w:tr2bl w:val="nil"/>
            </w:tcBorders>
            <w:vAlign w:val="center"/>
          </w:tcPr>
          <w:p w14:paraId="0DE9F1F5">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2#布袋除尘器+15m排气筒DA002</w:t>
            </w:r>
          </w:p>
        </w:tc>
        <w:tc>
          <w:tcPr>
            <w:tcW w:w="378" w:type="pct"/>
            <w:tcBorders>
              <w:right w:val="single" w:color="auto" w:sz="4" w:space="0"/>
              <w:tl2br w:val="nil"/>
              <w:tr2bl w:val="nil"/>
            </w:tcBorders>
            <w:vAlign w:val="center"/>
          </w:tcPr>
          <w:p w14:paraId="7DEFD026">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99%</w:t>
            </w:r>
          </w:p>
        </w:tc>
        <w:tc>
          <w:tcPr>
            <w:tcW w:w="616" w:type="pct"/>
            <w:vMerge w:val="continue"/>
            <w:tcBorders>
              <w:right w:val="single" w:color="auto" w:sz="4" w:space="0"/>
              <w:tl2br w:val="nil"/>
              <w:tr2bl w:val="nil"/>
            </w:tcBorders>
            <w:vAlign w:val="center"/>
          </w:tcPr>
          <w:p w14:paraId="1D6E76C0">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p>
        </w:tc>
        <w:tc>
          <w:tcPr>
            <w:tcW w:w="714" w:type="pct"/>
            <w:vMerge w:val="continue"/>
            <w:tcBorders>
              <w:right w:val="single" w:color="auto" w:sz="4" w:space="0"/>
              <w:tl2br w:val="nil"/>
              <w:tr2bl w:val="nil"/>
            </w:tcBorders>
            <w:vAlign w:val="center"/>
          </w:tcPr>
          <w:p w14:paraId="3FBDDEE2">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p>
        </w:tc>
        <w:tc>
          <w:tcPr>
            <w:tcW w:w="452" w:type="pct"/>
            <w:vMerge w:val="continue"/>
            <w:tcBorders>
              <w:left w:val="single" w:color="auto" w:sz="4" w:space="0"/>
              <w:right w:val="single" w:color="auto" w:sz="4" w:space="0"/>
              <w:tl2br w:val="nil"/>
              <w:tr2bl w:val="nil"/>
            </w:tcBorders>
            <w:vAlign w:val="center"/>
          </w:tcPr>
          <w:p w14:paraId="6AD157D7">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p>
        </w:tc>
        <w:tc>
          <w:tcPr>
            <w:tcW w:w="348" w:type="pct"/>
            <w:vMerge w:val="continue"/>
            <w:tcBorders>
              <w:left w:val="single" w:color="auto" w:sz="4" w:space="0"/>
              <w:tl2br w:val="nil"/>
              <w:tr2bl w:val="nil"/>
            </w:tcBorders>
            <w:vAlign w:val="center"/>
          </w:tcPr>
          <w:p w14:paraId="1FC6905E">
            <w:pPr>
              <w:pStyle w:val="74"/>
              <w:tabs>
                <w:tab w:val="left" w:pos="4767"/>
              </w:tabs>
              <w:snapToGrid w:val="0"/>
              <w:spacing w:line="240" w:lineRule="auto"/>
              <w:rPr>
                <w:rFonts w:hint="default" w:ascii="Times New Roman" w:hAnsi="Times New Roman" w:cs="Times New Roman"/>
                <w:color w:val="auto"/>
                <w:szCs w:val="21"/>
                <w:lang w:val="en-US" w:eastAsia="zh-CN"/>
              </w:rPr>
            </w:pPr>
          </w:p>
        </w:tc>
      </w:tr>
      <w:tr w14:paraId="0C9E3CC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508" w:type="pct"/>
            <w:vMerge w:val="restart"/>
            <w:tcBorders>
              <w:right w:val="single" w:color="auto" w:sz="4" w:space="0"/>
              <w:tl2br w:val="nil"/>
              <w:tr2bl w:val="nil"/>
            </w:tcBorders>
            <w:vAlign w:val="center"/>
          </w:tcPr>
          <w:p w14:paraId="09EBF79B">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cs="Times New Roman"/>
                <w:color w:val="auto"/>
              </w:rPr>
              <w:t>沥青储罐及拌合罐</w:t>
            </w:r>
          </w:p>
        </w:tc>
        <w:tc>
          <w:tcPr>
            <w:tcW w:w="383" w:type="pct"/>
            <w:tcBorders>
              <w:right w:val="single" w:color="auto" w:sz="4" w:space="0"/>
              <w:tl2br w:val="nil"/>
              <w:tr2bl w:val="nil"/>
            </w:tcBorders>
            <w:vAlign w:val="center"/>
          </w:tcPr>
          <w:p w14:paraId="11A84A06">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cs="Times New Roman"/>
                <w:color w:val="auto"/>
                <w:lang w:eastAsia="zh-CN"/>
              </w:rPr>
              <w:t>沥青烟</w:t>
            </w:r>
          </w:p>
        </w:tc>
        <w:tc>
          <w:tcPr>
            <w:tcW w:w="475" w:type="pct"/>
            <w:vMerge w:val="restart"/>
            <w:tcBorders>
              <w:tl2br w:val="nil"/>
              <w:tr2bl w:val="nil"/>
            </w:tcBorders>
            <w:vAlign w:val="center"/>
          </w:tcPr>
          <w:p w14:paraId="35F7B685">
            <w:pPr>
              <w:pStyle w:val="74"/>
              <w:tabs>
                <w:tab w:val="left" w:pos="4767"/>
              </w:tabs>
              <w:snapToGrid w:val="0"/>
              <w:spacing w:line="240" w:lineRule="auto"/>
              <w:rPr>
                <w:rFonts w:hint="default" w:ascii="Times New Roman" w:hAnsi="Times New Roman" w:eastAsia="宋体" w:cs="Times New Roman"/>
                <w:color w:val="auto"/>
                <w:lang w:val="en-US" w:eastAsia="zh-CN"/>
              </w:rPr>
            </w:pPr>
            <w:r>
              <w:rPr>
                <w:rFonts w:hint="eastAsia" w:cs="Times New Roman"/>
                <w:color w:val="auto"/>
                <w:lang w:val="en-US" w:eastAsia="zh-CN"/>
              </w:rPr>
              <w:t>5000</w:t>
            </w:r>
          </w:p>
        </w:tc>
        <w:tc>
          <w:tcPr>
            <w:tcW w:w="412" w:type="pct"/>
            <w:tcBorders>
              <w:tl2br w:val="nil"/>
              <w:tr2bl w:val="nil"/>
            </w:tcBorders>
            <w:vAlign w:val="center"/>
          </w:tcPr>
          <w:p w14:paraId="21761B10">
            <w:pPr>
              <w:pStyle w:val="74"/>
              <w:tabs>
                <w:tab w:val="left" w:pos="4767"/>
              </w:tabs>
              <w:snapToGrid w:val="0"/>
              <w:spacing w:line="240" w:lineRule="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0.42</w:t>
            </w:r>
          </w:p>
        </w:tc>
        <w:tc>
          <w:tcPr>
            <w:tcW w:w="709" w:type="pct"/>
            <w:vMerge w:val="restart"/>
            <w:tcBorders>
              <w:tl2br w:val="nil"/>
              <w:tr2bl w:val="nil"/>
            </w:tcBorders>
            <w:vAlign w:val="center"/>
          </w:tcPr>
          <w:p w14:paraId="5A41965F">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eastAsia="zh-CN"/>
              </w:rPr>
              <w:t>二次燃烧</w:t>
            </w:r>
            <w:r>
              <w:rPr>
                <w:rFonts w:hint="default" w:ascii="Times New Roman" w:hAnsi="Times New Roman" w:cs="Times New Roman"/>
                <w:color w:val="auto"/>
                <w:szCs w:val="21"/>
                <w:lang w:val="en-US" w:eastAsia="zh-CN"/>
              </w:rPr>
              <w:t>+水喷淋+低温等离子净化</w:t>
            </w:r>
            <w:r>
              <w:rPr>
                <w:rFonts w:hint="eastAsia" w:cs="Times New Roman"/>
                <w:color w:val="auto"/>
                <w:szCs w:val="21"/>
                <w:lang w:val="en-US" w:eastAsia="zh-CN"/>
              </w:rPr>
              <w:t>+</w:t>
            </w:r>
            <w:r>
              <w:rPr>
                <w:rFonts w:hint="default" w:ascii="Times New Roman" w:hAnsi="Times New Roman" w:cs="Times New Roman"/>
                <w:color w:val="auto"/>
                <w:szCs w:val="21"/>
                <w:lang w:val="en-US" w:eastAsia="zh-CN"/>
              </w:rPr>
              <w:t>15m排气筒DA002</w:t>
            </w:r>
          </w:p>
        </w:tc>
        <w:tc>
          <w:tcPr>
            <w:tcW w:w="378" w:type="pct"/>
            <w:vMerge w:val="restart"/>
            <w:tcBorders>
              <w:right w:val="single" w:color="auto" w:sz="4" w:space="0"/>
              <w:tl2br w:val="nil"/>
              <w:tr2bl w:val="nil"/>
            </w:tcBorders>
            <w:vAlign w:val="center"/>
          </w:tcPr>
          <w:p w14:paraId="41D01F21">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99.5%</w:t>
            </w:r>
          </w:p>
        </w:tc>
        <w:tc>
          <w:tcPr>
            <w:tcW w:w="616" w:type="pct"/>
            <w:vMerge w:val="continue"/>
            <w:tcBorders>
              <w:right w:val="single" w:color="auto" w:sz="4" w:space="0"/>
              <w:tl2br w:val="nil"/>
              <w:tr2bl w:val="nil"/>
            </w:tcBorders>
            <w:vAlign w:val="center"/>
          </w:tcPr>
          <w:p w14:paraId="21321063">
            <w:pPr>
              <w:pStyle w:val="74"/>
              <w:tabs>
                <w:tab w:val="left" w:pos="4767"/>
              </w:tabs>
              <w:snapToGrid w:val="0"/>
              <w:spacing w:line="240" w:lineRule="auto"/>
              <w:rPr>
                <w:rFonts w:hint="default" w:ascii="Times New Roman" w:hAnsi="Times New Roman" w:cs="Times New Roman"/>
                <w:color w:val="auto"/>
                <w:szCs w:val="21"/>
                <w:lang w:val="en-US" w:eastAsia="zh-CN"/>
              </w:rPr>
            </w:pPr>
          </w:p>
        </w:tc>
        <w:tc>
          <w:tcPr>
            <w:tcW w:w="714" w:type="pct"/>
            <w:tcBorders>
              <w:right w:val="single" w:color="auto" w:sz="4" w:space="0"/>
              <w:tl2br w:val="nil"/>
              <w:tr2bl w:val="nil"/>
            </w:tcBorders>
            <w:vAlign w:val="center"/>
          </w:tcPr>
          <w:p w14:paraId="555D0E8A">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0.525</w:t>
            </w:r>
          </w:p>
        </w:tc>
        <w:tc>
          <w:tcPr>
            <w:tcW w:w="452" w:type="pct"/>
            <w:tcBorders>
              <w:left w:val="single" w:color="auto" w:sz="4" w:space="0"/>
              <w:right w:val="single" w:color="auto" w:sz="4" w:space="0"/>
              <w:tl2br w:val="nil"/>
              <w:tr2bl w:val="nil"/>
            </w:tcBorders>
            <w:vAlign w:val="center"/>
          </w:tcPr>
          <w:p w14:paraId="38560933">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1.05×10</w:t>
            </w:r>
            <w:r>
              <w:rPr>
                <w:rFonts w:hint="default" w:ascii="Times New Roman" w:hAnsi="Times New Roman" w:cs="Times New Roman"/>
                <w:color w:val="auto"/>
                <w:szCs w:val="21"/>
                <w:vertAlign w:val="superscript"/>
                <w:lang w:val="en-US" w:eastAsia="zh-CN"/>
              </w:rPr>
              <w:t>-3</w:t>
            </w:r>
          </w:p>
        </w:tc>
        <w:tc>
          <w:tcPr>
            <w:tcW w:w="348" w:type="pct"/>
            <w:tcBorders>
              <w:left w:val="single" w:color="auto" w:sz="4" w:space="0"/>
              <w:tl2br w:val="nil"/>
              <w:tr2bl w:val="nil"/>
            </w:tcBorders>
            <w:vAlign w:val="center"/>
          </w:tcPr>
          <w:p w14:paraId="10027373">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0.0021</w:t>
            </w:r>
          </w:p>
        </w:tc>
      </w:tr>
      <w:tr w14:paraId="6C4C640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508" w:type="pct"/>
            <w:vMerge w:val="continue"/>
            <w:tcBorders>
              <w:right w:val="single" w:color="auto" w:sz="4" w:space="0"/>
              <w:tl2br w:val="nil"/>
              <w:tr2bl w:val="nil"/>
            </w:tcBorders>
            <w:vAlign w:val="center"/>
          </w:tcPr>
          <w:p w14:paraId="0B0A146A">
            <w:pPr>
              <w:pStyle w:val="74"/>
              <w:tabs>
                <w:tab w:val="left" w:pos="4767"/>
              </w:tabs>
              <w:snapToGrid w:val="0"/>
              <w:spacing w:line="240" w:lineRule="auto"/>
              <w:rPr>
                <w:rFonts w:hint="default" w:ascii="Times New Roman" w:hAnsi="Times New Roman" w:cs="Times New Roman"/>
                <w:color w:val="auto"/>
              </w:rPr>
            </w:pPr>
          </w:p>
        </w:tc>
        <w:tc>
          <w:tcPr>
            <w:tcW w:w="383" w:type="pct"/>
            <w:tcBorders>
              <w:right w:val="single" w:color="auto" w:sz="4" w:space="0"/>
              <w:tl2br w:val="nil"/>
              <w:tr2bl w:val="nil"/>
            </w:tcBorders>
            <w:vAlign w:val="center"/>
          </w:tcPr>
          <w:p w14:paraId="16F7E369">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cs="Times New Roman"/>
                <w:color w:val="auto"/>
                <w:lang w:val="en-US" w:eastAsia="zh-CN"/>
              </w:rPr>
              <w:t>苯并[a]芘</w:t>
            </w:r>
          </w:p>
        </w:tc>
        <w:tc>
          <w:tcPr>
            <w:tcW w:w="475" w:type="pct"/>
            <w:vMerge w:val="continue"/>
            <w:tcBorders>
              <w:tl2br w:val="nil"/>
              <w:tr2bl w:val="nil"/>
            </w:tcBorders>
            <w:vAlign w:val="center"/>
          </w:tcPr>
          <w:p w14:paraId="2BB71D19">
            <w:pPr>
              <w:pStyle w:val="74"/>
              <w:tabs>
                <w:tab w:val="left" w:pos="4767"/>
              </w:tabs>
              <w:snapToGrid w:val="0"/>
              <w:spacing w:line="240" w:lineRule="auto"/>
              <w:rPr>
                <w:rFonts w:hint="default" w:ascii="Times New Roman" w:hAnsi="Times New Roman" w:cs="Times New Roman"/>
                <w:color w:val="auto"/>
              </w:rPr>
            </w:pPr>
          </w:p>
        </w:tc>
        <w:tc>
          <w:tcPr>
            <w:tcW w:w="412" w:type="pct"/>
            <w:tcBorders>
              <w:tl2br w:val="nil"/>
              <w:tr2bl w:val="nil"/>
            </w:tcBorders>
            <w:vAlign w:val="center"/>
          </w:tcPr>
          <w:p w14:paraId="203F04EE">
            <w:pPr>
              <w:pStyle w:val="74"/>
              <w:tabs>
                <w:tab w:val="left" w:pos="4767"/>
              </w:tabs>
              <w:snapToGrid w:val="0"/>
              <w:spacing w:line="240" w:lineRule="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0.00055</w:t>
            </w:r>
          </w:p>
        </w:tc>
        <w:tc>
          <w:tcPr>
            <w:tcW w:w="709" w:type="pct"/>
            <w:vMerge w:val="continue"/>
            <w:tcBorders>
              <w:tl2br w:val="nil"/>
              <w:tr2bl w:val="nil"/>
            </w:tcBorders>
            <w:vAlign w:val="center"/>
          </w:tcPr>
          <w:p w14:paraId="2CBD3933">
            <w:pPr>
              <w:pStyle w:val="74"/>
              <w:tabs>
                <w:tab w:val="left" w:pos="4767"/>
              </w:tabs>
              <w:snapToGrid w:val="0"/>
              <w:spacing w:line="240" w:lineRule="auto"/>
              <w:rPr>
                <w:rFonts w:hint="default" w:ascii="Times New Roman" w:hAnsi="Times New Roman" w:cs="Times New Roman"/>
                <w:color w:val="auto"/>
                <w:szCs w:val="21"/>
              </w:rPr>
            </w:pPr>
          </w:p>
        </w:tc>
        <w:tc>
          <w:tcPr>
            <w:tcW w:w="378" w:type="pct"/>
            <w:vMerge w:val="continue"/>
            <w:tcBorders>
              <w:right w:val="single" w:color="auto" w:sz="4" w:space="0"/>
              <w:tl2br w:val="nil"/>
              <w:tr2bl w:val="nil"/>
            </w:tcBorders>
            <w:vAlign w:val="center"/>
          </w:tcPr>
          <w:p w14:paraId="7BC1E3A3">
            <w:pPr>
              <w:pStyle w:val="74"/>
              <w:tabs>
                <w:tab w:val="left" w:pos="4767"/>
              </w:tabs>
              <w:snapToGrid w:val="0"/>
              <w:spacing w:line="240" w:lineRule="auto"/>
              <w:rPr>
                <w:rFonts w:hint="default" w:ascii="Times New Roman" w:hAnsi="Times New Roman" w:cs="Times New Roman"/>
                <w:color w:val="auto"/>
                <w:szCs w:val="21"/>
              </w:rPr>
            </w:pPr>
          </w:p>
        </w:tc>
        <w:tc>
          <w:tcPr>
            <w:tcW w:w="616" w:type="pct"/>
            <w:vMerge w:val="continue"/>
            <w:tcBorders>
              <w:right w:val="single" w:color="auto" w:sz="4" w:space="0"/>
              <w:tl2br w:val="nil"/>
              <w:tr2bl w:val="nil"/>
            </w:tcBorders>
            <w:vAlign w:val="center"/>
          </w:tcPr>
          <w:p w14:paraId="3EF4AE07">
            <w:pPr>
              <w:pStyle w:val="74"/>
              <w:tabs>
                <w:tab w:val="left" w:pos="4767"/>
              </w:tabs>
              <w:snapToGrid w:val="0"/>
              <w:spacing w:line="240" w:lineRule="auto"/>
              <w:rPr>
                <w:rFonts w:hint="default" w:ascii="Times New Roman" w:hAnsi="Times New Roman" w:cs="Times New Roman"/>
                <w:color w:val="auto"/>
                <w:szCs w:val="21"/>
                <w:lang w:val="en-US" w:eastAsia="zh-CN"/>
              </w:rPr>
            </w:pPr>
          </w:p>
        </w:tc>
        <w:tc>
          <w:tcPr>
            <w:tcW w:w="714" w:type="pct"/>
            <w:tcBorders>
              <w:right w:val="single" w:color="auto" w:sz="4" w:space="0"/>
              <w:tl2br w:val="nil"/>
              <w:tr2bl w:val="nil"/>
            </w:tcBorders>
            <w:vAlign w:val="center"/>
          </w:tcPr>
          <w:p w14:paraId="1A96C54B">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6.875×10</w:t>
            </w:r>
            <w:r>
              <w:rPr>
                <w:rFonts w:hint="default" w:ascii="Times New Roman" w:hAnsi="Times New Roman" w:cs="Times New Roman"/>
                <w:color w:val="auto"/>
                <w:szCs w:val="21"/>
                <w:vertAlign w:val="superscript"/>
                <w:lang w:val="en-US" w:eastAsia="zh-CN"/>
              </w:rPr>
              <w:t>-5</w:t>
            </w:r>
          </w:p>
        </w:tc>
        <w:tc>
          <w:tcPr>
            <w:tcW w:w="452" w:type="pct"/>
            <w:tcBorders>
              <w:left w:val="single" w:color="auto" w:sz="4" w:space="0"/>
              <w:right w:val="single" w:color="auto" w:sz="4" w:space="0"/>
              <w:tl2br w:val="nil"/>
              <w:tr2bl w:val="nil"/>
            </w:tcBorders>
            <w:vAlign w:val="center"/>
          </w:tcPr>
          <w:p w14:paraId="39FE11B2">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1.375×10</w:t>
            </w:r>
            <w:r>
              <w:rPr>
                <w:rFonts w:hint="default" w:ascii="Times New Roman" w:hAnsi="Times New Roman" w:cs="Times New Roman"/>
                <w:color w:val="auto"/>
                <w:szCs w:val="21"/>
                <w:vertAlign w:val="superscript"/>
                <w:lang w:val="en-US" w:eastAsia="zh-CN"/>
              </w:rPr>
              <w:t>-6</w:t>
            </w:r>
          </w:p>
        </w:tc>
        <w:tc>
          <w:tcPr>
            <w:tcW w:w="348" w:type="pct"/>
            <w:tcBorders>
              <w:left w:val="single" w:color="auto" w:sz="4" w:space="0"/>
              <w:tl2br w:val="nil"/>
              <w:tr2bl w:val="nil"/>
            </w:tcBorders>
            <w:vAlign w:val="center"/>
          </w:tcPr>
          <w:p w14:paraId="5C71C316">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2.75×10</w:t>
            </w:r>
            <w:r>
              <w:rPr>
                <w:rFonts w:hint="default" w:ascii="Times New Roman" w:hAnsi="Times New Roman" w:cs="Times New Roman"/>
                <w:color w:val="auto"/>
                <w:szCs w:val="21"/>
                <w:vertAlign w:val="superscript"/>
                <w:lang w:val="en-US" w:eastAsia="zh-CN"/>
              </w:rPr>
              <w:t>-6</w:t>
            </w:r>
          </w:p>
        </w:tc>
      </w:tr>
      <w:tr w14:paraId="1E89650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508" w:type="pct"/>
            <w:vMerge w:val="restart"/>
            <w:tcBorders>
              <w:right w:val="single" w:color="auto" w:sz="4" w:space="0"/>
              <w:tl2br w:val="nil"/>
              <w:tr2bl w:val="nil"/>
            </w:tcBorders>
            <w:vAlign w:val="center"/>
          </w:tcPr>
          <w:p w14:paraId="2F8E2C94">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cs="Times New Roman"/>
                <w:color w:val="auto"/>
              </w:rPr>
              <w:t>导热油炉天然气燃烧</w:t>
            </w:r>
          </w:p>
        </w:tc>
        <w:tc>
          <w:tcPr>
            <w:tcW w:w="383" w:type="pct"/>
            <w:tcBorders>
              <w:right w:val="single" w:color="auto" w:sz="4" w:space="0"/>
              <w:tl2br w:val="nil"/>
              <w:tr2bl w:val="nil"/>
            </w:tcBorders>
            <w:vAlign w:val="center"/>
          </w:tcPr>
          <w:p w14:paraId="2A736703">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eastAsia="宋体" w:cs="Times New Roman"/>
                <w:color w:val="auto"/>
                <w:szCs w:val="21"/>
                <w:lang w:val="en-US" w:eastAsia="zh-CN"/>
              </w:rPr>
              <w:t>SO</w:t>
            </w:r>
            <w:r>
              <w:rPr>
                <w:rFonts w:hint="default" w:ascii="Times New Roman" w:hAnsi="Times New Roman" w:eastAsia="宋体" w:cs="Times New Roman"/>
                <w:color w:val="auto"/>
                <w:szCs w:val="21"/>
                <w:vertAlign w:val="subscript"/>
                <w:lang w:val="en-US" w:eastAsia="zh-CN"/>
              </w:rPr>
              <w:t>2</w:t>
            </w:r>
          </w:p>
        </w:tc>
        <w:tc>
          <w:tcPr>
            <w:tcW w:w="475" w:type="pct"/>
            <w:vMerge w:val="restart"/>
            <w:tcBorders>
              <w:tl2br w:val="nil"/>
              <w:tr2bl w:val="nil"/>
            </w:tcBorders>
            <w:vAlign w:val="center"/>
          </w:tcPr>
          <w:p w14:paraId="2686CBC2">
            <w:pPr>
              <w:pStyle w:val="74"/>
              <w:tabs>
                <w:tab w:val="left" w:pos="4767"/>
              </w:tabs>
              <w:snapToGrid w:val="0"/>
              <w:spacing w:line="240" w:lineRule="auto"/>
              <w:rPr>
                <w:rFonts w:hint="default" w:ascii="Times New Roman" w:hAnsi="Times New Roman" w:cs="Times New Roman"/>
                <w:color w:val="auto"/>
                <w:lang w:val="en-US" w:eastAsia="zh-CN"/>
              </w:rPr>
            </w:pPr>
            <w:r>
              <w:rPr>
                <w:rFonts w:hint="eastAsia" w:cs="Times New Roman"/>
                <w:color w:val="auto"/>
                <w:lang w:val="en-US" w:eastAsia="zh-CN"/>
              </w:rPr>
              <w:t>4650</w:t>
            </w:r>
          </w:p>
        </w:tc>
        <w:tc>
          <w:tcPr>
            <w:tcW w:w="412" w:type="pct"/>
            <w:tcBorders>
              <w:tl2br w:val="nil"/>
              <w:tr2bl w:val="nil"/>
            </w:tcBorders>
            <w:vAlign w:val="center"/>
          </w:tcPr>
          <w:p w14:paraId="4EA6E48A">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0.173</w:t>
            </w:r>
          </w:p>
        </w:tc>
        <w:tc>
          <w:tcPr>
            <w:tcW w:w="709" w:type="pct"/>
            <w:vMerge w:val="restart"/>
            <w:tcBorders>
              <w:tl2br w:val="nil"/>
              <w:tr2bl w:val="nil"/>
            </w:tcBorders>
            <w:vAlign w:val="center"/>
          </w:tcPr>
          <w:p w14:paraId="0258CFAC">
            <w:pPr>
              <w:pStyle w:val="74"/>
              <w:tabs>
                <w:tab w:val="left" w:pos="4767"/>
              </w:tabs>
              <w:snapToGrid w:val="0"/>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低氮燃烧+15m排气筒（DA003）</w:t>
            </w:r>
          </w:p>
        </w:tc>
        <w:tc>
          <w:tcPr>
            <w:tcW w:w="378" w:type="pct"/>
            <w:vMerge w:val="restart"/>
            <w:tcBorders>
              <w:right w:val="single" w:color="auto" w:sz="4" w:space="0"/>
              <w:tl2br w:val="nil"/>
              <w:tr2bl w:val="nil"/>
            </w:tcBorders>
            <w:vAlign w:val="center"/>
          </w:tcPr>
          <w:p w14:paraId="682ACA66">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616" w:type="pct"/>
            <w:vMerge w:val="restart"/>
            <w:tcBorders>
              <w:right w:val="single" w:color="auto" w:sz="4" w:space="0"/>
              <w:tl2br w:val="nil"/>
              <w:tr2bl w:val="nil"/>
            </w:tcBorders>
            <w:vAlign w:val="center"/>
          </w:tcPr>
          <w:p w14:paraId="09AC1E54">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4650</w:t>
            </w:r>
          </w:p>
        </w:tc>
        <w:tc>
          <w:tcPr>
            <w:tcW w:w="714" w:type="pct"/>
            <w:tcBorders>
              <w:right w:val="single" w:color="auto" w:sz="4" w:space="0"/>
              <w:tl2br w:val="nil"/>
              <w:tr2bl w:val="nil"/>
            </w:tcBorders>
            <w:vAlign w:val="center"/>
          </w:tcPr>
          <w:p w14:paraId="037F5A56">
            <w:pPr>
              <w:tabs>
                <w:tab w:val="left" w:pos="4767"/>
              </w:tabs>
              <w:spacing w:line="0" w:lineRule="atLeast"/>
              <w:jc w:val="center"/>
              <w:rPr>
                <w:rFonts w:hint="default" w:ascii="Times New Roman" w:hAnsi="Times New Roman" w:cs="Times New Roman"/>
                <w:color w:val="auto"/>
                <w:szCs w:val="21"/>
              </w:rPr>
            </w:pPr>
            <w:r>
              <w:rPr>
                <w:rFonts w:hint="eastAsia" w:ascii="Times New Roman" w:hAnsi="Times New Roman" w:eastAsia="宋体" w:cs="Times New Roman"/>
                <w:color w:val="auto"/>
                <w:szCs w:val="21"/>
                <w:lang w:val="en-US" w:eastAsia="zh-CN"/>
              </w:rPr>
              <w:t>18.60</w:t>
            </w:r>
          </w:p>
        </w:tc>
        <w:tc>
          <w:tcPr>
            <w:tcW w:w="452" w:type="pct"/>
            <w:tcBorders>
              <w:left w:val="single" w:color="auto" w:sz="4" w:space="0"/>
              <w:right w:val="single" w:color="auto" w:sz="4" w:space="0"/>
              <w:tl2br w:val="nil"/>
              <w:tr2bl w:val="nil"/>
            </w:tcBorders>
            <w:vAlign w:val="center"/>
          </w:tcPr>
          <w:p w14:paraId="1C08069E">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0.0865</w:t>
            </w:r>
          </w:p>
        </w:tc>
        <w:tc>
          <w:tcPr>
            <w:tcW w:w="348" w:type="pct"/>
            <w:tcBorders>
              <w:left w:val="single" w:color="auto" w:sz="4" w:space="0"/>
              <w:tl2br w:val="nil"/>
              <w:tr2bl w:val="nil"/>
            </w:tcBorders>
            <w:vAlign w:val="center"/>
          </w:tcPr>
          <w:p w14:paraId="7E8F2451">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0.173</w:t>
            </w:r>
          </w:p>
        </w:tc>
      </w:tr>
      <w:tr w14:paraId="344E7B6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508" w:type="pct"/>
            <w:vMerge w:val="continue"/>
            <w:tcBorders>
              <w:right w:val="single" w:color="auto" w:sz="4" w:space="0"/>
              <w:tl2br w:val="nil"/>
              <w:tr2bl w:val="nil"/>
            </w:tcBorders>
            <w:vAlign w:val="center"/>
          </w:tcPr>
          <w:p w14:paraId="03380825">
            <w:pPr>
              <w:pStyle w:val="74"/>
              <w:tabs>
                <w:tab w:val="left" w:pos="4767"/>
              </w:tabs>
              <w:snapToGrid w:val="0"/>
              <w:spacing w:line="240" w:lineRule="auto"/>
              <w:rPr>
                <w:rFonts w:hint="default" w:ascii="Times New Roman" w:hAnsi="Times New Roman" w:cs="Times New Roman"/>
                <w:color w:val="auto"/>
              </w:rPr>
            </w:pPr>
          </w:p>
        </w:tc>
        <w:tc>
          <w:tcPr>
            <w:tcW w:w="383" w:type="pct"/>
            <w:tcBorders>
              <w:right w:val="single" w:color="auto" w:sz="4" w:space="0"/>
              <w:tl2br w:val="nil"/>
              <w:tr2bl w:val="nil"/>
            </w:tcBorders>
            <w:vAlign w:val="center"/>
          </w:tcPr>
          <w:p w14:paraId="4C3A7D96">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eastAsia="宋体" w:cs="Times New Roman"/>
                <w:color w:val="auto"/>
                <w:szCs w:val="21"/>
                <w:lang w:val="en-US" w:eastAsia="zh-CN"/>
              </w:rPr>
              <w:t>NOx</w:t>
            </w:r>
          </w:p>
        </w:tc>
        <w:tc>
          <w:tcPr>
            <w:tcW w:w="475" w:type="pct"/>
            <w:vMerge w:val="continue"/>
            <w:tcBorders>
              <w:tl2br w:val="nil"/>
              <w:tr2bl w:val="nil"/>
            </w:tcBorders>
            <w:vAlign w:val="center"/>
          </w:tcPr>
          <w:p w14:paraId="7FE71FC1">
            <w:pPr>
              <w:pStyle w:val="74"/>
              <w:tabs>
                <w:tab w:val="left" w:pos="4767"/>
              </w:tabs>
              <w:snapToGrid w:val="0"/>
              <w:spacing w:line="240" w:lineRule="auto"/>
              <w:rPr>
                <w:rFonts w:hint="default" w:ascii="Times New Roman" w:hAnsi="Times New Roman" w:cs="Times New Roman"/>
                <w:color w:val="auto"/>
              </w:rPr>
            </w:pPr>
          </w:p>
        </w:tc>
        <w:tc>
          <w:tcPr>
            <w:tcW w:w="412" w:type="pct"/>
            <w:tcBorders>
              <w:tl2br w:val="nil"/>
              <w:tr2bl w:val="nil"/>
            </w:tcBorders>
            <w:vAlign w:val="center"/>
          </w:tcPr>
          <w:p w14:paraId="17CC5DD1">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0.261</w:t>
            </w:r>
          </w:p>
        </w:tc>
        <w:tc>
          <w:tcPr>
            <w:tcW w:w="709" w:type="pct"/>
            <w:vMerge w:val="continue"/>
            <w:tcBorders>
              <w:tl2br w:val="nil"/>
              <w:tr2bl w:val="nil"/>
            </w:tcBorders>
            <w:vAlign w:val="center"/>
          </w:tcPr>
          <w:p w14:paraId="227896B4">
            <w:pPr>
              <w:pStyle w:val="74"/>
              <w:tabs>
                <w:tab w:val="left" w:pos="4767"/>
              </w:tabs>
              <w:snapToGrid w:val="0"/>
              <w:spacing w:line="240" w:lineRule="auto"/>
              <w:rPr>
                <w:rFonts w:hint="default" w:ascii="Times New Roman" w:hAnsi="Times New Roman" w:cs="Times New Roman"/>
                <w:color w:val="auto"/>
                <w:szCs w:val="21"/>
              </w:rPr>
            </w:pPr>
          </w:p>
        </w:tc>
        <w:tc>
          <w:tcPr>
            <w:tcW w:w="378" w:type="pct"/>
            <w:vMerge w:val="continue"/>
            <w:tcBorders>
              <w:right w:val="single" w:color="auto" w:sz="4" w:space="0"/>
              <w:tl2br w:val="nil"/>
              <w:tr2bl w:val="nil"/>
            </w:tcBorders>
            <w:vAlign w:val="center"/>
          </w:tcPr>
          <w:p w14:paraId="2668AA5D">
            <w:pPr>
              <w:tabs>
                <w:tab w:val="left" w:pos="4767"/>
              </w:tabs>
              <w:spacing w:line="0" w:lineRule="atLeast"/>
              <w:jc w:val="center"/>
              <w:rPr>
                <w:rFonts w:hint="default" w:ascii="Times New Roman" w:hAnsi="Times New Roman" w:cs="Times New Roman"/>
                <w:color w:val="auto"/>
                <w:szCs w:val="21"/>
              </w:rPr>
            </w:pPr>
          </w:p>
        </w:tc>
        <w:tc>
          <w:tcPr>
            <w:tcW w:w="616" w:type="pct"/>
            <w:vMerge w:val="continue"/>
            <w:tcBorders>
              <w:right w:val="single" w:color="auto" w:sz="4" w:space="0"/>
              <w:tl2br w:val="nil"/>
              <w:tr2bl w:val="nil"/>
            </w:tcBorders>
            <w:vAlign w:val="center"/>
          </w:tcPr>
          <w:p w14:paraId="6F41C4B7">
            <w:pPr>
              <w:tabs>
                <w:tab w:val="left" w:pos="4767"/>
              </w:tabs>
              <w:spacing w:line="0" w:lineRule="atLeast"/>
              <w:jc w:val="center"/>
              <w:rPr>
                <w:rFonts w:hint="eastAsia" w:ascii="Times New Roman" w:hAnsi="Times New Roman" w:eastAsia="宋体" w:cs="Times New Roman"/>
                <w:color w:val="auto"/>
                <w:szCs w:val="21"/>
                <w:lang w:val="en-US" w:eastAsia="zh-CN"/>
              </w:rPr>
            </w:pPr>
          </w:p>
        </w:tc>
        <w:tc>
          <w:tcPr>
            <w:tcW w:w="714" w:type="pct"/>
            <w:tcBorders>
              <w:right w:val="single" w:color="auto" w:sz="4" w:space="0"/>
              <w:tl2br w:val="nil"/>
              <w:tr2bl w:val="nil"/>
            </w:tcBorders>
            <w:vAlign w:val="center"/>
          </w:tcPr>
          <w:p w14:paraId="67D38FAB">
            <w:pPr>
              <w:tabs>
                <w:tab w:val="left" w:pos="4767"/>
              </w:tabs>
              <w:spacing w:line="0" w:lineRule="atLeast"/>
              <w:jc w:val="center"/>
              <w:rPr>
                <w:rFonts w:hint="default" w:ascii="Times New Roman" w:hAnsi="Times New Roman" w:cs="Times New Roman"/>
                <w:color w:val="auto"/>
                <w:szCs w:val="21"/>
              </w:rPr>
            </w:pPr>
            <w:r>
              <w:rPr>
                <w:rFonts w:hint="eastAsia" w:ascii="Times New Roman" w:hAnsi="Times New Roman" w:eastAsia="宋体" w:cs="Times New Roman"/>
                <w:color w:val="auto"/>
                <w:szCs w:val="21"/>
                <w:lang w:val="en-US" w:eastAsia="zh-CN"/>
              </w:rPr>
              <w:t>28.17</w:t>
            </w:r>
          </w:p>
        </w:tc>
        <w:tc>
          <w:tcPr>
            <w:tcW w:w="452" w:type="pct"/>
            <w:tcBorders>
              <w:left w:val="single" w:color="auto" w:sz="4" w:space="0"/>
              <w:right w:val="single" w:color="auto" w:sz="4" w:space="0"/>
              <w:tl2br w:val="nil"/>
              <w:tr2bl w:val="nil"/>
            </w:tcBorders>
            <w:vAlign w:val="center"/>
          </w:tcPr>
          <w:p w14:paraId="61A4BBB3">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0.131</w:t>
            </w:r>
          </w:p>
        </w:tc>
        <w:tc>
          <w:tcPr>
            <w:tcW w:w="348" w:type="pct"/>
            <w:tcBorders>
              <w:left w:val="single" w:color="auto" w:sz="4" w:space="0"/>
              <w:tl2br w:val="nil"/>
              <w:tr2bl w:val="nil"/>
            </w:tcBorders>
            <w:vAlign w:val="center"/>
          </w:tcPr>
          <w:p w14:paraId="66321189">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0.261</w:t>
            </w:r>
          </w:p>
        </w:tc>
      </w:tr>
      <w:tr w14:paraId="27A1BEA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20" w:hRule="atLeast"/>
          <w:jc w:val="center"/>
        </w:trPr>
        <w:tc>
          <w:tcPr>
            <w:tcW w:w="508" w:type="pct"/>
            <w:vMerge w:val="continue"/>
            <w:tcBorders>
              <w:right w:val="single" w:color="auto" w:sz="4" w:space="0"/>
              <w:tl2br w:val="nil"/>
              <w:tr2bl w:val="nil"/>
            </w:tcBorders>
            <w:vAlign w:val="center"/>
          </w:tcPr>
          <w:p w14:paraId="145A7DF2">
            <w:pPr>
              <w:pStyle w:val="74"/>
              <w:tabs>
                <w:tab w:val="left" w:pos="4767"/>
              </w:tabs>
              <w:snapToGrid w:val="0"/>
              <w:spacing w:line="240" w:lineRule="auto"/>
              <w:rPr>
                <w:rFonts w:hint="default" w:ascii="Times New Roman" w:hAnsi="Times New Roman" w:cs="Times New Roman"/>
                <w:color w:val="auto"/>
              </w:rPr>
            </w:pPr>
          </w:p>
        </w:tc>
        <w:tc>
          <w:tcPr>
            <w:tcW w:w="383" w:type="pct"/>
            <w:tcBorders>
              <w:right w:val="single" w:color="auto" w:sz="4" w:space="0"/>
              <w:tl2br w:val="nil"/>
              <w:tr2bl w:val="nil"/>
            </w:tcBorders>
            <w:vAlign w:val="center"/>
          </w:tcPr>
          <w:p w14:paraId="51BA7101">
            <w:pPr>
              <w:pStyle w:val="74"/>
              <w:tabs>
                <w:tab w:val="left" w:pos="4767"/>
              </w:tabs>
              <w:snapToGrid w:val="0"/>
              <w:spacing w:line="240" w:lineRule="auto"/>
              <w:rPr>
                <w:rFonts w:hint="default" w:ascii="Times New Roman" w:hAnsi="Times New Roman" w:cs="Times New Roman"/>
                <w:color w:val="auto"/>
              </w:rPr>
            </w:pPr>
            <w:r>
              <w:rPr>
                <w:rFonts w:hint="default" w:ascii="Times New Roman" w:hAnsi="Times New Roman" w:eastAsia="宋体" w:cs="Times New Roman"/>
                <w:color w:val="auto"/>
                <w:szCs w:val="21"/>
                <w:lang w:val="en-US" w:eastAsia="zh-CN"/>
              </w:rPr>
              <w:t>颗粒物</w:t>
            </w:r>
          </w:p>
        </w:tc>
        <w:tc>
          <w:tcPr>
            <w:tcW w:w="475" w:type="pct"/>
            <w:vMerge w:val="continue"/>
            <w:tcBorders>
              <w:tl2br w:val="nil"/>
              <w:tr2bl w:val="nil"/>
            </w:tcBorders>
            <w:vAlign w:val="center"/>
          </w:tcPr>
          <w:p w14:paraId="2723AB59">
            <w:pPr>
              <w:pStyle w:val="74"/>
              <w:tabs>
                <w:tab w:val="left" w:pos="4767"/>
              </w:tabs>
              <w:snapToGrid w:val="0"/>
              <w:spacing w:line="240" w:lineRule="auto"/>
              <w:rPr>
                <w:rFonts w:hint="default" w:ascii="Times New Roman" w:hAnsi="Times New Roman" w:cs="Times New Roman"/>
                <w:color w:val="auto"/>
              </w:rPr>
            </w:pPr>
          </w:p>
        </w:tc>
        <w:tc>
          <w:tcPr>
            <w:tcW w:w="412" w:type="pct"/>
            <w:tcBorders>
              <w:tl2br w:val="nil"/>
              <w:tr2bl w:val="nil"/>
            </w:tcBorders>
            <w:vAlign w:val="center"/>
          </w:tcPr>
          <w:p w14:paraId="20CD7FA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112</w:t>
            </w:r>
          </w:p>
        </w:tc>
        <w:tc>
          <w:tcPr>
            <w:tcW w:w="709" w:type="pct"/>
            <w:vMerge w:val="continue"/>
            <w:tcBorders>
              <w:tl2br w:val="nil"/>
              <w:tr2bl w:val="nil"/>
            </w:tcBorders>
            <w:vAlign w:val="center"/>
          </w:tcPr>
          <w:p w14:paraId="31593387">
            <w:pPr>
              <w:pStyle w:val="74"/>
              <w:tabs>
                <w:tab w:val="left" w:pos="4767"/>
              </w:tabs>
              <w:snapToGrid w:val="0"/>
              <w:spacing w:line="240" w:lineRule="auto"/>
              <w:rPr>
                <w:rFonts w:hint="default" w:ascii="Times New Roman" w:hAnsi="Times New Roman" w:cs="Times New Roman"/>
                <w:color w:val="auto"/>
                <w:szCs w:val="21"/>
              </w:rPr>
            </w:pPr>
          </w:p>
        </w:tc>
        <w:tc>
          <w:tcPr>
            <w:tcW w:w="378" w:type="pct"/>
            <w:vMerge w:val="continue"/>
            <w:tcBorders>
              <w:right w:val="single" w:color="auto" w:sz="4" w:space="0"/>
              <w:tl2br w:val="nil"/>
              <w:tr2bl w:val="nil"/>
            </w:tcBorders>
            <w:vAlign w:val="center"/>
          </w:tcPr>
          <w:p w14:paraId="5DC041B4">
            <w:pPr>
              <w:tabs>
                <w:tab w:val="left" w:pos="4767"/>
              </w:tabs>
              <w:spacing w:line="0" w:lineRule="atLeast"/>
              <w:jc w:val="center"/>
              <w:rPr>
                <w:rFonts w:hint="default" w:ascii="Times New Roman" w:hAnsi="Times New Roman" w:cs="Times New Roman"/>
                <w:color w:val="auto"/>
                <w:szCs w:val="21"/>
              </w:rPr>
            </w:pPr>
          </w:p>
        </w:tc>
        <w:tc>
          <w:tcPr>
            <w:tcW w:w="616" w:type="pct"/>
            <w:vMerge w:val="continue"/>
            <w:tcBorders>
              <w:right w:val="single" w:color="auto" w:sz="4" w:space="0"/>
              <w:tl2br w:val="nil"/>
              <w:tr2bl w:val="nil"/>
            </w:tcBorders>
            <w:vAlign w:val="center"/>
          </w:tcPr>
          <w:p w14:paraId="2F3D2498">
            <w:pPr>
              <w:tabs>
                <w:tab w:val="left" w:pos="4767"/>
              </w:tabs>
              <w:spacing w:line="0" w:lineRule="atLeast"/>
              <w:jc w:val="center"/>
              <w:rPr>
                <w:rFonts w:hint="eastAsia" w:ascii="Times New Roman" w:hAnsi="Times New Roman" w:eastAsia="宋体" w:cs="Times New Roman"/>
                <w:color w:val="auto"/>
                <w:szCs w:val="21"/>
                <w:lang w:val="en-US" w:eastAsia="zh-CN"/>
              </w:rPr>
            </w:pPr>
          </w:p>
        </w:tc>
        <w:tc>
          <w:tcPr>
            <w:tcW w:w="714" w:type="pct"/>
            <w:tcBorders>
              <w:right w:val="single" w:color="auto" w:sz="4" w:space="0"/>
              <w:tl2br w:val="nil"/>
              <w:tr2bl w:val="nil"/>
            </w:tcBorders>
            <w:vAlign w:val="center"/>
          </w:tcPr>
          <w:p w14:paraId="0785B239">
            <w:pPr>
              <w:tabs>
                <w:tab w:val="left" w:pos="4767"/>
              </w:tabs>
              <w:spacing w:line="0" w:lineRule="atLeast"/>
              <w:jc w:val="center"/>
              <w:rPr>
                <w:rFonts w:hint="default" w:ascii="Times New Roman" w:hAnsi="Times New Roman" w:cs="Times New Roman"/>
                <w:color w:val="auto"/>
                <w:szCs w:val="21"/>
              </w:rPr>
            </w:pPr>
            <w:r>
              <w:rPr>
                <w:rFonts w:hint="eastAsia" w:ascii="Times New Roman" w:hAnsi="Times New Roman" w:eastAsia="宋体" w:cs="Times New Roman"/>
                <w:color w:val="auto"/>
                <w:szCs w:val="21"/>
                <w:lang w:val="en-US" w:eastAsia="zh-CN"/>
              </w:rPr>
              <w:t>12.04</w:t>
            </w:r>
          </w:p>
        </w:tc>
        <w:tc>
          <w:tcPr>
            <w:tcW w:w="452" w:type="pct"/>
            <w:tcBorders>
              <w:left w:val="single" w:color="auto" w:sz="4" w:space="0"/>
              <w:right w:val="single" w:color="auto" w:sz="4" w:space="0"/>
              <w:tl2br w:val="nil"/>
              <w:tr2bl w:val="nil"/>
            </w:tcBorders>
            <w:vAlign w:val="center"/>
          </w:tcPr>
          <w:p w14:paraId="091AA854">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056</w:t>
            </w:r>
          </w:p>
        </w:tc>
        <w:tc>
          <w:tcPr>
            <w:tcW w:w="348" w:type="pct"/>
            <w:tcBorders>
              <w:left w:val="single" w:color="auto" w:sz="4" w:space="0"/>
              <w:tl2br w:val="nil"/>
              <w:tr2bl w:val="nil"/>
            </w:tcBorders>
            <w:vAlign w:val="center"/>
          </w:tcPr>
          <w:p w14:paraId="59E09FB8">
            <w:pPr>
              <w:tabs>
                <w:tab w:val="left" w:pos="4767"/>
              </w:tabs>
              <w:spacing w:line="0" w:lineRule="atLeast"/>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112</w:t>
            </w:r>
          </w:p>
        </w:tc>
      </w:tr>
    </w:tbl>
    <w:p w14:paraId="7A5E4EAA">
      <w:pPr>
        <w:tabs>
          <w:tab w:val="left" w:pos="4767"/>
        </w:tabs>
        <w:rPr>
          <w:rFonts w:hint="default" w:ascii="Times New Roman" w:hAnsi="Times New Roman" w:cs="Times New Roman"/>
          <w:color w:val="auto"/>
        </w:rPr>
        <w:sectPr>
          <w:pgSz w:w="16838" w:h="11905" w:orient="landscape"/>
          <w:pgMar w:top="1417" w:right="1417" w:bottom="1417" w:left="1417" w:header="851" w:footer="964" w:gutter="0"/>
          <w:pgBorders>
            <w:top w:val="none" w:sz="0" w:space="0"/>
            <w:left w:val="none" w:sz="0" w:space="0"/>
            <w:bottom w:val="none" w:sz="0" w:space="0"/>
            <w:right w:val="none" w:sz="0" w:space="0"/>
          </w:pgBorders>
          <w:cols w:space="0" w:num="1"/>
          <w:docGrid w:type="linesAndChars" w:linePitch="466" w:charSpace="3482"/>
        </w:sectPr>
      </w:pPr>
    </w:p>
    <w:p w14:paraId="01E9DCB8">
      <w:pPr>
        <w:tabs>
          <w:tab w:val="left" w:pos="4767"/>
        </w:tabs>
        <w:rPr>
          <w:rFonts w:hint="default" w:ascii="Times New Roman" w:hAnsi="Times New Roman" w:cs="Times New Roman"/>
          <w:color w:val="auto"/>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425"/>
      </w:tblGrid>
      <w:tr w14:paraId="6DD5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pct"/>
            <w:vAlign w:val="center"/>
          </w:tcPr>
          <w:p w14:paraId="03C5286F">
            <w:pPr>
              <w:tabs>
                <w:tab w:val="left" w:pos="4767"/>
              </w:tabs>
              <w:spacing w:line="0" w:lineRule="atLeast"/>
              <w:jc w:val="center"/>
              <w:rPr>
                <w:rFonts w:hint="default" w:ascii="Times New Roman" w:hAnsi="Times New Roman" w:cs="Times New Roman"/>
                <w:color w:val="auto"/>
                <w:sz w:val="24"/>
              </w:rPr>
            </w:pPr>
          </w:p>
        </w:tc>
        <w:tc>
          <w:tcPr>
            <w:tcW w:w="4535" w:type="pct"/>
          </w:tcPr>
          <w:p w14:paraId="3DACD689">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（2）非正常工况排放情况</w:t>
            </w:r>
          </w:p>
          <w:p w14:paraId="2AAF16AF">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拟建项目非正常工况排放主要分为正常开、停车、工艺设备故障时会有较大量的污染物排出，另一类是环保设施达不到设计规定的指标运行，而使正常排放的污染物经过不完全处理或不经过处理直接排放而导致的超标排放。</w:t>
            </w:r>
          </w:p>
          <w:p w14:paraId="1A0608B9">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①设备检修及开停车</w:t>
            </w:r>
          </w:p>
          <w:p w14:paraId="7489702E">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开车时，首先启动环保装置，然后再按照规程依次启动生产线上各个设备，一般不会出现超标排污的现象；停车时，则需先按照规程依次关闭生产线上的设备，然后关闭环保设备，保证污染物达标排放。</w:t>
            </w:r>
          </w:p>
          <w:p w14:paraId="57A17FC8">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②非正常工况废气污染源</w:t>
            </w:r>
          </w:p>
          <w:p w14:paraId="69B00B39">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拟建项目非正常工况包括：工艺开停车过程中设备的跑、冒、滴、漏；废气收集、处理等设施突然出现故障，去除效率降低。</w:t>
            </w:r>
            <w:r>
              <w:rPr>
                <w:rFonts w:hint="eastAsia" w:cs="Times New Roman"/>
                <w:color w:val="auto"/>
                <w:sz w:val="24"/>
                <w:szCs w:val="32"/>
                <w:lang w:val="en-US" w:eastAsia="zh-CN"/>
              </w:rPr>
              <w:t>低氮燃烧器、</w:t>
            </w:r>
            <w:r>
              <w:rPr>
                <w:rFonts w:hint="default" w:ascii="Times New Roman" w:hAnsi="Times New Roman" w:cs="Times New Roman"/>
                <w:color w:val="auto"/>
                <w:sz w:val="24"/>
                <w:szCs w:val="32"/>
                <w:lang w:val="en-US" w:eastAsia="zh-CN"/>
              </w:rPr>
              <w:t>布袋除尘器及水喷淋+低温等离子净化设备故障时效率</w:t>
            </w:r>
            <w:r>
              <w:rPr>
                <w:rFonts w:hint="eastAsia" w:cs="Times New Roman"/>
                <w:color w:val="auto"/>
                <w:sz w:val="24"/>
                <w:szCs w:val="32"/>
                <w:lang w:val="en-US" w:eastAsia="zh-CN"/>
              </w:rPr>
              <w:t>降</w:t>
            </w:r>
            <w:r>
              <w:rPr>
                <w:rFonts w:hint="default" w:ascii="Times New Roman" w:hAnsi="Times New Roman" w:cs="Times New Roman"/>
                <w:color w:val="auto"/>
                <w:sz w:val="24"/>
                <w:szCs w:val="32"/>
                <w:lang w:val="en-US" w:eastAsia="zh-CN"/>
              </w:rPr>
              <w:t>为</w:t>
            </w:r>
            <w:r>
              <w:rPr>
                <w:rFonts w:hint="eastAsia" w:cs="Times New Roman"/>
                <w:color w:val="auto"/>
                <w:sz w:val="24"/>
                <w:szCs w:val="32"/>
                <w:lang w:val="en-US" w:eastAsia="zh-CN"/>
              </w:rPr>
              <w:t>60%</w:t>
            </w:r>
            <w:r>
              <w:rPr>
                <w:rFonts w:hint="default" w:ascii="Times New Roman" w:hAnsi="Times New Roman" w:cs="Times New Roman"/>
                <w:color w:val="auto"/>
                <w:sz w:val="24"/>
                <w:szCs w:val="32"/>
              </w:rPr>
              <w:t>，非正常工况下污染物排放情况见表4-</w:t>
            </w:r>
            <w:r>
              <w:rPr>
                <w:rFonts w:hint="default" w:ascii="Times New Roman" w:hAnsi="Times New Roman" w:cs="Times New Roman"/>
                <w:color w:val="auto"/>
                <w:sz w:val="24"/>
                <w:szCs w:val="32"/>
                <w:lang w:val="en-US" w:eastAsia="zh-CN"/>
              </w:rPr>
              <w:t>6</w:t>
            </w:r>
            <w:r>
              <w:rPr>
                <w:rFonts w:hint="default" w:ascii="Times New Roman" w:hAnsi="Times New Roman" w:cs="Times New Roman"/>
                <w:color w:val="auto"/>
                <w:sz w:val="24"/>
                <w:szCs w:val="32"/>
              </w:rPr>
              <w:t>。</w:t>
            </w:r>
          </w:p>
          <w:p w14:paraId="21AB754E">
            <w:pPr>
              <w:tabs>
                <w:tab w:val="left" w:pos="4767"/>
              </w:tabs>
              <w:jc w:val="center"/>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表4-</w:t>
            </w:r>
            <w:r>
              <w:rPr>
                <w:rFonts w:hint="default" w:ascii="Times New Roman" w:hAnsi="Times New Roman" w:eastAsia="黑体" w:cs="Times New Roman"/>
                <w:bCs/>
                <w:color w:val="auto"/>
                <w:sz w:val="24"/>
                <w:lang w:val="en-US" w:eastAsia="zh-CN"/>
              </w:rPr>
              <w:t>6</w:t>
            </w:r>
            <w:r>
              <w:rPr>
                <w:rFonts w:hint="default" w:ascii="Times New Roman" w:hAnsi="Times New Roman" w:eastAsia="黑体" w:cs="Times New Roman"/>
                <w:bCs/>
                <w:color w:val="auto"/>
                <w:sz w:val="24"/>
              </w:rPr>
              <w:t xml:space="preserve">  非正常工况废气排放情况一览表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256"/>
              <w:gridCol w:w="1996"/>
              <w:gridCol w:w="1998"/>
              <w:gridCol w:w="1999"/>
            </w:tblGrid>
            <w:tr w14:paraId="21F5DE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tcBorders>
                    <w:tl2br w:val="nil"/>
                    <w:tr2bl w:val="nil"/>
                  </w:tcBorders>
                  <w:vAlign w:val="center"/>
                </w:tcPr>
                <w:p w14:paraId="79F3D226">
                  <w:pPr>
                    <w:tabs>
                      <w:tab w:val="left" w:pos="4767"/>
                    </w:tabs>
                    <w:adjustRightInd w:val="0"/>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lang w:val="en-US" w:eastAsia="zh-CN"/>
                    </w:rPr>
                    <w:t>排口</w:t>
                  </w:r>
                </w:p>
              </w:tc>
              <w:tc>
                <w:tcPr>
                  <w:tcW w:w="765" w:type="pct"/>
                  <w:tcBorders>
                    <w:tl2br w:val="nil"/>
                    <w:tr2bl w:val="nil"/>
                  </w:tcBorders>
                  <w:vAlign w:val="center"/>
                </w:tcPr>
                <w:p w14:paraId="49C004E1">
                  <w:pPr>
                    <w:tabs>
                      <w:tab w:val="left" w:pos="4767"/>
                    </w:tabs>
                    <w:adjustRightInd w:val="0"/>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项目</w:t>
                  </w:r>
                </w:p>
              </w:tc>
              <w:tc>
                <w:tcPr>
                  <w:tcW w:w="1216" w:type="pct"/>
                  <w:tcBorders>
                    <w:tl2br w:val="nil"/>
                    <w:tr2bl w:val="nil"/>
                  </w:tcBorders>
                  <w:vAlign w:val="center"/>
                </w:tcPr>
                <w:p w14:paraId="668819E1">
                  <w:pPr>
                    <w:tabs>
                      <w:tab w:val="left" w:pos="4767"/>
                    </w:tabs>
                    <w:adjustRightInd w:val="0"/>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非正常工况排放浓度（mg/m³）</w:t>
                  </w:r>
                </w:p>
              </w:tc>
              <w:tc>
                <w:tcPr>
                  <w:tcW w:w="1217" w:type="pct"/>
                  <w:tcBorders>
                    <w:tl2br w:val="nil"/>
                    <w:tr2bl w:val="nil"/>
                  </w:tcBorders>
                  <w:vAlign w:val="center"/>
                </w:tcPr>
                <w:p w14:paraId="0E55CD65">
                  <w:pPr>
                    <w:tabs>
                      <w:tab w:val="left" w:pos="4767"/>
                    </w:tabs>
                    <w:adjustRightInd w:val="0"/>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非正常工况排放速率（kg/h）</w:t>
                  </w:r>
                </w:p>
              </w:tc>
              <w:tc>
                <w:tcPr>
                  <w:tcW w:w="1218" w:type="pct"/>
                  <w:tcBorders>
                    <w:tl2br w:val="nil"/>
                    <w:tr2bl w:val="nil"/>
                  </w:tcBorders>
                  <w:vAlign w:val="center"/>
                </w:tcPr>
                <w:p w14:paraId="0CB54A73">
                  <w:pPr>
                    <w:tabs>
                      <w:tab w:val="left" w:pos="4767"/>
                    </w:tabs>
                    <w:adjustRightInd w:val="0"/>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非正常工况排放量（t/a）</w:t>
                  </w:r>
                </w:p>
              </w:tc>
            </w:tr>
            <w:tr w14:paraId="435CD3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tcBorders>
                    <w:tl2br w:val="nil"/>
                    <w:tr2bl w:val="nil"/>
                  </w:tcBorders>
                  <w:vAlign w:val="center"/>
                </w:tcPr>
                <w:p w14:paraId="7C4E17B0">
                  <w:pPr>
                    <w:pStyle w:val="74"/>
                    <w:tabs>
                      <w:tab w:val="left" w:pos="4767"/>
                    </w:tabs>
                    <w:snapToGrid w:val="0"/>
                    <w:spacing w:line="240" w:lineRule="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DA001</w:t>
                  </w:r>
                </w:p>
              </w:tc>
              <w:tc>
                <w:tcPr>
                  <w:tcW w:w="765" w:type="pct"/>
                  <w:tcBorders>
                    <w:tl2br w:val="nil"/>
                    <w:tr2bl w:val="nil"/>
                  </w:tcBorders>
                  <w:vAlign w:val="center"/>
                </w:tcPr>
                <w:p w14:paraId="70636585">
                  <w:pPr>
                    <w:pStyle w:val="74"/>
                    <w:tabs>
                      <w:tab w:val="left" w:pos="4767"/>
                    </w:tabs>
                    <w:snapToGrid w:val="0"/>
                    <w:spacing w:line="240" w:lineRule="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颗粒物</w:t>
                  </w:r>
                </w:p>
              </w:tc>
              <w:tc>
                <w:tcPr>
                  <w:tcW w:w="1996" w:type="dxa"/>
                  <w:tcBorders>
                    <w:tl2br w:val="nil"/>
                    <w:tr2bl w:val="nil"/>
                  </w:tcBorders>
                  <w:vAlign w:val="center"/>
                </w:tcPr>
                <w:p w14:paraId="303AA2AB">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51.84</w:t>
                  </w:r>
                </w:p>
              </w:tc>
              <w:tc>
                <w:tcPr>
                  <w:tcW w:w="1998" w:type="dxa"/>
                  <w:tcBorders>
                    <w:tl2br w:val="nil"/>
                    <w:tr2bl w:val="nil"/>
                  </w:tcBorders>
                  <w:vAlign w:val="center"/>
                </w:tcPr>
                <w:p w14:paraId="547F3DA1">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0.518</w:t>
                  </w:r>
                </w:p>
              </w:tc>
              <w:tc>
                <w:tcPr>
                  <w:tcW w:w="1999" w:type="dxa"/>
                  <w:tcBorders>
                    <w:tl2br w:val="nil"/>
                    <w:tr2bl w:val="nil"/>
                  </w:tcBorders>
                  <w:vAlign w:val="center"/>
                </w:tcPr>
                <w:p w14:paraId="306C3C94">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1.037</w:t>
                  </w:r>
                </w:p>
              </w:tc>
            </w:tr>
            <w:tr w14:paraId="3AE99F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vMerge w:val="restart"/>
                  <w:tcBorders>
                    <w:tl2br w:val="nil"/>
                    <w:tr2bl w:val="nil"/>
                  </w:tcBorders>
                  <w:vAlign w:val="center"/>
                </w:tcPr>
                <w:p w14:paraId="6FCFDC82">
                  <w:pPr>
                    <w:pStyle w:val="74"/>
                    <w:tabs>
                      <w:tab w:val="left" w:pos="4767"/>
                    </w:tabs>
                    <w:snapToGrid w:val="0"/>
                    <w:spacing w:line="240" w:lineRule="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DA002</w:t>
                  </w:r>
                </w:p>
              </w:tc>
              <w:tc>
                <w:tcPr>
                  <w:tcW w:w="765" w:type="pct"/>
                  <w:tcBorders>
                    <w:tl2br w:val="nil"/>
                    <w:tr2bl w:val="nil"/>
                  </w:tcBorders>
                  <w:vAlign w:val="center"/>
                </w:tcPr>
                <w:p w14:paraId="557E7683">
                  <w:pPr>
                    <w:pStyle w:val="74"/>
                    <w:tabs>
                      <w:tab w:val="left" w:pos="4767"/>
                    </w:tabs>
                    <w:snapToGrid w:val="0"/>
                    <w:spacing w:line="240" w:lineRule="auto"/>
                    <w:rPr>
                      <w:rFonts w:hint="default" w:ascii="Times New Roman" w:hAnsi="Times New Roman" w:cs="Times New Roman"/>
                      <w:color w:val="auto"/>
                      <w:szCs w:val="21"/>
                      <w:lang w:val="en-US" w:eastAsia="zh-CN"/>
                    </w:rPr>
                  </w:pPr>
                  <w:r>
                    <w:rPr>
                      <w:rFonts w:hint="default" w:ascii="Times New Roman" w:hAnsi="Times New Roman" w:eastAsia="宋体" w:cs="Times New Roman"/>
                      <w:color w:val="auto"/>
                      <w:szCs w:val="21"/>
                      <w:lang w:val="en-US" w:eastAsia="zh-CN"/>
                    </w:rPr>
                    <w:t>SO</w:t>
                  </w:r>
                  <w:r>
                    <w:rPr>
                      <w:rFonts w:hint="default" w:ascii="Times New Roman" w:hAnsi="Times New Roman" w:eastAsia="宋体" w:cs="Times New Roman"/>
                      <w:color w:val="auto"/>
                      <w:szCs w:val="21"/>
                      <w:vertAlign w:val="subscript"/>
                      <w:lang w:val="en-US" w:eastAsia="zh-CN"/>
                    </w:rPr>
                    <w:t>2</w:t>
                  </w:r>
                </w:p>
              </w:tc>
              <w:tc>
                <w:tcPr>
                  <w:tcW w:w="1996" w:type="dxa"/>
                  <w:tcBorders>
                    <w:tl2br w:val="nil"/>
                    <w:tr2bl w:val="nil"/>
                  </w:tcBorders>
                  <w:vAlign w:val="center"/>
                </w:tcPr>
                <w:p w14:paraId="3C250046">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0.365</w:t>
                  </w:r>
                </w:p>
              </w:tc>
              <w:tc>
                <w:tcPr>
                  <w:tcW w:w="1998" w:type="dxa"/>
                  <w:tcBorders>
                    <w:tl2br w:val="nil"/>
                    <w:tr2bl w:val="nil"/>
                  </w:tcBorders>
                  <w:vAlign w:val="center"/>
                </w:tcPr>
                <w:p w14:paraId="0B671A7A">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0.0073</w:t>
                  </w:r>
                </w:p>
              </w:tc>
              <w:tc>
                <w:tcPr>
                  <w:tcW w:w="1999" w:type="dxa"/>
                  <w:tcBorders>
                    <w:tl2br w:val="nil"/>
                    <w:tr2bl w:val="nil"/>
                  </w:tcBorders>
                  <w:vAlign w:val="center"/>
                </w:tcPr>
                <w:p w14:paraId="34CEB5C3">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0.0146</w:t>
                  </w:r>
                </w:p>
              </w:tc>
            </w:tr>
            <w:tr w14:paraId="511785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vMerge w:val="continue"/>
                  <w:tcBorders>
                    <w:tl2br w:val="nil"/>
                    <w:tr2bl w:val="nil"/>
                  </w:tcBorders>
                  <w:vAlign w:val="center"/>
                </w:tcPr>
                <w:p w14:paraId="1070ED06">
                  <w:pPr>
                    <w:pStyle w:val="74"/>
                    <w:tabs>
                      <w:tab w:val="left" w:pos="4767"/>
                    </w:tabs>
                    <w:snapToGrid w:val="0"/>
                    <w:spacing w:line="240" w:lineRule="auto"/>
                    <w:rPr>
                      <w:rFonts w:hint="default" w:ascii="Times New Roman" w:hAnsi="Times New Roman" w:cs="Times New Roman"/>
                      <w:color w:val="auto"/>
                      <w:szCs w:val="21"/>
                      <w:lang w:val="en-US" w:eastAsia="zh-CN"/>
                    </w:rPr>
                  </w:pPr>
                </w:p>
              </w:tc>
              <w:tc>
                <w:tcPr>
                  <w:tcW w:w="765" w:type="pct"/>
                  <w:tcBorders>
                    <w:tl2br w:val="nil"/>
                    <w:tr2bl w:val="nil"/>
                  </w:tcBorders>
                  <w:vAlign w:val="center"/>
                </w:tcPr>
                <w:p w14:paraId="3B5476CB">
                  <w:pPr>
                    <w:pStyle w:val="74"/>
                    <w:tabs>
                      <w:tab w:val="left" w:pos="4767"/>
                    </w:tabs>
                    <w:snapToGrid w:val="0"/>
                    <w:spacing w:line="240" w:lineRule="auto"/>
                    <w:rPr>
                      <w:rFonts w:hint="default" w:ascii="Times New Roman" w:hAnsi="Times New Roman" w:cs="Times New Roman"/>
                      <w:color w:val="auto"/>
                      <w:szCs w:val="21"/>
                      <w:lang w:val="en-US" w:eastAsia="zh-CN"/>
                    </w:rPr>
                  </w:pPr>
                  <w:r>
                    <w:rPr>
                      <w:rFonts w:hint="default" w:ascii="Times New Roman" w:hAnsi="Times New Roman" w:eastAsia="宋体" w:cs="Times New Roman"/>
                      <w:color w:val="auto"/>
                      <w:szCs w:val="21"/>
                      <w:lang w:val="en-US" w:eastAsia="zh-CN"/>
                    </w:rPr>
                    <w:t>NOx</w:t>
                  </w:r>
                </w:p>
              </w:tc>
              <w:tc>
                <w:tcPr>
                  <w:tcW w:w="1996" w:type="dxa"/>
                  <w:tcBorders>
                    <w:tl2br w:val="nil"/>
                    <w:tr2bl w:val="nil"/>
                  </w:tcBorders>
                  <w:vAlign w:val="center"/>
                </w:tcPr>
                <w:p w14:paraId="59A29093">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0.55</w:t>
                  </w:r>
                </w:p>
              </w:tc>
              <w:tc>
                <w:tcPr>
                  <w:tcW w:w="1998" w:type="dxa"/>
                  <w:tcBorders>
                    <w:tl2br w:val="nil"/>
                    <w:tr2bl w:val="nil"/>
                  </w:tcBorders>
                  <w:vAlign w:val="center"/>
                </w:tcPr>
                <w:p w14:paraId="37B746D0">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0.011</w:t>
                  </w:r>
                </w:p>
              </w:tc>
              <w:tc>
                <w:tcPr>
                  <w:tcW w:w="1999" w:type="dxa"/>
                  <w:tcBorders>
                    <w:tl2br w:val="nil"/>
                    <w:tr2bl w:val="nil"/>
                  </w:tcBorders>
                  <w:vAlign w:val="center"/>
                </w:tcPr>
                <w:p w14:paraId="213A0B03">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0.022</w:t>
                  </w:r>
                </w:p>
              </w:tc>
            </w:tr>
            <w:tr w14:paraId="6FA919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vMerge w:val="continue"/>
                  <w:tcBorders>
                    <w:tl2br w:val="nil"/>
                    <w:tr2bl w:val="nil"/>
                  </w:tcBorders>
                  <w:vAlign w:val="center"/>
                </w:tcPr>
                <w:p w14:paraId="6C24CDC0">
                  <w:pPr>
                    <w:pStyle w:val="74"/>
                    <w:tabs>
                      <w:tab w:val="left" w:pos="4767"/>
                    </w:tabs>
                    <w:snapToGrid w:val="0"/>
                    <w:spacing w:line="240" w:lineRule="auto"/>
                    <w:rPr>
                      <w:rFonts w:hint="default" w:ascii="Times New Roman" w:hAnsi="Times New Roman" w:cs="Times New Roman"/>
                      <w:color w:val="auto"/>
                      <w:szCs w:val="21"/>
                      <w:lang w:val="en-US" w:eastAsia="zh-CN"/>
                    </w:rPr>
                  </w:pPr>
                </w:p>
              </w:tc>
              <w:tc>
                <w:tcPr>
                  <w:tcW w:w="765" w:type="pct"/>
                  <w:tcBorders>
                    <w:tl2br w:val="nil"/>
                    <w:tr2bl w:val="nil"/>
                  </w:tcBorders>
                  <w:vAlign w:val="center"/>
                </w:tcPr>
                <w:p w14:paraId="21AAD2DE">
                  <w:pPr>
                    <w:pStyle w:val="74"/>
                    <w:tabs>
                      <w:tab w:val="left" w:pos="4767"/>
                    </w:tabs>
                    <w:snapToGrid w:val="0"/>
                    <w:spacing w:line="240" w:lineRule="auto"/>
                    <w:rPr>
                      <w:rFonts w:hint="default" w:ascii="Times New Roman" w:hAnsi="Times New Roman"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1996" w:type="dxa"/>
                  <w:tcBorders>
                    <w:tl2br w:val="nil"/>
                    <w:tr2bl w:val="nil"/>
                  </w:tcBorders>
                  <w:vAlign w:val="center"/>
                </w:tcPr>
                <w:p w14:paraId="2D725F29">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124.97</w:t>
                  </w:r>
                </w:p>
              </w:tc>
              <w:tc>
                <w:tcPr>
                  <w:tcW w:w="1998" w:type="dxa"/>
                  <w:tcBorders>
                    <w:tl2br w:val="nil"/>
                    <w:tr2bl w:val="nil"/>
                  </w:tcBorders>
                  <w:vAlign w:val="center"/>
                </w:tcPr>
                <w:p w14:paraId="1D01584E">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2.499</w:t>
                  </w:r>
                </w:p>
              </w:tc>
              <w:tc>
                <w:tcPr>
                  <w:tcW w:w="1999" w:type="dxa"/>
                  <w:tcBorders>
                    <w:tl2br w:val="nil"/>
                    <w:tr2bl w:val="nil"/>
                  </w:tcBorders>
                  <w:vAlign w:val="center"/>
                </w:tcPr>
                <w:p w14:paraId="5385DC0D">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5.00</w:t>
                  </w:r>
                </w:p>
              </w:tc>
            </w:tr>
            <w:tr w14:paraId="7FDB78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vMerge w:val="continue"/>
                  <w:tcBorders>
                    <w:tl2br w:val="nil"/>
                    <w:tr2bl w:val="nil"/>
                  </w:tcBorders>
                  <w:vAlign w:val="center"/>
                </w:tcPr>
                <w:p w14:paraId="41157B69">
                  <w:pPr>
                    <w:pStyle w:val="74"/>
                    <w:tabs>
                      <w:tab w:val="left" w:pos="4767"/>
                    </w:tabs>
                    <w:snapToGrid w:val="0"/>
                    <w:spacing w:line="240" w:lineRule="auto"/>
                    <w:rPr>
                      <w:rFonts w:hint="default" w:ascii="Times New Roman" w:hAnsi="Times New Roman" w:cs="Times New Roman"/>
                      <w:color w:val="auto"/>
                      <w:szCs w:val="21"/>
                      <w:lang w:val="en-US" w:eastAsia="zh-CN"/>
                    </w:rPr>
                  </w:pPr>
                </w:p>
              </w:tc>
              <w:tc>
                <w:tcPr>
                  <w:tcW w:w="765" w:type="pct"/>
                  <w:tcBorders>
                    <w:tl2br w:val="nil"/>
                    <w:tr2bl w:val="nil"/>
                  </w:tcBorders>
                  <w:vAlign w:val="center"/>
                </w:tcPr>
                <w:p w14:paraId="71DA8409">
                  <w:pPr>
                    <w:pStyle w:val="74"/>
                    <w:tabs>
                      <w:tab w:val="left" w:pos="4767"/>
                    </w:tabs>
                    <w:snapToGrid w:val="0"/>
                    <w:spacing w:line="240" w:lineRule="auto"/>
                    <w:rPr>
                      <w:rFonts w:hint="default" w:ascii="Times New Roman" w:hAnsi="Times New Roman" w:cs="Times New Roman"/>
                      <w:color w:val="auto"/>
                      <w:szCs w:val="21"/>
                      <w:lang w:val="en-US" w:eastAsia="zh-CN"/>
                    </w:rPr>
                  </w:pPr>
                  <w:r>
                    <w:rPr>
                      <w:rFonts w:hint="default" w:ascii="Times New Roman" w:hAnsi="Times New Roman" w:cs="Times New Roman"/>
                      <w:color w:val="auto"/>
                      <w:lang w:eastAsia="zh-CN"/>
                    </w:rPr>
                    <w:t>沥青烟</w:t>
                  </w:r>
                </w:p>
              </w:tc>
              <w:tc>
                <w:tcPr>
                  <w:tcW w:w="1996" w:type="dxa"/>
                  <w:tcBorders>
                    <w:tl2br w:val="nil"/>
                    <w:tr2bl w:val="nil"/>
                  </w:tcBorders>
                  <w:vAlign w:val="center"/>
                </w:tcPr>
                <w:p w14:paraId="417FD7D9">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4.2</w:t>
                  </w:r>
                </w:p>
              </w:tc>
              <w:tc>
                <w:tcPr>
                  <w:tcW w:w="1998" w:type="dxa"/>
                  <w:tcBorders>
                    <w:tl2br w:val="nil"/>
                    <w:tr2bl w:val="nil"/>
                  </w:tcBorders>
                  <w:vAlign w:val="center"/>
                </w:tcPr>
                <w:p w14:paraId="201EFD64">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0.084</w:t>
                  </w:r>
                </w:p>
              </w:tc>
              <w:tc>
                <w:tcPr>
                  <w:tcW w:w="1999" w:type="dxa"/>
                  <w:tcBorders>
                    <w:tl2br w:val="nil"/>
                    <w:tr2bl w:val="nil"/>
                  </w:tcBorders>
                  <w:vAlign w:val="center"/>
                </w:tcPr>
                <w:p w14:paraId="007BE6D9">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0.168</w:t>
                  </w:r>
                </w:p>
              </w:tc>
            </w:tr>
            <w:tr w14:paraId="53A1E2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vMerge w:val="continue"/>
                  <w:tcBorders>
                    <w:tl2br w:val="nil"/>
                    <w:tr2bl w:val="nil"/>
                  </w:tcBorders>
                  <w:vAlign w:val="center"/>
                </w:tcPr>
                <w:p w14:paraId="28411EAC">
                  <w:pPr>
                    <w:pStyle w:val="74"/>
                    <w:tabs>
                      <w:tab w:val="left" w:pos="4767"/>
                    </w:tabs>
                    <w:snapToGrid w:val="0"/>
                    <w:spacing w:line="240" w:lineRule="auto"/>
                    <w:rPr>
                      <w:rFonts w:hint="eastAsia" w:cs="Times New Roman"/>
                      <w:color w:val="auto"/>
                      <w:szCs w:val="21"/>
                      <w:lang w:val="en-US" w:eastAsia="zh-CN"/>
                    </w:rPr>
                  </w:pPr>
                </w:p>
              </w:tc>
              <w:tc>
                <w:tcPr>
                  <w:tcW w:w="765" w:type="pct"/>
                  <w:tcBorders>
                    <w:tl2br w:val="nil"/>
                    <w:tr2bl w:val="nil"/>
                  </w:tcBorders>
                  <w:vAlign w:val="center"/>
                </w:tcPr>
                <w:p w14:paraId="39F16D3F">
                  <w:pPr>
                    <w:pStyle w:val="74"/>
                    <w:tabs>
                      <w:tab w:val="left" w:pos="4767"/>
                    </w:tabs>
                    <w:snapToGrid w:val="0"/>
                    <w:spacing w:line="240" w:lineRule="auto"/>
                    <w:rPr>
                      <w:rFonts w:hint="eastAsia" w:cs="Times New Roman"/>
                      <w:color w:val="auto"/>
                      <w:szCs w:val="21"/>
                      <w:lang w:val="en-US" w:eastAsia="zh-CN"/>
                    </w:rPr>
                  </w:pPr>
                  <w:r>
                    <w:rPr>
                      <w:rFonts w:hint="default" w:ascii="Times New Roman" w:hAnsi="Times New Roman" w:cs="Times New Roman"/>
                      <w:color w:val="auto"/>
                      <w:lang w:val="en-US" w:eastAsia="zh-CN"/>
                    </w:rPr>
                    <w:t>苯并[a]芘</w:t>
                  </w:r>
                </w:p>
              </w:tc>
              <w:tc>
                <w:tcPr>
                  <w:tcW w:w="1996" w:type="dxa"/>
                  <w:tcBorders>
                    <w:tl2br w:val="nil"/>
                    <w:tr2bl w:val="nil"/>
                  </w:tcBorders>
                  <w:vAlign w:val="center"/>
                </w:tcPr>
                <w:p w14:paraId="14EBD552">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0.0055</w:t>
                  </w:r>
                </w:p>
              </w:tc>
              <w:tc>
                <w:tcPr>
                  <w:tcW w:w="1998" w:type="dxa"/>
                  <w:tcBorders>
                    <w:tl2br w:val="nil"/>
                    <w:tr2bl w:val="nil"/>
                  </w:tcBorders>
                  <w:vAlign w:val="center"/>
                </w:tcPr>
                <w:p w14:paraId="68A800F7">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0.00011</w:t>
                  </w:r>
                </w:p>
              </w:tc>
              <w:tc>
                <w:tcPr>
                  <w:tcW w:w="1999" w:type="dxa"/>
                  <w:tcBorders>
                    <w:tl2br w:val="nil"/>
                    <w:tr2bl w:val="nil"/>
                  </w:tcBorders>
                  <w:vAlign w:val="center"/>
                </w:tcPr>
                <w:p w14:paraId="45C6EE97">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0.00022</w:t>
                  </w:r>
                </w:p>
              </w:tc>
            </w:tr>
            <w:tr w14:paraId="0DC8A5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vMerge w:val="restart"/>
                  <w:tcBorders>
                    <w:tl2br w:val="nil"/>
                    <w:tr2bl w:val="nil"/>
                  </w:tcBorders>
                  <w:vAlign w:val="center"/>
                </w:tcPr>
                <w:p w14:paraId="190BFF72">
                  <w:pPr>
                    <w:pStyle w:val="74"/>
                    <w:tabs>
                      <w:tab w:val="left" w:pos="4767"/>
                    </w:tabs>
                    <w:snapToGrid w:val="0"/>
                    <w:spacing w:line="240" w:lineRule="auto"/>
                    <w:rPr>
                      <w:rFonts w:hint="default" w:cs="Times New Roman"/>
                      <w:color w:val="auto"/>
                      <w:szCs w:val="21"/>
                      <w:lang w:val="en-US" w:eastAsia="zh-CN"/>
                    </w:rPr>
                  </w:pPr>
                  <w:r>
                    <w:rPr>
                      <w:rFonts w:hint="eastAsia" w:cs="Times New Roman"/>
                      <w:color w:val="auto"/>
                      <w:szCs w:val="21"/>
                      <w:lang w:val="en-US" w:eastAsia="zh-CN"/>
                    </w:rPr>
                    <w:t>DA003</w:t>
                  </w:r>
                </w:p>
              </w:tc>
              <w:tc>
                <w:tcPr>
                  <w:tcW w:w="765" w:type="pct"/>
                  <w:tcBorders>
                    <w:tl2br w:val="nil"/>
                    <w:tr2bl w:val="nil"/>
                  </w:tcBorders>
                  <w:vAlign w:val="center"/>
                </w:tcPr>
                <w:p w14:paraId="57147906">
                  <w:pPr>
                    <w:pStyle w:val="74"/>
                    <w:tabs>
                      <w:tab w:val="left" w:pos="4767"/>
                    </w:tabs>
                    <w:snapToGrid w:val="0"/>
                    <w:spacing w:line="240" w:lineRule="auto"/>
                    <w:rPr>
                      <w:rFonts w:hint="eastAsia" w:cs="Times New Roman"/>
                      <w:color w:val="auto"/>
                      <w:szCs w:val="21"/>
                      <w:lang w:val="en-US" w:eastAsia="zh-CN"/>
                    </w:rPr>
                  </w:pPr>
                  <w:r>
                    <w:rPr>
                      <w:rFonts w:hint="default" w:ascii="Times New Roman" w:hAnsi="Times New Roman" w:eastAsia="宋体" w:cs="Times New Roman"/>
                      <w:color w:val="auto"/>
                      <w:szCs w:val="21"/>
                      <w:lang w:val="en-US" w:eastAsia="zh-CN"/>
                    </w:rPr>
                    <w:t>SO</w:t>
                  </w:r>
                  <w:r>
                    <w:rPr>
                      <w:rFonts w:hint="default" w:ascii="Times New Roman" w:hAnsi="Times New Roman" w:eastAsia="宋体" w:cs="Times New Roman"/>
                      <w:color w:val="auto"/>
                      <w:szCs w:val="21"/>
                      <w:vertAlign w:val="subscript"/>
                      <w:lang w:val="en-US" w:eastAsia="zh-CN"/>
                    </w:rPr>
                    <w:t>2</w:t>
                  </w:r>
                </w:p>
              </w:tc>
              <w:tc>
                <w:tcPr>
                  <w:tcW w:w="1996" w:type="dxa"/>
                  <w:tcBorders>
                    <w:tl2br w:val="nil"/>
                    <w:tr2bl w:val="nil"/>
                  </w:tcBorders>
                  <w:vAlign w:val="center"/>
                </w:tcPr>
                <w:p w14:paraId="6E7DBC0A">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18.6</w:t>
                  </w:r>
                </w:p>
              </w:tc>
              <w:tc>
                <w:tcPr>
                  <w:tcW w:w="1998" w:type="dxa"/>
                  <w:tcBorders>
                    <w:tl2br w:val="nil"/>
                    <w:tr2bl w:val="nil"/>
                  </w:tcBorders>
                  <w:vAlign w:val="center"/>
                </w:tcPr>
                <w:p w14:paraId="5CDCA50F">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0.0865</w:t>
                  </w:r>
                </w:p>
              </w:tc>
              <w:tc>
                <w:tcPr>
                  <w:tcW w:w="1999" w:type="dxa"/>
                  <w:tcBorders>
                    <w:tl2br w:val="nil"/>
                    <w:tr2bl w:val="nil"/>
                  </w:tcBorders>
                  <w:vAlign w:val="center"/>
                </w:tcPr>
                <w:p w14:paraId="2D442161">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0.173</w:t>
                  </w:r>
                </w:p>
              </w:tc>
            </w:tr>
            <w:tr w14:paraId="6296D0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vMerge w:val="continue"/>
                  <w:tcBorders>
                    <w:tl2br w:val="nil"/>
                    <w:tr2bl w:val="nil"/>
                  </w:tcBorders>
                  <w:vAlign w:val="center"/>
                </w:tcPr>
                <w:p w14:paraId="29F0532D">
                  <w:pPr>
                    <w:pStyle w:val="74"/>
                    <w:tabs>
                      <w:tab w:val="left" w:pos="4767"/>
                    </w:tabs>
                    <w:snapToGrid w:val="0"/>
                    <w:spacing w:line="240" w:lineRule="auto"/>
                    <w:rPr>
                      <w:rFonts w:hint="eastAsia" w:cs="Times New Roman"/>
                      <w:color w:val="auto"/>
                      <w:szCs w:val="21"/>
                      <w:lang w:val="en-US" w:eastAsia="zh-CN"/>
                    </w:rPr>
                  </w:pPr>
                </w:p>
              </w:tc>
              <w:tc>
                <w:tcPr>
                  <w:tcW w:w="765" w:type="pct"/>
                  <w:tcBorders>
                    <w:tl2br w:val="nil"/>
                    <w:tr2bl w:val="nil"/>
                  </w:tcBorders>
                  <w:vAlign w:val="center"/>
                </w:tcPr>
                <w:p w14:paraId="3BFFDE55">
                  <w:pPr>
                    <w:pStyle w:val="74"/>
                    <w:tabs>
                      <w:tab w:val="left" w:pos="4767"/>
                    </w:tabs>
                    <w:snapToGrid w:val="0"/>
                    <w:spacing w:line="240" w:lineRule="auto"/>
                    <w:rPr>
                      <w:rFonts w:hint="eastAsia" w:cs="Times New Roman"/>
                      <w:color w:val="auto"/>
                      <w:szCs w:val="21"/>
                      <w:lang w:val="en-US" w:eastAsia="zh-CN"/>
                    </w:rPr>
                  </w:pPr>
                  <w:r>
                    <w:rPr>
                      <w:rFonts w:hint="default" w:ascii="Times New Roman" w:hAnsi="Times New Roman" w:eastAsia="宋体" w:cs="Times New Roman"/>
                      <w:color w:val="auto"/>
                      <w:szCs w:val="21"/>
                      <w:lang w:val="en-US" w:eastAsia="zh-CN"/>
                    </w:rPr>
                    <w:t>NOx</w:t>
                  </w:r>
                </w:p>
              </w:tc>
              <w:tc>
                <w:tcPr>
                  <w:tcW w:w="1996" w:type="dxa"/>
                  <w:tcBorders>
                    <w:tl2br w:val="nil"/>
                    <w:tr2bl w:val="nil"/>
                  </w:tcBorders>
                  <w:vAlign w:val="center"/>
                </w:tcPr>
                <w:p w14:paraId="04A4C8A9">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28.17</w:t>
                  </w:r>
                </w:p>
              </w:tc>
              <w:tc>
                <w:tcPr>
                  <w:tcW w:w="1998" w:type="dxa"/>
                  <w:tcBorders>
                    <w:tl2br w:val="nil"/>
                    <w:tr2bl w:val="nil"/>
                  </w:tcBorders>
                  <w:vAlign w:val="center"/>
                </w:tcPr>
                <w:p w14:paraId="3C4A56D1">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0.131</w:t>
                  </w:r>
                </w:p>
              </w:tc>
              <w:tc>
                <w:tcPr>
                  <w:tcW w:w="1999" w:type="dxa"/>
                  <w:tcBorders>
                    <w:tl2br w:val="nil"/>
                    <w:tr2bl w:val="nil"/>
                  </w:tcBorders>
                  <w:vAlign w:val="center"/>
                </w:tcPr>
                <w:p w14:paraId="1880FB7D">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0.261</w:t>
                  </w:r>
                </w:p>
              </w:tc>
            </w:tr>
            <w:tr w14:paraId="39A103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vMerge w:val="continue"/>
                  <w:tcBorders>
                    <w:tl2br w:val="nil"/>
                    <w:tr2bl w:val="nil"/>
                  </w:tcBorders>
                  <w:vAlign w:val="center"/>
                </w:tcPr>
                <w:p w14:paraId="2168D3BA">
                  <w:pPr>
                    <w:pStyle w:val="74"/>
                    <w:tabs>
                      <w:tab w:val="left" w:pos="4767"/>
                    </w:tabs>
                    <w:snapToGrid w:val="0"/>
                    <w:spacing w:line="240" w:lineRule="auto"/>
                    <w:rPr>
                      <w:rFonts w:hint="eastAsia" w:cs="Times New Roman"/>
                      <w:color w:val="auto"/>
                      <w:szCs w:val="21"/>
                      <w:lang w:val="en-US" w:eastAsia="zh-CN"/>
                    </w:rPr>
                  </w:pPr>
                </w:p>
              </w:tc>
              <w:tc>
                <w:tcPr>
                  <w:tcW w:w="765" w:type="pct"/>
                  <w:tcBorders>
                    <w:tl2br w:val="nil"/>
                    <w:tr2bl w:val="nil"/>
                  </w:tcBorders>
                  <w:vAlign w:val="center"/>
                </w:tcPr>
                <w:p w14:paraId="6F98CD8C">
                  <w:pPr>
                    <w:pStyle w:val="74"/>
                    <w:tabs>
                      <w:tab w:val="left" w:pos="4767"/>
                    </w:tabs>
                    <w:snapToGrid w:val="0"/>
                    <w:spacing w:line="240" w:lineRule="auto"/>
                    <w:rPr>
                      <w:rFonts w:hint="eastAsia"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1996" w:type="dxa"/>
                  <w:tcBorders>
                    <w:tl2br w:val="nil"/>
                    <w:tr2bl w:val="nil"/>
                  </w:tcBorders>
                  <w:vAlign w:val="center"/>
                </w:tcPr>
                <w:p w14:paraId="66477A43">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12.04</w:t>
                  </w:r>
                </w:p>
              </w:tc>
              <w:tc>
                <w:tcPr>
                  <w:tcW w:w="1998" w:type="dxa"/>
                  <w:tcBorders>
                    <w:tl2br w:val="nil"/>
                    <w:tr2bl w:val="nil"/>
                  </w:tcBorders>
                  <w:vAlign w:val="center"/>
                </w:tcPr>
                <w:p w14:paraId="38905D09">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0.056</w:t>
                  </w:r>
                </w:p>
              </w:tc>
              <w:tc>
                <w:tcPr>
                  <w:tcW w:w="1999" w:type="dxa"/>
                  <w:tcBorders>
                    <w:tl2br w:val="nil"/>
                    <w:tr2bl w:val="nil"/>
                  </w:tcBorders>
                  <w:vAlign w:val="center"/>
                </w:tcPr>
                <w:p w14:paraId="7E82555A">
                  <w:pPr>
                    <w:pStyle w:val="74"/>
                    <w:tabs>
                      <w:tab w:val="left" w:pos="4767"/>
                    </w:tabs>
                    <w:snapToGrid w:val="0"/>
                    <w:spacing w:line="240" w:lineRule="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0.112</w:t>
                  </w:r>
                </w:p>
              </w:tc>
            </w:tr>
          </w:tbl>
          <w:p w14:paraId="5B2EB2FB">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建设单位在生产运行过程中须重视环保设施的正常检修，加强设备的运行管理，避免出现非正常工况，造成废气污染物超标排放。</w:t>
            </w:r>
          </w:p>
          <w:p w14:paraId="4C6A7F55">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（3）</w:t>
            </w:r>
            <w:r>
              <w:rPr>
                <w:rFonts w:hint="default" w:ascii="Times New Roman" w:hAnsi="Times New Roman" w:cs="Times New Roman"/>
                <w:bCs/>
                <w:color w:val="auto"/>
                <w:sz w:val="24"/>
                <w:lang w:eastAsia="zh-CN"/>
              </w:rPr>
              <w:t>污染防治措施可行性分析</w:t>
            </w:r>
          </w:p>
          <w:p w14:paraId="25922915">
            <w:pPr>
              <w:tabs>
                <w:tab w:val="left" w:pos="4767"/>
              </w:tabs>
              <w:ind w:firstLine="514" w:firstLineChars="200"/>
              <w:rPr>
                <w:rFonts w:hint="default" w:ascii="Times New Roman" w:hAnsi="Times New Roman" w:cs="Times New Roman"/>
                <w:color w:val="auto"/>
                <w:sz w:val="24"/>
                <w:szCs w:val="32"/>
                <w:lang w:eastAsia="zh-CN"/>
              </w:rPr>
            </w:pPr>
            <w:r>
              <w:rPr>
                <w:rFonts w:hint="default" w:ascii="Times New Roman" w:hAnsi="Times New Roman" w:cs="Times New Roman"/>
                <w:color w:val="auto"/>
                <w:sz w:val="24"/>
                <w:szCs w:val="32"/>
              </w:rPr>
              <w:t>本项目运营期废气主要为颗粒物、SO</w:t>
            </w:r>
            <w:r>
              <w:rPr>
                <w:rFonts w:hint="default" w:ascii="Times New Roman" w:hAnsi="Times New Roman" w:cs="Times New Roman"/>
                <w:color w:val="auto"/>
                <w:sz w:val="24"/>
                <w:szCs w:val="32"/>
                <w:vertAlign w:val="subscript"/>
                <w:lang w:val="en-US" w:eastAsia="zh-CN"/>
              </w:rPr>
              <w:t>2</w:t>
            </w:r>
            <w:r>
              <w:rPr>
                <w:rFonts w:hint="default" w:ascii="Times New Roman" w:hAnsi="Times New Roman" w:cs="Times New Roman"/>
                <w:color w:val="auto"/>
                <w:sz w:val="24"/>
                <w:szCs w:val="32"/>
              </w:rPr>
              <w:t>、NOx、沥青烟、苯并[a]芘</w:t>
            </w:r>
            <w:r>
              <w:rPr>
                <w:rFonts w:hint="default" w:ascii="Times New Roman" w:hAnsi="Times New Roman" w:cs="Times New Roman"/>
                <w:color w:val="auto"/>
                <w:sz w:val="24"/>
                <w:szCs w:val="32"/>
                <w:lang w:eastAsia="zh-CN"/>
              </w:rPr>
              <w:t>。</w:t>
            </w:r>
          </w:p>
          <w:p w14:paraId="69C3E31C">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lang w:eastAsia="zh-CN"/>
              </w:rPr>
              <w:t>布袋除尘器技术是治理工业粉尘最成熟、高效的通用技术之一，除尘效率通常可达99%以上，广泛应用于水泥、建材、冶金等行业。其工作原理简单可靠，通过滤袋捕集颗粒物，净化效果好。采用布袋除尘</w:t>
            </w:r>
            <w:r>
              <w:rPr>
                <w:rFonts w:hint="default" w:ascii="Times New Roman" w:hAnsi="Times New Roman" w:cs="Times New Roman"/>
                <w:color w:val="auto"/>
                <w:sz w:val="24"/>
                <w:szCs w:val="32"/>
                <w:lang w:val="en-US" w:eastAsia="zh-CN"/>
              </w:rPr>
              <w:t>处理</w:t>
            </w:r>
            <w:r>
              <w:rPr>
                <w:rFonts w:hint="default" w:ascii="Times New Roman" w:hAnsi="Times New Roman" w:cs="Times New Roman"/>
                <w:color w:val="auto"/>
                <w:sz w:val="24"/>
                <w:szCs w:val="32"/>
                <w:lang w:eastAsia="zh-CN"/>
              </w:rPr>
              <w:t>后，颗粒物排放浓度低于《大气污染物综合排放标准》（GB</w:t>
            </w:r>
            <w:r>
              <w:rPr>
                <w:rFonts w:hint="default" w:ascii="Times New Roman" w:hAnsi="Times New Roman" w:cs="Times New Roman"/>
                <w:color w:val="auto"/>
                <w:sz w:val="24"/>
                <w:szCs w:val="32"/>
                <w:lang w:val="en-US" w:eastAsia="zh-CN"/>
              </w:rPr>
              <w:t xml:space="preserve"> </w:t>
            </w:r>
            <w:r>
              <w:rPr>
                <w:rFonts w:hint="default" w:ascii="Times New Roman" w:hAnsi="Times New Roman" w:cs="Times New Roman"/>
                <w:color w:val="auto"/>
                <w:sz w:val="24"/>
                <w:szCs w:val="32"/>
                <w:lang w:eastAsia="zh-CN"/>
              </w:rPr>
              <w:t>16297-1996）和《锅炉大气污染物排放标准》（GB</w:t>
            </w:r>
            <w:r>
              <w:rPr>
                <w:rFonts w:hint="default" w:ascii="Times New Roman" w:hAnsi="Times New Roman" w:cs="Times New Roman"/>
                <w:color w:val="auto"/>
                <w:sz w:val="24"/>
                <w:szCs w:val="32"/>
                <w:lang w:val="en-US" w:eastAsia="zh-CN"/>
              </w:rPr>
              <w:t xml:space="preserve"> </w:t>
            </w:r>
            <w:r>
              <w:rPr>
                <w:rFonts w:hint="default" w:ascii="Times New Roman" w:hAnsi="Times New Roman" w:cs="Times New Roman"/>
                <w:color w:val="auto"/>
                <w:sz w:val="24"/>
                <w:szCs w:val="32"/>
                <w:lang w:eastAsia="zh-CN"/>
              </w:rPr>
              <w:t>13271-2014）的限值要求，</w:t>
            </w:r>
            <w:r>
              <w:rPr>
                <w:rFonts w:hint="default" w:ascii="Times New Roman" w:hAnsi="Times New Roman" w:cs="Times New Roman"/>
                <w:color w:val="auto"/>
                <w:sz w:val="24"/>
                <w:szCs w:val="32"/>
                <w:lang w:val="en-US" w:eastAsia="zh-CN"/>
              </w:rPr>
              <w:t>达标排放，</w:t>
            </w:r>
            <w:r>
              <w:rPr>
                <w:rFonts w:hint="default" w:ascii="Times New Roman" w:hAnsi="Times New Roman" w:cs="Times New Roman"/>
                <w:color w:val="auto"/>
                <w:sz w:val="24"/>
                <w:szCs w:val="32"/>
                <w:lang w:eastAsia="zh-CN"/>
              </w:rPr>
              <w:t>技术可行。</w:t>
            </w:r>
            <w:r>
              <w:rPr>
                <w:rFonts w:hint="eastAsia" w:cs="Times New Roman"/>
                <w:color w:val="auto"/>
                <w:sz w:val="24"/>
                <w:szCs w:val="32"/>
                <w:lang w:val="en-US" w:eastAsia="zh-CN"/>
              </w:rPr>
              <w:t>根据《浙江省泰顺县交通工程有限公司路面材料加工场建设项目的竣工环境保护验收监测报告》，验收监测期间的数据表明，废气经布袋除尘器处理后，颗粒物可实现达标排放，浙江省泰顺县交通工程有限公司路面材料加工场建设项目与本项目生产规模，产品种类相似，类比可行。</w:t>
            </w:r>
            <w:r>
              <w:rPr>
                <w:rFonts w:hint="default" w:ascii="Times New Roman" w:hAnsi="Times New Roman" w:cs="Times New Roman"/>
                <w:color w:val="auto"/>
                <w:sz w:val="24"/>
                <w:szCs w:val="32"/>
                <w:lang w:eastAsia="zh-CN"/>
              </w:rPr>
              <w:t>本项目针对运营期产生的各类废气，所选择的布袋除尘器和水喷淋+低温等离子净化组合工艺</w:t>
            </w:r>
            <w:r>
              <w:rPr>
                <w:rFonts w:hint="eastAsia" w:cs="Times New Roman"/>
                <w:color w:val="auto"/>
                <w:sz w:val="24"/>
                <w:szCs w:val="32"/>
                <w:lang w:eastAsia="zh-CN"/>
              </w:rPr>
              <w:t>（</w:t>
            </w:r>
            <w:r>
              <w:rPr>
                <w:rFonts w:hint="eastAsia" w:cs="Times New Roman"/>
                <w:color w:val="auto"/>
                <w:sz w:val="24"/>
                <w:szCs w:val="32"/>
                <w:lang w:val="en-US" w:eastAsia="zh-CN"/>
              </w:rPr>
              <w:t>本项目先对</w:t>
            </w:r>
            <w:r>
              <w:rPr>
                <w:rFonts w:hint="eastAsia" w:ascii="Times New Roman" w:hAnsi="Times New Roman" w:cs="Times New Roman"/>
                <w:color w:val="auto"/>
                <w:sz w:val="24"/>
                <w:szCs w:val="32"/>
                <w:lang w:val="en-US" w:eastAsia="zh-CN"/>
              </w:rPr>
              <w:t>沥青烟、苯并[a]芘</w:t>
            </w:r>
            <w:r>
              <w:rPr>
                <w:rFonts w:hint="eastAsia" w:cs="Times New Roman"/>
                <w:color w:val="auto"/>
                <w:sz w:val="24"/>
                <w:szCs w:val="32"/>
                <w:lang w:val="en-US" w:eastAsia="zh-CN"/>
              </w:rPr>
              <w:t>进行二次燃烧再利用低温等离子工艺辅助处理的组合技术，</w:t>
            </w:r>
            <w:r>
              <w:rPr>
                <w:rFonts w:hint="default" w:ascii="Times New Roman" w:hAnsi="Times New Roman" w:cs="Times New Roman"/>
                <w:color w:val="auto"/>
                <w:sz w:val="24"/>
                <w:szCs w:val="32"/>
                <w:lang w:eastAsia="zh-CN"/>
              </w:rPr>
              <w:t>低温等离子</w:t>
            </w:r>
            <w:r>
              <w:rPr>
                <w:rFonts w:hint="eastAsia" w:ascii="Times New Roman" w:hAnsi="Times New Roman" w:cs="Times New Roman"/>
                <w:color w:val="auto"/>
                <w:sz w:val="24"/>
                <w:szCs w:val="32"/>
                <w:lang w:val="en-US" w:eastAsia="zh-CN"/>
              </w:rPr>
              <w:t>工艺处理沥青烟、苯并[a]芘不属于淘汰类</w:t>
            </w:r>
            <w:r>
              <w:rPr>
                <w:rFonts w:hint="eastAsia" w:cs="Times New Roman"/>
                <w:color w:val="auto"/>
                <w:sz w:val="24"/>
                <w:szCs w:val="32"/>
                <w:lang w:eastAsia="zh-CN"/>
              </w:rPr>
              <w:t>）</w:t>
            </w:r>
            <w:r>
              <w:rPr>
                <w:rFonts w:hint="default" w:ascii="Times New Roman" w:hAnsi="Times New Roman" w:cs="Times New Roman"/>
                <w:color w:val="auto"/>
                <w:sz w:val="24"/>
                <w:szCs w:val="32"/>
                <w:lang w:eastAsia="zh-CN"/>
              </w:rPr>
              <w:t>，均为成熟、可靠、高效的治理技术，在国内外同类项目中已有广泛应用和成功实践。</w:t>
            </w:r>
            <w:r>
              <w:rPr>
                <w:rFonts w:hint="eastAsia" w:cs="Times New Roman"/>
                <w:color w:val="auto"/>
                <w:sz w:val="24"/>
                <w:szCs w:val="32"/>
                <w:lang w:val="en-US" w:eastAsia="zh-CN"/>
              </w:rPr>
              <w:t>参考《青海申喆环保科技有限公司年产20万吨环保型道路拌合和工厂冷再生项目环境影响报告表》，烟气进入低温等离子体设备，在该环节，通过产生的高能电子、自由基等活性粒子，轰击并降解烟气中的有机污染物分子链，特别是对苯并[a]芘这类大分子有机物有较好的裂解效果。</w:t>
            </w:r>
            <w:r>
              <w:rPr>
                <w:rFonts w:hint="default" w:ascii="Times New Roman" w:hAnsi="Times New Roman" w:cs="Times New Roman"/>
                <w:color w:val="auto"/>
                <w:sz w:val="24"/>
                <w:szCs w:val="32"/>
                <w:lang w:eastAsia="zh-CN"/>
              </w:rPr>
              <w:t>这些措施技术路线合理，治理效果显著，能确保污染物稳定达标排放；同时，兼顾了经济合理性，符合国家和地方的环保政策与要求。因此，从技术、经济和管理等多方面综合判断，</w:t>
            </w:r>
            <w:r>
              <w:rPr>
                <w:rFonts w:hint="default" w:ascii="Times New Roman" w:hAnsi="Times New Roman" w:cs="Times New Roman"/>
                <w:color w:val="auto"/>
                <w:sz w:val="24"/>
                <w:szCs w:val="32"/>
              </w:rPr>
              <w:t>本项目废气治理措施技术成熟、经济合理、运行可靠，可确保废气达标排放</w:t>
            </w:r>
            <w:r>
              <w:rPr>
                <w:rFonts w:hint="eastAsia" w:cs="Times New Roman"/>
                <w:color w:val="auto"/>
                <w:sz w:val="24"/>
                <w:szCs w:val="32"/>
                <w:lang w:val="en-US" w:eastAsia="zh-CN"/>
              </w:rPr>
              <w:t>且本项目所在区域属于达标区，</w:t>
            </w:r>
            <w:r>
              <w:rPr>
                <w:rFonts w:hint="default" w:ascii="Times New Roman" w:hAnsi="Times New Roman" w:cs="Times New Roman"/>
                <w:color w:val="auto"/>
                <w:sz w:val="24"/>
                <w:szCs w:val="32"/>
                <w:lang w:val="en-US" w:eastAsia="zh-CN"/>
              </w:rPr>
              <w:t>对敏感目标影响较小，</w:t>
            </w:r>
            <w:r>
              <w:rPr>
                <w:rFonts w:hint="default" w:ascii="Times New Roman" w:hAnsi="Times New Roman" w:cs="Times New Roman"/>
                <w:color w:val="auto"/>
                <w:sz w:val="24"/>
                <w:szCs w:val="32"/>
              </w:rPr>
              <w:t>措施可行。</w:t>
            </w:r>
          </w:p>
          <w:p w14:paraId="29952093">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w:t>
            </w:r>
            <w:r>
              <w:rPr>
                <w:rFonts w:hint="default" w:ascii="Times New Roman" w:hAnsi="Times New Roman" w:cs="Times New Roman"/>
                <w:bCs/>
                <w:color w:val="auto"/>
                <w:sz w:val="24"/>
                <w:lang w:val="en-US" w:eastAsia="zh-CN"/>
              </w:rPr>
              <w:t>4</w:t>
            </w:r>
            <w:r>
              <w:rPr>
                <w:rFonts w:hint="default" w:ascii="Times New Roman" w:hAnsi="Times New Roman" w:cs="Times New Roman"/>
                <w:bCs/>
                <w:color w:val="auto"/>
                <w:sz w:val="24"/>
              </w:rPr>
              <w:t>）废气监测要求</w:t>
            </w:r>
          </w:p>
          <w:p w14:paraId="590F75A0">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根据《排污许可证申请与核发技术规范-石墨及其他非金属矿物制品制造》（HJ</w:t>
            </w:r>
            <w:r>
              <w:rPr>
                <w:rFonts w:hint="eastAsia" w:cs="Times New Roman"/>
                <w:color w:val="auto"/>
                <w:sz w:val="24"/>
                <w:szCs w:val="32"/>
                <w:lang w:val="en-US" w:eastAsia="zh-CN"/>
              </w:rPr>
              <w:t xml:space="preserve"> </w:t>
            </w:r>
            <w:r>
              <w:rPr>
                <w:rFonts w:hint="default" w:ascii="Times New Roman" w:hAnsi="Times New Roman" w:cs="Times New Roman"/>
                <w:color w:val="auto"/>
                <w:sz w:val="24"/>
                <w:szCs w:val="32"/>
              </w:rPr>
              <w:t>1119-2020）及《排污单位自行监测技术指南 总则》（HJ 819-2017），确定本项目运营期废气监测计划，本项目废气监测计划见下表。</w:t>
            </w:r>
          </w:p>
          <w:p w14:paraId="41206D3E">
            <w:pPr>
              <w:tabs>
                <w:tab w:val="left" w:pos="4767"/>
              </w:tabs>
              <w:jc w:val="center"/>
              <w:rPr>
                <w:rFonts w:hint="default" w:ascii="Times New Roman" w:hAnsi="Times New Roman" w:eastAsia="黑体" w:cs="Times New Roman"/>
                <w:bCs/>
                <w:color w:val="auto"/>
                <w:sz w:val="24"/>
              </w:rPr>
            </w:pPr>
            <w:r>
              <w:rPr>
                <w:rFonts w:hint="default" w:ascii="Times New Roman" w:hAnsi="Times New Roman" w:eastAsia="黑体" w:cs="Times New Roman"/>
                <w:bCs/>
                <w:color w:val="auto"/>
                <w:sz w:val="24"/>
              </w:rPr>
              <w:t>表4-</w:t>
            </w:r>
            <w:r>
              <w:rPr>
                <w:rFonts w:hint="default" w:ascii="Times New Roman" w:hAnsi="Times New Roman" w:eastAsia="黑体" w:cs="Times New Roman"/>
                <w:bCs/>
                <w:color w:val="auto"/>
                <w:sz w:val="24"/>
                <w:lang w:val="en-US" w:eastAsia="zh-CN"/>
              </w:rPr>
              <w:t>7</w:t>
            </w:r>
            <w:r>
              <w:rPr>
                <w:rFonts w:hint="default" w:ascii="Times New Roman" w:hAnsi="Times New Roman" w:eastAsia="黑体" w:cs="Times New Roman"/>
                <w:bCs/>
                <w:color w:val="auto"/>
                <w:sz w:val="24"/>
              </w:rPr>
              <w:t xml:space="preserve">  废气监测计划一览表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44"/>
              <w:gridCol w:w="2671"/>
              <w:gridCol w:w="2791"/>
            </w:tblGrid>
            <w:tr w14:paraId="7EFEAF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1672" w:type="pct"/>
                  <w:tcBorders>
                    <w:tl2br w:val="nil"/>
                    <w:tr2bl w:val="nil"/>
                  </w:tcBorders>
                  <w:vAlign w:val="center"/>
                </w:tcPr>
                <w:p w14:paraId="140BAF81">
                  <w:pPr>
                    <w:tabs>
                      <w:tab w:val="left" w:pos="4767"/>
                    </w:tabs>
                    <w:adjustRightInd w:val="0"/>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监测点位</w:t>
                  </w:r>
                </w:p>
              </w:tc>
              <w:tc>
                <w:tcPr>
                  <w:tcW w:w="1627" w:type="pct"/>
                  <w:tcBorders>
                    <w:tl2br w:val="nil"/>
                    <w:tr2bl w:val="nil"/>
                  </w:tcBorders>
                  <w:vAlign w:val="center"/>
                </w:tcPr>
                <w:p w14:paraId="1F58A262">
                  <w:pPr>
                    <w:tabs>
                      <w:tab w:val="left" w:pos="4767"/>
                    </w:tabs>
                    <w:adjustRightInd w:val="0"/>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监测指标</w:t>
                  </w:r>
                </w:p>
              </w:tc>
              <w:tc>
                <w:tcPr>
                  <w:tcW w:w="1700" w:type="pct"/>
                  <w:tcBorders>
                    <w:tl2br w:val="nil"/>
                    <w:tr2bl w:val="nil"/>
                  </w:tcBorders>
                  <w:vAlign w:val="center"/>
                </w:tcPr>
                <w:p w14:paraId="265A5E1F">
                  <w:pPr>
                    <w:tabs>
                      <w:tab w:val="left" w:pos="4767"/>
                    </w:tabs>
                    <w:adjustRightInd w:val="0"/>
                    <w:spacing w:line="0" w:lineRule="atLeas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监测频次</w:t>
                  </w:r>
                </w:p>
              </w:tc>
            </w:tr>
            <w:tr w14:paraId="74BF3E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72" w:type="pct"/>
                  <w:tcBorders>
                    <w:tl2br w:val="nil"/>
                    <w:tr2bl w:val="nil"/>
                  </w:tcBorders>
                  <w:vAlign w:val="center"/>
                </w:tcPr>
                <w:p w14:paraId="0B9A3690">
                  <w:pPr>
                    <w:tabs>
                      <w:tab w:val="left" w:pos="4767"/>
                    </w:tabs>
                    <w:adjustRightInd w:val="0"/>
                    <w:spacing w:line="0" w:lineRule="atLeast"/>
                    <w:jc w:val="center"/>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eastAsia="zh-CN"/>
                    </w:rPr>
                    <w:t>上风向1#，下风向1-3#</w:t>
                  </w:r>
                </w:p>
              </w:tc>
              <w:tc>
                <w:tcPr>
                  <w:tcW w:w="1627" w:type="pct"/>
                  <w:tcBorders>
                    <w:tl2br w:val="nil"/>
                    <w:tr2bl w:val="nil"/>
                  </w:tcBorders>
                  <w:shd w:val="clear" w:color="auto" w:fill="auto"/>
                  <w:vAlign w:val="center"/>
                </w:tcPr>
                <w:p w14:paraId="362BF992">
                  <w:pPr>
                    <w:tabs>
                      <w:tab w:val="left" w:pos="4767"/>
                    </w:tabs>
                    <w:adjustRightInd w:val="0"/>
                    <w:spacing w:line="0" w:lineRule="atLeast"/>
                    <w:jc w:val="center"/>
                    <w:rPr>
                      <w:rFonts w:hint="default" w:ascii="Times New Roman" w:hAnsi="Times New Roman" w:cs="Times New Roman"/>
                      <w:color w:val="auto"/>
                      <w:szCs w:val="21"/>
                    </w:rPr>
                  </w:pPr>
                  <w:r>
                    <w:rPr>
                      <w:rFonts w:hint="default" w:ascii="Times New Roman" w:hAnsi="Times New Roman" w:cs="Times New Roman"/>
                      <w:color w:val="auto"/>
                      <w:szCs w:val="21"/>
                    </w:rPr>
                    <w:t>无组织：</w:t>
                  </w:r>
                  <w:r>
                    <w:rPr>
                      <w:rFonts w:hint="default" w:ascii="Times New Roman" w:hAnsi="Times New Roman" w:cs="Times New Roman"/>
                      <w:color w:val="auto"/>
                      <w:szCs w:val="21"/>
                      <w:lang w:val="en-US" w:eastAsia="zh-CN"/>
                    </w:rPr>
                    <w:t>颗粒物</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苯并</w:t>
                  </w:r>
                  <w:r>
                    <w:rPr>
                      <w:rFonts w:hint="default" w:ascii="Times New Roman" w:hAnsi="Times New Roman" w:cs="Times New Roman"/>
                      <w:color w:val="auto"/>
                      <w:szCs w:val="21"/>
                      <w:lang w:val="en-US" w:eastAsia="zh-CN"/>
                    </w:rPr>
                    <w:t>[a]</w:t>
                  </w:r>
                  <w:r>
                    <w:rPr>
                      <w:rFonts w:hint="default" w:ascii="Times New Roman" w:hAnsi="Times New Roman" w:cs="Times New Roman"/>
                      <w:color w:val="auto"/>
                      <w:szCs w:val="21"/>
                    </w:rPr>
                    <w:t>芘</w:t>
                  </w:r>
                  <w:r>
                    <w:rPr>
                      <w:rFonts w:hint="default" w:ascii="Times New Roman" w:hAnsi="Times New Roman" w:cs="Times New Roman"/>
                      <w:color w:val="auto"/>
                      <w:szCs w:val="21"/>
                      <w:lang w:eastAsia="zh-CN"/>
                    </w:rPr>
                    <w:t>、沥青烟、</w:t>
                  </w:r>
                  <w:r>
                    <w:rPr>
                      <w:rFonts w:hint="default" w:ascii="Times New Roman" w:hAnsi="Times New Roman" w:cs="Times New Roman"/>
                      <w:color w:val="auto"/>
                      <w:szCs w:val="21"/>
                      <w:lang w:val="en-US" w:eastAsia="zh-CN"/>
                    </w:rPr>
                    <w:t>SO</w:t>
                  </w:r>
                  <w:r>
                    <w:rPr>
                      <w:rFonts w:hint="default" w:ascii="Times New Roman" w:hAnsi="Times New Roman" w:cs="Times New Roman"/>
                      <w:color w:val="auto"/>
                      <w:szCs w:val="21"/>
                      <w:vertAlign w:val="subscript"/>
                      <w:lang w:val="en-US" w:eastAsia="zh-CN"/>
                    </w:rPr>
                    <w:t>2</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NOx</w:t>
                  </w:r>
                </w:p>
              </w:tc>
              <w:tc>
                <w:tcPr>
                  <w:tcW w:w="1700" w:type="pct"/>
                  <w:vMerge w:val="restart"/>
                  <w:tcBorders>
                    <w:tl2br w:val="nil"/>
                    <w:tr2bl w:val="nil"/>
                  </w:tcBorders>
                  <w:vAlign w:val="center"/>
                </w:tcPr>
                <w:p w14:paraId="501225E9">
                  <w:pPr>
                    <w:tabs>
                      <w:tab w:val="left" w:pos="4767"/>
                    </w:tabs>
                    <w:adjustRightInd w:val="0"/>
                    <w:spacing w:line="0" w:lineRule="atLeast"/>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1次/</w:t>
                  </w:r>
                  <w:r>
                    <w:rPr>
                      <w:rFonts w:hint="eastAsia" w:cs="Times New Roman"/>
                      <w:color w:val="auto"/>
                      <w:szCs w:val="21"/>
                      <w:lang w:val="en-US" w:eastAsia="zh-CN"/>
                    </w:rPr>
                    <w:t>半</w:t>
                  </w:r>
                  <w:r>
                    <w:rPr>
                      <w:rFonts w:hint="default" w:ascii="Times New Roman" w:hAnsi="Times New Roman" w:cs="Times New Roman"/>
                      <w:color w:val="auto"/>
                      <w:szCs w:val="21"/>
                      <w:lang w:val="en-US" w:eastAsia="zh-CN"/>
                    </w:rPr>
                    <w:t>年</w:t>
                  </w:r>
                </w:p>
              </w:tc>
            </w:tr>
            <w:tr w14:paraId="16D790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72" w:type="pct"/>
                  <w:tcBorders>
                    <w:tl2br w:val="nil"/>
                    <w:tr2bl w:val="nil"/>
                  </w:tcBorders>
                  <w:vAlign w:val="center"/>
                </w:tcPr>
                <w:p w14:paraId="37E7EA56">
                  <w:pPr>
                    <w:tabs>
                      <w:tab w:val="left" w:pos="4767"/>
                    </w:tabs>
                    <w:adjustRightInd w:val="0"/>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DA001</w:t>
                  </w:r>
                </w:p>
              </w:tc>
              <w:tc>
                <w:tcPr>
                  <w:tcW w:w="1627" w:type="pct"/>
                  <w:tcBorders>
                    <w:tl2br w:val="nil"/>
                    <w:tr2bl w:val="nil"/>
                  </w:tcBorders>
                  <w:shd w:val="clear" w:color="auto" w:fill="auto"/>
                  <w:vAlign w:val="center"/>
                </w:tcPr>
                <w:p w14:paraId="14D4B2B1">
                  <w:pPr>
                    <w:tabs>
                      <w:tab w:val="left" w:pos="4767"/>
                    </w:tabs>
                    <w:adjustRightInd w:val="0"/>
                    <w:spacing w:line="0" w:lineRule="atLeast"/>
                    <w:jc w:val="center"/>
                    <w:rPr>
                      <w:rFonts w:hint="default" w:ascii="Times New Roman" w:hAnsi="Times New Roman" w:cs="Times New Roman"/>
                      <w:bCs/>
                      <w:color w:val="auto"/>
                      <w:szCs w:val="21"/>
                    </w:rPr>
                  </w:pPr>
                  <w:r>
                    <w:rPr>
                      <w:rFonts w:hint="default" w:ascii="Times New Roman" w:hAnsi="Times New Roman" w:cs="Times New Roman"/>
                      <w:color w:val="auto"/>
                      <w:szCs w:val="21"/>
                      <w:lang w:val="en-US" w:eastAsia="zh-CN"/>
                    </w:rPr>
                    <w:t>颗粒物</w:t>
                  </w:r>
                </w:p>
              </w:tc>
              <w:tc>
                <w:tcPr>
                  <w:tcW w:w="1700" w:type="pct"/>
                  <w:vMerge w:val="continue"/>
                  <w:tcBorders>
                    <w:tl2br w:val="nil"/>
                    <w:tr2bl w:val="nil"/>
                  </w:tcBorders>
                  <w:vAlign w:val="center"/>
                </w:tcPr>
                <w:p w14:paraId="60D68162">
                  <w:pPr>
                    <w:tabs>
                      <w:tab w:val="left" w:pos="4767"/>
                    </w:tabs>
                    <w:adjustRightInd w:val="0"/>
                    <w:spacing w:line="0" w:lineRule="atLeast"/>
                    <w:jc w:val="center"/>
                    <w:rPr>
                      <w:rFonts w:hint="default" w:ascii="Times New Roman" w:hAnsi="Times New Roman" w:cs="Times New Roman"/>
                      <w:color w:val="auto"/>
                      <w:szCs w:val="21"/>
                    </w:rPr>
                  </w:pPr>
                </w:p>
              </w:tc>
            </w:tr>
            <w:tr w14:paraId="389FBF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72" w:type="pct"/>
                  <w:tcBorders>
                    <w:tl2br w:val="nil"/>
                    <w:tr2bl w:val="nil"/>
                  </w:tcBorders>
                  <w:vAlign w:val="center"/>
                </w:tcPr>
                <w:p w14:paraId="6BC76719">
                  <w:pPr>
                    <w:tabs>
                      <w:tab w:val="left" w:pos="4767"/>
                    </w:tabs>
                    <w:adjustRightInd w:val="0"/>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DA002</w:t>
                  </w:r>
                </w:p>
              </w:tc>
              <w:tc>
                <w:tcPr>
                  <w:tcW w:w="1627" w:type="pct"/>
                  <w:tcBorders>
                    <w:tl2br w:val="nil"/>
                    <w:tr2bl w:val="nil"/>
                  </w:tcBorders>
                  <w:shd w:val="clear" w:color="auto" w:fill="auto"/>
                  <w:vAlign w:val="center"/>
                </w:tcPr>
                <w:p w14:paraId="32049443">
                  <w:pPr>
                    <w:tabs>
                      <w:tab w:val="left" w:pos="4767"/>
                    </w:tabs>
                    <w:adjustRightInd w:val="0"/>
                    <w:spacing w:line="0" w:lineRule="atLeast"/>
                    <w:jc w:val="center"/>
                    <w:rPr>
                      <w:rFonts w:hint="default" w:ascii="Times New Roman" w:hAnsi="Times New Roman" w:cs="Times New Roman"/>
                      <w:bCs/>
                      <w:color w:val="auto"/>
                      <w:szCs w:val="21"/>
                    </w:rPr>
                  </w:pPr>
                  <w:r>
                    <w:rPr>
                      <w:rFonts w:hint="default" w:ascii="Times New Roman" w:hAnsi="Times New Roman" w:cs="Times New Roman"/>
                      <w:color w:val="auto"/>
                      <w:szCs w:val="21"/>
                      <w:lang w:val="en-US" w:eastAsia="zh-CN"/>
                    </w:rPr>
                    <w:t>颗粒物</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苯并</w:t>
                  </w:r>
                  <w:r>
                    <w:rPr>
                      <w:rFonts w:hint="default" w:ascii="Times New Roman" w:hAnsi="Times New Roman" w:cs="Times New Roman"/>
                      <w:color w:val="auto"/>
                      <w:szCs w:val="21"/>
                      <w:lang w:val="en-US" w:eastAsia="zh-CN"/>
                    </w:rPr>
                    <w:t>[a]</w:t>
                  </w:r>
                  <w:r>
                    <w:rPr>
                      <w:rFonts w:hint="default" w:ascii="Times New Roman" w:hAnsi="Times New Roman" w:cs="Times New Roman"/>
                      <w:color w:val="auto"/>
                      <w:szCs w:val="21"/>
                    </w:rPr>
                    <w:t>芘</w:t>
                  </w:r>
                  <w:r>
                    <w:rPr>
                      <w:rFonts w:hint="default" w:ascii="Times New Roman" w:hAnsi="Times New Roman" w:cs="Times New Roman"/>
                      <w:color w:val="auto"/>
                      <w:szCs w:val="21"/>
                      <w:lang w:eastAsia="zh-CN"/>
                    </w:rPr>
                    <w:t>、沥青烟、</w:t>
                  </w:r>
                  <w:r>
                    <w:rPr>
                      <w:rFonts w:hint="default" w:ascii="Times New Roman" w:hAnsi="Times New Roman" w:cs="Times New Roman"/>
                      <w:color w:val="auto"/>
                      <w:szCs w:val="21"/>
                      <w:lang w:val="en-US" w:eastAsia="zh-CN"/>
                    </w:rPr>
                    <w:t>SO</w:t>
                  </w:r>
                  <w:r>
                    <w:rPr>
                      <w:rFonts w:hint="default" w:ascii="Times New Roman" w:hAnsi="Times New Roman" w:cs="Times New Roman"/>
                      <w:color w:val="auto"/>
                      <w:szCs w:val="21"/>
                      <w:vertAlign w:val="subscript"/>
                      <w:lang w:val="en-US" w:eastAsia="zh-CN"/>
                    </w:rPr>
                    <w:t>2</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NOx</w:t>
                  </w:r>
                </w:p>
              </w:tc>
              <w:tc>
                <w:tcPr>
                  <w:tcW w:w="1700" w:type="pct"/>
                  <w:vMerge w:val="continue"/>
                  <w:tcBorders>
                    <w:tl2br w:val="nil"/>
                    <w:tr2bl w:val="nil"/>
                  </w:tcBorders>
                  <w:vAlign w:val="center"/>
                </w:tcPr>
                <w:p w14:paraId="657A9934">
                  <w:pPr>
                    <w:tabs>
                      <w:tab w:val="left" w:pos="4767"/>
                    </w:tabs>
                    <w:adjustRightInd w:val="0"/>
                    <w:spacing w:line="0" w:lineRule="atLeast"/>
                    <w:jc w:val="center"/>
                    <w:rPr>
                      <w:rFonts w:hint="default" w:ascii="Times New Roman" w:hAnsi="Times New Roman" w:cs="Times New Roman"/>
                      <w:color w:val="auto"/>
                      <w:szCs w:val="21"/>
                    </w:rPr>
                  </w:pPr>
                </w:p>
              </w:tc>
            </w:tr>
            <w:tr w14:paraId="021E9B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72" w:type="pct"/>
                  <w:tcBorders>
                    <w:tl2br w:val="nil"/>
                    <w:tr2bl w:val="nil"/>
                  </w:tcBorders>
                  <w:vAlign w:val="center"/>
                </w:tcPr>
                <w:p w14:paraId="7CCC4D41">
                  <w:pPr>
                    <w:tabs>
                      <w:tab w:val="left" w:pos="4767"/>
                    </w:tabs>
                    <w:adjustRightInd w:val="0"/>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DA003</w:t>
                  </w:r>
                </w:p>
              </w:tc>
              <w:tc>
                <w:tcPr>
                  <w:tcW w:w="1627" w:type="pct"/>
                  <w:tcBorders>
                    <w:tl2br w:val="nil"/>
                    <w:tr2bl w:val="nil"/>
                  </w:tcBorders>
                  <w:shd w:val="clear" w:color="auto" w:fill="auto"/>
                  <w:vAlign w:val="center"/>
                </w:tcPr>
                <w:p w14:paraId="382A402F">
                  <w:pPr>
                    <w:tabs>
                      <w:tab w:val="left" w:pos="4767"/>
                    </w:tabs>
                    <w:adjustRightInd w:val="0"/>
                    <w:spacing w:line="0" w:lineRule="atLeast"/>
                    <w:jc w:val="center"/>
                    <w:rPr>
                      <w:rFonts w:hint="default" w:ascii="Times New Roman" w:hAnsi="Times New Roman" w:cs="Times New Roman"/>
                      <w:bCs/>
                      <w:color w:val="auto"/>
                      <w:szCs w:val="21"/>
                      <w:lang w:val="en-US"/>
                    </w:rPr>
                  </w:pPr>
                  <w:r>
                    <w:rPr>
                      <w:rFonts w:hint="default" w:ascii="Times New Roman" w:hAnsi="Times New Roman" w:cs="Times New Roman"/>
                      <w:color w:val="auto"/>
                      <w:szCs w:val="21"/>
                      <w:lang w:val="en-US" w:eastAsia="zh-CN"/>
                    </w:rPr>
                    <w:t>SO</w:t>
                  </w:r>
                  <w:r>
                    <w:rPr>
                      <w:rFonts w:hint="default" w:ascii="Times New Roman" w:hAnsi="Times New Roman" w:cs="Times New Roman"/>
                      <w:color w:val="auto"/>
                      <w:szCs w:val="21"/>
                      <w:vertAlign w:val="subscript"/>
                      <w:lang w:val="en-US" w:eastAsia="zh-CN"/>
                    </w:rPr>
                    <w:t>2</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NOx、颗粒物</w:t>
                  </w:r>
                </w:p>
              </w:tc>
              <w:tc>
                <w:tcPr>
                  <w:tcW w:w="1700" w:type="pct"/>
                  <w:vMerge w:val="continue"/>
                  <w:tcBorders>
                    <w:tl2br w:val="nil"/>
                    <w:tr2bl w:val="nil"/>
                  </w:tcBorders>
                  <w:vAlign w:val="center"/>
                </w:tcPr>
                <w:p w14:paraId="07767DCD">
                  <w:pPr>
                    <w:tabs>
                      <w:tab w:val="left" w:pos="4767"/>
                    </w:tabs>
                    <w:adjustRightInd w:val="0"/>
                    <w:spacing w:line="0" w:lineRule="atLeast"/>
                    <w:jc w:val="center"/>
                    <w:rPr>
                      <w:rFonts w:hint="default" w:ascii="Times New Roman" w:hAnsi="Times New Roman" w:cs="Times New Roman"/>
                      <w:color w:val="auto"/>
                      <w:szCs w:val="21"/>
                    </w:rPr>
                  </w:pPr>
                </w:p>
              </w:tc>
            </w:tr>
          </w:tbl>
          <w:p w14:paraId="15D8E2EB">
            <w:pPr>
              <w:tabs>
                <w:tab w:val="left" w:pos="4767"/>
              </w:tabs>
              <w:rPr>
                <w:rFonts w:hint="default" w:ascii="Times New Roman" w:hAnsi="Times New Roman" w:eastAsia="黑体" w:cs="Times New Roman"/>
                <w:color w:val="auto"/>
                <w:sz w:val="24"/>
              </w:rPr>
            </w:pPr>
          </w:p>
          <w:p w14:paraId="67BD4806">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2、废水</w:t>
            </w:r>
          </w:p>
          <w:p w14:paraId="1327E2D3">
            <w:pPr>
              <w:tabs>
                <w:tab w:val="left" w:pos="4767"/>
              </w:tabs>
              <w:ind w:firstLine="514" w:firstLineChars="200"/>
              <w:rPr>
                <w:rFonts w:hint="default" w:ascii="Times New Roman" w:hAnsi="Times New Roman" w:cs="Times New Roman"/>
                <w:color w:val="auto"/>
                <w:sz w:val="24"/>
                <w:szCs w:val="32"/>
                <w:lang w:eastAsia="zh-CN"/>
              </w:rPr>
            </w:pPr>
            <w:r>
              <w:rPr>
                <w:rFonts w:hint="default" w:ascii="Times New Roman" w:hAnsi="Times New Roman" w:eastAsia="宋体" w:cs="Times New Roman"/>
                <w:bCs/>
                <w:color w:val="auto"/>
                <w:sz w:val="24"/>
              </w:rPr>
              <w:t>本项目废水主要为生产废水</w:t>
            </w:r>
            <w:r>
              <w:rPr>
                <w:rFonts w:hint="eastAsia" w:cs="Times New Roman"/>
                <w:bCs/>
                <w:color w:val="auto"/>
                <w:sz w:val="24"/>
                <w:lang w:eastAsia="zh-CN"/>
              </w:rPr>
              <w:t>（</w:t>
            </w:r>
            <w:r>
              <w:rPr>
                <w:rFonts w:hint="eastAsia" w:cs="Times New Roman"/>
                <w:bCs/>
                <w:color w:val="auto"/>
                <w:sz w:val="24"/>
                <w:lang w:val="en-US" w:eastAsia="zh-CN"/>
              </w:rPr>
              <w:t>洗车废水及设备清洗废水</w:t>
            </w:r>
            <w:r>
              <w:rPr>
                <w:rFonts w:hint="eastAsia" w:cs="Times New Roman"/>
                <w:bCs/>
                <w:color w:val="auto"/>
                <w:sz w:val="24"/>
                <w:lang w:eastAsia="zh-CN"/>
              </w:rPr>
              <w:t>）</w:t>
            </w:r>
            <w:r>
              <w:rPr>
                <w:rFonts w:hint="default" w:ascii="Times New Roman" w:hAnsi="Times New Roman" w:eastAsia="宋体" w:cs="Times New Roman"/>
                <w:bCs/>
                <w:color w:val="auto"/>
                <w:sz w:val="24"/>
              </w:rPr>
              <w:t>及生活污水，生产废水经厂区现有沉淀池处理后全部回用，生活污水</w:t>
            </w:r>
            <w:r>
              <w:rPr>
                <w:rFonts w:hint="default" w:ascii="Times New Roman" w:hAnsi="Times New Roman" w:eastAsia="宋体" w:cs="Times New Roman"/>
                <w:bCs/>
                <w:color w:val="auto"/>
                <w:sz w:val="24"/>
                <w:lang w:val="en-US" w:eastAsia="zh-CN"/>
              </w:rPr>
              <w:t>利用砖厂旱厕，清掏物定期清运至附近农田</w:t>
            </w:r>
            <w:r>
              <w:rPr>
                <w:rFonts w:hint="default" w:ascii="Times New Roman" w:hAnsi="Times New Roman" w:eastAsia="宋体" w:cs="Times New Roman"/>
                <w:bCs/>
                <w:color w:val="auto"/>
                <w:sz w:val="24"/>
                <w:lang w:eastAsia="zh-CN"/>
              </w:rPr>
              <w:t>。</w:t>
            </w:r>
          </w:p>
          <w:p w14:paraId="5073B9DF">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3、噪声</w:t>
            </w:r>
          </w:p>
          <w:p w14:paraId="3EDC89D6">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（1）污染源强核算及达标情况分析</w:t>
            </w:r>
          </w:p>
          <w:p w14:paraId="106D9229">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本项目运营期噪声污染源主要是天然气热风炉、导热油炉、搅拌器、引风机、振动筛、提升机等设备运转时产生的噪声及车辆噪声，噪声源强为80dB(A)~95dB(A)</w:t>
            </w:r>
            <w:r>
              <w:rPr>
                <w:rFonts w:hint="default" w:ascii="Times New Roman" w:hAnsi="Times New Roman" w:cs="Times New Roman"/>
                <w:color w:val="auto"/>
                <w:sz w:val="24"/>
                <w:szCs w:val="32"/>
              </w:rPr>
              <w:t>。本项目噪声源强见下表4-</w:t>
            </w:r>
            <w:r>
              <w:rPr>
                <w:rFonts w:hint="default" w:ascii="Times New Roman" w:hAnsi="Times New Roman" w:cs="Times New Roman"/>
                <w:color w:val="auto"/>
                <w:sz w:val="24"/>
                <w:szCs w:val="32"/>
                <w:lang w:val="en-US" w:eastAsia="zh-CN"/>
              </w:rPr>
              <w:t>8</w:t>
            </w:r>
            <w:r>
              <w:rPr>
                <w:rFonts w:hint="default" w:ascii="Times New Roman" w:hAnsi="Times New Roman" w:cs="Times New Roman"/>
                <w:color w:val="auto"/>
                <w:sz w:val="24"/>
                <w:szCs w:val="32"/>
              </w:rPr>
              <w:t>。</w:t>
            </w:r>
          </w:p>
          <w:p w14:paraId="3285F6C8">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为更进一步降低项目噪声对周围环境的影响，需加强设备维护，保持其良好运行效果；加强对产噪设备的管理和维护，并加强相关操作岗位工人的个体防护。</w:t>
            </w:r>
          </w:p>
          <w:p w14:paraId="25594C6D">
            <w:pPr>
              <w:tabs>
                <w:tab w:val="left" w:pos="4767"/>
              </w:tabs>
              <w:rPr>
                <w:rFonts w:hint="default" w:ascii="Times New Roman" w:hAnsi="Times New Roman" w:cs="Times New Roman"/>
                <w:color w:val="auto"/>
                <w:sz w:val="24"/>
                <w:szCs w:val="32"/>
              </w:rPr>
            </w:pPr>
          </w:p>
          <w:p w14:paraId="57A842EE">
            <w:pPr>
              <w:tabs>
                <w:tab w:val="left" w:pos="4767"/>
              </w:tabs>
              <w:rPr>
                <w:rFonts w:hint="default" w:ascii="Times New Roman" w:hAnsi="Times New Roman" w:cs="Times New Roman"/>
                <w:color w:val="auto"/>
                <w:sz w:val="24"/>
                <w:szCs w:val="32"/>
              </w:rPr>
            </w:pPr>
          </w:p>
          <w:p w14:paraId="22AE3304">
            <w:pPr>
              <w:tabs>
                <w:tab w:val="left" w:pos="4767"/>
              </w:tabs>
              <w:rPr>
                <w:rFonts w:hint="default" w:ascii="Times New Roman" w:hAnsi="Times New Roman" w:cs="Times New Roman"/>
                <w:color w:val="auto"/>
                <w:sz w:val="24"/>
                <w:szCs w:val="32"/>
              </w:rPr>
            </w:pPr>
          </w:p>
          <w:p w14:paraId="5BA9A1F3">
            <w:pPr>
              <w:tabs>
                <w:tab w:val="left" w:pos="4767"/>
              </w:tabs>
              <w:rPr>
                <w:rFonts w:hint="default" w:ascii="Times New Roman" w:hAnsi="Times New Roman" w:cs="Times New Roman"/>
                <w:color w:val="auto"/>
                <w:sz w:val="24"/>
                <w:szCs w:val="32"/>
              </w:rPr>
            </w:pPr>
          </w:p>
          <w:p w14:paraId="48032513">
            <w:pPr>
              <w:tabs>
                <w:tab w:val="left" w:pos="4767"/>
              </w:tabs>
              <w:rPr>
                <w:rFonts w:hint="default" w:ascii="Times New Roman" w:hAnsi="Times New Roman" w:cs="Times New Roman"/>
                <w:color w:val="auto"/>
                <w:sz w:val="24"/>
                <w:szCs w:val="32"/>
              </w:rPr>
            </w:pPr>
          </w:p>
          <w:p w14:paraId="07C8F02F">
            <w:pPr>
              <w:tabs>
                <w:tab w:val="left" w:pos="4767"/>
              </w:tabs>
              <w:rPr>
                <w:rFonts w:hint="default" w:ascii="Times New Roman" w:hAnsi="Times New Roman" w:cs="Times New Roman"/>
                <w:color w:val="auto"/>
                <w:sz w:val="24"/>
                <w:szCs w:val="32"/>
              </w:rPr>
            </w:pPr>
          </w:p>
          <w:p w14:paraId="4C6CD340">
            <w:pPr>
              <w:tabs>
                <w:tab w:val="left" w:pos="4767"/>
              </w:tabs>
              <w:rPr>
                <w:rFonts w:hint="default" w:ascii="Times New Roman" w:hAnsi="Times New Roman" w:cs="Times New Roman"/>
                <w:color w:val="auto"/>
                <w:sz w:val="24"/>
                <w:szCs w:val="32"/>
              </w:rPr>
            </w:pPr>
          </w:p>
          <w:p w14:paraId="7C136FFF">
            <w:pPr>
              <w:tabs>
                <w:tab w:val="left" w:pos="4767"/>
              </w:tabs>
              <w:rPr>
                <w:rFonts w:hint="default" w:ascii="Times New Roman" w:hAnsi="Times New Roman" w:cs="Times New Roman"/>
                <w:color w:val="auto"/>
                <w:sz w:val="24"/>
                <w:szCs w:val="32"/>
              </w:rPr>
            </w:pPr>
          </w:p>
          <w:p w14:paraId="3F5DD95E">
            <w:pPr>
              <w:tabs>
                <w:tab w:val="left" w:pos="4767"/>
              </w:tabs>
              <w:rPr>
                <w:rFonts w:hint="default" w:ascii="Times New Roman" w:hAnsi="Times New Roman" w:cs="Times New Roman"/>
                <w:color w:val="auto"/>
                <w:sz w:val="24"/>
                <w:szCs w:val="32"/>
              </w:rPr>
            </w:pPr>
          </w:p>
          <w:p w14:paraId="404B7CB7">
            <w:pPr>
              <w:tabs>
                <w:tab w:val="left" w:pos="4767"/>
              </w:tabs>
              <w:rPr>
                <w:rFonts w:hint="default" w:ascii="Times New Roman" w:hAnsi="Times New Roman" w:cs="Times New Roman"/>
                <w:color w:val="auto"/>
                <w:sz w:val="24"/>
                <w:szCs w:val="32"/>
              </w:rPr>
            </w:pPr>
          </w:p>
          <w:p w14:paraId="1EB85DE6">
            <w:pPr>
              <w:tabs>
                <w:tab w:val="left" w:pos="4767"/>
              </w:tabs>
              <w:rPr>
                <w:rFonts w:hint="default" w:ascii="Times New Roman" w:hAnsi="Times New Roman" w:cs="Times New Roman"/>
                <w:color w:val="auto"/>
                <w:sz w:val="24"/>
                <w:szCs w:val="32"/>
              </w:rPr>
            </w:pPr>
          </w:p>
          <w:p w14:paraId="2A54C900">
            <w:pPr>
              <w:tabs>
                <w:tab w:val="left" w:pos="4767"/>
              </w:tabs>
              <w:rPr>
                <w:rFonts w:hint="default" w:ascii="Times New Roman" w:hAnsi="Times New Roman" w:cs="Times New Roman"/>
                <w:color w:val="auto"/>
                <w:sz w:val="24"/>
                <w:szCs w:val="32"/>
              </w:rPr>
            </w:pPr>
          </w:p>
          <w:p w14:paraId="25019158">
            <w:pPr>
              <w:tabs>
                <w:tab w:val="left" w:pos="4767"/>
              </w:tabs>
              <w:rPr>
                <w:rFonts w:hint="default" w:ascii="Times New Roman" w:hAnsi="Times New Roman" w:cs="Times New Roman"/>
                <w:color w:val="auto"/>
                <w:sz w:val="24"/>
                <w:szCs w:val="32"/>
              </w:rPr>
            </w:pPr>
          </w:p>
          <w:p w14:paraId="5E979562">
            <w:pPr>
              <w:tabs>
                <w:tab w:val="left" w:pos="4767"/>
              </w:tabs>
              <w:rPr>
                <w:rFonts w:hint="default" w:ascii="Times New Roman" w:hAnsi="Times New Roman" w:cs="Times New Roman"/>
                <w:color w:val="auto"/>
                <w:sz w:val="24"/>
                <w:szCs w:val="32"/>
              </w:rPr>
            </w:pPr>
          </w:p>
          <w:p w14:paraId="6F4141D9">
            <w:pPr>
              <w:tabs>
                <w:tab w:val="left" w:pos="4767"/>
              </w:tabs>
              <w:rPr>
                <w:rFonts w:hint="default" w:ascii="Times New Roman" w:hAnsi="Times New Roman" w:cs="Times New Roman"/>
                <w:color w:val="auto"/>
                <w:sz w:val="24"/>
                <w:szCs w:val="32"/>
              </w:rPr>
            </w:pPr>
          </w:p>
          <w:p w14:paraId="502DD845">
            <w:pPr>
              <w:tabs>
                <w:tab w:val="left" w:pos="4767"/>
              </w:tabs>
              <w:rPr>
                <w:rFonts w:hint="default" w:ascii="Times New Roman" w:hAnsi="Times New Roman" w:cs="Times New Roman"/>
                <w:color w:val="auto"/>
                <w:sz w:val="24"/>
                <w:szCs w:val="32"/>
              </w:rPr>
            </w:pPr>
          </w:p>
          <w:p w14:paraId="78DD5912">
            <w:pPr>
              <w:tabs>
                <w:tab w:val="left" w:pos="4767"/>
              </w:tabs>
              <w:rPr>
                <w:rFonts w:hint="default" w:ascii="Times New Roman" w:hAnsi="Times New Roman" w:cs="Times New Roman"/>
                <w:color w:val="auto"/>
                <w:sz w:val="24"/>
                <w:szCs w:val="32"/>
              </w:rPr>
            </w:pPr>
          </w:p>
          <w:p w14:paraId="7D28EABB">
            <w:pPr>
              <w:tabs>
                <w:tab w:val="left" w:pos="4767"/>
              </w:tabs>
              <w:rPr>
                <w:rFonts w:hint="default" w:ascii="Times New Roman" w:hAnsi="Times New Roman" w:cs="Times New Roman"/>
                <w:color w:val="auto"/>
                <w:sz w:val="24"/>
                <w:szCs w:val="32"/>
              </w:rPr>
            </w:pPr>
          </w:p>
        </w:tc>
      </w:tr>
    </w:tbl>
    <w:p w14:paraId="39EB0766">
      <w:pPr>
        <w:tabs>
          <w:tab w:val="left" w:pos="4767"/>
        </w:tabs>
        <w:rPr>
          <w:rFonts w:hint="default" w:ascii="Times New Roman" w:hAnsi="Times New Roman" w:cs="Times New Roman"/>
          <w:color w:val="auto"/>
        </w:rPr>
        <w:sectPr>
          <w:pgSz w:w="11905" w:h="16838"/>
          <w:pgMar w:top="1417" w:right="1417" w:bottom="1417" w:left="1417" w:header="851" w:footer="964" w:gutter="0"/>
          <w:pgBorders>
            <w:top w:val="none" w:sz="0" w:space="0"/>
            <w:left w:val="none" w:sz="0" w:space="0"/>
            <w:bottom w:val="none" w:sz="0" w:space="0"/>
            <w:right w:val="none" w:sz="0" w:space="0"/>
          </w:pgBorders>
          <w:cols w:space="0" w:num="1"/>
          <w:docGrid w:type="linesAndChars" w:linePitch="466" w:charSpace="3482"/>
        </w:sectPr>
      </w:pPr>
    </w:p>
    <w:p w14:paraId="35FE3C70">
      <w:pPr>
        <w:tabs>
          <w:tab w:val="left" w:pos="4767"/>
        </w:tabs>
        <w:jc w:val="center"/>
        <w:rPr>
          <w:rFonts w:hint="default" w:ascii="Times New Roman" w:hAnsi="Times New Roman" w:cs="Times New Roman"/>
          <w:color w:val="auto"/>
          <w:sz w:val="24"/>
          <w:szCs w:val="24"/>
        </w:rPr>
      </w:pPr>
      <w:r>
        <w:rPr>
          <w:rFonts w:hint="default" w:ascii="Times New Roman" w:hAnsi="Times New Roman" w:eastAsia="黑体" w:cs="Times New Roman"/>
          <w:color w:val="auto"/>
          <w:sz w:val="24"/>
          <w:szCs w:val="24"/>
          <w:lang w:val="zh-CN"/>
        </w:rPr>
        <w:t>表4-</w:t>
      </w:r>
      <w:r>
        <w:rPr>
          <w:rFonts w:hint="default" w:ascii="Times New Roman" w:hAnsi="Times New Roman" w:eastAsia="黑体" w:cs="Times New Roman"/>
          <w:color w:val="auto"/>
          <w:sz w:val="24"/>
          <w:szCs w:val="24"/>
          <w:lang w:val="en-US" w:eastAsia="zh-CN"/>
        </w:rPr>
        <w:t>8</w:t>
      </w:r>
      <w:r>
        <w:rPr>
          <w:rFonts w:hint="default" w:ascii="Times New Roman" w:hAnsi="Times New Roman" w:eastAsia="黑体" w:cs="Times New Roman"/>
          <w:color w:val="auto"/>
          <w:sz w:val="24"/>
          <w:szCs w:val="24"/>
          <w:lang w:val="zh-CN"/>
        </w:rPr>
        <w:t xml:space="preserve">  </w:t>
      </w:r>
      <w:r>
        <w:rPr>
          <w:rFonts w:hint="default" w:ascii="Times New Roman" w:hAnsi="Times New Roman" w:eastAsia="黑体" w:cs="Times New Roman"/>
          <w:color w:val="auto"/>
          <w:sz w:val="24"/>
          <w:szCs w:val="24"/>
          <w:lang w:val="en-US" w:eastAsia="zh-CN"/>
        </w:rPr>
        <w:t xml:space="preserve">  主要噪声源统计一览表</w:t>
      </w:r>
      <w:r>
        <w:rPr>
          <w:rFonts w:hint="default" w:ascii="Times New Roman" w:hAnsi="Times New Roman" w:eastAsia="黑体" w:cs="Times New Roman"/>
          <w:color w:val="auto"/>
          <w:sz w:val="24"/>
          <w:lang w:val="zh-CN"/>
        </w:rPr>
        <w:t>（</w:t>
      </w:r>
      <w:r>
        <w:rPr>
          <w:rFonts w:hint="default" w:ascii="Times New Roman" w:hAnsi="Times New Roman" w:eastAsia="黑体" w:cs="Times New Roman"/>
          <w:color w:val="auto"/>
          <w:sz w:val="24"/>
          <w:lang w:val="en-US" w:eastAsia="zh-CN"/>
        </w:rPr>
        <w:t>室外声源</w:t>
      </w:r>
      <w:r>
        <w:rPr>
          <w:rFonts w:hint="default" w:ascii="Times New Roman" w:hAnsi="Times New Roman" w:eastAsia="黑体" w:cs="Times New Roman"/>
          <w:color w:val="auto"/>
          <w:sz w:val="24"/>
          <w:lang w:val="zh-CN"/>
        </w:rPr>
        <w:t>）</w:t>
      </w:r>
    </w:p>
    <w:tbl>
      <w:tblPr>
        <w:tblStyle w:val="26"/>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095"/>
        <w:gridCol w:w="1799"/>
        <w:gridCol w:w="1799"/>
        <w:gridCol w:w="1816"/>
        <w:gridCol w:w="2570"/>
        <w:gridCol w:w="1626"/>
        <w:gridCol w:w="1623"/>
      </w:tblGrid>
      <w:tr w14:paraId="745521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10" w:type="pct"/>
            <w:vMerge w:val="restart"/>
            <w:tcBorders>
              <w:tl2br w:val="nil"/>
              <w:tr2bl w:val="nil"/>
            </w:tcBorders>
            <w:noWrap w:val="0"/>
            <w:vAlign w:val="center"/>
          </w:tcPr>
          <w:p w14:paraId="2F8F9318">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序号</w:t>
            </w:r>
          </w:p>
        </w:tc>
        <w:tc>
          <w:tcPr>
            <w:tcW w:w="737" w:type="pct"/>
            <w:vMerge w:val="restart"/>
            <w:tcBorders>
              <w:tl2br w:val="nil"/>
              <w:tr2bl w:val="nil"/>
            </w:tcBorders>
            <w:noWrap w:val="0"/>
            <w:vAlign w:val="center"/>
          </w:tcPr>
          <w:p w14:paraId="38B2037C">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声源名称</w:t>
            </w:r>
          </w:p>
        </w:tc>
        <w:tc>
          <w:tcPr>
            <w:tcW w:w="1905" w:type="pct"/>
            <w:gridSpan w:val="3"/>
            <w:tcBorders>
              <w:tl2br w:val="nil"/>
              <w:tr2bl w:val="nil"/>
            </w:tcBorders>
            <w:noWrap w:val="0"/>
            <w:vAlign w:val="center"/>
          </w:tcPr>
          <w:p w14:paraId="29A2FB76">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空间相对位置/m</w:t>
            </w:r>
          </w:p>
        </w:tc>
        <w:tc>
          <w:tcPr>
            <w:tcW w:w="904" w:type="pct"/>
            <w:vMerge w:val="restart"/>
            <w:tcBorders>
              <w:tl2br w:val="nil"/>
              <w:tr2bl w:val="nil"/>
            </w:tcBorders>
            <w:noWrap w:val="0"/>
            <w:vAlign w:val="center"/>
          </w:tcPr>
          <w:p w14:paraId="5F880069">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lang w:val="en-US" w:eastAsia="zh-CN"/>
              </w:rPr>
              <w:t>声压</w:t>
            </w:r>
            <w:r>
              <w:rPr>
                <w:rFonts w:hint="default" w:ascii="Times New Roman" w:hAnsi="Times New Roman" w:eastAsia="宋体" w:cs="Times New Roman"/>
                <w:b/>
                <w:bCs/>
                <w:color w:val="auto"/>
                <w:szCs w:val="21"/>
              </w:rPr>
              <w:t>级dB(A)</w:t>
            </w:r>
            <w:r>
              <w:rPr>
                <w:rFonts w:hint="default" w:ascii="Times New Roman" w:hAnsi="Times New Roman" w:eastAsia="宋体" w:cs="Times New Roman"/>
                <w:b/>
                <w:bCs/>
                <w:color w:val="auto"/>
                <w:szCs w:val="21"/>
                <w:lang w:val="en-US" w:eastAsia="zh-CN"/>
              </w:rPr>
              <w:t>/距离（m）</w:t>
            </w:r>
          </w:p>
        </w:tc>
        <w:tc>
          <w:tcPr>
            <w:tcW w:w="572" w:type="pct"/>
            <w:vMerge w:val="restart"/>
            <w:tcBorders>
              <w:tl2br w:val="nil"/>
              <w:tr2bl w:val="nil"/>
            </w:tcBorders>
            <w:noWrap w:val="0"/>
            <w:vAlign w:val="center"/>
          </w:tcPr>
          <w:p w14:paraId="12BF7E28">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声源控制措施</w:t>
            </w:r>
          </w:p>
        </w:tc>
        <w:tc>
          <w:tcPr>
            <w:tcW w:w="571" w:type="pct"/>
            <w:vMerge w:val="restart"/>
            <w:tcBorders>
              <w:tl2br w:val="nil"/>
              <w:tr2bl w:val="nil"/>
            </w:tcBorders>
            <w:noWrap w:val="0"/>
            <w:vAlign w:val="center"/>
          </w:tcPr>
          <w:p w14:paraId="16C78B36">
            <w:pPr>
              <w:tabs>
                <w:tab w:val="left" w:pos="4767"/>
              </w:tabs>
              <w:spacing w:line="0" w:lineRule="atLeast"/>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运行时段</w:t>
            </w:r>
          </w:p>
        </w:tc>
      </w:tr>
      <w:tr w14:paraId="25402C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tblHeader/>
          <w:jc w:val="center"/>
        </w:trPr>
        <w:tc>
          <w:tcPr>
            <w:tcW w:w="310" w:type="pct"/>
            <w:vMerge w:val="continue"/>
            <w:tcBorders>
              <w:tl2br w:val="nil"/>
              <w:tr2bl w:val="nil"/>
            </w:tcBorders>
            <w:noWrap w:val="0"/>
            <w:vAlign w:val="center"/>
          </w:tcPr>
          <w:p w14:paraId="215FA21C">
            <w:pPr>
              <w:tabs>
                <w:tab w:val="left" w:pos="4767"/>
              </w:tabs>
              <w:spacing w:line="0" w:lineRule="atLeast"/>
              <w:jc w:val="center"/>
              <w:rPr>
                <w:rFonts w:hint="default" w:ascii="Times New Roman" w:hAnsi="Times New Roman" w:eastAsia="宋体" w:cs="Times New Roman"/>
                <w:b/>
                <w:bCs/>
                <w:color w:val="auto"/>
                <w:szCs w:val="21"/>
              </w:rPr>
            </w:pPr>
          </w:p>
        </w:tc>
        <w:tc>
          <w:tcPr>
            <w:tcW w:w="737" w:type="pct"/>
            <w:vMerge w:val="continue"/>
            <w:tcBorders>
              <w:tl2br w:val="nil"/>
              <w:tr2bl w:val="nil"/>
            </w:tcBorders>
            <w:noWrap w:val="0"/>
            <w:vAlign w:val="center"/>
          </w:tcPr>
          <w:p w14:paraId="1F7626CE">
            <w:pPr>
              <w:tabs>
                <w:tab w:val="left" w:pos="4767"/>
              </w:tabs>
              <w:spacing w:line="0" w:lineRule="atLeast"/>
              <w:jc w:val="center"/>
              <w:rPr>
                <w:rFonts w:hint="default" w:ascii="Times New Roman" w:hAnsi="Times New Roman" w:eastAsia="宋体" w:cs="Times New Roman"/>
                <w:b/>
                <w:bCs/>
                <w:color w:val="auto"/>
                <w:szCs w:val="21"/>
              </w:rPr>
            </w:pPr>
          </w:p>
        </w:tc>
        <w:tc>
          <w:tcPr>
            <w:tcW w:w="633" w:type="pct"/>
            <w:tcBorders>
              <w:tl2br w:val="nil"/>
              <w:tr2bl w:val="nil"/>
            </w:tcBorders>
            <w:noWrap w:val="0"/>
            <w:vAlign w:val="center"/>
          </w:tcPr>
          <w:p w14:paraId="5B7B7DCB">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X</w:t>
            </w:r>
          </w:p>
        </w:tc>
        <w:tc>
          <w:tcPr>
            <w:tcW w:w="633" w:type="pct"/>
            <w:tcBorders>
              <w:tl2br w:val="nil"/>
              <w:tr2bl w:val="nil"/>
            </w:tcBorders>
            <w:noWrap w:val="0"/>
            <w:vAlign w:val="center"/>
          </w:tcPr>
          <w:p w14:paraId="75FA9387">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Y</w:t>
            </w:r>
          </w:p>
        </w:tc>
        <w:tc>
          <w:tcPr>
            <w:tcW w:w="639" w:type="pct"/>
            <w:tcBorders>
              <w:tl2br w:val="nil"/>
              <w:tr2bl w:val="nil"/>
            </w:tcBorders>
            <w:noWrap w:val="0"/>
            <w:vAlign w:val="center"/>
          </w:tcPr>
          <w:p w14:paraId="5DC044F9">
            <w:pPr>
              <w:tabs>
                <w:tab w:val="left" w:pos="4767"/>
              </w:tabs>
              <w:spacing w:line="0" w:lineRule="atLeas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Z</w:t>
            </w:r>
          </w:p>
        </w:tc>
        <w:tc>
          <w:tcPr>
            <w:tcW w:w="904" w:type="pct"/>
            <w:vMerge w:val="continue"/>
            <w:tcBorders>
              <w:tl2br w:val="nil"/>
              <w:tr2bl w:val="nil"/>
            </w:tcBorders>
            <w:noWrap w:val="0"/>
            <w:vAlign w:val="center"/>
          </w:tcPr>
          <w:p w14:paraId="3B756397">
            <w:pPr>
              <w:tabs>
                <w:tab w:val="left" w:pos="4767"/>
              </w:tabs>
              <w:spacing w:line="0" w:lineRule="atLeast"/>
              <w:jc w:val="center"/>
              <w:rPr>
                <w:rFonts w:hint="default" w:ascii="Times New Roman" w:hAnsi="Times New Roman" w:eastAsia="宋体" w:cs="Times New Roman"/>
                <w:b/>
                <w:bCs/>
                <w:color w:val="auto"/>
                <w:szCs w:val="21"/>
              </w:rPr>
            </w:pPr>
          </w:p>
        </w:tc>
        <w:tc>
          <w:tcPr>
            <w:tcW w:w="572" w:type="pct"/>
            <w:vMerge w:val="continue"/>
            <w:tcBorders>
              <w:tl2br w:val="nil"/>
              <w:tr2bl w:val="nil"/>
            </w:tcBorders>
            <w:noWrap w:val="0"/>
            <w:vAlign w:val="center"/>
          </w:tcPr>
          <w:p w14:paraId="4FED882D">
            <w:pPr>
              <w:tabs>
                <w:tab w:val="left" w:pos="4767"/>
              </w:tabs>
              <w:spacing w:line="0" w:lineRule="atLeast"/>
              <w:jc w:val="center"/>
              <w:rPr>
                <w:rFonts w:hint="default" w:ascii="Times New Roman" w:hAnsi="Times New Roman" w:eastAsia="宋体" w:cs="Times New Roman"/>
                <w:b/>
                <w:bCs/>
                <w:color w:val="auto"/>
                <w:szCs w:val="21"/>
              </w:rPr>
            </w:pPr>
          </w:p>
        </w:tc>
        <w:tc>
          <w:tcPr>
            <w:tcW w:w="571" w:type="pct"/>
            <w:vMerge w:val="continue"/>
            <w:tcBorders>
              <w:tl2br w:val="nil"/>
              <w:tr2bl w:val="nil"/>
            </w:tcBorders>
            <w:noWrap w:val="0"/>
            <w:vAlign w:val="center"/>
          </w:tcPr>
          <w:p w14:paraId="159F2CE4">
            <w:pPr>
              <w:tabs>
                <w:tab w:val="left" w:pos="4767"/>
              </w:tabs>
              <w:spacing w:line="0" w:lineRule="atLeast"/>
              <w:jc w:val="center"/>
              <w:rPr>
                <w:rFonts w:hint="default" w:ascii="Times New Roman" w:hAnsi="Times New Roman" w:eastAsia="宋体" w:cs="Times New Roman"/>
                <w:b/>
                <w:bCs/>
                <w:color w:val="auto"/>
                <w:szCs w:val="21"/>
              </w:rPr>
            </w:pPr>
          </w:p>
        </w:tc>
      </w:tr>
      <w:tr w14:paraId="16BA79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10" w:type="pct"/>
            <w:tcBorders>
              <w:tl2br w:val="nil"/>
              <w:tr2bl w:val="nil"/>
            </w:tcBorders>
            <w:noWrap w:val="0"/>
            <w:vAlign w:val="center"/>
          </w:tcPr>
          <w:p w14:paraId="709A06B7">
            <w:pPr>
              <w:tabs>
                <w:tab w:val="left" w:pos="4767"/>
              </w:tabs>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737" w:type="pct"/>
            <w:tcBorders>
              <w:tl2br w:val="nil"/>
              <w:tr2bl w:val="nil"/>
            </w:tcBorders>
            <w:noWrap w:val="0"/>
            <w:vAlign w:val="center"/>
          </w:tcPr>
          <w:p w14:paraId="35CD998E">
            <w:pPr>
              <w:tabs>
                <w:tab w:val="left" w:pos="4767"/>
              </w:tabs>
              <w:spacing w:line="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天然气热风炉</w:t>
            </w:r>
          </w:p>
        </w:tc>
        <w:tc>
          <w:tcPr>
            <w:tcW w:w="633" w:type="pct"/>
            <w:tcBorders>
              <w:tl2br w:val="nil"/>
              <w:tr2bl w:val="nil"/>
            </w:tcBorders>
            <w:noWrap w:val="0"/>
            <w:vAlign w:val="center"/>
          </w:tcPr>
          <w:p w14:paraId="5C0F0126">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83</w:t>
            </w:r>
          </w:p>
        </w:tc>
        <w:tc>
          <w:tcPr>
            <w:tcW w:w="633" w:type="pct"/>
            <w:tcBorders>
              <w:tl2br w:val="nil"/>
              <w:tr2bl w:val="nil"/>
            </w:tcBorders>
            <w:noWrap w:val="0"/>
            <w:vAlign w:val="center"/>
          </w:tcPr>
          <w:p w14:paraId="2B49FB40">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52</w:t>
            </w:r>
          </w:p>
        </w:tc>
        <w:tc>
          <w:tcPr>
            <w:tcW w:w="639" w:type="pct"/>
            <w:tcBorders>
              <w:tl2br w:val="nil"/>
              <w:tr2bl w:val="nil"/>
            </w:tcBorders>
            <w:noWrap w:val="0"/>
            <w:vAlign w:val="center"/>
          </w:tcPr>
          <w:p w14:paraId="1A4C6C4A">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0.5</w:t>
            </w:r>
          </w:p>
        </w:tc>
        <w:tc>
          <w:tcPr>
            <w:tcW w:w="904" w:type="pct"/>
            <w:tcBorders>
              <w:tl2br w:val="nil"/>
              <w:tr2bl w:val="nil"/>
            </w:tcBorders>
            <w:noWrap w:val="0"/>
            <w:vAlign w:val="center"/>
          </w:tcPr>
          <w:p w14:paraId="6C0B106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w:t>
            </w:r>
            <w:r>
              <w:rPr>
                <w:rFonts w:hint="default" w:ascii="Times New Roman" w:hAnsi="Times New Roman" w:cs="Times New Roman"/>
                <w:color w:val="auto"/>
                <w:szCs w:val="21"/>
                <w:lang w:val="en-US" w:eastAsia="zh-CN"/>
              </w:rPr>
              <w:t>0</w:t>
            </w:r>
            <w:r>
              <w:rPr>
                <w:rFonts w:hint="default" w:ascii="Times New Roman" w:hAnsi="Times New Roman" w:eastAsia="宋体" w:cs="Times New Roman"/>
                <w:color w:val="auto"/>
                <w:szCs w:val="21"/>
                <w:lang w:val="en-US" w:eastAsia="zh-CN"/>
              </w:rPr>
              <w:t>/1</w:t>
            </w:r>
          </w:p>
        </w:tc>
        <w:tc>
          <w:tcPr>
            <w:tcW w:w="572" w:type="pct"/>
            <w:vMerge w:val="restart"/>
            <w:tcBorders>
              <w:tl2br w:val="nil"/>
              <w:tr2bl w:val="nil"/>
            </w:tcBorders>
            <w:noWrap w:val="0"/>
            <w:vAlign w:val="center"/>
          </w:tcPr>
          <w:p w14:paraId="14D6E9F5">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基础减振、距离衰减</w:t>
            </w:r>
          </w:p>
        </w:tc>
        <w:tc>
          <w:tcPr>
            <w:tcW w:w="571" w:type="pct"/>
            <w:vMerge w:val="restart"/>
            <w:tcBorders>
              <w:tl2br w:val="nil"/>
              <w:tr2bl w:val="nil"/>
            </w:tcBorders>
            <w:noWrap w:val="0"/>
            <w:vAlign w:val="center"/>
          </w:tcPr>
          <w:p w14:paraId="51AB671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昼夜</w:t>
            </w:r>
          </w:p>
        </w:tc>
      </w:tr>
      <w:tr w14:paraId="5671FC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10" w:type="pct"/>
            <w:tcBorders>
              <w:tl2br w:val="nil"/>
              <w:tr2bl w:val="nil"/>
            </w:tcBorders>
            <w:noWrap w:val="0"/>
            <w:vAlign w:val="center"/>
          </w:tcPr>
          <w:p w14:paraId="6DE5FEBB">
            <w:pPr>
              <w:tabs>
                <w:tab w:val="left" w:pos="4767"/>
              </w:tabs>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737" w:type="pct"/>
            <w:tcBorders>
              <w:tl2br w:val="nil"/>
              <w:tr2bl w:val="nil"/>
            </w:tcBorders>
            <w:noWrap w:val="0"/>
            <w:vAlign w:val="center"/>
          </w:tcPr>
          <w:p w14:paraId="03A3C1D1">
            <w:pPr>
              <w:tabs>
                <w:tab w:val="left" w:pos="4767"/>
              </w:tabs>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导热油炉</w:t>
            </w:r>
          </w:p>
        </w:tc>
        <w:tc>
          <w:tcPr>
            <w:tcW w:w="633" w:type="pct"/>
            <w:tcBorders>
              <w:tl2br w:val="nil"/>
              <w:tr2bl w:val="nil"/>
            </w:tcBorders>
            <w:noWrap w:val="0"/>
            <w:vAlign w:val="center"/>
          </w:tcPr>
          <w:p w14:paraId="37DC4B1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85</w:t>
            </w:r>
          </w:p>
        </w:tc>
        <w:tc>
          <w:tcPr>
            <w:tcW w:w="633" w:type="pct"/>
            <w:tcBorders>
              <w:tl2br w:val="nil"/>
              <w:tr2bl w:val="nil"/>
            </w:tcBorders>
            <w:noWrap w:val="0"/>
            <w:vAlign w:val="center"/>
          </w:tcPr>
          <w:p w14:paraId="487722D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87</w:t>
            </w:r>
          </w:p>
        </w:tc>
        <w:tc>
          <w:tcPr>
            <w:tcW w:w="639" w:type="pct"/>
            <w:tcBorders>
              <w:tl2br w:val="nil"/>
              <w:tr2bl w:val="nil"/>
            </w:tcBorders>
            <w:noWrap w:val="0"/>
            <w:vAlign w:val="center"/>
          </w:tcPr>
          <w:p w14:paraId="48B0079C">
            <w:pPr>
              <w:tabs>
                <w:tab w:val="left" w:pos="4767"/>
              </w:tabs>
              <w:spacing w:line="0" w:lineRule="atLeast"/>
              <w:jc w:val="center"/>
              <w:rPr>
                <w:rFonts w:hint="default" w:ascii="Times New Roman" w:hAnsi="Times New Roman" w:eastAsia="宋体" w:cs="Times New Roman"/>
                <w:color w:val="auto"/>
                <w:szCs w:val="21"/>
              </w:rPr>
            </w:pPr>
            <w:r>
              <w:rPr>
                <w:rFonts w:hint="default" w:ascii="Times New Roman" w:hAnsi="Times New Roman" w:cs="Times New Roman"/>
                <w:color w:val="auto"/>
                <w:szCs w:val="21"/>
              </w:rPr>
              <w:t>0.5</w:t>
            </w:r>
          </w:p>
        </w:tc>
        <w:tc>
          <w:tcPr>
            <w:tcW w:w="904" w:type="pct"/>
            <w:tcBorders>
              <w:tl2br w:val="nil"/>
              <w:tr2bl w:val="nil"/>
            </w:tcBorders>
            <w:noWrap w:val="0"/>
            <w:vAlign w:val="center"/>
          </w:tcPr>
          <w:p w14:paraId="3A4B12AC">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9</w:t>
            </w:r>
            <w:r>
              <w:rPr>
                <w:rFonts w:hint="default" w:ascii="Times New Roman" w:hAnsi="Times New Roman" w:eastAsia="宋体" w:cs="Times New Roman"/>
                <w:color w:val="auto"/>
                <w:szCs w:val="21"/>
                <w:lang w:val="en-US" w:eastAsia="zh-CN"/>
              </w:rPr>
              <w:t>0/1</w:t>
            </w:r>
          </w:p>
        </w:tc>
        <w:tc>
          <w:tcPr>
            <w:tcW w:w="572" w:type="pct"/>
            <w:vMerge w:val="continue"/>
            <w:tcBorders>
              <w:tl2br w:val="nil"/>
              <w:tr2bl w:val="nil"/>
            </w:tcBorders>
            <w:noWrap w:val="0"/>
            <w:vAlign w:val="center"/>
          </w:tcPr>
          <w:p w14:paraId="2A9D699D">
            <w:pPr>
              <w:tabs>
                <w:tab w:val="left" w:pos="4767"/>
              </w:tabs>
              <w:spacing w:line="0" w:lineRule="atLeast"/>
              <w:jc w:val="center"/>
              <w:rPr>
                <w:rFonts w:hint="default" w:ascii="Times New Roman" w:hAnsi="Times New Roman" w:eastAsia="宋体" w:cs="Times New Roman"/>
                <w:color w:val="auto"/>
                <w:szCs w:val="21"/>
              </w:rPr>
            </w:pPr>
          </w:p>
        </w:tc>
        <w:tc>
          <w:tcPr>
            <w:tcW w:w="571" w:type="pct"/>
            <w:vMerge w:val="continue"/>
            <w:tcBorders>
              <w:tl2br w:val="nil"/>
              <w:tr2bl w:val="nil"/>
            </w:tcBorders>
            <w:noWrap w:val="0"/>
            <w:vAlign w:val="center"/>
          </w:tcPr>
          <w:p w14:paraId="528CACF1">
            <w:pPr>
              <w:tabs>
                <w:tab w:val="left" w:pos="4767"/>
              </w:tabs>
              <w:spacing w:line="0" w:lineRule="atLeast"/>
              <w:jc w:val="center"/>
              <w:rPr>
                <w:rFonts w:hint="default" w:ascii="Times New Roman" w:hAnsi="Times New Roman" w:eastAsia="宋体" w:cs="Times New Roman"/>
                <w:color w:val="auto"/>
                <w:szCs w:val="21"/>
              </w:rPr>
            </w:pPr>
          </w:p>
        </w:tc>
      </w:tr>
      <w:tr w14:paraId="6AF578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10" w:type="pct"/>
            <w:tcBorders>
              <w:tl2br w:val="nil"/>
              <w:tr2bl w:val="nil"/>
            </w:tcBorders>
            <w:noWrap w:val="0"/>
            <w:vAlign w:val="center"/>
          </w:tcPr>
          <w:p w14:paraId="00A73317">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3</w:t>
            </w:r>
          </w:p>
        </w:tc>
        <w:tc>
          <w:tcPr>
            <w:tcW w:w="737" w:type="pct"/>
            <w:tcBorders>
              <w:tl2br w:val="nil"/>
              <w:tr2bl w:val="nil"/>
            </w:tcBorders>
            <w:noWrap w:val="0"/>
            <w:vAlign w:val="center"/>
          </w:tcPr>
          <w:p w14:paraId="231F78EC">
            <w:pPr>
              <w:tabs>
                <w:tab w:val="left" w:pos="4767"/>
              </w:tabs>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搅拌器</w:t>
            </w:r>
          </w:p>
        </w:tc>
        <w:tc>
          <w:tcPr>
            <w:tcW w:w="633" w:type="pct"/>
            <w:tcBorders>
              <w:tl2br w:val="nil"/>
              <w:tr2bl w:val="nil"/>
            </w:tcBorders>
            <w:noWrap w:val="0"/>
            <w:vAlign w:val="center"/>
          </w:tcPr>
          <w:p w14:paraId="24D2E5A0">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82</w:t>
            </w:r>
          </w:p>
        </w:tc>
        <w:tc>
          <w:tcPr>
            <w:tcW w:w="633" w:type="pct"/>
            <w:tcBorders>
              <w:tl2br w:val="nil"/>
              <w:tr2bl w:val="nil"/>
            </w:tcBorders>
            <w:noWrap w:val="0"/>
            <w:vAlign w:val="center"/>
          </w:tcPr>
          <w:p w14:paraId="3C2C4C8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84</w:t>
            </w:r>
          </w:p>
        </w:tc>
        <w:tc>
          <w:tcPr>
            <w:tcW w:w="639" w:type="pct"/>
            <w:tcBorders>
              <w:tl2br w:val="nil"/>
              <w:tr2bl w:val="nil"/>
            </w:tcBorders>
            <w:noWrap w:val="0"/>
            <w:vAlign w:val="center"/>
          </w:tcPr>
          <w:p w14:paraId="12E0006D">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0.5</w:t>
            </w:r>
          </w:p>
        </w:tc>
        <w:tc>
          <w:tcPr>
            <w:tcW w:w="904" w:type="pct"/>
            <w:tcBorders>
              <w:tl2br w:val="nil"/>
              <w:tr2bl w:val="nil"/>
            </w:tcBorders>
            <w:noWrap w:val="0"/>
            <w:vAlign w:val="center"/>
          </w:tcPr>
          <w:p w14:paraId="5810287C">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95</w:t>
            </w:r>
            <w:r>
              <w:rPr>
                <w:rFonts w:hint="default" w:ascii="Times New Roman" w:hAnsi="Times New Roman" w:eastAsia="宋体" w:cs="Times New Roman"/>
                <w:color w:val="auto"/>
                <w:szCs w:val="21"/>
                <w:lang w:val="en-US" w:eastAsia="zh-CN"/>
              </w:rPr>
              <w:t>/1</w:t>
            </w:r>
          </w:p>
        </w:tc>
        <w:tc>
          <w:tcPr>
            <w:tcW w:w="572" w:type="pct"/>
            <w:vMerge w:val="continue"/>
            <w:tcBorders>
              <w:tl2br w:val="nil"/>
              <w:tr2bl w:val="nil"/>
            </w:tcBorders>
            <w:noWrap w:val="0"/>
            <w:vAlign w:val="center"/>
          </w:tcPr>
          <w:p w14:paraId="437F9503">
            <w:pPr>
              <w:tabs>
                <w:tab w:val="left" w:pos="4767"/>
              </w:tabs>
              <w:spacing w:line="0" w:lineRule="atLeast"/>
              <w:jc w:val="center"/>
              <w:rPr>
                <w:rFonts w:hint="default" w:ascii="Times New Roman" w:hAnsi="Times New Roman" w:eastAsia="宋体" w:cs="Times New Roman"/>
                <w:color w:val="auto"/>
                <w:szCs w:val="21"/>
              </w:rPr>
            </w:pPr>
          </w:p>
        </w:tc>
        <w:tc>
          <w:tcPr>
            <w:tcW w:w="571" w:type="pct"/>
            <w:vMerge w:val="continue"/>
            <w:tcBorders>
              <w:tl2br w:val="nil"/>
              <w:tr2bl w:val="nil"/>
            </w:tcBorders>
            <w:noWrap w:val="0"/>
            <w:vAlign w:val="center"/>
          </w:tcPr>
          <w:p w14:paraId="4CF0384D">
            <w:pPr>
              <w:tabs>
                <w:tab w:val="left" w:pos="4767"/>
              </w:tabs>
              <w:spacing w:line="0" w:lineRule="atLeast"/>
              <w:jc w:val="center"/>
              <w:rPr>
                <w:rFonts w:hint="default" w:ascii="Times New Roman" w:hAnsi="Times New Roman" w:eastAsia="宋体" w:cs="Times New Roman"/>
                <w:color w:val="auto"/>
                <w:szCs w:val="21"/>
              </w:rPr>
            </w:pPr>
          </w:p>
        </w:tc>
      </w:tr>
      <w:tr w14:paraId="15E80B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10" w:type="pct"/>
            <w:tcBorders>
              <w:tl2br w:val="nil"/>
              <w:tr2bl w:val="nil"/>
            </w:tcBorders>
            <w:noWrap w:val="0"/>
            <w:vAlign w:val="center"/>
          </w:tcPr>
          <w:p w14:paraId="157FEC76">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4</w:t>
            </w:r>
          </w:p>
        </w:tc>
        <w:tc>
          <w:tcPr>
            <w:tcW w:w="737" w:type="pct"/>
            <w:tcBorders>
              <w:tl2br w:val="nil"/>
              <w:tr2bl w:val="nil"/>
            </w:tcBorders>
            <w:noWrap w:val="0"/>
            <w:vAlign w:val="center"/>
          </w:tcPr>
          <w:p w14:paraId="7D402915">
            <w:pPr>
              <w:tabs>
                <w:tab w:val="left" w:pos="4767"/>
              </w:tabs>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引风机</w:t>
            </w:r>
          </w:p>
        </w:tc>
        <w:tc>
          <w:tcPr>
            <w:tcW w:w="633" w:type="pct"/>
            <w:tcBorders>
              <w:tl2br w:val="nil"/>
              <w:tr2bl w:val="nil"/>
            </w:tcBorders>
            <w:noWrap w:val="0"/>
            <w:vAlign w:val="center"/>
          </w:tcPr>
          <w:p w14:paraId="7C35C030">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84</w:t>
            </w:r>
          </w:p>
        </w:tc>
        <w:tc>
          <w:tcPr>
            <w:tcW w:w="633" w:type="pct"/>
            <w:tcBorders>
              <w:tl2br w:val="nil"/>
              <w:tr2bl w:val="nil"/>
            </w:tcBorders>
            <w:noWrap w:val="0"/>
            <w:vAlign w:val="center"/>
          </w:tcPr>
          <w:p w14:paraId="4511ADAD">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85</w:t>
            </w:r>
          </w:p>
        </w:tc>
        <w:tc>
          <w:tcPr>
            <w:tcW w:w="639" w:type="pct"/>
            <w:tcBorders>
              <w:tl2br w:val="nil"/>
              <w:tr2bl w:val="nil"/>
            </w:tcBorders>
            <w:noWrap w:val="0"/>
            <w:vAlign w:val="center"/>
          </w:tcPr>
          <w:p w14:paraId="380BA64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15</w:t>
            </w:r>
          </w:p>
        </w:tc>
        <w:tc>
          <w:tcPr>
            <w:tcW w:w="904" w:type="pct"/>
            <w:tcBorders>
              <w:tl2br w:val="nil"/>
              <w:tr2bl w:val="nil"/>
            </w:tcBorders>
            <w:noWrap w:val="0"/>
            <w:vAlign w:val="center"/>
          </w:tcPr>
          <w:p w14:paraId="0B1D2053">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80</w:t>
            </w:r>
            <w:r>
              <w:rPr>
                <w:rFonts w:hint="default" w:ascii="Times New Roman" w:hAnsi="Times New Roman" w:eastAsia="宋体" w:cs="Times New Roman"/>
                <w:color w:val="auto"/>
                <w:szCs w:val="21"/>
                <w:lang w:val="en-US" w:eastAsia="zh-CN"/>
              </w:rPr>
              <w:t>/1</w:t>
            </w:r>
          </w:p>
        </w:tc>
        <w:tc>
          <w:tcPr>
            <w:tcW w:w="572" w:type="pct"/>
            <w:vMerge w:val="continue"/>
            <w:tcBorders>
              <w:tl2br w:val="nil"/>
              <w:tr2bl w:val="nil"/>
            </w:tcBorders>
            <w:noWrap w:val="0"/>
            <w:vAlign w:val="center"/>
          </w:tcPr>
          <w:p w14:paraId="43BCCAED">
            <w:pPr>
              <w:tabs>
                <w:tab w:val="left" w:pos="4767"/>
              </w:tabs>
              <w:spacing w:line="0" w:lineRule="atLeast"/>
              <w:jc w:val="center"/>
              <w:rPr>
                <w:rFonts w:hint="default" w:ascii="Times New Roman" w:hAnsi="Times New Roman" w:eastAsia="宋体" w:cs="Times New Roman"/>
                <w:color w:val="auto"/>
                <w:szCs w:val="21"/>
              </w:rPr>
            </w:pPr>
          </w:p>
        </w:tc>
        <w:tc>
          <w:tcPr>
            <w:tcW w:w="571" w:type="pct"/>
            <w:vMerge w:val="continue"/>
            <w:tcBorders>
              <w:tl2br w:val="nil"/>
              <w:tr2bl w:val="nil"/>
            </w:tcBorders>
            <w:noWrap w:val="0"/>
            <w:vAlign w:val="center"/>
          </w:tcPr>
          <w:p w14:paraId="7319C638">
            <w:pPr>
              <w:tabs>
                <w:tab w:val="left" w:pos="4767"/>
              </w:tabs>
              <w:spacing w:line="0" w:lineRule="atLeast"/>
              <w:jc w:val="center"/>
              <w:rPr>
                <w:rFonts w:hint="default" w:ascii="Times New Roman" w:hAnsi="Times New Roman" w:eastAsia="宋体" w:cs="Times New Roman"/>
                <w:color w:val="auto"/>
                <w:szCs w:val="21"/>
              </w:rPr>
            </w:pPr>
          </w:p>
        </w:tc>
      </w:tr>
      <w:tr w14:paraId="415D34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10" w:type="pct"/>
            <w:tcBorders>
              <w:tl2br w:val="nil"/>
              <w:tr2bl w:val="nil"/>
            </w:tcBorders>
            <w:noWrap w:val="0"/>
            <w:vAlign w:val="center"/>
          </w:tcPr>
          <w:p w14:paraId="49B04252">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5</w:t>
            </w:r>
          </w:p>
        </w:tc>
        <w:tc>
          <w:tcPr>
            <w:tcW w:w="737" w:type="pct"/>
            <w:tcBorders>
              <w:tl2br w:val="nil"/>
              <w:tr2bl w:val="nil"/>
            </w:tcBorders>
            <w:noWrap w:val="0"/>
            <w:vAlign w:val="center"/>
          </w:tcPr>
          <w:p w14:paraId="1381187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振动筛</w:t>
            </w:r>
          </w:p>
        </w:tc>
        <w:tc>
          <w:tcPr>
            <w:tcW w:w="633" w:type="pct"/>
            <w:tcBorders>
              <w:tl2br w:val="nil"/>
              <w:tr2bl w:val="nil"/>
            </w:tcBorders>
            <w:noWrap w:val="0"/>
            <w:vAlign w:val="center"/>
          </w:tcPr>
          <w:p w14:paraId="74731A9B">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79</w:t>
            </w:r>
          </w:p>
        </w:tc>
        <w:tc>
          <w:tcPr>
            <w:tcW w:w="633" w:type="pct"/>
            <w:tcBorders>
              <w:tl2br w:val="nil"/>
              <w:tr2bl w:val="nil"/>
            </w:tcBorders>
            <w:noWrap w:val="0"/>
            <w:vAlign w:val="center"/>
          </w:tcPr>
          <w:p w14:paraId="25556D79">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76</w:t>
            </w:r>
          </w:p>
        </w:tc>
        <w:tc>
          <w:tcPr>
            <w:tcW w:w="639" w:type="pct"/>
            <w:tcBorders>
              <w:tl2br w:val="nil"/>
              <w:tr2bl w:val="nil"/>
            </w:tcBorders>
            <w:noWrap w:val="0"/>
            <w:vAlign w:val="center"/>
          </w:tcPr>
          <w:p w14:paraId="1FF3789C">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0.5</w:t>
            </w:r>
          </w:p>
        </w:tc>
        <w:tc>
          <w:tcPr>
            <w:tcW w:w="904" w:type="pct"/>
            <w:tcBorders>
              <w:tl2br w:val="nil"/>
              <w:tr2bl w:val="nil"/>
            </w:tcBorders>
            <w:noWrap w:val="0"/>
            <w:vAlign w:val="center"/>
          </w:tcPr>
          <w:p w14:paraId="7958BD68">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95</w:t>
            </w:r>
            <w:r>
              <w:rPr>
                <w:rFonts w:hint="default" w:ascii="Times New Roman" w:hAnsi="Times New Roman" w:eastAsia="宋体" w:cs="Times New Roman"/>
                <w:color w:val="auto"/>
                <w:szCs w:val="21"/>
                <w:lang w:val="en-US" w:eastAsia="zh-CN"/>
              </w:rPr>
              <w:t>/1</w:t>
            </w:r>
          </w:p>
        </w:tc>
        <w:tc>
          <w:tcPr>
            <w:tcW w:w="572" w:type="pct"/>
            <w:vMerge w:val="continue"/>
            <w:tcBorders>
              <w:tl2br w:val="nil"/>
              <w:tr2bl w:val="nil"/>
            </w:tcBorders>
            <w:noWrap w:val="0"/>
            <w:vAlign w:val="center"/>
          </w:tcPr>
          <w:p w14:paraId="035EFD7A">
            <w:pPr>
              <w:tabs>
                <w:tab w:val="left" w:pos="4767"/>
              </w:tabs>
              <w:spacing w:line="0" w:lineRule="atLeast"/>
              <w:jc w:val="center"/>
              <w:rPr>
                <w:rFonts w:hint="default" w:ascii="Times New Roman" w:hAnsi="Times New Roman" w:eastAsia="宋体" w:cs="Times New Roman"/>
                <w:color w:val="auto"/>
                <w:szCs w:val="21"/>
              </w:rPr>
            </w:pPr>
          </w:p>
        </w:tc>
        <w:tc>
          <w:tcPr>
            <w:tcW w:w="571" w:type="pct"/>
            <w:vMerge w:val="continue"/>
            <w:tcBorders>
              <w:tl2br w:val="nil"/>
              <w:tr2bl w:val="nil"/>
            </w:tcBorders>
            <w:noWrap w:val="0"/>
            <w:vAlign w:val="center"/>
          </w:tcPr>
          <w:p w14:paraId="408E8891">
            <w:pPr>
              <w:tabs>
                <w:tab w:val="left" w:pos="4767"/>
              </w:tabs>
              <w:spacing w:line="0" w:lineRule="atLeast"/>
              <w:jc w:val="center"/>
              <w:rPr>
                <w:rFonts w:hint="default" w:ascii="Times New Roman" w:hAnsi="Times New Roman" w:eastAsia="宋体" w:cs="Times New Roman"/>
                <w:color w:val="auto"/>
                <w:szCs w:val="21"/>
              </w:rPr>
            </w:pPr>
          </w:p>
        </w:tc>
      </w:tr>
      <w:tr w14:paraId="12CB6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10" w:type="pct"/>
            <w:tcBorders>
              <w:tl2br w:val="nil"/>
              <w:tr2bl w:val="nil"/>
            </w:tcBorders>
            <w:noWrap w:val="0"/>
            <w:vAlign w:val="center"/>
          </w:tcPr>
          <w:p w14:paraId="7F3034EA">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6</w:t>
            </w:r>
          </w:p>
        </w:tc>
        <w:tc>
          <w:tcPr>
            <w:tcW w:w="737" w:type="pct"/>
            <w:tcBorders>
              <w:tl2br w:val="nil"/>
              <w:tr2bl w:val="nil"/>
            </w:tcBorders>
            <w:noWrap w:val="0"/>
            <w:vAlign w:val="center"/>
          </w:tcPr>
          <w:p w14:paraId="4C165ADD">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提升机</w:t>
            </w:r>
          </w:p>
        </w:tc>
        <w:tc>
          <w:tcPr>
            <w:tcW w:w="633" w:type="pct"/>
            <w:tcBorders>
              <w:tl2br w:val="nil"/>
              <w:tr2bl w:val="nil"/>
            </w:tcBorders>
            <w:noWrap w:val="0"/>
            <w:vAlign w:val="center"/>
          </w:tcPr>
          <w:p w14:paraId="0F8FDBED">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65</w:t>
            </w:r>
          </w:p>
        </w:tc>
        <w:tc>
          <w:tcPr>
            <w:tcW w:w="633" w:type="pct"/>
            <w:tcBorders>
              <w:tl2br w:val="nil"/>
              <w:tr2bl w:val="nil"/>
            </w:tcBorders>
            <w:noWrap w:val="0"/>
            <w:vAlign w:val="center"/>
          </w:tcPr>
          <w:p w14:paraId="76DFAFC8">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72</w:t>
            </w:r>
          </w:p>
        </w:tc>
        <w:tc>
          <w:tcPr>
            <w:tcW w:w="639" w:type="pct"/>
            <w:tcBorders>
              <w:tl2br w:val="nil"/>
              <w:tr2bl w:val="nil"/>
            </w:tcBorders>
            <w:noWrap w:val="0"/>
            <w:vAlign w:val="center"/>
          </w:tcPr>
          <w:p w14:paraId="342675C8">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0.5</w:t>
            </w:r>
          </w:p>
        </w:tc>
        <w:tc>
          <w:tcPr>
            <w:tcW w:w="904" w:type="pct"/>
            <w:tcBorders>
              <w:tl2br w:val="nil"/>
              <w:tr2bl w:val="nil"/>
            </w:tcBorders>
            <w:noWrap w:val="0"/>
            <w:vAlign w:val="center"/>
          </w:tcPr>
          <w:p w14:paraId="7B7F03FF">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90</w:t>
            </w:r>
            <w:r>
              <w:rPr>
                <w:rFonts w:hint="default" w:ascii="Times New Roman" w:hAnsi="Times New Roman" w:eastAsia="宋体" w:cs="Times New Roman"/>
                <w:color w:val="auto"/>
                <w:szCs w:val="21"/>
                <w:lang w:val="en-US" w:eastAsia="zh-CN"/>
              </w:rPr>
              <w:t>/1</w:t>
            </w:r>
          </w:p>
        </w:tc>
        <w:tc>
          <w:tcPr>
            <w:tcW w:w="572" w:type="pct"/>
            <w:vMerge w:val="continue"/>
            <w:tcBorders>
              <w:tl2br w:val="nil"/>
              <w:tr2bl w:val="nil"/>
            </w:tcBorders>
            <w:noWrap w:val="0"/>
            <w:vAlign w:val="center"/>
          </w:tcPr>
          <w:p w14:paraId="4E147636">
            <w:pPr>
              <w:tabs>
                <w:tab w:val="left" w:pos="4767"/>
              </w:tabs>
              <w:spacing w:line="0" w:lineRule="atLeast"/>
              <w:jc w:val="center"/>
              <w:rPr>
                <w:rFonts w:hint="default" w:ascii="Times New Roman" w:hAnsi="Times New Roman" w:eastAsia="宋体" w:cs="Times New Roman"/>
                <w:color w:val="auto"/>
                <w:szCs w:val="21"/>
              </w:rPr>
            </w:pPr>
          </w:p>
        </w:tc>
        <w:tc>
          <w:tcPr>
            <w:tcW w:w="571" w:type="pct"/>
            <w:vMerge w:val="continue"/>
            <w:tcBorders>
              <w:tl2br w:val="nil"/>
              <w:tr2bl w:val="nil"/>
            </w:tcBorders>
            <w:noWrap w:val="0"/>
            <w:vAlign w:val="center"/>
          </w:tcPr>
          <w:p w14:paraId="411F5ADC">
            <w:pPr>
              <w:tabs>
                <w:tab w:val="left" w:pos="4767"/>
              </w:tabs>
              <w:spacing w:line="0" w:lineRule="atLeast"/>
              <w:jc w:val="center"/>
              <w:rPr>
                <w:rFonts w:hint="default" w:ascii="Times New Roman" w:hAnsi="Times New Roman" w:eastAsia="宋体" w:cs="Times New Roman"/>
                <w:color w:val="auto"/>
                <w:szCs w:val="21"/>
              </w:rPr>
            </w:pPr>
          </w:p>
        </w:tc>
      </w:tr>
      <w:tr w14:paraId="5750FF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10" w:type="pct"/>
            <w:tcBorders>
              <w:tl2br w:val="nil"/>
              <w:tr2bl w:val="nil"/>
            </w:tcBorders>
            <w:noWrap w:val="0"/>
            <w:vAlign w:val="center"/>
          </w:tcPr>
          <w:p w14:paraId="73C013AB">
            <w:pPr>
              <w:tabs>
                <w:tab w:val="left" w:pos="4767"/>
              </w:tabs>
              <w:spacing w:line="0" w:lineRule="atLeast"/>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7</w:t>
            </w:r>
          </w:p>
        </w:tc>
        <w:tc>
          <w:tcPr>
            <w:tcW w:w="737" w:type="pct"/>
            <w:tcBorders>
              <w:tl2br w:val="nil"/>
              <w:tr2bl w:val="nil"/>
            </w:tcBorders>
            <w:noWrap w:val="0"/>
            <w:vAlign w:val="center"/>
          </w:tcPr>
          <w:p w14:paraId="1DA1AC04">
            <w:pPr>
              <w:tabs>
                <w:tab w:val="left" w:pos="4767"/>
              </w:tabs>
              <w:spacing w:line="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搅拌机</w:t>
            </w:r>
          </w:p>
        </w:tc>
        <w:tc>
          <w:tcPr>
            <w:tcW w:w="633" w:type="pct"/>
            <w:tcBorders>
              <w:tl2br w:val="nil"/>
              <w:tr2bl w:val="nil"/>
            </w:tcBorders>
            <w:shd w:val="clear" w:color="auto" w:fill="auto"/>
            <w:noWrap w:val="0"/>
            <w:vAlign w:val="center"/>
          </w:tcPr>
          <w:p w14:paraId="3BF69E1F">
            <w:pPr>
              <w:tabs>
                <w:tab w:val="left" w:pos="4767"/>
              </w:tabs>
              <w:spacing w:line="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8</w:t>
            </w:r>
            <w:r>
              <w:rPr>
                <w:rFonts w:hint="eastAsia" w:cs="Times New Roman"/>
                <w:color w:val="auto"/>
                <w:szCs w:val="21"/>
                <w:lang w:val="en-US" w:eastAsia="zh-CN"/>
              </w:rPr>
              <w:t>1</w:t>
            </w:r>
          </w:p>
        </w:tc>
        <w:tc>
          <w:tcPr>
            <w:tcW w:w="633" w:type="pct"/>
            <w:tcBorders>
              <w:tl2br w:val="nil"/>
              <w:tr2bl w:val="nil"/>
            </w:tcBorders>
            <w:shd w:val="clear" w:color="auto" w:fill="auto"/>
            <w:noWrap w:val="0"/>
            <w:vAlign w:val="center"/>
          </w:tcPr>
          <w:p w14:paraId="64A97B4E">
            <w:pPr>
              <w:tabs>
                <w:tab w:val="left" w:pos="4767"/>
              </w:tabs>
              <w:spacing w:line="0" w:lineRule="atLeas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8</w:t>
            </w:r>
            <w:r>
              <w:rPr>
                <w:rFonts w:hint="eastAsia" w:cs="Times New Roman"/>
                <w:color w:val="auto"/>
                <w:szCs w:val="21"/>
                <w:lang w:val="en-US" w:eastAsia="zh-CN"/>
              </w:rPr>
              <w:t>3</w:t>
            </w:r>
          </w:p>
        </w:tc>
        <w:tc>
          <w:tcPr>
            <w:tcW w:w="639" w:type="pct"/>
            <w:tcBorders>
              <w:tl2br w:val="nil"/>
              <w:tr2bl w:val="nil"/>
            </w:tcBorders>
            <w:shd w:val="clear" w:color="auto" w:fill="auto"/>
            <w:noWrap w:val="0"/>
            <w:vAlign w:val="center"/>
          </w:tcPr>
          <w:p w14:paraId="25087775">
            <w:pPr>
              <w:tabs>
                <w:tab w:val="left" w:pos="4767"/>
              </w:tabs>
              <w:spacing w:line="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w:t>
            </w:r>
          </w:p>
        </w:tc>
        <w:tc>
          <w:tcPr>
            <w:tcW w:w="904" w:type="pct"/>
            <w:tcBorders>
              <w:tl2br w:val="nil"/>
              <w:tr2bl w:val="nil"/>
            </w:tcBorders>
            <w:noWrap w:val="0"/>
            <w:vAlign w:val="center"/>
          </w:tcPr>
          <w:p w14:paraId="6DD185D2">
            <w:pPr>
              <w:tabs>
                <w:tab w:val="left" w:pos="4767"/>
              </w:tabs>
              <w:spacing w:line="0" w:lineRule="atLeas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95</w:t>
            </w:r>
            <w:r>
              <w:rPr>
                <w:rFonts w:hint="default" w:ascii="Times New Roman" w:hAnsi="Times New Roman" w:eastAsia="宋体" w:cs="Times New Roman"/>
                <w:color w:val="auto"/>
                <w:szCs w:val="21"/>
                <w:lang w:val="en-US" w:eastAsia="zh-CN"/>
              </w:rPr>
              <w:t>/1</w:t>
            </w:r>
          </w:p>
        </w:tc>
        <w:tc>
          <w:tcPr>
            <w:tcW w:w="572" w:type="pct"/>
            <w:vMerge w:val="continue"/>
            <w:tcBorders>
              <w:tl2br w:val="nil"/>
              <w:tr2bl w:val="nil"/>
            </w:tcBorders>
            <w:noWrap w:val="0"/>
            <w:vAlign w:val="center"/>
          </w:tcPr>
          <w:p w14:paraId="3948E876">
            <w:pPr>
              <w:tabs>
                <w:tab w:val="left" w:pos="4767"/>
              </w:tabs>
              <w:spacing w:line="0" w:lineRule="atLeast"/>
              <w:jc w:val="center"/>
              <w:rPr>
                <w:rFonts w:hint="default" w:ascii="Times New Roman" w:hAnsi="Times New Roman" w:eastAsia="宋体" w:cs="Times New Roman"/>
                <w:color w:val="auto"/>
                <w:szCs w:val="21"/>
              </w:rPr>
            </w:pPr>
          </w:p>
        </w:tc>
        <w:tc>
          <w:tcPr>
            <w:tcW w:w="571" w:type="pct"/>
            <w:vMerge w:val="continue"/>
            <w:tcBorders>
              <w:tl2br w:val="nil"/>
              <w:tr2bl w:val="nil"/>
            </w:tcBorders>
            <w:noWrap w:val="0"/>
            <w:vAlign w:val="center"/>
          </w:tcPr>
          <w:p w14:paraId="152097C6">
            <w:pPr>
              <w:tabs>
                <w:tab w:val="left" w:pos="4767"/>
              </w:tabs>
              <w:spacing w:line="0" w:lineRule="atLeast"/>
              <w:jc w:val="center"/>
              <w:rPr>
                <w:rFonts w:hint="default" w:ascii="Times New Roman" w:hAnsi="Times New Roman" w:eastAsia="宋体" w:cs="Times New Roman"/>
                <w:color w:val="auto"/>
                <w:szCs w:val="21"/>
              </w:rPr>
            </w:pPr>
          </w:p>
        </w:tc>
      </w:tr>
    </w:tbl>
    <w:p w14:paraId="78940FCD">
      <w:pPr>
        <w:tabs>
          <w:tab w:val="left" w:pos="4767"/>
        </w:tabs>
        <w:rPr>
          <w:rFonts w:hint="default" w:ascii="Times New Roman" w:hAnsi="Times New Roman" w:cs="Times New Roman"/>
          <w:color w:val="auto"/>
        </w:rPr>
      </w:pPr>
    </w:p>
    <w:p w14:paraId="626AF628">
      <w:pPr>
        <w:tabs>
          <w:tab w:val="left" w:pos="4767"/>
        </w:tabs>
        <w:rPr>
          <w:rFonts w:hint="default" w:ascii="Times New Roman" w:hAnsi="Times New Roman" w:cs="Times New Roman"/>
          <w:color w:val="auto"/>
        </w:rPr>
      </w:pPr>
    </w:p>
    <w:p w14:paraId="3EA8A594">
      <w:pPr>
        <w:tabs>
          <w:tab w:val="left" w:pos="4767"/>
        </w:tabs>
        <w:rPr>
          <w:rFonts w:hint="default" w:ascii="Times New Roman" w:hAnsi="Times New Roman" w:cs="Times New Roman"/>
          <w:color w:val="auto"/>
        </w:rPr>
        <w:sectPr>
          <w:pgSz w:w="16838" w:h="11905" w:orient="landscape"/>
          <w:pgMar w:top="1417" w:right="1417" w:bottom="1417" w:left="1417" w:header="851" w:footer="964" w:gutter="0"/>
          <w:pgBorders>
            <w:top w:val="none" w:sz="0" w:space="0"/>
            <w:left w:val="none" w:sz="0" w:space="0"/>
            <w:bottom w:val="none" w:sz="0" w:space="0"/>
            <w:right w:val="none" w:sz="0" w:space="0"/>
          </w:pgBorders>
          <w:cols w:space="0" w:num="1"/>
          <w:docGrid w:type="linesAndChars" w:linePitch="466" w:charSpace="3482"/>
        </w:sect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425"/>
      </w:tblGrid>
      <w:tr w14:paraId="3FB5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pct"/>
            <w:vAlign w:val="center"/>
          </w:tcPr>
          <w:p w14:paraId="7C41F183">
            <w:pPr>
              <w:tabs>
                <w:tab w:val="left" w:pos="4767"/>
              </w:tabs>
              <w:spacing w:line="0" w:lineRule="atLeast"/>
              <w:jc w:val="center"/>
              <w:rPr>
                <w:rFonts w:hint="default" w:ascii="Times New Roman" w:hAnsi="Times New Roman" w:cs="Times New Roman"/>
                <w:color w:val="auto"/>
                <w:sz w:val="24"/>
              </w:rPr>
            </w:pPr>
          </w:p>
        </w:tc>
        <w:tc>
          <w:tcPr>
            <w:tcW w:w="4535" w:type="pct"/>
          </w:tcPr>
          <w:p w14:paraId="7DDA2A3B">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（2）厂界噪声达标情况分析</w:t>
            </w:r>
          </w:p>
          <w:p w14:paraId="35932553">
            <w:pPr>
              <w:tabs>
                <w:tab w:val="left" w:pos="4767"/>
              </w:tabs>
              <w:ind w:firstLine="514" w:firstLineChars="200"/>
              <w:rPr>
                <w:rFonts w:hint="default" w:ascii="Times New Roman" w:hAnsi="Times New Roman" w:cs="Times New Roman"/>
                <w:color w:val="auto"/>
                <w:kern w:val="16"/>
                <w:sz w:val="24"/>
              </w:rPr>
            </w:pPr>
            <w:r>
              <w:rPr>
                <w:rFonts w:hint="default" w:ascii="Times New Roman" w:hAnsi="Times New Roman" w:cs="Times New Roman"/>
                <w:color w:val="auto"/>
                <w:kern w:val="16"/>
                <w:sz w:val="24"/>
              </w:rPr>
              <w:t>根据《环境影响评价技术导则 声环境》（HJ2.4-2021）的技术要求，本次评价采取导则上的推荐模式进行预测分析。</w:t>
            </w:r>
          </w:p>
          <w:p w14:paraId="690BBFC9">
            <w:pPr>
              <w:tabs>
                <w:tab w:val="left" w:pos="4767"/>
              </w:tabs>
              <w:ind w:firstLine="514" w:firstLineChars="200"/>
              <w:rPr>
                <w:rFonts w:hint="default" w:ascii="Times New Roman" w:hAnsi="Times New Roman" w:cs="Times New Roman"/>
                <w:color w:val="auto"/>
                <w:kern w:val="16"/>
                <w:sz w:val="24"/>
              </w:rPr>
            </w:pPr>
            <w:r>
              <w:rPr>
                <w:rFonts w:hint="default" w:ascii="Times New Roman" w:hAnsi="Times New Roman" w:cs="Times New Roman"/>
                <w:color w:val="auto"/>
                <w:kern w:val="16"/>
                <w:sz w:val="24"/>
              </w:rPr>
              <w:t>采用《环境影响评价技术导则 声环境》（HJ2.4-2021）中工业噪声。</w:t>
            </w:r>
          </w:p>
          <w:p w14:paraId="02493DC9">
            <w:pPr>
              <w:tabs>
                <w:tab w:val="left" w:pos="4767"/>
              </w:tabs>
              <w:ind w:firstLine="514" w:firstLineChars="200"/>
              <w:rPr>
                <w:rFonts w:hint="default" w:ascii="Times New Roman" w:hAnsi="Times New Roman" w:eastAsia="宋体" w:cs="Times New Roman"/>
                <w:color w:val="auto"/>
                <w:kern w:val="16"/>
                <w:sz w:val="24"/>
                <w:lang w:eastAsia="zh-CN"/>
              </w:rPr>
            </w:pPr>
            <w:r>
              <w:rPr>
                <w:rFonts w:hint="default" w:ascii="Times New Roman" w:hAnsi="Times New Roman" w:cs="Times New Roman"/>
                <w:color w:val="auto"/>
                <w:kern w:val="16"/>
                <w:sz w:val="24"/>
              </w:rPr>
              <w:t>户外声传播衰减计算公式</w:t>
            </w:r>
            <w:r>
              <w:rPr>
                <w:rFonts w:hint="default" w:ascii="Times New Roman" w:hAnsi="Times New Roman" w:cs="Times New Roman"/>
                <w:color w:val="auto"/>
                <w:kern w:val="16"/>
                <w:sz w:val="24"/>
                <w:lang w:eastAsia="zh-CN"/>
              </w:rPr>
              <w:t>：</w:t>
            </w:r>
          </w:p>
          <w:p w14:paraId="4ED3F859">
            <w:pPr>
              <w:tabs>
                <w:tab w:val="left" w:pos="4767"/>
              </w:tabs>
              <w:ind w:firstLine="514" w:firstLineChars="200"/>
              <w:rPr>
                <w:rFonts w:hint="default" w:ascii="Times New Roman" w:hAnsi="Times New Roman" w:cs="Times New Roman"/>
                <w:color w:val="auto"/>
                <w:kern w:val="16"/>
                <w:sz w:val="24"/>
              </w:rPr>
            </w:pPr>
            <m:oMathPara>
              <m:oMath>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L</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p(r)</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L</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p(r0)</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A</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div</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A</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atm</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A</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bar</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A</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gr</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A</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misc</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oMath>
            </m:oMathPara>
          </w:p>
          <w:p w14:paraId="34EB4E3E">
            <w:pPr>
              <w:tabs>
                <w:tab w:val="left" w:pos="4767"/>
              </w:tabs>
              <w:ind w:firstLine="514" w:firstLineChars="200"/>
              <w:rPr>
                <w:rFonts w:hint="default" w:ascii="Times New Roman" w:hAnsi="Times New Roman" w:cs="Times New Roman"/>
                <w:color w:val="auto"/>
                <w:kern w:val="16"/>
                <w:sz w:val="24"/>
              </w:rPr>
            </w:pPr>
            <w:r>
              <w:rPr>
                <w:rFonts w:hint="default" w:ascii="Times New Roman" w:hAnsi="Times New Roman" w:cs="Times New Roman"/>
                <w:color w:val="auto"/>
                <w:kern w:val="16"/>
                <w:sz w:val="24"/>
              </w:rPr>
              <w:t>式中：</w:t>
            </w:r>
            <w:r>
              <w:rPr>
                <w:rFonts w:hint="default" w:ascii="Times New Roman" w:hAnsi="Times New Roman" w:cs="Times New Roman"/>
                <w:color w:val="auto"/>
                <w:kern w:val="16"/>
                <w:sz w:val="24"/>
              </w:rPr>
              <w:object>
                <v:shape id="_x0000_i1027" o:spt="75" type="#_x0000_t75" style="height:19.7pt;width:22.4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default" w:ascii="Times New Roman" w:hAnsi="Times New Roman" w:cs="Times New Roman"/>
                <w:color w:val="auto"/>
                <w:kern w:val="16"/>
                <w:sz w:val="24"/>
              </w:rPr>
              <w:t>—距声源r处的A声级；</w:t>
            </w:r>
          </w:p>
          <w:p w14:paraId="42257E2F">
            <w:pPr>
              <w:tabs>
                <w:tab w:val="left" w:pos="4767"/>
              </w:tabs>
              <w:ind w:firstLine="514" w:firstLineChars="200"/>
              <w:rPr>
                <w:rFonts w:hint="default" w:ascii="Times New Roman" w:hAnsi="Times New Roman" w:cs="Times New Roman"/>
                <w:color w:val="auto"/>
                <w:kern w:val="16"/>
                <w:sz w:val="24"/>
              </w:rPr>
            </w:pPr>
            <w:r>
              <w:rPr>
                <w:rFonts w:hint="default" w:ascii="Times New Roman" w:hAnsi="Times New Roman" w:cs="Times New Roman"/>
                <w:color w:val="auto"/>
                <w:kern w:val="16"/>
                <w:sz w:val="24"/>
              </w:rPr>
              <w:object>
                <v:shape id="_x0000_i1028" o:spt="75" type="#_x0000_t75" style="height:19.7pt;width:29.9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r>
              <w:rPr>
                <w:rFonts w:hint="default" w:ascii="Times New Roman" w:hAnsi="Times New Roman" w:cs="Times New Roman"/>
                <w:color w:val="auto"/>
                <w:kern w:val="16"/>
                <w:sz w:val="24"/>
              </w:rPr>
              <w:t>—参考位置r0处的A声级；</w:t>
            </w:r>
          </w:p>
          <w:p w14:paraId="3366ACDD">
            <w:pPr>
              <w:tabs>
                <w:tab w:val="left" w:pos="4767"/>
              </w:tabs>
              <w:ind w:firstLine="514" w:firstLineChars="200"/>
              <w:rPr>
                <w:rFonts w:hint="default" w:ascii="Times New Roman" w:hAnsi="Times New Roman" w:cs="Times New Roman"/>
                <w:color w:val="auto"/>
                <w:kern w:val="16"/>
                <w:sz w:val="24"/>
              </w:rPr>
            </w:pPr>
            <w:r>
              <w:rPr>
                <w:rFonts w:hint="default" w:ascii="Times New Roman" w:hAnsi="Times New Roman" w:cs="Times New Roman"/>
                <w:color w:val="auto"/>
                <w:kern w:val="16"/>
                <w:sz w:val="24"/>
              </w:rPr>
              <w:object>
                <v:shape id="_x0000_i1029" o:spt="75" type="#_x0000_t75" style="height:14.95pt;width:19.7pt;" o:ole="t" filled="f" o:preferrelative="t" stroked="f" coordsize="21600,21600">
                  <v:path/>
                  <v:fill on="f" focussize="0,0"/>
                  <v:stroke on="f" joinstyle="miter"/>
                  <v:imagedata r:id="rId21" o:title=""/>
                  <o:lock v:ext="edit" aspectratio="t"/>
                  <w10:wrap type="none"/>
                  <w10:anchorlock/>
                </v:shape>
                <o:OLEObject Type="Embed" ProgID="Equation.3" ShapeID="_x0000_i1029" DrawAspect="Content" ObjectID="_1468075729" r:id="rId20">
                  <o:LockedField>false</o:LockedField>
                </o:OLEObject>
              </w:object>
            </w:r>
            <w:r>
              <w:rPr>
                <w:rFonts w:hint="default" w:ascii="Times New Roman" w:hAnsi="Times New Roman" w:cs="Times New Roman"/>
                <w:color w:val="auto"/>
                <w:kern w:val="16"/>
                <w:sz w:val="24"/>
              </w:rPr>
              <w:t>—几何发散引起的倍频带衰减；</w:t>
            </w:r>
          </w:p>
          <w:p w14:paraId="05026152">
            <w:pPr>
              <w:tabs>
                <w:tab w:val="left" w:pos="4767"/>
              </w:tabs>
              <w:ind w:firstLine="514" w:firstLineChars="200"/>
              <w:rPr>
                <w:rFonts w:hint="default" w:ascii="Times New Roman" w:hAnsi="Times New Roman" w:cs="Times New Roman"/>
                <w:color w:val="auto"/>
                <w:kern w:val="16"/>
                <w:sz w:val="24"/>
              </w:rPr>
            </w:pPr>
            <w:r>
              <w:rPr>
                <w:rFonts w:hint="default" w:ascii="Times New Roman" w:hAnsi="Times New Roman" w:cs="Times New Roman"/>
                <w:color w:val="auto"/>
                <w:kern w:val="16"/>
                <w:sz w:val="24"/>
              </w:rPr>
              <w:object>
                <v:shape id="_x0000_i1030" o:spt="75" type="#_x0000_t75" style="height:14.95pt;width:22.4pt;" o:ole="t" filled="f" o:preferrelative="t" stroked="f" coordsize="21600,21600">
                  <v:path/>
                  <v:fill on="f" focussize="0,0"/>
                  <v:stroke on="f" joinstyle="miter"/>
                  <v:imagedata r:id="rId23" o:title=""/>
                  <o:lock v:ext="edit" aspectratio="t"/>
                  <w10:wrap type="none"/>
                  <w10:anchorlock/>
                </v:shape>
                <o:OLEObject Type="Embed" ProgID="Equation.3" ShapeID="_x0000_i1030" DrawAspect="Content" ObjectID="_1468075730" r:id="rId22">
                  <o:LockedField>false</o:LockedField>
                </o:OLEObject>
              </w:object>
            </w:r>
            <w:r>
              <w:rPr>
                <w:rFonts w:hint="default" w:ascii="Times New Roman" w:hAnsi="Times New Roman" w:cs="Times New Roman"/>
                <w:color w:val="auto"/>
                <w:kern w:val="16"/>
                <w:sz w:val="24"/>
              </w:rPr>
              <w:t>—大气吸收引起的倍频带衰减；</w:t>
            </w:r>
          </w:p>
          <w:p w14:paraId="475C41C2">
            <w:pPr>
              <w:tabs>
                <w:tab w:val="left" w:pos="4767"/>
              </w:tabs>
              <w:ind w:firstLine="514" w:firstLineChars="200"/>
              <w:rPr>
                <w:rFonts w:hint="default" w:ascii="Times New Roman" w:hAnsi="Times New Roman" w:cs="Times New Roman"/>
                <w:color w:val="auto"/>
                <w:kern w:val="16"/>
                <w:sz w:val="24"/>
              </w:rPr>
            </w:pPr>
            <w:r>
              <w:rPr>
                <w:rFonts w:hint="default" w:ascii="Times New Roman" w:hAnsi="Times New Roman" w:cs="Times New Roman"/>
                <w:color w:val="auto"/>
                <w:kern w:val="16"/>
                <w:sz w:val="24"/>
              </w:rPr>
              <w:object>
                <v:shape id="_x0000_i1031" o:spt="75" type="#_x0000_t75" style="height:14.95pt;width:19.7pt;" o:ole="t" filled="f" o:preferrelative="t" stroked="f" coordsize="21600,21600">
                  <v:path/>
                  <v:fill on="f" focussize="0,0"/>
                  <v:stroke on="f" joinstyle="miter"/>
                  <v:imagedata r:id="rId25" o:title=""/>
                  <o:lock v:ext="edit" aspectratio="t"/>
                  <w10:wrap type="none"/>
                  <w10:anchorlock/>
                </v:shape>
                <o:OLEObject Type="Embed" ProgID="Equation.3" ShapeID="_x0000_i1031" DrawAspect="Content" ObjectID="_1468075731" r:id="rId24">
                  <o:LockedField>false</o:LockedField>
                </o:OLEObject>
              </w:object>
            </w:r>
            <w:r>
              <w:rPr>
                <w:rFonts w:hint="default" w:ascii="Times New Roman" w:hAnsi="Times New Roman" w:cs="Times New Roman"/>
                <w:color w:val="auto"/>
                <w:kern w:val="16"/>
                <w:sz w:val="24"/>
              </w:rPr>
              <w:t>—屏障屏蔽引起的倍频带衰减；</w:t>
            </w:r>
          </w:p>
          <w:p w14:paraId="39538771">
            <w:pPr>
              <w:tabs>
                <w:tab w:val="left" w:pos="4767"/>
              </w:tabs>
              <w:ind w:firstLine="514" w:firstLineChars="200"/>
              <w:rPr>
                <w:rFonts w:hint="default" w:ascii="Times New Roman" w:hAnsi="Times New Roman" w:cs="Times New Roman"/>
                <w:color w:val="auto"/>
                <w:kern w:val="16"/>
                <w:sz w:val="24"/>
              </w:rPr>
            </w:pPr>
            <w:r>
              <w:rPr>
                <w:rFonts w:hint="default" w:ascii="Times New Roman" w:hAnsi="Times New Roman" w:cs="Times New Roman"/>
                <w:color w:val="auto"/>
                <w:kern w:val="16"/>
                <w:sz w:val="24"/>
              </w:rPr>
              <w:object>
                <v:shape id="_x0000_i1032" o:spt="75" type="#_x0000_t75" style="height:19.7pt;width:14.95pt;" o:ole="t" filled="f" o:preferrelative="t" stroked="f" coordsize="21600,21600">
                  <v:path/>
                  <v:fill on="f" focussize="0,0"/>
                  <v:stroke on="f" joinstyle="miter"/>
                  <v:imagedata r:id="rId27" o:title=""/>
                  <o:lock v:ext="edit" aspectratio="t"/>
                  <w10:wrap type="none"/>
                  <w10:anchorlock/>
                </v:shape>
                <o:OLEObject Type="Embed" ProgID="Equation.3" ShapeID="_x0000_i1032" DrawAspect="Content" ObjectID="_1468075732" r:id="rId26">
                  <o:LockedField>false</o:LockedField>
                </o:OLEObject>
              </w:object>
            </w:r>
            <w:r>
              <w:rPr>
                <w:rFonts w:hint="default" w:ascii="Times New Roman" w:hAnsi="Times New Roman" w:cs="Times New Roman"/>
                <w:color w:val="auto"/>
                <w:kern w:val="16"/>
                <w:sz w:val="24"/>
              </w:rPr>
              <w:t>—地面效应引起的倍频带衰减；</w:t>
            </w:r>
          </w:p>
          <w:p w14:paraId="547FDD54">
            <w:pPr>
              <w:tabs>
                <w:tab w:val="left" w:pos="4767"/>
              </w:tabs>
              <w:ind w:firstLine="514" w:firstLineChars="200"/>
              <w:rPr>
                <w:rFonts w:hint="default" w:ascii="Times New Roman" w:hAnsi="Times New Roman" w:cs="Times New Roman"/>
                <w:color w:val="auto"/>
                <w:kern w:val="16"/>
                <w:sz w:val="24"/>
              </w:rPr>
            </w:pPr>
            <w:r>
              <w:rPr>
                <w:rFonts w:hint="default" w:ascii="Times New Roman" w:hAnsi="Times New Roman" w:cs="Times New Roman"/>
                <w:color w:val="auto"/>
                <w:kern w:val="16"/>
                <w:sz w:val="24"/>
              </w:rPr>
              <w:object>
                <v:shape id="_x0000_i1033" o:spt="75" type="#_x0000_t75" style="height:14.95pt;width:22.4pt;" o:ole="t" filled="f" o:preferrelative="t" stroked="f" coordsize="21600,21600">
                  <v:path/>
                  <v:fill on="f" focussize="0,0"/>
                  <v:stroke on="f" joinstyle="miter"/>
                  <v:imagedata r:id="rId29" o:title=""/>
                  <o:lock v:ext="edit" aspectratio="t"/>
                  <w10:wrap type="none"/>
                  <w10:anchorlock/>
                </v:shape>
                <o:OLEObject Type="Embed" ProgID="Equation.3" ShapeID="_x0000_i1033" DrawAspect="Content" ObjectID="_1468075733" r:id="rId28">
                  <o:LockedField>false</o:LockedField>
                </o:OLEObject>
              </w:object>
            </w:r>
            <w:r>
              <w:rPr>
                <w:rFonts w:hint="default" w:ascii="Times New Roman" w:hAnsi="Times New Roman" w:cs="Times New Roman"/>
                <w:color w:val="auto"/>
                <w:kern w:val="16"/>
                <w:sz w:val="24"/>
              </w:rPr>
              <w:t>—其他多方面效应引起的倍频带衰减。</w:t>
            </w:r>
          </w:p>
          <w:p w14:paraId="485AD334">
            <w:pPr>
              <w:tabs>
                <w:tab w:val="left" w:pos="4767"/>
              </w:tabs>
              <w:ind w:firstLine="514" w:firstLineChars="200"/>
              <w:rPr>
                <w:rFonts w:hint="default" w:ascii="Times New Roman" w:hAnsi="Times New Roman" w:cs="Times New Roman"/>
                <w:color w:val="auto"/>
                <w:kern w:val="16"/>
                <w:sz w:val="24"/>
              </w:rPr>
            </w:pPr>
            <w:r>
              <w:rPr>
                <w:rFonts w:hint="default" w:ascii="Times New Roman" w:hAnsi="Times New Roman" w:cs="Times New Roman"/>
                <w:color w:val="auto"/>
                <w:kern w:val="16"/>
                <w:sz w:val="24"/>
              </w:rPr>
              <w:t>在不能取得声源倍频带声功率级或倍频带声压级，只能获得A声功率级或某点A声级时，可按下列工作作近似计算。</w:t>
            </w:r>
          </w:p>
          <w:p w14:paraId="31349858">
            <w:pPr>
              <w:tabs>
                <w:tab w:val="left" w:pos="4767"/>
              </w:tabs>
              <w:ind w:firstLine="514" w:firstLineChars="200"/>
              <w:rPr>
                <w:rFonts w:hint="default" w:ascii="Times New Roman" w:hAnsi="Times New Roman" w:cs="Times New Roman"/>
                <w:color w:val="auto"/>
                <w:kern w:val="16"/>
                <w:sz w:val="24"/>
              </w:rPr>
            </w:pPr>
            <m:oMathPara>
              <m:oMath>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L</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A(r)</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L</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A(r0)</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A</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div</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A</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atm</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A</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bar</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A</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gr</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sSub>
                  <m:sSubPr>
                    <m:ctrlPr>
                      <w:rPr>
                        <w:rFonts w:hint="default" w:ascii="Cambria Math" w:hAnsi="Cambria Math" w:cs="Times New Roman"/>
                        <w:color w:val="auto"/>
                        <w:kern w:val="16"/>
                        <w:sz w:val="24"/>
                      </w:rPr>
                    </m:ctrlPr>
                  </m:sSubPr>
                  <m:e>
                    <m:r>
                      <m:rPr>
                        <m:nor/>
                        <m:sty m:val="p"/>
                      </m:rPr>
                      <w:rPr>
                        <w:rFonts w:hint="default" w:ascii="Times New Roman" w:hAnsi="Times New Roman" w:cs="Times New Roman"/>
                        <w:b w:val="0"/>
                        <w:i w:val="0"/>
                        <w:color w:val="auto"/>
                        <w:kern w:val="16"/>
                        <w:sz w:val="24"/>
                      </w:rPr>
                      <m:t>A</m:t>
                    </m:r>
                    <m:ctrlPr>
                      <w:rPr>
                        <w:rFonts w:hint="default" w:ascii="Cambria Math" w:hAnsi="Cambria Math" w:cs="Times New Roman"/>
                        <w:color w:val="auto"/>
                        <w:kern w:val="16"/>
                        <w:sz w:val="24"/>
                      </w:rPr>
                    </m:ctrlPr>
                  </m:e>
                  <m:sub>
                    <m:r>
                      <m:rPr>
                        <m:nor/>
                        <m:sty m:val="p"/>
                      </m:rPr>
                      <w:rPr>
                        <w:rFonts w:hint="default" w:ascii="Times New Roman" w:hAnsi="Times New Roman" w:cs="Times New Roman"/>
                        <w:b w:val="0"/>
                        <w:i w:val="0"/>
                        <w:color w:val="auto"/>
                        <w:kern w:val="16"/>
                        <w:sz w:val="24"/>
                      </w:rPr>
                      <m:t>misc</m:t>
                    </m:r>
                    <m:ctrlPr>
                      <w:rPr>
                        <w:rFonts w:hint="default" w:ascii="Cambria Math" w:hAnsi="Cambria Math" w:cs="Times New Roman"/>
                        <w:color w:val="auto"/>
                        <w:kern w:val="16"/>
                        <w:sz w:val="24"/>
                      </w:rPr>
                    </m:ctrlPr>
                  </m:sub>
                </m:sSub>
                <m:r>
                  <m:rPr>
                    <m:nor/>
                    <m:sty m:val="p"/>
                  </m:rPr>
                  <w:rPr>
                    <w:rFonts w:hint="default" w:ascii="Times New Roman" w:hAnsi="Times New Roman" w:cs="Times New Roman"/>
                    <w:b w:val="0"/>
                    <w:i w:val="0"/>
                    <w:color w:val="auto"/>
                    <w:kern w:val="16"/>
                    <w:sz w:val="24"/>
                  </w:rPr>
                  <m:t>)</m:t>
                </m:r>
              </m:oMath>
            </m:oMathPara>
          </w:p>
          <w:p w14:paraId="49C54734">
            <w:pPr>
              <w:tabs>
                <w:tab w:val="left" w:pos="4767"/>
              </w:tabs>
              <w:ind w:firstLine="514" w:firstLineChars="200"/>
              <w:rPr>
                <w:rFonts w:hint="default" w:ascii="Times New Roman" w:hAnsi="Times New Roman" w:cs="Times New Roman"/>
                <w:color w:val="auto"/>
                <w:kern w:val="16"/>
                <w:sz w:val="24"/>
                <w:lang w:val="en-GB"/>
              </w:rPr>
            </w:pPr>
            <w:r>
              <w:rPr>
                <w:rFonts w:hint="default" w:ascii="Times New Roman" w:hAnsi="Times New Roman" w:cs="Times New Roman"/>
                <w:color w:val="auto"/>
                <w:kern w:val="16"/>
                <w:sz w:val="24"/>
              </w:rPr>
              <w:t>（3）预测结果：</w:t>
            </w:r>
          </w:p>
          <w:p w14:paraId="30496A90">
            <w:pPr>
              <w:tabs>
                <w:tab w:val="left" w:pos="4767"/>
              </w:tabs>
              <w:ind w:firstLine="514" w:firstLineChars="200"/>
              <w:rPr>
                <w:rFonts w:hint="default" w:ascii="Times New Roman" w:hAnsi="Times New Roman" w:cs="Times New Roman"/>
                <w:color w:val="auto"/>
                <w:kern w:val="16"/>
                <w:sz w:val="24"/>
              </w:rPr>
            </w:pPr>
            <w:r>
              <w:rPr>
                <w:rFonts w:hint="default" w:ascii="Times New Roman" w:hAnsi="Times New Roman" w:cs="Times New Roman"/>
                <w:color w:val="auto"/>
                <w:kern w:val="16"/>
                <w:sz w:val="24"/>
              </w:rPr>
              <w:t>噪声源对各预测点的影响预测结果见下表：</w:t>
            </w:r>
          </w:p>
          <w:p w14:paraId="0B89D388">
            <w:pPr>
              <w:pStyle w:val="71"/>
              <w:tabs>
                <w:tab w:val="left" w:pos="4767"/>
              </w:tabs>
              <w:rPr>
                <w:rFonts w:hint="default" w:ascii="Times New Roman" w:hAnsi="Times New Roman" w:cs="Times New Roman"/>
                <w:color w:val="auto"/>
              </w:rPr>
            </w:pPr>
            <w:r>
              <w:rPr>
                <w:rFonts w:hint="default" w:ascii="Times New Roman" w:hAnsi="Times New Roman" w:cs="Times New Roman"/>
                <w:color w:val="auto"/>
              </w:rPr>
              <w:t>表4-</w:t>
            </w:r>
            <w:r>
              <w:rPr>
                <w:rFonts w:hint="eastAsia" w:ascii="Times New Roman" w:hAnsi="Times New Roman" w:cs="Times New Roman"/>
                <w:color w:val="auto"/>
                <w:lang w:val="en-US" w:eastAsia="zh-CN"/>
              </w:rPr>
              <w:t>9</w:t>
            </w:r>
            <w:r>
              <w:rPr>
                <w:rFonts w:hint="default" w:ascii="Times New Roman" w:hAnsi="Times New Roman" w:cs="Times New Roman"/>
                <w:color w:val="auto"/>
              </w:rPr>
              <w:t xml:space="preserve">  厂界噪声预测结果  单位：dB（A）</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2358"/>
              <w:gridCol w:w="1744"/>
              <w:gridCol w:w="2056"/>
            </w:tblGrid>
            <w:tr w14:paraId="67EFB0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vAlign w:val="center"/>
                </w:tcPr>
                <w:p w14:paraId="4184CB3E">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测点名称</w:t>
                  </w:r>
                </w:p>
              </w:tc>
              <w:tc>
                <w:tcPr>
                  <w:tcW w:w="1436" w:type="pct"/>
                  <w:vAlign w:val="center"/>
                </w:tcPr>
                <w:p w14:paraId="1E75E444">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贡献值</w:t>
                  </w:r>
                </w:p>
              </w:tc>
              <w:tc>
                <w:tcPr>
                  <w:tcW w:w="1062" w:type="pct"/>
                  <w:vAlign w:val="center"/>
                </w:tcPr>
                <w:p w14:paraId="589A7590">
                  <w:pPr>
                    <w:pStyle w:val="45"/>
                    <w:tabs>
                      <w:tab w:val="left" w:pos="4767"/>
                    </w:tabs>
                    <w:jc w:val="center"/>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标准限值</w:t>
                  </w:r>
                </w:p>
              </w:tc>
              <w:tc>
                <w:tcPr>
                  <w:tcW w:w="1252" w:type="pct"/>
                  <w:vAlign w:val="center"/>
                </w:tcPr>
                <w:p w14:paraId="2BC2B6E8">
                  <w:pPr>
                    <w:pStyle w:val="45"/>
                    <w:tabs>
                      <w:tab w:val="left" w:pos="4767"/>
                    </w:tabs>
                    <w:jc w:val="center"/>
                    <w:rPr>
                      <w:rFonts w:hint="default" w:ascii="Times New Roman" w:hAnsi="Times New Roman" w:cs="Times New Roman"/>
                      <w:b/>
                      <w:bCs/>
                      <w:color w:val="auto"/>
                    </w:rPr>
                  </w:pPr>
                  <w:r>
                    <w:rPr>
                      <w:rFonts w:hint="default" w:ascii="Times New Roman" w:hAnsi="Times New Roman" w:cs="Times New Roman"/>
                      <w:b/>
                      <w:bCs/>
                      <w:color w:val="auto"/>
                    </w:rPr>
                    <w:t>厂界达标情况</w:t>
                  </w:r>
                </w:p>
              </w:tc>
            </w:tr>
            <w:tr w14:paraId="6E5EAE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vAlign w:val="center"/>
                </w:tcPr>
                <w:p w14:paraId="715616D9">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1#厂界北</w:t>
                  </w:r>
                </w:p>
              </w:tc>
              <w:tc>
                <w:tcPr>
                  <w:tcW w:w="1436" w:type="pct"/>
                  <w:vAlign w:val="center"/>
                </w:tcPr>
                <w:p w14:paraId="0EB7710E">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rPr>
                    <w:t>4</w:t>
                  </w:r>
                  <w:r>
                    <w:rPr>
                      <w:rFonts w:hint="default" w:ascii="Times New Roman" w:hAnsi="Times New Roman" w:cs="Times New Roman"/>
                      <w:color w:val="auto"/>
                      <w:lang w:val="en-US" w:eastAsia="zh-CN"/>
                    </w:rPr>
                    <w:t>5.21</w:t>
                  </w:r>
                </w:p>
              </w:tc>
              <w:tc>
                <w:tcPr>
                  <w:tcW w:w="1062" w:type="pct"/>
                  <w:vMerge w:val="restart"/>
                  <w:vAlign w:val="center"/>
                </w:tcPr>
                <w:p w14:paraId="7023F216">
                  <w:pPr>
                    <w:pStyle w:val="45"/>
                    <w:tabs>
                      <w:tab w:val="left" w:pos="4767"/>
                    </w:tabs>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r>
                    <w:rPr>
                      <w:rFonts w:hint="default" w:ascii="Times New Roman" w:hAnsi="Times New Roman" w:cs="Times New Roman"/>
                      <w:color w:val="auto"/>
                      <w:szCs w:val="21"/>
                      <w:lang w:val="en-US" w:eastAsia="zh-CN"/>
                    </w:rPr>
                    <w:t>60</w:t>
                  </w:r>
                  <w:r>
                    <w:rPr>
                      <w:rFonts w:hint="default" w:ascii="Times New Roman" w:hAnsi="Times New Roman" w:cs="Times New Roman"/>
                      <w:color w:val="auto"/>
                      <w:szCs w:val="21"/>
                    </w:rPr>
                    <w:t>dB(A)</w:t>
                  </w:r>
                </w:p>
                <w:p w14:paraId="61874BEB">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szCs w:val="21"/>
                    </w:rPr>
                    <w:t>夜间：</w:t>
                  </w:r>
                  <w:r>
                    <w:rPr>
                      <w:rFonts w:hint="default" w:ascii="Times New Roman" w:hAnsi="Times New Roman" w:cs="Times New Roman"/>
                      <w:color w:val="auto"/>
                      <w:szCs w:val="21"/>
                      <w:lang w:val="en-US" w:eastAsia="zh-CN"/>
                    </w:rPr>
                    <w:t>50</w:t>
                  </w:r>
                  <w:r>
                    <w:rPr>
                      <w:rFonts w:hint="default" w:ascii="Times New Roman" w:hAnsi="Times New Roman" w:cs="Times New Roman"/>
                      <w:color w:val="auto"/>
                      <w:szCs w:val="21"/>
                    </w:rPr>
                    <w:t>dB(A)</w:t>
                  </w:r>
                </w:p>
              </w:tc>
              <w:tc>
                <w:tcPr>
                  <w:tcW w:w="1252" w:type="pct"/>
                  <w:vAlign w:val="center"/>
                </w:tcPr>
                <w:p w14:paraId="2E78E10E">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达标</w:t>
                  </w:r>
                </w:p>
              </w:tc>
            </w:tr>
            <w:tr w14:paraId="491BAB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vAlign w:val="center"/>
                </w:tcPr>
                <w:p w14:paraId="41480C01">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2#厂界东</w:t>
                  </w:r>
                </w:p>
              </w:tc>
              <w:tc>
                <w:tcPr>
                  <w:tcW w:w="1436" w:type="pct"/>
                  <w:vAlign w:val="center"/>
                </w:tcPr>
                <w:p w14:paraId="04014FC5">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rPr>
                    <w:t>4</w:t>
                  </w:r>
                  <w:r>
                    <w:rPr>
                      <w:rFonts w:hint="default" w:ascii="Times New Roman" w:hAnsi="Times New Roman" w:cs="Times New Roman"/>
                      <w:color w:val="auto"/>
                      <w:lang w:val="en-US" w:eastAsia="zh-CN"/>
                    </w:rPr>
                    <w:t>3.63</w:t>
                  </w:r>
                </w:p>
              </w:tc>
              <w:tc>
                <w:tcPr>
                  <w:tcW w:w="1062" w:type="pct"/>
                  <w:vMerge w:val="continue"/>
                  <w:vAlign w:val="center"/>
                </w:tcPr>
                <w:p w14:paraId="3CECCDB8">
                  <w:pPr>
                    <w:pStyle w:val="45"/>
                    <w:tabs>
                      <w:tab w:val="left" w:pos="4767"/>
                    </w:tabs>
                    <w:jc w:val="center"/>
                    <w:rPr>
                      <w:rFonts w:hint="default" w:ascii="Times New Roman" w:hAnsi="Times New Roman" w:cs="Times New Roman"/>
                      <w:color w:val="auto"/>
                    </w:rPr>
                  </w:pPr>
                </w:p>
              </w:tc>
              <w:tc>
                <w:tcPr>
                  <w:tcW w:w="1252" w:type="pct"/>
                  <w:vAlign w:val="center"/>
                </w:tcPr>
                <w:p w14:paraId="415DDE08">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达标</w:t>
                  </w:r>
                </w:p>
              </w:tc>
            </w:tr>
            <w:tr w14:paraId="326EAF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vAlign w:val="center"/>
                </w:tcPr>
                <w:p w14:paraId="459CA6F5">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3#厂界南</w:t>
                  </w:r>
                </w:p>
              </w:tc>
              <w:tc>
                <w:tcPr>
                  <w:tcW w:w="1436" w:type="pct"/>
                  <w:vAlign w:val="center"/>
                </w:tcPr>
                <w:p w14:paraId="25BDD9E6">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47.74</w:t>
                  </w:r>
                </w:p>
              </w:tc>
              <w:tc>
                <w:tcPr>
                  <w:tcW w:w="1062" w:type="pct"/>
                  <w:vMerge w:val="continue"/>
                  <w:vAlign w:val="center"/>
                </w:tcPr>
                <w:p w14:paraId="7244B600">
                  <w:pPr>
                    <w:pStyle w:val="45"/>
                    <w:tabs>
                      <w:tab w:val="left" w:pos="4767"/>
                    </w:tabs>
                    <w:jc w:val="center"/>
                    <w:rPr>
                      <w:rFonts w:hint="default" w:ascii="Times New Roman" w:hAnsi="Times New Roman" w:cs="Times New Roman"/>
                      <w:color w:val="auto"/>
                    </w:rPr>
                  </w:pPr>
                </w:p>
              </w:tc>
              <w:tc>
                <w:tcPr>
                  <w:tcW w:w="1252" w:type="pct"/>
                  <w:vAlign w:val="center"/>
                </w:tcPr>
                <w:p w14:paraId="7F5D1EAC">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达标</w:t>
                  </w:r>
                </w:p>
              </w:tc>
            </w:tr>
            <w:tr w14:paraId="4E9811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vAlign w:val="center"/>
                </w:tcPr>
                <w:p w14:paraId="5B56A883">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4#厂界西</w:t>
                  </w:r>
                </w:p>
              </w:tc>
              <w:tc>
                <w:tcPr>
                  <w:tcW w:w="1436" w:type="pct"/>
                  <w:vAlign w:val="center"/>
                </w:tcPr>
                <w:p w14:paraId="268B7E8F">
                  <w:pPr>
                    <w:pStyle w:val="45"/>
                    <w:tabs>
                      <w:tab w:val="left" w:pos="4767"/>
                    </w:tabs>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49.23</w:t>
                  </w:r>
                </w:p>
              </w:tc>
              <w:tc>
                <w:tcPr>
                  <w:tcW w:w="1062" w:type="pct"/>
                  <w:vMerge w:val="continue"/>
                  <w:vAlign w:val="center"/>
                </w:tcPr>
                <w:p w14:paraId="350E6602">
                  <w:pPr>
                    <w:pStyle w:val="45"/>
                    <w:tabs>
                      <w:tab w:val="left" w:pos="4767"/>
                    </w:tabs>
                    <w:jc w:val="center"/>
                    <w:rPr>
                      <w:rFonts w:hint="default" w:ascii="Times New Roman" w:hAnsi="Times New Roman" w:cs="Times New Roman"/>
                      <w:color w:val="auto"/>
                      <w:lang w:val="en-US" w:eastAsia="zh-CN"/>
                    </w:rPr>
                  </w:pPr>
                </w:p>
              </w:tc>
              <w:tc>
                <w:tcPr>
                  <w:tcW w:w="1252" w:type="pct"/>
                  <w:vAlign w:val="center"/>
                </w:tcPr>
                <w:p w14:paraId="50830D0A">
                  <w:pPr>
                    <w:pStyle w:val="45"/>
                    <w:tabs>
                      <w:tab w:val="left" w:pos="4767"/>
                    </w:tabs>
                    <w:jc w:val="center"/>
                    <w:rPr>
                      <w:rFonts w:hint="default" w:ascii="Times New Roman" w:hAnsi="Times New Roman" w:cs="Times New Roman"/>
                      <w:color w:val="auto"/>
                    </w:rPr>
                  </w:pPr>
                  <w:r>
                    <w:rPr>
                      <w:rFonts w:hint="default" w:ascii="Times New Roman" w:hAnsi="Times New Roman" w:cs="Times New Roman"/>
                      <w:color w:val="auto"/>
                    </w:rPr>
                    <w:t>达标</w:t>
                  </w:r>
                </w:p>
              </w:tc>
            </w:tr>
          </w:tbl>
          <w:p w14:paraId="3ADE5F92">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本项目经采取以上措施，项目厂界噪声满足《工业企业厂界环境噪声排放标准》(GB 12348-2008)中</w:t>
            </w:r>
            <w:r>
              <w:rPr>
                <w:rFonts w:hint="default" w:ascii="Times New Roman" w:hAnsi="Times New Roman" w:cs="Times New Roman"/>
                <w:bCs/>
                <w:color w:val="auto"/>
                <w:sz w:val="24"/>
                <w:lang w:val="en-US" w:eastAsia="zh-CN"/>
              </w:rPr>
              <w:t>2</w:t>
            </w:r>
            <w:r>
              <w:rPr>
                <w:rFonts w:hint="default" w:ascii="Times New Roman" w:hAnsi="Times New Roman" w:cs="Times New Roman"/>
                <w:bCs/>
                <w:color w:val="auto"/>
                <w:sz w:val="24"/>
              </w:rPr>
              <w:t>类区标准要求，因此，本项目产生噪声对周围环境的影响较小。</w:t>
            </w:r>
          </w:p>
          <w:p w14:paraId="00052E86">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（3）噪声监测要求</w:t>
            </w:r>
          </w:p>
          <w:p w14:paraId="61D66CEC">
            <w:pPr>
              <w:tabs>
                <w:tab w:val="left" w:pos="4767"/>
              </w:tabs>
              <w:ind w:firstLine="514"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根据《排污单位自行监测技术指南 总则》（HJ 819-2017），确定本项目运营期噪声监测计划，本项目声环境监测内容及监测计划见表4-</w:t>
            </w:r>
            <w:r>
              <w:rPr>
                <w:rFonts w:hint="eastAsia" w:ascii="Times New Roman" w:hAnsi="Times New Roman" w:cs="Times New Roman"/>
                <w:color w:val="auto"/>
                <w:sz w:val="24"/>
                <w:szCs w:val="32"/>
                <w:lang w:val="en-US" w:eastAsia="zh-CN"/>
              </w:rPr>
              <w:t>10</w:t>
            </w:r>
            <w:r>
              <w:rPr>
                <w:rFonts w:hint="default" w:ascii="Times New Roman" w:hAnsi="Times New Roman" w:cs="Times New Roman"/>
                <w:color w:val="auto"/>
                <w:sz w:val="24"/>
                <w:szCs w:val="32"/>
              </w:rPr>
              <w:t>。</w:t>
            </w:r>
          </w:p>
          <w:p w14:paraId="67B8F889">
            <w:pPr>
              <w:pStyle w:val="71"/>
              <w:tabs>
                <w:tab w:val="left" w:pos="4767"/>
              </w:tabs>
              <w:rPr>
                <w:rFonts w:hint="default" w:ascii="Times New Roman" w:hAnsi="Times New Roman" w:cs="Times New Roman"/>
                <w:color w:val="auto"/>
              </w:rPr>
            </w:pPr>
          </w:p>
          <w:p w14:paraId="7A1D73F2">
            <w:pPr>
              <w:pStyle w:val="71"/>
              <w:tabs>
                <w:tab w:val="left" w:pos="4767"/>
              </w:tabs>
              <w:rPr>
                <w:rFonts w:hint="default" w:ascii="Times New Roman" w:hAnsi="Times New Roman" w:cs="Times New Roman"/>
                <w:color w:val="auto"/>
              </w:rPr>
            </w:pPr>
            <w:r>
              <w:rPr>
                <w:rFonts w:hint="default" w:ascii="Times New Roman" w:hAnsi="Times New Roman" w:cs="Times New Roman"/>
                <w:color w:val="auto"/>
              </w:rPr>
              <w:t>表4-</w:t>
            </w:r>
            <w:r>
              <w:rPr>
                <w:rFonts w:hint="eastAsia" w:ascii="Times New Roman" w:hAnsi="Times New Roman" w:cs="Times New Roman"/>
                <w:color w:val="auto"/>
                <w:lang w:val="en-US" w:eastAsia="zh-CN"/>
              </w:rPr>
              <w:t>10</w:t>
            </w:r>
            <w:r>
              <w:rPr>
                <w:rFonts w:hint="default" w:ascii="Times New Roman" w:hAnsi="Times New Roman" w:cs="Times New Roman"/>
                <w:color w:val="auto"/>
              </w:rPr>
              <w:t xml:space="preserve">  噪声监测计划一览表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874"/>
              <w:gridCol w:w="1874"/>
              <w:gridCol w:w="1222"/>
              <w:gridCol w:w="2403"/>
            </w:tblGrid>
            <w:tr w14:paraId="6F47DC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509" w:type="pct"/>
                  <w:tcBorders>
                    <w:top w:val="single" w:color="auto" w:sz="12" w:space="0"/>
                    <w:left w:val="nil"/>
                    <w:bottom w:val="single" w:color="auto" w:sz="4" w:space="0"/>
                    <w:right w:val="single" w:color="auto" w:sz="4" w:space="0"/>
                  </w:tcBorders>
                  <w:vAlign w:val="center"/>
                </w:tcPr>
                <w:p w14:paraId="56F60D4A">
                  <w:pPr>
                    <w:tabs>
                      <w:tab w:val="left" w:pos="4767"/>
                    </w:tabs>
                    <w:autoSpaceDE w:val="0"/>
                    <w:autoSpaceDN w:val="0"/>
                    <w:adjustRightInd w:val="0"/>
                    <w:snapToGrid w:val="0"/>
                    <w:jc w:val="center"/>
                    <w:rPr>
                      <w:rFonts w:hint="default" w:ascii="Times New Roman" w:hAnsi="Times New Roman" w:cs="Times New Roman"/>
                      <w:b/>
                      <w:bCs/>
                      <w:color w:val="auto"/>
                      <w:kern w:val="28"/>
                      <w:szCs w:val="21"/>
                    </w:rPr>
                  </w:pPr>
                  <w:r>
                    <w:rPr>
                      <w:rFonts w:hint="default" w:ascii="Times New Roman" w:hAnsi="Times New Roman" w:cs="Times New Roman"/>
                      <w:b/>
                      <w:bCs/>
                      <w:color w:val="auto"/>
                      <w:kern w:val="28"/>
                      <w:szCs w:val="21"/>
                    </w:rPr>
                    <w:t>类别</w:t>
                  </w:r>
                </w:p>
              </w:tc>
              <w:tc>
                <w:tcPr>
                  <w:tcW w:w="1141" w:type="pct"/>
                  <w:tcBorders>
                    <w:top w:val="single" w:color="auto" w:sz="12" w:space="0"/>
                    <w:left w:val="single" w:color="auto" w:sz="4" w:space="0"/>
                    <w:bottom w:val="single" w:color="auto" w:sz="4" w:space="0"/>
                    <w:right w:val="single" w:color="auto" w:sz="4" w:space="0"/>
                  </w:tcBorders>
                  <w:vAlign w:val="center"/>
                </w:tcPr>
                <w:p w14:paraId="3868ABD2">
                  <w:pPr>
                    <w:tabs>
                      <w:tab w:val="left" w:pos="4767"/>
                    </w:tabs>
                    <w:autoSpaceDE w:val="0"/>
                    <w:autoSpaceDN w:val="0"/>
                    <w:adjustRightInd w:val="0"/>
                    <w:snapToGrid w:val="0"/>
                    <w:jc w:val="center"/>
                    <w:rPr>
                      <w:rFonts w:hint="default" w:ascii="Times New Roman" w:hAnsi="Times New Roman" w:cs="Times New Roman"/>
                      <w:b/>
                      <w:bCs/>
                      <w:color w:val="auto"/>
                      <w:kern w:val="28"/>
                      <w:szCs w:val="21"/>
                    </w:rPr>
                  </w:pPr>
                  <w:r>
                    <w:rPr>
                      <w:rFonts w:hint="default" w:ascii="Times New Roman" w:hAnsi="Times New Roman" w:cs="Times New Roman"/>
                      <w:b/>
                      <w:bCs/>
                      <w:color w:val="auto"/>
                      <w:kern w:val="28"/>
                      <w:szCs w:val="21"/>
                    </w:rPr>
                    <w:t>监测点位</w:t>
                  </w:r>
                </w:p>
              </w:tc>
              <w:tc>
                <w:tcPr>
                  <w:tcW w:w="1141" w:type="pct"/>
                  <w:tcBorders>
                    <w:top w:val="single" w:color="auto" w:sz="12" w:space="0"/>
                    <w:left w:val="single" w:color="auto" w:sz="4" w:space="0"/>
                    <w:bottom w:val="single" w:color="auto" w:sz="4" w:space="0"/>
                    <w:right w:val="single" w:color="auto" w:sz="4" w:space="0"/>
                  </w:tcBorders>
                  <w:vAlign w:val="center"/>
                </w:tcPr>
                <w:p w14:paraId="22946C43">
                  <w:pPr>
                    <w:tabs>
                      <w:tab w:val="left" w:pos="4767"/>
                    </w:tabs>
                    <w:autoSpaceDE w:val="0"/>
                    <w:autoSpaceDN w:val="0"/>
                    <w:adjustRightInd w:val="0"/>
                    <w:snapToGrid w:val="0"/>
                    <w:jc w:val="center"/>
                    <w:rPr>
                      <w:rFonts w:hint="default" w:ascii="Times New Roman" w:hAnsi="Times New Roman" w:cs="Times New Roman"/>
                      <w:b/>
                      <w:bCs/>
                      <w:color w:val="auto"/>
                      <w:kern w:val="28"/>
                      <w:szCs w:val="21"/>
                    </w:rPr>
                  </w:pPr>
                  <w:r>
                    <w:rPr>
                      <w:rFonts w:hint="default" w:ascii="Times New Roman" w:hAnsi="Times New Roman" w:cs="Times New Roman"/>
                      <w:b/>
                      <w:bCs/>
                      <w:color w:val="auto"/>
                      <w:kern w:val="28"/>
                      <w:szCs w:val="21"/>
                    </w:rPr>
                    <w:t>监测项目</w:t>
                  </w:r>
                </w:p>
              </w:tc>
              <w:tc>
                <w:tcPr>
                  <w:tcW w:w="744" w:type="pct"/>
                  <w:tcBorders>
                    <w:top w:val="single" w:color="auto" w:sz="12" w:space="0"/>
                    <w:left w:val="single" w:color="auto" w:sz="4" w:space="0"/>
                    <w:bottom w:val="single" w:color="auto" w:sz="4" w:space="0"/>
                    <w:right w:val="nil"/>
                  </w:tcBorders>
                  <w:vAlign w:val="center"/>
                </w:tcPr>
                <w:p w14:paraId="3309F911">
                  <w:pPr>
                    <w:tabs>
                      <w:tab w:val="left" w:pos="4767"/>
                    </w:tabs>
                    <w:autoSpaceDE w:val="0"/>
                    <w:autoSpaceDN w:val="0"/>
                    <w:adjustRightInd w:val="0"/>
                    <w:snapToGrid w:val="0"/>
                    <w:jc w:val="center"/>
                    <w:rPr>
                      <w:rFonts w:hint="default" w:ascii="Times New Roman" w:hAnsi="Times New Roman" w:cs="Times New Roman"/>
                      <w:b/>
                      <w:bCs/>
                      <w:color w:val="auto"/>
                      <w:kern w:val="28"/>
                      <w:szCs w:val="21"/>
                    </w:rPr>
                  </w:pPr>
                  <w:r>
                    <w:rPr>
                      <w:rFonts w:hint="default" w:ascii="Times New Roman" w:hAnsi="Times New Roman" w:cs="Times New Roman"/>
                      <w:b/>
                      <w:bCs/>
                      <w:color w:val="auto"/>
                      <w:kern w:val="28"/>
                      <w:szCs w:val="21"/>
                    </w:rPr>
                    <w:t>监测频率</w:t>
                  </w:r>
                </w:p>
              </w:tc>
              <w:tc>
                <w:tcPr>
                  <w:tcW w:w="1463" w:type="pct"/>
                  <w:tcBorders>
                    <w:top w:val="single" w:color="auto" w:sz="12" w:space="0"/>
                    <w:left w:val="single" w:color="auto" w:sz="4" w:space="0"/>
                    <w:bottom w:val="single" w:color="auto" w:sz="4" w:space="0"/>
                    <w:right w:val="nil"/>
                  </w:tcBorders>
                  <w:vAlign w:val="center"/>
                </w:tcPr>
                <w:p w14:paraId="20A4D9E5">
                  <w:pPr>
                    <w:tabs>
                      <w:tab w:val="left" w:pos="4767"/>
                    </w:tabs>
                    <w:autoSpaceDE w:val="0"/>
                    <w:autoSpaceDN w:val="0"/>
                    <w:adjustRightInd w:val="0"/>
                    <w:snapToGrid w:val="0"/>
                    <w:jc w:val="center"/>
                    <w:rPr>
                      <w:rFonts w:hint="default" w:ascii="Times New Roman" w:hAnsi="Times New Roman" w:cs="Times New Roman"/>
                      <w:b/>
                      <w:bCs/>
                      <w:color w:val="auto"/>
                      <w:kern w:val="28"/>
                      <w:szCs w:val="21"/>
                    </w:rPr>
                  </w:pPr>
                  <w:r>
                    <w:rPr>
                      <w:rFonts w:hint="default" w:ascii="Times New Roman" w:hAnsi="Times New Roman" w:cs="Times New Roman"/>
                      <w:b/>
                      <w:bCs/>
                      <w:color w:val="auto"/>
                      <w:kern w:val="28"/>
                      <w:szCs w:val="21"/>
                    </w:rPr>
                    <w:t>执行标准</w:t>
                  </w:r>
                </w:p>
              </w:tc>
            </w:tr>
            <w:tr w14:paraId="3465CD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9" w:type="pct"/>
                  <w:tcBorders>
                    <w:top w:val="single" w:color="auto" w:sz="4" w:space="0"/>
                    <w:left w:val="nil"/>
                    <w:bottom w:val="single" w:color="auto" w:sz="12" w:space="0"/>
                    <w:right w:val="single" w:color="auto" w:sz="4" w:space="0"/>
                  </w:tcBorders>
                  <w:vAlign w:val="center"/>
                </w:tcPr>
                <w:p w14:paraId="32D242A8">
                  <w:pPr>
                    <w:tabs>
                      <w:tab w:val="left" w:pos="4767"/>
                    </w:tabs>
                    <w:autoSpaceDE w:val="0"/>
                    <w:autoSpaceDN w:val="0"/>
                    <w:adjustRightInd w:val="0"/>
                    <w:snapToGrid w:val="0"/>
                    <w:jc w:val="center"/>
                    <w:rPr>
                      <w:rFonts w:hint="default" w:ascii="Times New Roman" w:hAnsi="Times New Roman" w:cs="Times New Roman"/>
                      <w:color w:val="auto"/>
                      <w:kern w:val="28"/>
                      <w:szCs w:val="21"/>
                    </w:rPr>
                  </w:pPr>
                  <w:r>
                    <w:rPr>
                      <w:rFonts w:hint="default" w:ascii="Times New Roman" w:hAnsi="Times New Roman" w:cs="Times New Roman"/>
                      <w:color w:val="auto"/>
                      <w:kern w:val="28"/>
                      <w:szCs w:val="21"/>
                    </w:rPr>
                    <w:t>噪声</w:t>
                  </w:r>
                </w:p>
              </w:tc>
              <w:tc>
                <w:tcPr>
                  <w:tcW w:w="1141" w:type="pct"/>
                  <w:tcBorders>
                    <w:top w:val="single" w:color="auto" w:sz="4" w:space="0"/>
                    <w:left w:val="single" w:color="auto" w:sz="4" w:space="0"/>
                    <w:bottom w:val="single" w:color="auto" w:sz="12" w:space="0"/>
                    <w:right w:val="single" w:color="auto" w:sz="4" w:space="0"/>
                  </w:tcBorders>
                  <w:vAlign w:val="center"/>
                </w:tcPr>
                <w:p w14:paraId="4753EFC9">
                  <w:pPr>
                    <w:tabs>
                      <w:tab w:val="left" w:pos="4767"/>
                    </w:tabs>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厂界四周外1m</w:t>
                  </w:r>
                </w:p>
              </w:tc>
              <w:tc>
                <w:tcPr>
                  <w:tcW w:w="1141" w:type="pct"/>
                  <w:tcBorders>
                    <w:top w:val="single" w:color="auto" w:sz="4" w:space="0"/>
                    <w:left w:val="single" w:color="auto" w:sz="4" w:space="0"/>
                    <w:bottom w:val="single" w:color="auto" w:sz="12" w:space="0"/>
                    <w:right w:val="single" w:color="auto" w:sz="4" w:space="0"/>
                  </w:tcBorders>
                  <w:vAlign w:val="center"/>
                </w:tcPr>
                <w:p w14:paraId="7A22DA2B">
                  <w:pPr>
                    <w:tabs>
                      <w:tab w:val="left" w:pos="4767"/>
                    </w:tabs>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等效连续A声级</w:t>
                  </w:r>
                </w:p>
              </w:tc>
              <w:tc>
                <w:tcPr>
                  <w:tcW w:w="744" w:type="pct"/>
                  <w:tcBorders>
                    <w:top w:val="single" w:color="auto" w:sz="4" w:space="0"/>
                    <w:left w:val="single" w:color="auto" w:sz="4" w:space="0"/>
                    <w:bottom w:val="single" w:color="auto" w:sz="12" w:space="0"/>
                    <w:right w:val="nil"/>
                  </w:tcBorders>
                  <w:vAlign w:val="center"/>
                </w:tcPr>
                <w:p w14:paraId="26188FE5">
                  <w:pPr>
                    <w:tabs>
                      <w:tab w:val="left" w:pos="4767"/>
                    </w:tabs>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color w:val="auto"/>
                      <w:szCs w:val="21"/>
                    </w:rPr>
                    <w:t>1次/季度</w:t>
                  </w:r>
                </w:p>
              </w:tc>
              <w:tc>
                <w:tcPr>
                  <w:tcW w:w="1463" w:type="pct"/>
                  <w:tcBorders>
                    <w:top w:val="single" w:color="auto" w:sz="4" w:space="0"/>
                    <w:left w:val="single" w:color="auto" w:sz="4" w:space="0"/>
                    <w:bottom w:val="single" w:color="auto" w:sz="12" w:space="0"/>
                    <w:right w:val="nil"/>
                  </w:tcBorders>
                  <w:vAlign w:val="center"/>
                </w:tcPr>
                <w:p w14:paraId="175509CD">
                  <w:pPr>
                    <w:tabs>
                      <w:tab w:val="left" w:pos="4767"/>
                    </w:tabs>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《工业企业厂界环境噪声排放标准》(GB 12348-2008)</w:t>
                  </w:r>
                  <w:r>
                    <w:rPr>
                      <w:rFonts w:hint="default" w:ascii="Times New Roman" w:hAnsi="Times New Roman" w:cs="Times New Roman"/>
                      <w:bCs/>
                      <w:color w:val="auto"/>
                      <w:szCs w:val="21"/>
                      <w:lang w:val="en-US" w:eastAsia="zh-CN"/>
                    </w:rPr>
                    <w:t>2</w:t>
                  </w:r>
                  <w:r>
                    <w:rPr>
                      <w:rFonts w:hint="default" w:ascii="Times New Roman" w:hAnsi="Times New Roman" w:cs="Times New Roman"/>
                      <w:bCs/>
                      <w:color w:val="auto"/>
                      <w:szCs w:val="21"/>
                    </w:rPr>
                    <w:t>类标准</w:t>
                  </w:r>
                </w:p>
              </w:tc>
            </w:tr>
          </w:tbl>
          <w:p w14:paraId="40895AAD">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4、固体废物</w:t>
            </w:r>
          </w:p>
          <w:p w14:paraId="1684F8BB">
            <w:pPr>
              <w:tabs>
                <w:tab w:val="left" w:pos="4767"/>
              </w:tabs>
              <w:ind w:firstLine="514"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本项目运营期固体废物包括生活垃圾、一般工业固体废物及危险废物。</w:t>
            </w:r>
          </w:p>
          <w:p w14:paraId="746B4AD2">
            <w:pPr>
              <w:tabs>
                <w:tab w:val="left" w:pos="4767"/>
              </w:tabs>
              <w:ind w:firstLine="514"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生活垃圾：本项目运营期劳动定员共计8人，生活垃圾产生量按0.5kg/d·人计，则生活垃圾产生量为0.8t/a，集中收集后交由市政环卫部门统一处理。</w:t>
            </w:r>
          </w:p>
          <w:p w14:paraId="250EF053">
            <w:pPr>
              <w:tabs>
                <w:tab w:val="left" w:pos="4767"/>
              </w:tabs>
              <w:ind w:firstLine="514"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一般工业固体废物：</w:t>
            </w:r>
          </w:p>
          <w:p w14:paraId="58299B46">
            <w:pPr>
              <w:tabs>
                <w:tab w:val="left" w:pos="4767"/>
              </w:tabs>
              <w:ind w:firstLine="514"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a.废石料：矿石进入振动筛筛选，筛选出粒度不合格（过大）的废石料。废石料产生量与供应商供应的石料质量有关，根据建设单位提供资料，振动筛筛选出来的废石料产生量约占矿石料（144000t/a）原料用量的0.12</w:t>
            </w:r>
            <w:r>
              <w:rPr>
                <w:rFonts w:hint="eastAsia" w:cs="Times New Roman"/>
                <w:bCs/>
                <w:color w:val="auto"/>
                <w:sz w:val="24"/>
                <w:lang w:val="en-US" w:eastAsia="zh-CN"/>
              </w:rPr>
              <w:t>9</w:t>
            </w:r>
            <w:r>
              <w:rPr>
                <w:rFonts w:hint="default" w:ascii="Times New Roman" w:hAnsi="Times New Roman" w:cs="Times New Roman"/>
                <w:bCs/>
                <w:color w:val="auto"/>
                <w:sz w:val="24"/>
                <w:lang w:val="en-US" w:eastAsia="zh-CN"/>
              </w:rPr>
              <w:t>%，即为</w:t>
            </w:r>
            <w:r>
              <w:rPr>
                <w:rFonts w:hint="eastAsia" w:cs="Times New Roman"/>
                <w:bCs/>
                <w:color w:val="auto"/>
                <w:sz w:val="24"/>
                <w:lang w:val="en-US" w:eastAsia="zh-CN"/>
              </w:rPr>
              <w:t>185.54</w:t>
            </w:r>
            <w:r>
              <w:rPr>
                <w:rFonts w:hint="default" w:ascii="Times New Roman" w:hAnsi="Times New Roman" w:cs="Times New Roman"/>
                <w:bCs/>
                <w:color w:val="auto"/>
                <w:sz w:val="24"/>
                <w:lang w:val="en-US" w:eastAsia="zh-CN"/>
              </w:rPr>
              <w:t>t/a。该部分固废属于一般工业固体废物，送回</w:t>
            </w:r>
            <w:r>
              <w:rPr>
                <w:rFonts w:hint="eastAsia" w:cs="Times New Roman"/>
                <w:bCs/>
                <w:color w:val="auto"/>
                <w:sz w:val="24"/>
                <w:lang w:val="en-US" w:eastAsia="zh-CN"/>
              </w:rPr>
              <w:t>矿石堆棚</w:t>
            </w:r>
            <w:r>
              <w:rPr>
                <w:rFonts w:hint="default" w:ascii="Times New Roman" w:hAnsi="Times New Roman" w:cs="Times New Roman"/>
                <w:bCs/>
                <w:color w:val="auto"/>
                <w:sz w:val="24"/>
                <w:lang w:val="en-US" w:eastAsia="zh-CN"/>
              </w:rPr>
              <w:t>暂存，由石料供应商定期回收破碎后重新利用。</w:t>
            </w:r>
          </w:p>
          <w:p w14:paraId="6E9CCDC3">
            <w:pPr>
              <w:tabs>
                <w:tab w:val="left" w:pos="4767"/>
              </w:tabs>
              <w:ind w:firstLine="514"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b.除尘装置收集的粉尘：本项目废气中的粉尘采用配套的除尘器进行收集，</w:t>
            </w:r>
            <w:r>
              <w:rPr>
                <w:rFonts w:hint="eastAsia" w:cs="Times New Roman"/>
                <w:bCs/>
                <w:color w:val="auto"/>
                <w:sz w:val="24"/>
                <w:lang w:val="en-US" w:eastAsia="zh-CN"/>
              </w:rPr>
              <w:t>根据建设单位提供资料，</w:t>
            </w:r>
            <w:r>
              <w:rPr>
                <w:rFonts w:hint="default" w:ascii="Times New Roman" w:hAnsi="Times New Roman" w:cs="Times New Roman"/>
                <w:bCs/>
                <w:color w:val="auto"/>
                <w:sz w:val="24"/>
                <w:lang w:val="en-US" w:eastAsia="zh-CN"/>
              </w:rPr>
              <w:t>除尘装置收集的粉尘总量约为43t/a，收集到的粉尘回用于生产。</w:t>
            </w:r>
          </w:p>
          <w:p w14:paraId="3680097C">
            <w:pPr>
              <w:tabs>
                <w:tab w:val="left" w:pos="4767"/>
              </w:tabs>
              <w:ind w:firstLine="514"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c.滴漏沥青及拌和残渣：散装沥青运输车辆将沥青输入厂区内沥青储罐和沥青泵将沥青从储罐打入拌和系统时，由于接口的密闭性问题，会滴漏少量沥青，沥青的滴漏量和项目使用设备及生产管理水平有关。沥青暴露于常温下时呈凝固状态，不会四处流溢，滴漏沥青和残渣年产生量约为0.01t/a，收集后回用于生产。</w:t>
            </w:r>
          </w:p>
          <w:p w14:paraId="680673AD">
            <w:pPr>
              <w:tabs>
                <w:tab w:val="left" w:pos="4767"/>
              </w:tabs>
              <w:ind w:firstLine="514" w:firstLineChars="200"/>
              <w:rPr>
                <w:rFonts w:hint="default" w:ascii="Times New Roman" w:hAnsi="Times New Roman" w:cs="Times New Roman"/>
                <w:bCs/>
                <w:color w:val="auto"/>
                <w:sz w:val="24"/>
                <w:lang w:val="en-US" w:eastAsia="zh-CN"/>
              </w:rPr>
            </w:pPr>
            <w:r>
              <w:rPr>
                <w:rFonts w:hint="eastAsia" w:cs="Times New Roman"/>
                <w:bCs/>
                <w:color w:val="auto"/>
                <w:sz w:val="24"/>
                <w:lang w:val="en-US" w:eastAsia="zh-CN"/>
              </w:rPr>
              <w:t>危险废物</w:t>
            </w:r>
          </w:p>
          <w:p w14:paraId="38779816">
            <w:pPr>
              <w:tabs>
                <w:tab w:val="left" w:pos="4767"/>
              </w:tabs>
              <w:ind w:firstLine="514"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废导热油：项目导热油用量为5t，每5年更换一次，根据《国家危险废物名录》（202</w:t>
            </w:r>
            <w:r>
              <w:rPr>
                <w:rFonts w:hint="eastAsia" w:cs="Times New Roman"/>
                <w:bCs/>
                <w:color w:val="auto"/>
                <w:sz w:val="24"/>
                <w:lang w:val="en-US" w:eastAsia="zh-CN"/>
              </w:rPr>
              <w:t>5</w:t>
            </w:r>
            <w:r>
              <w:rPr>
                <w:rFonts w:hint="default" w:ascii="Times New Roman" w:hAnsi="Times New Roman" w:cs="Times New Roman"/>
                <w:bCs/>
                <w:color w:val="auto"/>
                <w:sz w:val="24"/>
                <w:lang w:val="en-US" w:eastAsia="zh-CN"/>
              </w:rPr>
              <w:t>年），其属于危险废物，危险废物类别为HW08废矿物油与含矿物油废物（900-249-08）。导热油更换时</w:t>
            </w:r>
            <w:r>
              <w:rPr>
                <w:rFonts w:hint="eastAsia" w:cs="Times New Roman"/>
                <w:bCs/>
                <w:color w:val="auto"/>
                <w:sz w:val="24"/>
                <w:lang w:val="en-US" w:eastAsia="zh-CN"/>
              </w:rPr>
              <w:t>委托有资质的单位处置</w:t>
            </w:r>
            <w:r>
              <w:rPr>
                <w:rFonts w:hint="default" w:ascii="Times New Roman" w:hAnsi="Times New Roman" w:cs="Times New Roman"/>
                <w:bCs/>
                <w:color w:val="auto"/>
                <w:sz w:val="24"/>
                <w:lang w:val="en-US" w:eastAsia="zh-CN"/>
              </w:rPr>
              <w:t>，不落地。</w:t>
            </w:r>
          </w:p>
          <w:p w14:paraId="5ADB6AE9">
            <w:pPr>
              <w:tabs>
                <w:tab w:val="left" w:pos="4767"/>
              </w:tabs>
              <w:ind w:firstLine="514"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为加强危险废物全过程环境管理，本项目将严格执行以下措施：</w:t>
            </w:r>
          </w:p>
          <w:p w14:paraId="4308B800">
            <w:pPr>
              <w:tabs>
                <w:tab w:val="left" w:pos="4767"/>
              </w:tabs>
              <w:ind w:firstLine="514"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a.收集与贮存：废导热油更换时采用专用密闭容器收集，确保不落地、不洒漏。厂区内设置符合《危险废物贮存污染控制标准》（GB 18597）要求的专用危险废物暂存区，做到防风、防雨、防渗、防腐，并设置醒目的危险废物标识标牌。</w:t>
            </w:r>
          </w:p>
          <w:p w14:paraId="70283080">
            <w:pPr>
              <w:tabs>
                <w:tab w:val="left" w:pos="4767"/>
              </w:tabs>
              <w:ind w:firstLine="514"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b.转移与处置：废导热油委托具有相应危险废物经营许可证资质的单位进行处置。转移过程执行危险废物转移联单制度，如实填写联单信息，并确保运输单位具备危险货物运输资质。</w:t>
            </w:r>
          </w:p>
          <w:p w14:paraId="26E7F627">
            <w:pPr>
              <w:tabs>
                <w:tab w:val="left" w:pos="4767"/>
              </w:tabs>
              <w:ind w:firstLine="514"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c.台账与申报：建立危险废物管理台账，详细记录废导热油的产生、贮存、转移等信息，并按规定通过相关信息系统进行申报。</w:t>
            </w:r>
          </w:p>
          <w:p w14:paraId="7D3646C5">
            <w:pPr>
              <w:tabs>
                <w:tab w:val="left" w:pos="4767"/>
              </w:tabs>
              <w:ind w:firstLine="514" w:firstLineChars="200"/>
              <w:rPr>
                <w:rFonts w:hint="default" w:ascii="Times New Roman" w:hAnsi="Times New Roman" w:cs="Times New Roman"/>
                <w:bCs/>
                <w:color w:val="auto"/>
                <w:sz w:val="24"/>
                <w:lang w:val="en-US" w:eastAsia="zh-CN"/>
              </w:rPr>
            </w:pPr>
            <w:r>
              <w:rPr>
                <w:rFonts w:hint="eastAsia" w:cs="Times New Roman"/>
                <w:bCs/>
                <w:color w:val="auto"/>
                <w:sz w:val="24"/>
                <w:lang w:val="en-US" w:eastAsia="zh-CN"/>
              </w:rPr>
              <w:t>d.</w:t>
            </w:r>
            <w:r>
              <w:rPr>
                <w:rFonts w:hint="default" w:ascii="Times New Roman" w:hAnsi="Times New Roman" w:cs="Times New Roman"/>
                <w:bCs/>
                <w:color w:val="auto"/>
                <w:sz w:val="24"/>
                <w:lang w:val="en-US" w:eastAsia="zh-CN"/>
              </w:rPr>
              <w:t>应急管理：制定危险废物意外事故防范措施和应急预案，配备必要的应急物资，定期组织演练。</w:t>
            </w:r>
          </w:p>
          <w:p w14:paraId="27149577">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本项目产生的固体废物全部妥善处置，不外排，不会对周围环境产生明显影响。</w:t>
            </w:r>
          </w:p>
          <w:p w14:paraId="5BB6D0D1">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5、地下水与土壤影响分析</w:t>
            </w:r>
          </w:p>
          <w:p w14:paraId="0F75D2EC">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本项目建成后，通过采取地面硬化，将原有可渗透的土地变成不渗透的人工硬化地面，减少了污染物入渗对地下水的影响。</w:t>
            </w:r>
          </w:p>
          <w:p w14:paraId="362957EA">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同时，在生产过程中加强管理，制定严格的岗位责任制，确保各种工艺设备、管道、阀门完好，废水不发生渗漏；对不同的区域采取不同的污染防治措施；强化监控手段，定期检查，发现问题应及时处理，跑冒滴漏废水。妥善收集并处理；及时检查及维护各类事故应急设施，确保事故发生时各类废水能得到有效收集和处置，避免对地下水、土壤产生影响。</w:t>
            </w:r>
          </w:p>
          <w:p w14:paraId="6B1E7DFA">
            <w:pPr>
              <w:tabs>
                <w:tab w:val="left" w:pos="4767"/>
              </w:tabs>
              <w:ind w:firstLine="514"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综上所述，本项目不存在污染土壤及地下水的污染源和污染途径，在采取地面硬化及相应管理措施的情况下，对地下水和土壤的影响在可接受范围内。</w:t>
            </w:r>
          </w:p>
          <w:p w14:paraId="0BD3D516">
            <w:pPr>
              <w:tabs>
                <w:tab w:val="left" w:pos="4767"/>
              </w:tabs>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6、环境风险</w:t>
            </w:r>
          </w:p>
          <w:p w14:paraId="69325158">
            <w:pPr>
              <w:tabs>
                <w:tab w:val="left" w:pos="4767"/>
              </w:tabs>
              <w:ind w:firstLine="514"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rPr>
              <w:t>根据《建设项目环境影响风险评价技术导则》（HJ 169-2018），本项目</w:t>
            </w:r>
            <w:r>
              <w:rPr>
                <w:rFonts w:hint="default" w:ascii="Times New Roman" w:hAnsi="Times New Roman" w:cs="Times New Roman"/>
                <w:color w:val="auto"/>
                <w:sz w:val="24"/>
                <w:szCs w:val="32"/>
                <w:lang w:val="en-US" w:eastAsia="zh-CN"/>
              </w:rPr>
              <w:t>涉及的环境风险物质主要为天然气、导热油。</w:t>
            </w:r>
          </w:p>
          <w:p w14:paraId="7CDBAD0E">
            <w:pPr>
              <w:pStyle w:val="71"/>
              <w:tabs>
                <w:tab w:val="left" w:pos="4767"/>
              </w:tabs>
              <w:rPr>
                <w:rFonts w:hint="default" w:ascii="Times New Roman" w:hAnsi="Times New Roman" w:cs="Times New Roman"/>
                <w:color w:val="auto"/>
              </w:rPr>
            </w:pPr>
            <w:r>
              <w:rPr>
                <w:rFonts w:hint="default" w:ascii="Times New Roman" w:hAnsi="Times New Roman" w:cs="Times New Roman"/>
                <w:color w:val="auto"/>
              </w:rPr>
              <w:t>表4-</w:t>
            </w:r>
            <w:r>
              <w:rPr>
                <w:rFonts w:hint="eastAsia" w:ascii="Times New Roman" w:hAnsi="Times New Roman" w:cs="Times New Roman"/>
                <w:color w:val="auto"/>
                <w:lang w:val="en-US" w:eastAsia="zh-CN"/>
              </w:rPr>
              <w:t>11</w:t>
            </w:r>
            <w:r>
              <w:rPr>
                <w:rFonts w:hint="default" w:ascii="Times New Roman" w:hAnsi="Times New Roman" w:cs="Times New Roman"/>
                <w:color w:val="auto"/>
              </w:rPr>
              <w:t xml:space="preserve">  建设项目Q值计算表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350"/>
              <w:gridCol w:w="1800"/>
              <w:gridCol w:w="1395"/>
              <w:gridCol w:w="2000"/>
            </w:tblGrid>
            <w:tr w14:paraId="47E52B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664" w:type="dxa"/>
                  <w:tcBorders>
                    <w:top w:val="single" w:color="auto" w:sz="12" w:space="0"/>
                    <w:left w:val="nil"/>
                    <w:bottom w:val="single" w:color="auto" w:sz="4" w:space="0"/>
                    <w:right w:val="single" w:color="auto" w:sz="4" w:space="0"/>
                  </w:tcBorders>
                  <w:vAlign w:val="center"/>
                </w:tcPr>
                <w:p w14:paraId="26113101">
                  <w:pPr>
                    <w:tabs>
                      <w:tab w:val="left" w:pos="4767"/>
                    </w:tabs>
                    <w:autoSpaceDE w:val="0"/>
                    <w:autoSpaceDN w:val="0"/>
                    <w:adjustRightInd w:val="0"/>
                    <w:snapToGrid w:val="0"/>
                    <w:jc w:val="center"/>
                    <w:rPr>
                      <w:rFonts w:hint="default" w:ascii="Times New Roman" w:hAnsi="Times New Roman" w:eastAsia="宋体" w:cs="Times New Roman"/>
                      <w:b/>
                      <w:bCs/>
                      <w:color w:val="auto"/>
                      <w:kern w:val="28"/>
                      <w:szCs w:val="21"/>
                    </w:rPr>
                  </w:pPr>
                  <w:r>
                    <w:rPr>
                      <w:rFonts w:hint="default" w:ascii="Times New Roman" w:hAnsi="Times New Roman" w:eastAsia="宋体" w:cs="Times New Roman"/>
                      <w:b/>
                      <w:bCs/>
                      <w:color w:val="auto"/>
                      <w:kern w:val="28"/>
                      <w:szCs w:val="21"/>
                    </w:rPr>
                    <w:t>危险物质名称</w:t>
                  </w:r>
                </w:p>
              </w:tc>
              <w:tc>
                <w:tcPr>
                  <w:tcW w:w="1350" w:type="dxa"/>
                  <w:tcBorders>
                    <w:top w:val="single" w:color="auto" w:sz="12" w:space="0"/>
                    <w:left w:val="single" w:color="auto" w:sz="4" w:space="0"/>
                    <w:bottom w:val="single" w:color="auto" w:sz="4" w:space="0"/>
                    <w:right w:val="single" w:color="auto" w:sz="4" w:space="0"/>
                  </w:tcBorders>
                  <w:vAlign w:val="center"/>
                </w:tcPr>
                <w:p w14:paraId="1D0E1ECA">
                  <w:pPr>
                    <w:tabs>
                      <w:tab w:val="left" w:pos="4767"/>
                    </w:tabs>
                    <w:autoSpaceDE w:val="0"/>
                    <w:autoSpaceDN w:val="0"/>
                    <w:adjustRightInd w:val="0"/>
                    <w:snapToGrid w:val="0"/>
                    <w:jc w:val="center"/>
                    <w:rPr>
                      <w:rFonts w:hint="default" w:ascii="Times New Roman" w:hAnsi="Times New Roman" w:eastAsia="宋体" w:cs="Times New Roman"/>
                      <w:b/>
                      <w:bCs/>
                      <w:color w:val="auto"/>
                      <w:kern w:val="28"/>
                      <w:szCs w:val="21"/>
                    </w:rPr>
                  </w:pPr>
                  <w:r>
                    <w:rPr>
                      <w:rFonts w:hint="default" w:ascii="Times New Roman" w:hAnsi="Times New Roman" w:eastAsia="宋体" w:cs="Times New Roman"/>
                      <w:b/>
                      <w:bCs/>
                      <w:color w:val="auto"/>
                      <w:kern w:val="28"/>
                      <w:szCs w:val="21"/>
                    </w:rPr>
                    <w:t>CAS号</w:t>
                  </w:r>
                </w:p>
              </w:tc>
              <w:tc>
                <w:tcPr>
                  <w:tcW w:w="1800" w:type="dxa"/>
                  <w:tcBorders>
                    <w:top w:val="single" w:color="auto" w:sz="12" w:space="0"/>
                    <w:left w:val="single" w:color="auto" w:sz="4" w:space="0"/>
                    <w:bottom w:val="single" w:color="auto" w:sz="4" w:space="0"/>
                    <w:right w:val="single" w:color="auto" w:sz="4" w:space="0"/>
                  </w:tcBorders>
                  <w:vAlign w:val="center"/>
                </w:tcPr>
                <w:p w14:paraId="426C744F">
                  <w:pPr>
                    <w:tabs>
                      <w:tab w:val="left" w:pos="4767"/>
                    </w:tabs>
                    <w:autoSpaceDE w:val="0"/>
                    <w:autoSpaceDN w:val="0"/>
                    <w:adjustRightInd w:val="0"/>
                    <w:snapToGrid w:val="0"/>
                    <w:jc w:val="center"/>
                    <w:rPr>
                      <w:rFonts w:hint="default" w:ascii="Times New Roman" w:hAnsi="Times New Roman" w:eastAsia="宋体" w:cs="Times New Roman"/>
                      <w:b/>
                      <w:bCs/>
                      <w:color w:val="auto"/>
                      <w:kern w:val="28"/>
                      <w:szCs w:val="21"/>
                    </w:rPr>
                  </w:pPr>
                  <w:r>
                    <w:rPr>
                      <w:rFonts w:hint="default" w:ascii="Times New Roman" w:hAnsi="Times New Roman" w:eastAsia="宋体" w:cs="Times New Roman"/>
                      <w:b/>
                      <w:bCs/>
                      <w:color w:val="auto"/>
                      <w:kern w:val="28"/>
                      <w:szCs w:val="21"/>
                    </w:rPr>
                    <w:t>最大</w:t>
                  </w:r>
                  <w:r>
                    <w:rPr>
                      <w:rFonts w:hint="default" w:ascii="Times New Roman" w:hAnsi="Times New Roman" w:eastAsia="宋体" w:cs="Times New Roman"/>
                      <w:b/>
                      <w:bCs/>
                      <w:color w:val="auto"/>
                      <w:kern w:val="28"/>
                      <w:szCs w:val="21"/>
                      <w:lang w:eastAsia="zh-CN"/>
                    </w:rPr>
                    <w:t>储存</w:t>
                  </w:r>
                  <w:r>
                    <w:rPr>
                      <w:rFonts w:hint="default" w:ascii="Times New Roman" w:hAnsi="Times New Roman" w:eastAsia="宋体" w:cs="Times New Roman"/>
                      <w:b/>
                      <w:bCs/>
                      <w:color w:val="auto"/>
                      <w:kern w:val="28"/>
                      <w:szCs w:val="21"/>
                    </w:rPr>
                    <w:t>量qn/t</w:t>
                  </w:r>
                </w:p>
              </w:tc>
              <w:tc>
                <w:tcPr>
                  <w:tcW w:w="1395" w:type="dxa"/>
                  <w:tcBorders>
                    <w:top w:val="single" w:color="auto" w:sz="12" w:space="0"/>
                    <w:left w:val="single" w:color="auto" w:sz="4" w:space="0"/>
                    <w:bottom w:val="single" w:color="auto" w:sz="4" w:space="0"/>
                    <w:right w:val="nil"/>
                  </w:tcBorders>
                  <w:vAlign w:val="center"/>
                </w:tcPr>
                <w:p w14:paraId="628266FE">
                  <w:pPr>
                    <w:tabs>
                      <w:tab w:val="left" w:pos="4767"/>
                    </w:tabs>
                    <w:autoSpaceDE w:val="0"/>
                    <w:autoSpaceDN w:val="0"/>
                    <w:adjustRightInd w:val="0"/>
                    <w:snapToGrid w:val="0"/>
                    <w:jc w:val="center"/>
                    <w:rPr>
                      <w:rFonts w:hint="default" w:ascii="Times New Roman" w:hAnsi="Times New Roman" w:eastAsia="宋体" w:cs="Times New Roman"/>
                      <w:b/>
                      <w:bCs/>
                      <w:color w:val="auto"/>
                      <w:kern w:val="28"/>
                      <w:szCs w:val="21"/>
                    </w:rPr>
                  </w:pPr>
                  <w:r>
                    <w:rPr>
                      <w:rFonts w:hint="default" w:ascii="Times New Roman" w:hAnsi="Times New Roman" w:eastAsia="宋体" w:cs="Times New Roman"/>
                      <w:b/>
                      <w:bCs/>
                      <w:color w:val="auto"/>
                      <w:kern w:val="28"/>
                      <w:szCs w:val="21"/>
                    </w:rPr>
                    <w:t>临界量Qn/t</w:t>
                  </w:r>
                </w:p>
              </w:tc>
              <w:tc>
                <w:tcPr>
                  <w:tcW w:w="2000" w:type="dxa"/>
                  <w:tcBorders>
                    <w:top w:val="single" w:color="auto" w:sz="12" w:space="0"/>
                    <w:left w:val="single" w:color="auto" w:sz="4" w:space="0"/>
                    <w:bottom w:val="single" w:color="auto" w:sz="4" w:space="0"/>
                    <w:right w:val="nil"/>
                  </w:tcBorders>
                  <w:vAlign w:val="center"/>
                </w:tcPr>
                <w:p w14:paraId="2F5CFD89">
                  <w:pPr>
                    <w:tabs>
                      <w:tab w:val="left" w:pos="4767"/>
                    </w:tabs>
                    <w:autoSpaceDE w:val="0"/>
                    <w:autoSpaceDN w:val="0"/>
                    <w:adjustRightInd w:val="0"/>
                    <w:snapToGrid w:val="0"/>
                    <w:jc w:val="center"/>
                    <w:rPr>
                      <w:rFonts w:hint="default" w:ascii="Times New Roman" w:hAnsi="Times New Roman" w:eastAsia="宋体" w:cs="Times New Roman"/>
                      <w:b/>
                      <w:bCs/>
                      <w:color w:val="auto"/>
                      <w:kern w:val="28"/>
                      <w:szCs w:val="21"/>
                    </w:rPr>
                  </w:pPr>
                  <w:r>
                    <w:rPr>
                      <w:rFonts w:hint="default" w:ascii="Times New Roman" w:hAnsi="Times New Roman" w:eastAsia="宋体" w:cs="Times New Roman"/>
                      <w:b/>
                      <w:bCs/>
                      <w:color w:val="auto"/>
                      <w:kern w:val="28"/>
                      <w:szCs w:val="21"/>
                    </w:rPr>
                    <w:t>该种危险物质Q值</w:t>
                  </w:r>
                </w:p>
              </w:tc>
            </w:tr>
            <w:tr w14:paraId="57BD38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64" w:type="dxa"/>
                  <w:tcBorders>
                    <w:top w:val="single" w:color="auto" w:sz="4" w:space="0"/>
                    <w:left w:val="nil"/>
                    <w:bottom w:val="single" w:color="auto" w:sz="4" w:space="0"/>
                    <w:right w:val="single" w:color="auto" w:sz="4" w:space="0"/>
                  </w:tcBorders>
                  <w:vAlign w:val="center"/>
                </w:tcPr>
                <w:p w14:paraId="5F6B1C62">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lang w:eastAsia="zh-CN"/>
                    </w:rPr>
                    <w:t>天然气</w:t>
                  </w:r>
                </w:p>
              </w:tc>
              <w:tc>
                <w:tcPr>
                  <w:tcW w:w="1350" w:type="dxa"/>
                  <w:tcBorders>
                    <w:top w:val="single" w:color="auto" w:sz="4" w:space="0"/>
                    <w:left w:val="single" w:color="auto" w:sz="4" w:space="0"/>
                    <w:bottom w:val="single" w:color="auto" w:sz="4" w:space="0"/>
                    <w:right w:val="single" w:color="auto" w:sz="4" w:space="0"/>
                  </w:tcBorders>
                  <w:vAlign w:val="center"/>
                </w:tcPr>
                <w:p w14:paraId="212E758A">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lang w:val="en-US" w:eastAsia="zh-CN"/>
                    </w:rPr>
                    <w:t>74</w:t>
                  </w:r>
                  <w:r>
                    <w:rPr>
                      <w:rFonts w:hint="default" w:ascii="Times New Roman" w:hAnsi="Times New Roman" w:eastAsia="宋体" w:cs="Times New Roman"/>
                      <w:color w:val="auto"/>
                      <w:kern w:val="28"/>
                      <w:szCs w:val="21"/>
                    </w:rPr>
                    <w:t>-</w:t>
                  </w:r>
                  <w:r>
                    <w:rPr>
                      <w:rFonts w:hint="default" w:ascii="Times New Roman" w:hAnsi="Times New Roman" w:eastAsia="宋体" w:cs="Times New Roman"/>
                      <w:color w:val="auto"/>
                      <w:kern w:val="28"/>
                      <w:szCs w:val="21"/>
                      <w:lang w:val="en-US" w:eastAsia="zh-CN"/>
                    </w:rPr>
                    <w:t>82</w:t>
                  </w:r>
                  <w:r>
                    <w:rPr>
                      <w:rFonts w:hint="default" w:ascii="Times New Roman" w:hAnsi="Times New Roman" w:eastAsia="宋体" w:cs="Times New Roman"/>
                      <w:color w:val="auto"/>
                      <w:kern w:val="28"/>
                      <w:szCs w:val="21"/>
                    </w:rPr>
                    <w:t>-</w:t>
                  </w:r>
                  <w:r>
                    <w:rPr>
                      <w:rFonts w:hint="default" w:ascii="Times New Roman" w:hAnsi="Times New Roman" w:eastAsia="宋体" w:cs="Times New Roman"/>
                      <w:color w:val="auto"/>
                      <w:kern w:val="28"/>
                      <w:szCs w:val="21"/>
                      <w:lang w:val="en-US" w:eastAsia="zh-CN"/>
                    </w:rPr>
                    <w:t>8</w:t>
                  </w:r>
                </w:p>
              </w:tc>
              <w:tc>
                <w:tcPr>
                  <w:tcW w:w="1800" w:type="dxa"/>
                  <w:tcBorders>
                    <w:top w:val="single" w:color="auto" w:sz="4" w:space="0"/>
                    <w:left w:val="single" w:color="auto" w:sz="4" w:space="0"/>
                    <w:bottom w:val="single" w:color="auto" w:sz="4" w:space="0"/>
                    <w:right w:val="single" w:color="auto" w:sz="4" w:space="0"/>
                  </w:tcBorders>
                  <w:vAlign w:val="center"/>
                </w:tcPr>
                <w:p w14:paraId="69B5CFCE">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lang w:val="en-US" w:eastAsia="zh-CN"/>
                    </w:rPr>
                    <w:t>22</w:t>
                  </w:r>
                </w:p>
              </w:tc>
              <w:tc>
                <w:tcPr>
                  <w:tcW w:w="1395" w:type="dxa"/>
                  <w:tcBorders>
                    <w:top w:val="single" w:color="auto" w:sz="4" w:space="0"/>
                    <w:left w:val="single" w:color="auto" w:sz="4" w:space="0"/>
                    <w:bottom w:val="single" w:color="auto" w:sz="4" w:space="0"/>
                    <w:right w:val="nil"/>
                  </w:tcBorders>
                  <w:vAlign w:val="center"/>
                </w:tcPr>
                <w:p w14:paraId="21493CCB">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lang w:val="en-US" w:eastAsia="zh-CN"/>
                    </w:rPr>
                    <w:t>10</w:t>
                  </w:r>
                </w:p>
              </w:tc>
              <w:tc>
                <w:tcPr>
                  <w:tcW w:w="2000" w:type="dxa"/>
                  <w:tcBorders>
                    <w:top w:val="single" w:color="auto" w:sz="4" w:space="0"/>
                    <w:left w:val="single" w:color="auto" w:sz="4" w:space="0"/>
                    <w:bottom w:val="single" w:color="auto" w:sz="4" w:space="0"/>
                    <w:right w:val="nil"/>
                  </w:tcBorders>
                  <w:vAlign w:val="center"/>
                </w:tcPr>
                <w:p w14:paraId="20E83C3B">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lang w:val="en-US" w:eastAsia="zh-CN"/>
                    </w:rPr>
                    <w:t>2.2</w:t>
                  </w:r>
                </w:p>
              </w:tc>
            </w:tr>
            <w:tr w14:paraId="6AAA58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64" w:type="dxa"/>
                  <w:tcBorders>
                    <w:top w:val="single" w:color="auto" w:sz="4" w:space="0"/>
                    <w:left w:val="nil"/>
                    <w:bottom w:val="single" w:color="auto" w:sz="4" w:space="0"/>
                    <w:right w:val="single" w:color="auto" w:sz="4" w:space="0"/>
                  </w:tcBorders>
                  <w:vAlign w:val="center"/>
                </w:tcPr>
                <w:p w14:paraId="105695C9">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rPr>
                    <w:t>导热油</w:t>
                  </w:r>
                </w:p>
              </w:tc>
              <w:tc>
                <w:tcPr>
                  <w:tcW w:w="1350" w:type="dxa"/>
                  <w:tcBorders>
                    <w:top w:val="single" w:color="auto" w:sz="4" w:space="0"/>
                    <w:left w:val="single" w:color="auto" w:sz="4" w:space="0"/>
                    <w:bottom w:val="single" w:color="auto" w:sz="4" w:space="0"/>
                    <w:right w:val="single" w:color="auto" w:sz="4" w:space="0"/>
                  </w:tcBorders>
                  <w:vAlign w:val="center"/>
                </w:tcPr>
                <w:p w14:paraId="5021E9FF">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rPr>
                    <w:t>/</w:t>
                  </w:r>
                </w:p>
              </w:tc>
              <w:tc>
                <w:tcPr>
                  <w:tcW w:w="1800" w:type="dxa"/>
                  <w:tcBorders>
                    <w:top w:val="single" w:color="auto" w:sz="4" w:space="0"/>
                    <w:left w:val="single" w:color="auto" w:sz="4" w:space="0"/>
                    <w:bottom w:val="single" w:color="auto" w:sz="4" w:space="0"/>
                    <w:right w:val="single" w:color="auto" w:sz="4" w:space="0"/>
                  </w:tcBorders>
                  <w:vAlign w:val="center"/>
                </w:tcPr>
                <w:p w14:paraId="468A4FFD">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lang w:val="en-US" w:eastAsia="zh-CN"/>
                    </w:rPr>
                    <w:t>5</w:t>
                  </w:r>
                </w:p>
              </w:tc>
              <w:tc>
                <w:tcPr>
                  <w:tcW w:w="1395" w:type="dxa"/>
                  <w:tcBorders>
                    <w:top w:val="single" w:color="auto" w:sz="4" w:space="0"/>
                    <w:left w:val="single" w:color="auto" w:sz="4" w:space="0"/>
                    <w:bottom w:val="single" w:color="auto" w:sz="4" w:space="0"/>
                    <w:right w:val="nil"/>
                  </w:tcBorders>
                  <w:vAlign w:val="center"/>
                </w:tcPr>
                <w:p w14:paraId="2ADA62E6">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lang w:val="en-US" w:eastAsia="zh-CN"/>
                    </w:rPr>
                    <w:t>2500</w:t>
                  </w:r>
                </w:p>
              </w:tc>
              <w:tc>
                <w:tcPr>
                  <w:tcW w:w="2000" w:type="dxa"/>
                  <w:tcBorders>
                    <w:top w:val="single" w:color="auto" w:sz="4" w:space="0"/>
                    <w:left w:val="single" w:color="auto" w:sz="4" w:space="0"/>
                    <w:bottom w:val="single" w:color="auto" w:sz="4" w:space="0"/>
                    <w:right w:val="nil"/>
                  </w:tcBorders>
                  <w:vAlign w:val="center"/>
                </w:tcPr>
                <w:p w14:paraId="1D41E29C">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lang w:val="en-US" w:eastAsia="zh-CN"/>
                    </w:rPr>
                    <w:t>0.002</w:t>
                  </w:r>
                </w:p>
              </w:tc>
            </w:tr>
            <w:tr w14:paraId="26C6BC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09" w:type="dxa"/>
                  <w:gridSpan w:val="4"/>
                  <w:tcBorders>
                    <w:top w:val="single" w:color="auto" w:sz="4" w:space="0"/>
                    <w:left w:val="nil"/>
                    <w:bottom w:val="single" w:color="auto" w:sz="12" w:space="0"/>
                    <w:right w:val="nil"/>
                  </w:tcBorders>
                  <w:vAlign w:val="center"/>
                </w:tcPr>
                <w:p w14:paraId="1A2C2192">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rPr>
                    <w:t>项目Q值∑</w:t>
                  </w:r>
                </w:p>
              </w:tc>
              <w:tc>
                <w:tcPr>
                  <w:tcW w:w="2000" w:type="dxa"/>
                  <w:tcBorders>
                    <w:top w:val="single" w:color="auto" w:sz="4" w:space="0"/>
                    <w:left w:val="single" w:color="auto" w:sz="4" w:space="0"/>
                    <w:bottom w:val="single" w:color="auto" w:sz="12" w:space="0"/>
                    <w:right w:val="nil"/>
                  </w:tcBorders>
                  <w:vAlign w:val="center"/>
                </w:tcPr>
                <w:p w14:paraId="6B00788F">
                  <w:pPr>
                    <w:tabs>
                      <w:tab w:val="left" w:pos="4767"/>
                    </w:tabs>
                    <w:autoSpaceDE w:val="0"/>
                    <w:autoSpaceDN w:val="0"/>
                    <w:adjustRightInd w:val="0"/>
                    <w:snapToGrid w:val="0"/>
                    <w:jc w:val="center"/>
                    <w:rPr>
                      <w:rFonts w:hint="default" w:ascii="Times New Roman" w:hAnsi="Times New Roman" w:eastAsia="宋体" w:cs="Times New Roman"/>
                      <w:color w:val="auto"/>
                      <w:kern w:val="28"/>
                      <w:szCs w:val="21"/>
                    </w:rPr>
                  </w:pPr>
                  <w:r>
                    <w:rPr>
                      <w:rFonts w:hint="default" w:ascii="Times New Roman" w:hAnsi="Times New Roman" w:eastAsia="宋体" w:cs="Times New Roman"/>
                      <w:color w:val="auto"/>
                      <w:kern w:val="28"/>
                      <w:szCs w:val="21"/>
                      <w:lang w:val="en-US" w:eastAsia="zh-CN"/>
                    </w:rPr>
                    <w:t>2.202</w:t>
                  </w:r>
                </w:p>
              </w:tc>
            </w:tr>
          </w:tbl>
          <w:p w14:paraId="3E5C230F">
            <w:pPr>
              <w:tabs>
                <w:tab w:val="left" w:pos="4767"/>
              </w:tabs>
              <w:ind w:firstLine="514" w:firstLineChars="200"/>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参照《建设项目环境风险评价技术导则HJ/T169-2018》的附录C，本项目危险物质数量与临界量比值（Q）的为2.202，本项目Q值为“1≤Q＜10”的范畴，因此根据编制指南中的表1（专项评价设置原则表）设置风险专章。</w:t>
            </w:r>
          </w:p>
          <w:p w14:paraId="69E85B6B">
            <w:pPr>
              <w:tabs>
                <w:tab w:val="left" w:pos="4767"/>
              </w:tabs>
              <w:ind w:firstLine="514" w:firstLineChars="200"/>
              <w:rPr>
                <w:rFonts w:hint="default" w:ascii="Times New Roman" w:hAnsi="Times New Roman" w:cs="Times New Roman"/>
                <w:color w:val="auto"/>
                <w:sz w:val="24"/>
                <w:szCs w:val="32"/>
              </w:rPr>
            </w:pPr>
            <w:r>
              <w:rPr>
                <w:rFonts w:hint="eastAsia" w:cs="Times New Roman"/>
                <w:color w:val="auto"/>
                <w:sz w:val="24"/>
                <w:szCs w:val="32"/>
                <w:lang w:val="en-US" w:eastAsia="zh-CN"/>
              </w:rPr>
              <w:t>根据风险专章</w:t>
            </w:r>
            <w:r>
              <w:rPr>
                <w:rFonts w:hint="default" w:ascii="Times New Roman" w:hAnsi="Times New Roman" w:cs="Times New Roman"/>
                <w:color w:val="auto"/>
                <w:sz w:val="24"/>
                <w:szCs w:val="32"/>
                <w:lang w:val="en-US" w:eastAsia="zh-CN"/>
              </w:rPr>
              <w:t>，本项目风险事故发生机率低，按照相关行业规范完善泄漏、防火、防爆等环境风险防范措施，制定详尽有效的事故应急方案，提高队伍的事故防范能力，严格按照设计和行业规范作业，强化健康、安全、环境管理（QHSE），本项目的环境风险值会大大的降低，从环境风险的角度分析，环境风险水平是可以接受的。</w:t>
            </w:r>
          </w:p>
          <w:p w14:paraId="1207F802">
            <w:pPr>
              <w:tabs>
                <w:tab w:val="left" w:pos="4767"/>
              </w:tabs>
              <w:ind w:firstLine="514" w:firstLineChars="200"/>
              <w:rPr>
                <w:rFonts w:hint="default" w:ascii="Times New Roman" w:hAnsi="Times New Roman" w:cs="Times New Roman"/>
                <w:color w:val="auto"/>
                <w:sz w:val="24"/>
                <w:szCs w:val="32"/>
              </w:rPr>
            </w:pPr>
          </w:p>
          <w:p w14:paraId="56C219ED">
            <w:pPr>
              <w:tabs>
                <w:tab w:val="left" w:pos="4767"/>
              </w:tabs>
              <w:ind w:firstLine="514" w:firstLineChars="200"/>
              <w:rPr>
                <w:rFonts w:hint="default" w:ascii="Times New Roman" w:hAnsi="Times New Roman" w:cs="Times New Roman"/>
                <w:color w:val="auto"/>
                <w:sz w:val="24"/>
                <w:szCs w:val="32"/>
              </w:rPr>
            </w:pPr>
          </w:p>
          <w:p w14:paraId="6F697196">
            <w:pPr>
              <w:tabs>
                <w:tab w:val="left" w:pos="4767"/>
              </w:tabs>
              <w:ind w:firstLine="514" w:firstLineChars="200"/>
              <w:rPr>
                <w:rFonts w:hint="default" w:ascii="Times New Roman" w:hAnsi="Times New Roman" w:cs="Times New Roman"/>
                <w:color w:val="auto"/>
                <w:sz w:val="24"/>
                <w:szCs w:val="32"/>
              </w:rPr>
            </w:pPr>
          </w:p>
          <w:p w14:paraId="275DF1CC">
            <w:pPr>
              <w:tabs>
                <w:tab w:val="left" w:pos="4767"/>
              </w:tabs>
              <w:ind w:firstLine="514" w:firstLineChars="200"/>
              <w:rPr>
                <w:rFonts w:hint="default" w:ascii="Times New Roman" w:hAnsi="Times New Roman" w:cs="Times New Roman"/>
                <w:color w:val="auto"/>
                <w:sz w:val="24"/>
                <w:szCs w:val="32"/>
              </w:rPr>
            </w:pPr>
          </w:p>
          <w:p w14:paraId="66FA3882">
            <w:pPr>
              <w:tabs>
                <w:tab w:val="left" w:pos="4767"/>
              </w:tabs>
              <w:ind w:firstLine="514" w:firstLineChars="200"/>
              <w:rPr>
                <w:rFonts w:hint="default" w:ascii="Times New Roman" w:hAnsi="Times New Roman" w:cs="Times New Roman"/>
                <w:color w:val="auto"/>
                <w:sz w:val="24"/>
                <w:szCs w:val="32"/>
              </w:rPr>
            </w:pPr>
          </w:p>
          <w:p w14:paraId="1B259F61">
            <w:pPr>
              <w:tabs>
                <w:tab w:val="left" w:pos="4767"/>
              </w:tabs>
              <w:ind w:firstLine="514" w:firstLineChars="200"/>
              <w:rPr>
                <w:rFonts w:hint="default" w:ascii="Times New Roman" w:hAnsi="Times New Roman" w:cs="Times New Roman"/>
                <w:color w:val="auto"/>
                <w:sz w:val="24"/>
                <w:szCs w:val="32"/>
              </w:rPr>
            </w:pPr>
          </w:p>
          <w:p w14:paraId="67216822">
            <w:pPr>
              <w:tabs>
                <w:tab w:val="left" w:pos="4767"/>
              </w:tabs>
              <w:ind w:firstLine="514" w:firstLineChars="200"/>
              <w:rPr>
                <w:rFonts w:hint="default" w:ascii="Times New Roman" w:hAnsi="Times New Roman" w:cs="Times New Roman"/>
                <w:color w:val="auto"/>
                <w:sz w:val="24"/>
                <w:szCs w:val="32"/>
              </w:rPr>
            </w:pPr>
          </w:p>
          <w:p w14:paraId="775895AD">
            <w:pPr>
              <w:tabs>
                <w:tab w:val="left" w:pos="4767"/>
              </w:tabs>
              <w:ind w:firstLine="514" w:firstLineChars="200"/>
              <w:rPr>
                <w:rFonts w:hint="default" w:ascii="Times New Roman" w:hAnsi="Times New Roman" w:cs="Times New Roman"/>
                <w:color w:val="auto"/>
                <w:sz w:val="24"/>
                <w:szCs w:val="32"/>
              </w:rPr>
            </w:pPr>
          </w:p>
          <w:p w14:paraId="0C755FAC">
            <w:pPr>
              <w:tabs>
                <w:tab w:val="left" w:pos="4767"/>
              </w:tabs>
              <w:ind w:firstLine="514" w:firstLineChars="200"/>
              <w:rPr>
                <w:rFonts w:hint="default" w:ascii="Times New Roman" w:hAnsi="Times New Roman" w:cs="Times New Roman"/>
                <w:color w:val="auto"/>
                <w:sz w:val="24"/>
                <w:szCs w:val="32"/>
              </w:rPr>
            </w:pPr>
          </w:p>
          <w:p w14:paraId="0726C53B">
            <w:pPr>
              <w:tabs>
                <w:tab w:val="left" w:pos="4767"/>
              </w:tabs>
              <w:ind w:firstLine="514" w:firstLineChars="200"/>
              <w:rPr>
                <w:rFonts w:hint="default" w:ascii="Times New Roman" w:hAnsi="Times New Roman" w:cs="Times New Roman"/>
                <w:color w:val="auto"/>
                <w:sz w:val="24"/>
                <w:szCs w:val="32"/>
              </w:rPr>
            </w:pPr>
          </w:p>
          <w:p w14:paraId="1C5DF665">
            <w:pPr>
              <w:tabs>
                <w:tab w:val="left" w:pos="4767"/>
              </w:tabs>
              <w:ind w:firstLine="514" w:firstLineChars="200"/>
              <w:rPr>
                <w:rFonts w:hint="default" w:ascii="Times New Roman" w:hAnsi="Times New Roman" w:cs="Times New Roman"/>
                <w:color w:val="auto"/>
                <w:sz w:val="24"/>
                <w:szCs w:val="32"/>
              </w:rPr>
            </w:pPr>
          </w:p>
          <w:p w14:paraId="6AAE1425">
            <w:pPr>
              <w:tabs>
                <w:tab w:val="left" w:pos="4767"/>
              </w:tabs>
              <w:ind w:firstLine="514" w:firstLineChars="200"/>
              <w:rPr>
                <w:rFonts w:hint="default" w:ascii="Times New Roman" w:hAnsi="Times New Roman" w:cs="Times New Roman"/>
                <w:color w:val="auto"/>
                <w:sz w:val="24"/>
                <w:szCs w:val="32"/>
              </w:rPr>
            </w:pPr>
          </w:p>
          <w:p w14:paraId="54D16DE6">
            <w:pPr>
              <w:tabs>
                <w:tab w:val="left" w:pos="4767"/>
              </w:tabs>
              <w:ind w:firstLine="514" w:firstLineChars="200"/>
              <w:rPr>
                <w:rFonts w:hint="default" w:ascii="Times New Roman" w:hAnsi="Times New Roman" w:cs="Times New Roman"/>
                <w:color w:val="auto"/>
                <w:sz w:val="24"/>
                <w:szCs w:val="32"/>
              </w:rPr>
            </w:pPr>
          </w:p>
          <w:p w14:paraId="295836CC">
            <w:pPr>
              <w:tabs>
                <w:tab w:val="left" w:pos="4767"/>
              </w:tabs>
              <w:ind w:firstLine="514" w:firstLineChars="200"/>
              <w:rPr>
                <w:rFonts w:hint="default" w:ascii="Times New Roman" w:hAnsi="Times New Roman" w:cs="Times New Roman"/>
                <w:color w:val="auto"/>
                <w:sz w:val="24"/>
                <w:szCs w:val="32"/>
              </w:rPr>
            </w:pPr>
          </w:p>
          <w:p w14:paraId="15BC49FE">
            <w:pPr>
              <w:tabs>
                <w:tab w:val="left" w:pos="4767"/>
              </w:tabs>
              <w:ind w:firstLine="514" w:firstLineChars="200"/>
              <w:rPr>
                <w:rFonts w:hint="default" w:ascii="Times New Roman" w:hAnsi="Times New Roman" w:cs="Times New Roman"/>
                <w:color w:val="auto"/>
                <w:sz w:val="24"/>
                <w:szCs w:val="32"/>
              </w:rPr>
            </w:pPr>
          </w:p>
          <w:p w14:paraId="3149BB69">
            <w:pPr>
              <w:tabs>
                <w:tab w:val="left" w:pos="4767"/>
              </w:tabs>
              <w:ind w:firstLine="514" w:firstLineChars="200"/>
              <w:rPr>
                <w:rFonts w:hint="default" w:ascii="Times New Roman" w:hAnsi="Times New Roman" w:cs="Times New Roman"/>
                <w:color w:val="auto"/>
                <w:sz w:val="24"/>
                <w:szCs w:val="32"/>
              </w:rPr>
            </w:pPr>
          </w:p>
          <w:p w14:paraId="3B377530">
            <w:pPr>
              <w:tabs>
                <w:tab w:val="left" w:pos="4767"/>
              </w:tabs>
              <w:ind w:firstLine="514" w:firstLineChars="200"/>
              <w:rPr>
                <w:rFonts w:hint="default" w:ascii="Times New Roman" w:hAnsi="Times New Roman" w:cs="Times New Roman"/>
                <w:color w:val="auto"/>
                <w:sz w:val="24"/>
                <w:szCs w:val="32"/>
              </w:rPr>
            </w:pPr>
          </w:p>
          <w:p w14:paraId="59978947">
            <w:pPr>
              <w:tabs>
                <w:tab w:val="left" w:pos="4767"/>
              </w:tabs>
              <w:ind w:firstLine="514" w:firstLineChars="200"/>
              <w:rPr>
                <w:rFonts w:hint="default" w:ascii="Times New Roman" w:hAnsi="Times New Roman" w:cs="Times New Roman"/>
                <w:color w:val="auto"/>
                <w:sz w:val="24"/>
                <w:szCs w:val="32"/>
              </w:rPr>
            </w:pPr>
          </w:p>
          <w:p w14:paraId="257A56A4">
            <w:pPr>
              <w:tabs>
                <w:tab w:val="left" w:pos="4767"/>
              </w:tabs>
              <w:ind w:firstLine="514" w:firstLineChars="200"/>
              <w:rPr>
                <w:rFonts w:hint="default" w:ascii="Times New Roman" w:hAnsi="Times New Roman" w:cs="Times New Roman"/>
                <w:color w:val="auto"/>
                <w:sz w:val="24"/>
                <w:szCs w:val="32"/>
              </w:rPr>
            </w:pPr>
          </w:p>
          <w:p w14:paraId="473E6500">
            <w:pPr>
              <w:tabs>
                <w:tab w:val="left" w:pos="4767"/>
              </w:tabs>
              <w:rPr>
                <w:rFonts w:hint="default" w:ascii="Times New Roman" w:hAnsi="Times New Roman" w:cs="Times New Roman"/>
                <w:color w:val="auto"/>
                <w:sz w:val="24"/>
                <w:szCs w:val="32"/>
              </w:rPr>
            </w:pPr>
          </w:p>
        </w:tc>
      </w:tr>
    </w:tbl>
    <w:p w14:paraId="33E0FD2A">
      <w:pPr>
        <w:tabs>
          <w:tab w:val="left" w:pos="4767"/>
        </w:tabs>
        <w:rPr>
          <w:rFonts w:hint="default" w:ascii="Times New Roman" w:hAnsi="Times New Roman" w:cs="Times New Roman"/>
          <w:color w:val="auto"/>
        </w:rPr>
        <w:sectPr>
          <w:pgSz w:w="11905" w:h="16838"/>
          <w:pgMar w:top="1417" w:right="1417" w:bottom="1417" w:left="1417" w:header="851" w:footer="964" w:gutter="0"/>
          <w:pgBorders>
            <w:top w:val="none" w:sz="0" w:space="0"/>
            <w:left w:val="none" w:sz="0" w:space="0"/>
            <w:bottom w:val="none" w:sz="0" w:space="0"/>
            <w:right w:val="none" w:sz="0" w:space="0"/>
          </w:pgBorders>
          <w:cols w:space="0" w:num="1"/>
          <w:docGrid w:type="linesAndChars" w:linePitch="466" w:charSpace="3482"/>
        </w:sectPr>
      </w:pPr>
    </w:p>
    <w:p w14:paraId="595D0853">
      <w:pPr>
        <w:pStyle w:val="23"/>
        <w:tabs>
          <w:tab w:val="left" w:pos="4767"/>
        </w:tabs>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2" w:name="_Hlk54167917"/>
      <w:r>
        <w:rPr>
          <w:rFonts w:hint="default" w:ascii="Times New Roman" w:hAnsi="Times New Roman" w:eastAsia="黑体" w:cs="Times New Roman"/>
          <w:snapToGrid w:val="0"/>
          <w:color w:val="auto"/>
          <w:sz w:val="30"/>
          <w:szCs w:val="30"/>
        </w:rPr>
        <w:t>环境保护措施监督检查清单</w:t>
      </w:r>
      <w:bookmarkEnd w:id="2"/>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2116"/>
        <w:gridCol w:w="1891"/>
        <w:gridCol w:w="1724"/>
        <w:gridCol w:w="2244"/>
      </w:tblGrid>
      <w:tr w14:paraId="06A38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6" w:type="pct"/>
            <w:tcBorders>
              <w:tl2br w:val="single" w:color="auto" w:sz="4" w:space="0"/>
            </w:tcBorders>
          </w:tcPr>
          <w:p w14:paraId="611550B6">
            <w:pPr>
              <w:tabs>
                <w:tab w:val="left" w:pos="4767"/>
              </w:tabs>
              <w:adjustRightInd w:val="0"/>
              <w:spacing w:line="440" w:lineRule="exact"/>
              <w:ind w:firstLine="514" w:firstLineChars="200"/>
              <w:jc w:val="right"/>
              <w:rPr>
                <w:rFonts w:hint="default" w:ascii="Times New Roman" w:hAnsi="Times New Roman" w:cs="Times New Roman"/>
                <w:b/>
                <w:bCs/>
                <w:color w:val="auto"/>
                <w:sz w:val="24"/>
              </w:rPr>
            </w:pPr>
            <w:r>
              <w:rPr>
                <w:rFonts w:hint="default" w:ascii="Times New Roman" w:hAnsi="Times New Roman" w:cs="Times New Roman"/>
                <w:b/>
                <w:bCs/>
                <w:color w:val="auto"/>
                <w:sz w:val="24"/>
              </w:rPr>
              <w:t>内容</w:t>
            </w:r>
          </w:p>
          <w:p w14:paraId="09C639ED">
            <w:pPr>
              <w:tabs>
                <w:tab w:val="left" w:pos="416"/>
                <w:tab w:val="left" w:pos="4767"/>
              </w:tabs>
              <w:spacing w:line="440" w:lineRule="exact"/>
              <w:jc w:val="left"/>
              <w:rPr>
                <w:rFonts w:hint="default" w:ascii="Times New Roman" w:hAnsi="Times New Roman" w:cs="Times New Roman"/>
                <w:color w:val="auto"/>
              </w:rPr>
            </w:pPr>
            <w:r>
              <w:rPr>
                <w:rFonts w:hint="default" w:ascii="Times New Roman" w:hAnsi="Times New Roman" w:cs="Times New Roman"/>
                <w:b/>
                <w:bCs/>
                <w:color w:val="auto"/>
                <w:sz w:val="24"/>
                <w:szCs w:val="32"/>
              </w:rPr>
              <w:t>要素</w:t>
            </w:r>
          </w:p>
        </w:tc>
        <w:tc>
          <w:tcPr>
            <w:tcW w:w="1139" w:type="pct"/>
            <w:vAlign w:val="center"/>
          </w:tcPr>
          <w:p w14:paraId="14A8EA7A">
            <w:pPr>
              <w:tabs>
                <w:tab w:val="left" w:pos="4767"/>
              </w:tabs>
              <w:adjustRightInd w:val="0"/>
              <w:spacing w:line="44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排放口(编号、名称)/污染源</w:t>
            </w:r>
          </w:p>
        </w:tc>
        <w:tc>
          <w:tcPr>
            <w:tcW w:w="1018" w:type="pct"/>
            <w:vAlign w:val="center"/>
          </w:tcPr>
          <w:p w14:paraId="2F3818B2">
            <w:pPr>
              <w:tabs>
                <w:tab w:val="left" w:pos="4767"/>
              </w:tabs>
              <w:adjustRightInd w:val="0"/>
              <w:spacing w:line="44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污染物</w:t>
            </w:r>
          </w:p>
          <w:p w14:paraId="16183E5B">
            <w:pPr>
              <w:tabs>
                <w:tab w:val="left" w:pos="4767"/>
              </w:tabs>
              <w:adjustRightInd w:val="0"/>
              <w:spacing w:line="44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项目</w:t>
            </w:r>
          </w:p>
        </w:tc>
        <w:tc>
          <w:tcPr>
            <w:tcW w:w="928" w:type="pct"/>
            <w:vAlign w:val="center"/>
          </w:tcPr>
          <w:p w14:paraId="3B1CECCB">
            <w:pPr>
              <w:tabs>
                <w:tab w:val="left" w:pos="4767"/>
              </w:tabs>
              <w:adjustRightInd w:val="0"/>
              <w:spacing w:line="44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环境保</w:t>
            </w:r>
          </w:p>
          <w:p w14:paraId="5FB50960">
            <w:pPr>
              <w:tabs>
                <w:tab w:val="left" w:pos="4767"/>
              </w:tabs>
              <w:adjustRightInd w:val="0"/>
              <w:spacing w:line="44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护措施</w:t>
            </w:r>
          </w:p>
        </w:tc>
        <w:tc>
          <w:tcPr>
            <w:tcW w:w="1208" w:type="pct"/>
            <w:vAlign w:val="center"/>
          </w:tcPr>
          <w:p w14:paraId="3F359BB7">
            <w:pPr>
              <w:tabs>
                <w:tab w:val="left" w:pos="4767"/>
              </w:tabs>
              <w:adjustRightInd w:val="0"/>
              <w:spacing w:line="44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执行标准</w:t>
            </w:r>
          </w:p>
        </w:tc>
      </w:tr>
      <w:tr w14:paraId="09F78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pct"/>
            <w:vMerge w:val="restart"/>
            <w:vAlign w:val="center"/>
          </w:tcPr>
          <w:p w14:paraId="4B96089E">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大气环境</w:t>
            </w:r>
          </w:p>
        </w:tc>
        <w:tc>
          <w:tcPr>
            <w:tcW w:w="1139" w:type="pct"/>
            <w:vAlign w:val="center"/>
          </w:tcPr>
          <w:p w14:paraId="55D57289">
            <w:pPr>
              <w:tabs>
                <w:tab w:val="left" w:pos="4767"/>
              </w:tabs>
              <w:adjustRightInd w:val="0"/>
              <w:spacing w:line="440" w:lineRule="exact"/>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矿石加料输送粉尘DA001</w:t>
            </w:r>
          </w:p>
        </w:tc>
        <w:tc>
          <w:tcPr>
            <w:tcW w:w="1018" w:type="pct"/>
            <w:vAlign w:val="center"/>
          </w:tcPr>
          <w:p w14:paraId="7897C323">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颗粒物</w:t>
            </w:r>
          </w:p>
        </w:tc>
        <w:tc>
          <w:tcPr>
            <w:tcW w:w="928" w:type="pct"/>
            <w:vAlign w:val="center"/>
          </w:tcPr>
          <w:p w14:paraId="71261FF4">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布袋除尘器</w:t>
            </w:r>
            <w:r>
              <w:rPr>
                <w:rFonts w:hint="default" w:ascii="Times New Roman" w:hAnsi="Times New Roman" w:cs="Times New Roman"/>
                <w:color w:val="auto"/>
                <w:sz w:val="24"/>
                <w:lang w:val="en-US" w:eastAsia="zh-CN"/>
              </w:rPr>
              <w:t>+15m排气筒</w:t>
            </w:r>
          </w:p>
        </w:tc>
        <w:tc>
          <w:tcPr>
            <w:tcW w:w="1208" w:type="pct"/>
            <w:vAlign w:val="center"/>
          </w:tcPr>
          <w:p w14:paraId="7EAB2F77">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《大气污染物综合排放标准》</w:t>
            </w:r>
          </w:p>
          <w:p w14:paraId="751D8EAD">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(GB</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16297-1996)表2中二级标准限值</w:t>
            </w:r>
          </w:p>
        </w:tc>
      </w:tr>
      <w:tr w14:paraId="6E25C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pct"/>
            <w:vMerge w:val="continue"/>
            <w:vAlign w:val="center"/>
          </w:tcPr>
          <w:p w14:paraId="77E13617">
            <w:pPr>
              <w:tabs>
                <w:tab w:val="left" w:pos="4767"/>
              </w:tabs>
              <w:adjustRightInd w:val="0"/>
              <w:spacing w:line="440" w:lineRule="exact"/>
              <w:jc w:val="center"/>
              <w:rPr>
                <w:rFonts w:hint="default" w:ascii="Times New Roman" w:hAnsi="Times New Roman" w:cs="Times New Roman"/>
                <w:color w:val="auto"/>
                <w:sz w:val="24"/>
              </w:rPr>
            </w:pPr>
          </w:p>
        </w:tc>
        <w:tc>
          <w:tcPr>
            <w:tcW w:w="1139" w:type="pct"/>
            <w:vAlign w:val="center"/>
          </w:tcPr>
          <w:p w14:paraId="15E5009A">
            <w:pPr>
              <w:tabs>
                <w:tab w:val="left" w:pos="4767"/>
              </w:tabs>
              <w:adjustRightInd w:val="0"/>
              <w:spacing w:line="440" w:lineRule="exact"/>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烘干筒天然气燃烧</w:t>
            </w:r>
            <w:r>
              <w:rPr>
                <w:rFonts w:hint="eastAsia" w:cs="Times New Roman"/>
                <w:color w:val="auto"/>
                <w:sz w:val="24"/>
                <w:lang w:val="en-US" w:eastAsia="zh-CN"/>
              </w:rPr>
              <w:t>、</w:t>
            </w:r>
            <w:r>
              <w:rPr>
                <w:rFonts w:hint="default" w:ascii="Times New Roman" w:hAnsi="Times New Roman" w:cs="Times New Roman"/>
                <w:color w:val="auto"/>
                <w:sz w:val="24"/>
                <w:lang w:val="en-US" w:eastAsia="zh-CN"/>
              </w:rPr>
              <w:t>烘干粉尘DA002</w:t>
            </w:r>
          </w:p>
        </w:tc>
        <w:tc>
          <w:tcPr>
            <w:tcW w:w="1018" w:type="pct"/>
            <w:vAlign w:val="center"/>
          </w:tcPr>
          <w:p w14:paraId="0D54CB52">
            <w:pPr>
              <w:tabs>
                <w:tab w:val="left" w:pos="4767"/>
              </w:tabs>
              <w:adjustRightInd w:val="0"/>
              <w:spacing w:line="440" w:lineRule="exact"/>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颗粒物</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二氧化硫、氮氧化物、</w:t>
            </w:r>
          </w:p>
        </w:tc>
        <w:tc>
          <w:tcPr>
            <w:tcW w:w="928" w:type="pct"/>
            <w:vMerge w:val="restart"/>
            <w:vAlign w:val="center"/>
          </w:tcPr>
          <w:p w14:paraId="0908C52F">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水喷淋+低温等离子净化</w:t>
            </w:r>
            <w:r>
              <w:rPr>
                <w:rFonts w:hint="default" w:ascii="Times New Roman" w:hAnsi="Times New Roman" w:cs="Times New Roman"/>
                <w:color w:val="auto"/>
                <w:sz w:val="24"/>
                <w:lang w:val="en-US" w:eastAsia="zh-CN"/>
              </w:rPr>
              <w:t>+15m排气筒</w:t>
            </w:r>
          </w:p>
        </w:tc>
        <w:tc>
          <w:tcPr>
            <w:tcW w:w="1208" w:type="pct"/>
            <w:vAlign w:val="center"/>
          </w:tcPr>
          <w:p w14:paraId="30815EFD">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《工业炉窑大气污染综合治理方案》（环大气〔2019〕56号）</w:t>
            </w:r>
          </w:p>
        </w:tc>
      </w:tr>
      <w:tr w14:paraId="31784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pct"/>
            <w:vMerge w:val="continue"/>
            <w:vAlign w:val="center"/>
          </w:tcPr>
          <w:p w14:paraId="48CAEB50">
            <w:pPr>
              <w:tabs>
                <w:tab w:val="left" w:pos="4767"/>
              </w:tabs>
              <w:adjustRightInd w:val="0"/>
              <w:spacing w:line="440" w:lineRule="exact"/>
              <w:jc w:val="center"/>
              <w:rPr>
                <w:rFonts w:hint="default" w:ascii="Times New Roman" w:hAnsi="Times New Roman" w:cs="Times New Roman"/>
                <w:color w:val="auto"/>
                <w:sz w:val="24"/>
              </w:rPr>
            </w:pPr>
          </w:p>
        </w:tc>
        <w:tc>
          <w:tcPr>
            <w:tcW w:w="1139" w:type="pct"/>
            <w:vAlign w:val="center"/>
          </w:tcPr>
          <w:p w14:paraId="22D3BF92">
            <w:pPr>
              <w:tabs>
                <w:tab w:val="left" w:pos="4767"/>
              </w:tabs>
              <w:adjustRightInd w:val="0"/>
              <w:spacing w:line="440" w:lineRule="exact"/>
              <w:jc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振动筛分粉</w:t>
            </w:r>
            <w:r>
              <w:rPr>
                <w:rFonts w:hint="eastAsia" w:cs="Times New Roman"/>
                <w:color w:val="auto"/>
                <w:sz w:val="24"/>
                <w:lang w:val="en-US" w:eastAsia="zh-CN"/>
              </w:rPr>
              <w:t>尘</w:t>
            </w:r>
            <w:r>
              <w:rPr>
                <w:rFonts w:hint="default" w:ascii="Times New Roman" w:hAnsi="Times New Roman" w:cs="Times New Roman"/>
                <w:color w:val="auto"/>
                <w:sz w:val="24"/>
                <w:lang w:val="en-US" w:eastAsia="zh-CN"/>
              </w:rPr>
              <w:t>DA002</w:t>
            </w:r>
          </w:p>
        </w:tc>
        <w:tc>
          <w:tcPr>
            <w:tcW w:w="1018" w:type="pct"/>
            <w:vAlign w:val="center"/>
          </w:tcPr>
          <w:p w14:paraId="5456DC27">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颗粒物</w:t>
            </w:r>
          </w:p>
        </w:tc>
        <w:tc>
          <w:tcPr>
            <w:tcW w:w="928" w:type="pct"/>
            <w:vMerge w:val="continue"/>
            <w:vAlign w:val="center"/>
          </w:tcPr>
          <w:p w14:paraId="434FF41A">
            <w:pPr>
              <w:tabs>
                <w:tab w:val="left" w:pos="4767"/>
              </w:tabs>
              <w:adjustRightInd w:val="0"/>
              <w:spacing w:line="440" w:lineRule="exact"/>
              <w:jc w:val="center"/>
              <w:rPr>
                <w:rFonts w:hint="default" w:ascii="Times New Roman" w:hAnsi="Times New Roman" w:cs="Times New Roman"/>
                <w:color w:val="auto"/>
                <w:sz w:val="24"/>
              </w:rPr>
            </w:pPr>
          </w:p>
        </w:tc>
        <w:tc>
          <w:tcPr>
            <w:tcW w:w="1208" w:type="pct"/>
            <w:vMerge w:val="restart"/>
            <w:vAlign w:val="center"/>
          </w:tcPr>
          <w:p w14:paraId="540D947C">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《大气污染物综合排放标准》(GB</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16297-1996)表2中二级标准限值</w:t>
            </w:r>
          </w:p>
        </w:tc>
      </w:tr>
      <w:tr w14:paraId="01108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pct"/>
            <w:vMerge w:val="continue"/>
            <w:vAlign w:val="center"/>
          </w:tcPr>
          <w:p w14:paraId="7C158FED">
            <w:pPr>
              <w:tabs>
                <w:tab w:val="left" w:pos="4767"/>
              </w:tabs>
              <w:adjustRightInd w:val="0"/>
              <w:spacing w:line="440" w:lineRule="exact"/>
              <w:jc w:val="center"/>
              <w:rPr>
                <w:rFonts w:hint="default" w:ascii="Times New Roman" w:hAnsi="Times New Roman" w:cs="Times New Roman"/>
                <w:color w:val="auto"/>
                <w:sz w:val="24"/>
              </w:rPr>
            </w:pPr>
          </w:p>
        </w:tc>
        <w:tc>
          <w:tcPr>
            <w:tcW w:w="1139" w:type="pct"/>
            <w:vAlign w:val="center"/>
          </w:tcPr>
          <w:p w14:paraId="1DAE6919">
            <w:pPr>
              <w:tabs>
                <w:tab w:val="left" w:pos="4767"/>
              </w:tabs>
              <w:adjustRightInd w:val="0"/>
              <w:spacing w:line="440" w:lineRule="exact"/>
              <w:jc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导热油炉加热产生的沥青烟以及沥青</w:t>
            </w:r>
            <w:r>
              <w:rPr>
                <w:rFonts w:hint="eastAsia" w:cs="Times New Roman"/>
                <w:color w:val="auto"/>
                <w:sz w:val="24"/>
                <w:lang w:val="en-US" w:eastAsia="zh-CN"/>
              </w:rPr>
              <w:t>烟</w:t>
            </w:r>
            <w:r>
              <w:rPr>
                <w:rFonts w:hint="default" w:ascii="Times New Roman" w:hAnsi="Times New Roman" w:cs="Times New Roman"/>
                <w:color w:val="auto"/>
                <w:sz w:val="24"/>
                <w:lang w:val="en-US" w:eastAsia="zh-CN"/>
              </w:rPr>
              <w:t>二次燃烧生成的苯并[a]芘DA002</w:t>
            </w:r>
          </w:p>
        </w:tc>
        <w:tc>
          <w:tcPr>
            <w:tcW w:w="1018" w:type="pct"/>
            <w:vAlign w:val="center"/>
          </w:tcPr>
          <w:p w14:paraId="1AE0BCD2">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沥青烟、苯并[a]芘</w:t>
            </w:r>
          </w:p>
        </w:tc>
        <w:tc>
          <w:tcPr>
            <w:tcW w:w="928" w:type="pct"/>
            <w:vMerge w:val="continue"/>
            <w:vAlign w:val="center"/>
          </w:tcPr>
          <w:p w14:paraId="66992C07">
            <w:pPr>
              <w:tabs>
                <w:tab w:val="left" w:pos="4767"/>
              </w:tabs>
              <w:adjustRightInd w:val="0"/>
              <w:spacing w:line="440" w:lineRule="exact"/>
              <w:jc w:val="center"/>
              <w:rPr>
                <w:rFonts w:hint="default" w:ascii="Times New Roman" w:hAnsi="Times New Roman" w:cs="Times New Roman"/>
                <w:color w:val="auto"/>
                <w:sz w:val="24"/>
              </w:rPr>
            </w:pPr>
          </w:p>
        </w:tc>
        <w:tc>
          <w:tcPr>
            <w:tcW w:w="1208" w:type="pct"/>
            <w:vMerge w:val="continue"/>
            <w:vAlign w:val="center"/>
          </w:tcPr>
          <w:p w14:paraId="2192CB0E">
            <w:pPr>
              <w:tabs>
                <w:tab w:val="left" w:pos="4767"/>
              </w:tabs>
              <w:adjustRightInd w:val="0"/>
              <w:spacing w:line="440" w:lineRule="exact"/>
              <w:jc w:val="center"/>
              <w:rPr>
                <w:rFonts w:hint="default" w:ascii="Times New Roman" w:hAnsi="Times New Roman" w:cs="Times New Roman"/>
                <w:color w:val="auto"/>
                <w:sz w:val="24"/>
              </w:rPr>
            </w:pPr>
          </w:p>
        </w:tc>
      </w:tr>
      <w:tr w14:paraId="101A3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pct"/>
            <w:vMerge w:val="continue"/>
            <w:vAlign w:val="center"/>
          </w:tcPr>
          <w:p w14:paraId="3B74C72A">
            <w:pPr>
              <w:tabs>
                <w:tab w:val="left" w:pos="4767"/>
              </w:tabs>
              <w:adjustRightInd w:val="0"/>
              <w:spacing w:line="440" w:lineRule="exact"/>
              <w:jc w:val="center"/>
              <w:rPr>
                <w:rFonts w:hint="default" w:ascii="Times New Roman" w:hAnsi="Times New Roman" w:cs="Times New Roman"/>
                <w:color w:val="auto"/>
                <w:sz w:val="24"/>
              </w:rPr>
            </w:pPr>
          </w:p>
        </w:tc>
        <w:tc>
          <w:tcPr>
            <w:tcW w:w="1139" w:type="pct"/>
            <w:vAlign w:val="center"/>
          </w:tcPr>
          <w:p w14:paraId="3D4F67E8">
            <w:pPr>
              <w:tabs>
                <w:tab w:val="left" w:pos="4767"/>
              </w:tabs>
              <w:adjustRightInd w:val="0"/>
              <w:spacing w:line="440" w:lineRule="exact"/>
              <w:jc w:val="center"/>
              <w:rPr>
                <w:rFonts w:hint="default" w:ascii="Times New Roman" w:hAnsi="Times New Roman" w:cs="Times New Roman"/>
                <w:color w:val="auto"/>
                <w:sz w:val="24"/>
                <w:lang w:val="en-US" w:eastAsia="zh-CN"/>
              </w:rPr>
            </w:pPr>
            <w:r>
              <w:rPr>
                <w:rFonts w:hint="default" w:ascii="Times New Roman" w:hAnsi="Times New Roman" w:eastAsia="宋体" w:cs="Times New Roman"/>
                <w:b w:val="0"/>
                <w:bCs/>
                <w:color w:val="auto"/>
                <w:sz w:val="21"/>
                <w:szCs w:val="21"/>
                <w:vertAlign w:val="baseline"/>
                <w:lang w:eastAsia="zh-CN" w:bidi="ar"/>
              </w:rPr>
              <w:t>矿粉加料粉尘</w:t>
            </w:r>
            <w:r>
              <w:rPr>
                <w:rFonts w:hint="default" w:ascii="Times New Roman" w:hAnsi="Times New Roman" w:cs="Times New Roman"/>
                <w:color w:val="auto"/>
                <w:sz w:val="24"/>
                <w:lang w:val="en-US" w:eastAsia="zh-CN"/>
              </w:rPr>
              <w:t>DA002</w:t>
            </w:r>
          </w:p>
        </w:tc>
        <w:tc>
          <w:tcPr>
            <w:tcW w:w="1018" w:type="pct"/>
            <w:vAlign w:val="center"/>
          </w:tcPr>
          <w:p w14:paraId="25CCEC67">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颗粒物</w:t>
            </w:r>
          </w:p>
        </w:tc>
        <w:tc>
          <w:tcPr>
            <w:tcW w:w="928" w:type="pct"/>
            <w:vMerge w:val="continue"/>
            <w:vAlign w:val="center"/>
          </w:tcPr>
          <w:p w14:paraId="2A858BF5">
            <w:pPr>
              <w:tabs>
                <w:tab w:val="left" w:pos="4767"/>
              </w:tabs>
              <w:adjustRightInd w:val="0"/>
              <w:spacing w:line="440" w:lineRule="exact"/>
              <w:jc w:val="center"/>
              <w:rPr>
                <w:rFonts w:hint="default" w:ascii="Times New Roman" w:hAnsi="Times New Roman" w:cs="Times New Roman"/>
                <w:color w:val="auto"/>
                <w:sz w:val="24"/>
              </w:rPr>
            </w:pPr>
          </w:p>
        </w:tc>
        <w:tc>
          <w:tcPr>
            <w:tcW w:w="1208" w:type="pct"/>
            <w:vMerge w:val="continue"/>
            <w:vAlign w:val="center"/>
          </w:tcPr>
          <w:p w14:paraId="11CD0029">
            <w:pPr>
              <w:tabs>
                <w:tab w:val="left" w:pos="4767"/>
              </w:tabs>
              <w:adjustRightInd w:val="0"/>
              <w:spacing w:line="440" w:lineRule="exact"/>
              <w:jc w:val="center"/>
              <w:rPr>
                <w:rFonts w:hint="default" w:ascii="Times New Roman" w:hAnsi="Times New Roman" w:cs="Times New Roman"/>
                <w:color w:val="auto"/>
                <w:sz w:val="24"/>
              </w:rPr>
            </w:pPr>
          </w:p>
        </w:tc>
      </w:tr>
      <w:tr w14:paraId="04D63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pct"/>
            <w:vMerge w:val="continue"/>
            <w:vAlign w:val="center"/>
          </w:tcPr>
          <w:p w14:paraId="4FA85F72">
            <w:pPr>
              <w:tabs>
                <w:tab w:val="left" w:pos="4767"/>
              </w:tabs>
              <w:adjustRightInd w:val="0"/>
              <w:spacing w:line="440" w:lineRule="exact"/>
              <w:jc w:val="center"/>
              <w:rPr>
                <w:rFonts w:hint="default" w:ascii="Times New Roman" w:hAnsi="Times New Roman" w:cs="Times New Roman"/>
                <w:color w:val="auto"/>
                <w:sz w:val="24"/>
              </w:rPr>
            </w:pPr>
          </w:p>
        </w:tc>
        <w:tc>
          <w:tcPr>
            <w:tcW w:w="1139" w:type="pct"/>
            <w:vAlign w:val="center"/>
          </w:tcPr>
          <w:p w14:paraId="23797B33">
            <w:pPr>
              <w:tabs>
                <w:tab w:val="left" w:pos="4767"/>
              </w:tabs>
              <w:adjustRightInd w:val="0"/>
              <w:spacing w:line="440" w:lineRule="exact"/>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导热油炉天然气燃烧废气DA003</w:t>
            </w:r>
          </w:p>
        </w:tc>
        <w:tc>
          <w:tcPr>
            <w:tcW w:w="1018" w:type="pct"/>
            <w:vAlign w:val="center"/>
          </w:tcPr>
          <w:p w14:paraId="067829B3">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颗粒物</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二氧化硫、氮氧化物</w:t>
            </w:r>
          </w:p>
        </w:tc>
        <w:tc>
          <w:tcPr>
            <w:tcW w:w="928" w:type="pct"/>
            <w:vAlign w:val="center"/>
          </w:tcPr>
          <w:p w14:paraId="4AE46728">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低氮燃烧+15m排气筒</w:t>
            </w:r>
          </w:p>
        </w:tc>
        <w:tc>
          <w:tcPr>
            <w:tcW w:w="1208" w:type="pct"/>
            <w:vAlign w:val="center"/>
          </w:tcPr>
          <w:p w14:paraId="37564D09">
            <w:pPr>
              <w:tabs>
                <w:tab w:val="left" w:pos="4767"/>
              </w:tabs>
              <w:adjustRightInd w:val="0"/>
              <w:spacing w:line="440" w:lineRule="exact"/>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PM</w:t>
            </w:r>
            <w:r>
              <w:rPr>
                <w:rFonts w:hint="eastAsia" w:cs="Times New Roman"/>
                <w:color w:val="auto"/>
                <w:sz w:val="24"/>
                <w:vertAlign w:val="subscript"/>
                <w:lang w:val="en-US" w:eastAsia="zh-CN"/>
              </w:rPr>
              <w:t>10</w:t>
            </w:r>
            <w:r>
              <w:rPr>
                <w:rFonts w:hint="default" w:ascii="Times New Roman" w:hAnsi="Times New Roman" w:cs="Times New Roman"/>
                <w:color w:val="auto"/>
                <w:sz w:val="24"/>
                <w:lang w:eastAsia="zh-CN"/>
              </w:rPr>
              <w:t>、SO</w:t>
            </w:r>
            <w:r>
              <w:rPr>
                <w:rFonts w:hint="default" w:ascii="Times New Roman" w:hAnsi="Times New Roman" w:cs="Times New Roman"/>
                <w:color w:val="auto"/>
                <w:sz w:val="24"/>
                <w:vertAlign w:val="subscript"/>
                <w:lang w:eastAsia="zh-CN"/>
              </w:rPr>
              <w:t>2</w:t>
            </w:r>
            <w:r>
              <w:rPr>
                <w:rFonts w:hint="default" w:ascii="Times New Roman" w:hAnsi="Times New Roman" w:cs="Times New Roman"/>
                <w:color w:val="auto"/>
                <w:sz w:val="24"/>
                <w:lang w:eastAsia="zh-CN"/>
              </w:rPr>
              <w:t>执行《锅炉大气污染物综合排放标准》(GB13271-2014)表3中燃气锅炉标准</w:t>
            </w:r>
            <w:r>
              <w:rPr>
                <w:rFonts w:hint="eastAsia" w:cs="Times New Roman"/>
                <w:color w:val="auto"/>
                <w:sz w:val="24"/>
                <w:lang w:eastAsia="zh-CN"/>
              </w:rPr>
              <w:t>；</w:t>
            </w:r>
            <w:r>
              <w:rPr>
                <w:rFonts w:hint="default" w:ascii="Times New Roman" w:hAnsi="Times New Roman" w:cs="Times New Roman"/>
                <w:color w:val="auto"/>
                <w:sz w:val="24"/>
                <w:lang w:eastAsia="zh-CN"/>
              </w:rPr>
              <w:t>NOx参照执行《宁夏回族自治区空气质量:改善“十四五”规划》中相关要求(NOx&lt;50mg/m</w:t>
            </w:r>
            <w:r>
              <w:rPr>
                <w:rFonts w:hint="default" w:ascii="Times New Roman" w:hAnsi="Times New Roman" w:cs="Times New Roman"/>
                <w:color w:val="auto"/>
                <w:sz w:val="24"/>
                <w:lang w:val="en-US" w:eastAsia="zh-CN"/>
              </w:rPr>
              <w:t>³</w:t>
            </w:r>
            <w:r>
              <w:rPr>
                <w:rFonts w:hint="default" w:ascii="Times New Roman" w:hAnsi="Times New Roman" w:cs="Times New Roman"/>
                <w:color w:val="auto"/>
                <w:sz w:val="24"/>
                <w:lang w:eastAsia="zh-CN"/>
              </w:rPr>
              <w:t>)</w:t>
            </w:r>
          </w:p>
        </w:tc>
      </w:tr>
      <w:tr w14:paraId="1710F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06" w:type="pct"/>
            <w:vMerge w:val="restart"/>
            <w:vAlign w:val="center"/>
          </w:tcPr>
          <w:p w14:paraId="1909728D">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地表水</w:t>
            </w:r>
          </w:p>
          <w:p w14:paraId="56E85D6B">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环境</w:t>
            </w:r>
          </w:p>
        </w:tc>
        <w:tc>
          <w:tcPr>
            <w:tcW w:w="1139" w:type="pct"/>
            <w:vAlign w:val="center"/>
          </w:tcPr>
          <w:p w14:paraId="2B54B7C7">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生活污水</w:t>
            </w:r>
          </w:p>
        </w:tc>
        <w:tc>
          <w:tcPr>
            <w:tcW w:w="1018" w:type="pct"/>
            <w:vAlign w:val="center"/>
          </w:tcPr>
          <w:p w14:paraId="6C1B0D6E">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COD、BOD</w:t>
            </w:r>
            <w:r>
              <w:rPr>
                <w:rFonts w:hint="default" w:ascii="Times New Roman" w:hAnsi="Times New Roman" w:cs="Times New Roman"/>
                <w:color w:val="auto"/>
                <w:sz w:val="24"/>
                <w:vertAlign w:val="subscript"/>
              </w:rPr>
              <w:t>5</w:t>
            </w:r>
            <w:r>
              <w:rPr>
                <w:rFonts w:hint="default" w:ascii="Times New Roman" w:hAnsi="Times New Roman" w:cs="Times New Roman"/>
                <w:color w:val="auto"/>
                <w:sz w:val="24"/>
              </w:rPr>
              <w:t>、NH</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-N、SS</w:t>
            </w:r>
          </w:p>
        </w:tc>
        <w:tc>
          <w:tcPr>
            <w:tcW w:w="928" w:type="pct"/>
            <w:vAlign w:val="center"/>
          </w:tcPr>
          <w:p w14:paraId="64DF2161">
            <w:pPr>
              <w:tabs>
                <w:tab w:val="left" w:pos="4767"/>
              </w:tabs>
              <w:adjustRightInd w:val="0"/>
              <w:spacing w:line="440" w:lineRule="exact"/>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旱厕清掏</w:t>
            </w:r>
          </w:p>
        </w:tc>
        <w:tc>
          <w:tcPr>
            <w:tcW w:w="1208" w:type="pct"/>
            <w:vAlign w:val="center"/>
          </w:tcPr>
          <w:p w14:paraId="5F108025">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r>
      <w:tr w14:paraId="30287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06" w:type="pct"/>
            <w:vMerge w:val="continue"/>
            <w:vAlign w:val="center"/>
          </w:tcPr>
          <w:p w14:paraId="42F5FCB7">
            <w:pPr>
              <w:tabs>
                <w:tab w:val="left" w:pos="4767"/>
              </w:tabs>
              <w:adjustRightInd w:val="0"/>
              <w:spacing w:line="440" w:lineRule="exact"/>
              <w:jc w:val="center"/>
              <w:rPr>
                <w:rFonts w:hint="default" w:ascii="Times New Roman" w:hAnsi="Times New Roman" w:cs="Times New Roman"/>
                <w:color w:val="auto"/>
                <w:sz w:val="24"/>
              </w:rPr>
            </w:pPr>
          </w:p>
        </w:tc>
        <w:tc>
          <w:tcPr>
            <w:tcW w:w="1139" w:type="pct"/>
            <w:vAlign w:val="center"/>
          </w:tcPr>
          <w:p w14:paraId="15F4E2F7">
            <w:pPr>
              <w:tabs>
                <w:tab w:val="left" w:pos="4767"/>
              </w:tabs>
              <w:adjustRightInd w:val="0"/>
              <w:spacing w:line="440" w:lineRule="exact"/>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生产废水</w:t>
            </w:r>
          </w:p>
        </w:tc>
        <w:tc>
          <w:tcPr>
            <w:tcW w:w="1018" w:type="pct"/>
            <w:vAlign w:val="center"/>
          </w:tcPr>
          <w:p w14:paraId="213E443D">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SS</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COD、石油类</w:t>
            </w:r>
          </w:p>
        </w:tc>
        <w:tc>
          <w:tcPr>
            <w:tcW w:w="928" w:type="pct"/>
            <w:vAlign w:val="center"/>
          </w:tcPr>
          <w:p w14:paraId="709CB772">
            <w:pPr>
              <w:tabs>
                <w:tab w:val="left" w:pos="4767"/>
              </w:tabs>
              <w:adjustRightInd w:val="0"/>
              <w:spacing w:line="440" w:lineRule="exact"/>
              <w:jc w:val="center"/>
              <w:rPr>
                <w:rFonts w:hint="default" w:ascii="Times New Roman" w:hAnsi="Times New Roman" w:cs="Times New Roman"/>
                <w:color w:val="auto"/>
                <w:sz w:val="24"/>
                <w:lang w:val="en-US" w:eastAsia="zh-CN"/>
              </w:rPr>
            </w:pPr>
            <w:r>
              <w:rPr>
                <w:rFonts w:hint="eastAsia" w:cs="Times New Roman"/>
                <w:color w:val="auto"/>
                <w:sz w:val="24"/>
                <w:lang w:val="en-US" w:eastAsia="zh-CN"/>
              </w:rPr>
              <w:t>沉淀后回用</w:t>
            </w:r>
          </w:p>
        </w:tc>
        <w:tc>
          <w:tcPr>
            <w:tcW w:w="1208" w:type="pct"/>
            <w:vAlign w:val="center"/>
          </w:tcPr>
          <w:p w14:paraId="5777E50D">
            <w:pPr>
              <w:tabs>
                <w:tab w:val="left" w:pos="4767"/>
              </w:tabs>
              <w:adjustRightInd w:val="0"/>
              <w:spacing w:line="440" w:lineRule="exact"/>
              <w:jc w:val="center"/>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w:t>
            </w:r>
          </w:p>
        </w:tc>
      </w:tr>
      <w:tr w14:paraId="654B2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06" w:type="pct"/>
            <w:vAlign w:val="center"/>
          </w:tcPr>
          <w:p w14:paraId="0143C9C9">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噪声</w:t>
            </w:r>
          </w:p>
        </w:tc>
        <w:tc>
          <w:tcPr>
            <w:tcW w:w="2157" w:type="pct"/>
            <w:gridSpan w:val="2"/>
            <w:vAlign w:val="center"/>
          </w:tcPr>
          <w:p w14:paraId="20A0D2C7">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各类生产设备</w:t>
            </w:r>
          </w:p>
        </w:tc>
        <w:tc>
          <w:tcPr>
            <w:tcW w:w="928" w:type="pct"/>
            <w:vAlign w:val="center"/>
          </w:tcPr>
          <w:p w14:paraId="54C2DCF5">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生产设备消声、减震、车间隔声等措施</w:t>
            </w:r>
          </w:p>
        </w:tc>
        <w:tc>
          <w:tcPr>
            <w:tcW w:w="1208" w:type="pct"/>
            <w:vAlign w:val="center"/>
          </w:tcPr>
          <w:p w14:paraId="52A37EFA">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《工业企业厂界环境噪声排放标准》（GB</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12348-2008）中</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类区标准</w:t>
            </w:r>
          </w:p>
        </w:tc>
      </w:tr>
      <w:tr w14:paraId="769473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06" w:type="pct"/>
            <w:vAlign w:val="center"/>
          </w:tcPr>
          <w:p w14:paraId="0F5A646B">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电磁辐射</w:t>
            </w:r>
          </w:p>
        </w:tc>
        <w:tc>
          <w:tcPr>
            <w:tcW w:w="1139" w:type="pct"/>
            <w:vAlign w:val="center"/>
          </w:tcPr>
          <w:p w14:paraId="19CB24A8">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018" w:type="pct"/>
            <w:vAlign w:val="center"/>
          </w:tcPr>
          <w:p w14:paraId="2149F4F5">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928" w:type="pct"/>
            <w:vAlign w:val="center"/>
          </w:tcPr>
          <w:p w14:paraId="2D473020">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208" w:type="pct"/>
            <w:vAlign w:val="center"/>
          </w:tcPr>
          <w:p w14:paraId="1F0DFC4A">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r>
      <w:tr w14:paraId="2B19D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6" w:type="pct"/>
            <w:vMerge w:val="restart"/>
            <w:vAlign w:val="center"/>
          </w:tcPr>
          <w:p w14:paraId="381A470C">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固体废物</w:t>
            </w:r>
          </w:p>
        </w:tc>
        <w:tc>
          <w:tcPr>
            <w:tcW w:w="1139" w:type="pct"/>
            <w:tcBorders>
              <w:right w:val="single" w:color="000000" w:sz="4" w:space="0"/>
            </w:tcBorders>
            <w:vAlign w:val="center"/>
          </w:tcPr>
          <w:p w14:paraId="63245ADE">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生活垃圾</w:t>
            </w:r>
          </w:p>
        </w:tc>
        <w:tc>
          <w:tcPr>
            <w:tcW w:w="3154" w:type="pct"/>
            <w:gridSpan w:val="3"/>
            <w:tcBorders>
              <w:left w:val="single" w:color="000000" w:sz="4" w:space="0"/>
            </w:tcBorders>
            <w:vAlign w:val="center"/>
          </w:tcPr>
          <w:p w14:paraId="04BEE9BE">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经垃圾桶收集后交由园区环卫部门集中处理。</w:t>
            </w:r>
          </w:p>
        </w:tc>
      </w:tr>
      <w:tr w14:paraId="278B8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6" w:type="pct"/>
            <w:vMerge w:val="continue"/>
            <w:vAlign w:val="center"/>
          </w:tcPr>
          <w:p w14:paraId="1F1CE882">
            <w:pPr>
              <w:tabs>
                <w:tab w:val="left" w:pos="4767"/>
              </w:tabs>
              <w:adjustRightInd w:val="0"/>
              <w:spacing w:line="440" w:lineRule="exact"/>
              <w:ind w:firstLine="514" w:firstLineChars="200"/>
              <w:rPr>
                <w:rFonts w:hint="default" w:ascii="Times New Roman" w:hAnsi="Times New Roman" w:cs="Times New Roman"/>
                <w:color w:val="auto"/>
                <w:sz w:val="24"/>
              </w:rPr>
            </w:pPr>
          </w:p>
        </w:tc>
        <w:tc>
          <w:tcPr>
            <w:tcW w:w="1139" w:type="pct"/>
            <w:tcBorders>
              <w:right w:val="single" w:color="000000" w:sz="4" w:space="0"/>
            </w:tcBorders>
            <w:vAlign w:val="center"/>
          </w:tcPr>
          <w:p w14:paraId="33107DBF">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废导热油</w:t>
            </w:r>
          </w:p>
        </w:tc>
        <w:tc>
          <w:tcPr>
            <w:tcW w:w="3154" w:type="pct"/>
            <w:gridSpan w:val="3"/>
            <w:tcBorders>
              <w:left w:val="single" w:color="000000" w:sz="4" w:space="0"/>
            </w:tcBorders>
            <w:vAlign w:val="center"/>
          </w:tcPr>
          <w:p w14:paraId="1AB4DCE9">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导热油</w:t>
            </w:r>
            <w:r>
              <w:rPr>
                <w:rFonts w:hint="eastAsia" w:cs="Times New Roman"/>
                <w:color w:val="auto"/>
                <w:sz w:val="24"/>
                <w:lang w:val="en-US" w:eastAsia="zh-CN"/>
              </w:rPr>
              <w:t>5</w:t>
            </w:r>
            <w:r>
              <w:rPr>
                <w:rFonts w:hint="default" w:ascii="Times New Roman" w:hAnsi="Times New Roman" w:cs="Times New Roman"/>
                <w:color w:val="auto"/>
                <w:sz w:val="24"/>
                <w:lang w:val="en-US" w:eastAsia="zh-CN"/>
              </w:rPr>
              <w:t>年更换一次，更换完的废导热油委托有资质的单位处置，厂内不暂存</w:t>
            </w:r>
            <w:r>
              <w:rPr>
                <w:rFonts w:hint="default" w:ascii="Times New Roman" w:hAnsi="Times New Roman" w:cs="Times New Roman"/>
                <w:color w:val="auto"/>
                <w:sz w:val="24"/>
              </w:rPr>
              <w:t>。</w:t>
            </w:r>
          </w:p>
        </w:tc>
      </w:tr>
      <w:tr w14:paraId="56036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6" w:type="pct"/>
            <w:vMerge w:val="continue"/>
            <w:vAlign w:val="center"/>
          </w:tcPr>
          <w:p w14:paraId="2E9DA02D">
            <w:pPr>
              <w:tabs>
                <w:tab w:val="left" w:pos="4767"/>
              </w:tabs>
              <w:adjustRightInd w:val="0"/>
              <w:spacing w:line="440" w:lineRule="exact"/>
              <w:ind w:firstLine="514" w:firstLineChars="200"/>
              <w:rPr>
                <w:rFonts w:hint="default" w:ascii="Times New Roman" w:hAnsi="Times New Roman" w:cs="Times New Roman"/>
                <w:color w:val="auto"/>
                <w:sz w:val="24"/>
              </w:rPr>
            </w:pPr>
          </w:p>
        </w:tc>
        <w:tc>
          <w:tcPr>
            <w:tcW w:w="1139" w:type="pct"/>
            <w:tcBorders>
              <w:right w:val="single" w:color="000000" w:sz="4" w:space="0"/>
            </w:tcBorders>
            <w:vAlign w:val="center"/>
          </w:tcPr>
          <w:p w14:paraId="7016B855">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除尘装置收集的粉尘</w:t>
            </w:r>
          </w:p>
        </w:tc>
        <w:tc>
          <w:tcPr>
            <w:tcW w:w="3154" w:type="pct"/>
            <w:gridSpan w:val="3"/>
            <w:tcBorders>
              <w:left w:val="single" w:color="000000" w:sz="4" w:space="0"/>
            </w:tcBorders>
            <w:vAlign w:val="center"/>
          </w:tcPr>
          <w:p w14:paraId="32AA9ADA">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回用于生产。</w:t>
            </w:r>
          </w:p>
        </w:tc>
      </w:tr>
      <w:tr w14:paraId="4E299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6" w:type="pct"/>
            <w:vMerge w:val="continue"/>
            <w:vAlign w:val="center"/>
          </w:tcPr>
          <w:p w14:paraId="593F4C79">
            <w:pPr>
              <w:tabs>
                <w:tab w:val="left" w:pos="4767"/>
              </w:tabs>
              <w:adjustRightInd w:val="0"/>
              <w:spacing w:line="440" w:lineRule="exact"/>
              <w:ind w:firstLine="514" w:firstLineChars="200"/>
              <w:rPr>
                <w:rFonts w:hint="default" w:ascii="Times New Roman" w:hAnsi="Times New Roman" w:cs="Times New Roman"/>
                <w:color w:val="auto"/>
                <w:sz w:val="24"/>
              </w:rPr>
            </w:pPr>
          </w:p>
        </w:tc>
        <w:tc>
          <w:tcPr>
            <w:tcW w:w="1139" w:type="pct"/>
            <w:tcBorders>
              <w:right w:val="single" w:color="000000" w:sz="4" w:space="0"/>
            </w:tcBorders>
            <w:vAlign w:val="center"/>
          </w:tcPr>
          <w:p w14:paraId="4BD638E5">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滴漏的沥青及拌和残渣</w:t>
            </w:r>
          </w:p>
        </w:tc>
        <w:tc>
          <w:tcPr>
            <w:tcW w:w="3154" w:type="pct"/>
            <w:gridSpan w:val="3"/>
            <w:tcBorders>
              <w:left w:val="single" w:color="000000" w:sz="4" w:space="0"/>
            </w:tcBorders>
            <w:vAlign w:val="center"/>
          </w:tcPr>
          <w:p w14:paraId="7EA7B316">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回用于生产。</w:t>
            </w:r>
          </w:p>
        </w:tc>
      </w:tr>
      <w:tr w14:paraId="40F74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6" w:type="pct"/>
            <w:vMerge w:val="continue"/>
            <w:vAlign w:val="center"/>
          </w:tcPr>
          <w:p w14:paraId="7AC64959">
            <w:pPr>
              <w:tabs>
                <w:tab w:val="left" w:pos="4767"/>
              </w:tabs>
              <w:adjustRightInd w:val="0"/>
              <w:spacing w:line="440" w:lineRule="exact"/>
              <w:ind w:firstLine="514" w:firstLineChars="200"/>
              <w:rPr>
                <w:rFonts w:hint="default" w:ascii="Times New Roman" w:hAnsi="Times New Roman" w:cs="Times New Roman"/>
                <w:color w:val="auto"/>
                <w:sz w:val="24"/>
              </w:rPr>
            </w:pPr>
          </w:p>
        </w:tc>
        <w:tc>
          <w:tcPr>
            <w:tcW w:w="1139" w:type="pct"/>
            <w:tcBorders>
              <w:right w:val="single" w:color="000000" w:sz="4" w:space="0"/>
            </w:tcBorders>
            <w:vAlign w:val="center"/>
          </w:tcPr>
          <w:p w14:paraId="043A6853">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不合格的废石料</w:t>
            </w:r>
          </w:p>
        </w:tc>
        <w:tc>
          <w:tcPr>
            <w:tcW w:w="3154" w:type="pct"/>
            <w:gridSpan w:val="3"/>
            <w:tcBorders>
              <w:left w:val="single" w:color="000000" w:sz="4" w:space="0"/>
            </w:tcBorders>
            <w:vAlign w:val="center"/>
          </w:tcPr>
          <w:p w14:paraId="7752BA2C">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由厂家回收带回</w:t>
            </w:r>
          </w:p>
        </w:tc>
      </w:tr>
      <w:tr w14:paraId="6C601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6" w:type="pct"/>
            <w:vAlign w:val="center"/>
          </w:tcPr>
          <w:p w14:paraId="6CC37330">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土壤及地下水污染防治措施</w:t>
            </w:r>
          </w:p>
        </w:tc>
        <w:tc>
          <w:tcPr>
            <w:tcW w:w="4293" w:type="pct"/>
            <w:gridSpan w:val="4"/>
            <w:vAlign w:val="center"/>
          </w:tcPr>
          <w:p w14:paraId="2126E65C">
            <w:pPr>
              <w:tabs>
                <w:tab w:val="left" w:pos="4767"/>
              </w:tabs>
              <w:adjustRightInd w:val="0"/>
              <w:spacing w:line="440" w:lineRule="exact"/>
              <w:jc w:val="center"/>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lang w:val="en-US" w:eastAsia="zh-CN"/>
              </w:rPr>
              <w:t>/</w:t>
            </w:r>
          </w:p>
        </w:tc>
      </w:tr>
      <w:tr w14:paraId="57B41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pct"/>
            <w:vAlign w:val="center"/>
          </w:tcPr>
          <w:p w14:paraId="3E40CC30">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生态保护措施</w:t>
            </w:r>
          </w:p>
        </w:tc>
        <w:tc>
          <w:tcPr>
            <w:tcW w:w="4293" w:type="pct"/>
            <w:gridSpan w:val="4"/>
            <w:vAlign w:val="center"/>
          </w:tcPr>
          <w:p w14:paraId="56E62F5E">
            <w:pPr>
              <w:tabs>
                <w:tab w:val="left" w:pos="4767"/>
              </w:tabs>
              <w:adjustRightInd w:val="0"/>
              <w:spacing w:line="440" w:lineRule="exact"/>
              <w:jc w:val="center"/>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w:t>
            </w:r>
          </w:p>
        </w:tc>
      </w:tr>
      <w:tr w14:paraId="19ACA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6" w:type="pct"/>
            <w:vAlign w:val="center"/>
          </w:tcPr>
          <w:p w14:paraId="32367AD0">
            <w:pPr>
              <w:tabs>
                <w:tab w:val="left" w:pos="4767"/>
              </w:tabs>
              <w:adjustRightInd w:val="0"/>
              <w:spacing w:line="440" w:lineRule="exact"/>
              <w:jc w:val="center"/>
              <w:rPr>
                <w:rFonts w:hint="default" w:ascii="Times New Roman" w:hAnsi="Times New Roman" w:cs="Times New Roman"/>
                <w:color w:val="auto"/>
                <w:spacing w:val="-8"/>
                <w:sz w:val="24"/>
              </w:rPr>
            </w:pPr>
            <w:r>
              <w:rPr>
                <w:rFonts w:hint="default" w:ascii="Times New Roman" w:hAnsi="Times New Roman" w:cs="Times New Roman"/>
                <w:color w:val="auto"/>
                <w:spacing w:val="-8"/>
                <w:sz w:val="24"/>
              </w:rPr>
              <w:t>环境风险</w:t>
            </w:r>
          </w:p>
          <w:p w14:paraId="6F124DE2">
            <w:pPr>
              <w:tabs>
                <w:tab w:val="left" w:pos="4767"/>
              </w:tabs>
              <w:adjustRightInd w:val="0"/>
              <w:spacing w:line="440" w:lineRule="exact"/>
              <w:jc w:val="center"/>
              <w:rPr>
                <w:rFonts w:hint="default" w:ascii="Times New Roman" w:hAnsi="Times New Roman" w:cs="Times New Roman"/>
                <w:color w:val="auto"/>
                <w:spacing w:val="-8"/>
                <w:sz w:val="24"/>
              </w:rPr>
            </w:pPr>
            <w:r>
              <w:rPr>
                <w:rFonts w:hint="default" w:ascii="Times New Roman" w:hAnsi="Times New Roman" w:cs="Times New Roman"/>
                <w:color w:val="auto"/>
                <w:spacing w:val="-8"/>
                <w:sz w:val="24"/>
              </w:rPr>
              <w:t>防范措施</w:t>
            </w:r>
          </w:p>
        </w:tc>
        <w:tc>
          <w:tcPr>
            <w:tcW w:w="4293" w:type="pct"/>
            <w:gridSpan w:val="4"/>
            <w:vAlign w:val="center"/>
          </w:tcPr>
          <w:p w14:paraId="04191B3A">
            <w:pPr>
              <w:tabs>
                <w:tab w:val="left" w:pos="4767"/>
              </w:tabs>
              <w:spacing w:line="440" w:lineRule="exact"/>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大气环境防范措施：在发生事故时，应及时组织附近人群转移，以减少对人群的伤害。</w:t>
            </w:r>
          </w:p>
          <w:p w14:paraId="7A8A746A">
            <w:pPr>
              <w:tabs>
                <w:tab w:val="left" w:pos="4767"/>
              </w:tabs>
              <w:spacing w:line="440" w:lineRule="exact"/>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防渗措施：项目区内一般区域采用水泥硬化地面，储罐区、搅拌楼区</w:t>
            </w:r>
            <w:r>
              <w:rPr>
                <w:rFonts w:hint="default" w:ascii="Times New Roman" w:hAnsi="Times New Roman" w:cs="Times New Roman"/>
                <w:color w:val="auto"/>
                <w:sz w:val="24"/>
                <w:lang w:val="en-US" w:eastAsia="zh-CN"/>
              </w:rPr>
              <w:t>以及事故水池</w:t>
            </w:r>
            <w:r>
              <w:rPr>
                <w:rFonts w:hint="default" w:ascii="Times New Roman" w:hAnsi="Times New Roman" w:cs="Times New Roman"/>
                <w:color w:val="auto"/>
                <w:sz w:val="24"/>
              </w:rPr>
              <w:t>渗透系数≤10</w:t>
            </w:r>
            <w:r>
              <w:rPr>
                <w:rFonts w:hint="default" w:ascii="Times New Roman" w:hAnsi="Times New Roman" w:cs="Times New Roman"/>
                <w:color w:val="auto"/>
                <w:sz w:val="24"/>
                <w:vertAlign w:val="superscript"/>
              </w:rPr>
              <w:t>-7</w:t>
            </w:r>
            <w:r>
              <w:rPr>
                <w:rFonts w:hint="default" w:ascii="Times New Roman" w:hAnsi="Times New Roman" w:cs="Times New Roman"/>
                <w:color w:val="auto"/>
                <w:sz w:val="24"/>
              </w:rPr>
              <w:t>cm/s。</w:t>
            </w:r>
          </w:p>
          <w:p w14:paraId="27329B74">
            <w:pPr>
              <w:tabs>
                <w:tab w:val="left" w:pos="4767"/>
              </w:tabs>
              <w:spacing w:line="440" w:lineRule="exact"/>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防火防爆措施：从总平面布置、工艺、自动控制、电气防火、消防系统、设备泄压等方面采取防火、防爆控制措施。</w:t>
            </w:r>
          </w:p>
          <w:p w14:paraId="70316B5B">
            <w:pPr>
              <w:tabs>
                <w:tab w:val="left" w:pos="4767"/>
              </w:tabs>
              <w:spacing w:line="440" w:lineRule="exact"/>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运输防范措施：坚持“预防为主，防治结合”的原则，首先做好预防工作，然后完善控制污染事故危害的措施。</w:t>
            </w:r>
          </w:p>
          <w:p w14:paraId="0A5C94F0">
            <w:pPr>
              <w:tabs>
                <w:tab w:val="left" w:pos="4767"/>
              </w:tabs>
              <w:spacing w:line="440" w:lineRule="exact"/>
              <w:ind w:firstLine="514" w:firstLineChars="200"/>
              <w:rPr>
                <w:rFonts w:hint="default" w:ascii="Times New Roman" w:hAnsi="Times New Roman" w:cs="Times New Roman"/>
                <w:color w:val="auto"/>
                <w:sz w:val="24"/>
              </w:rPr>
            </w:pPr>
            <w:r>
              <w:rPr>
                <w:rFonts w:hint="default" w:ascii="Times New Roman" w:hAnsi="Times New Roman" w:cs="Times New Roman"/>
                <w:color w:val="auto"/>
                <w:sz w:val="24"/>
              </w:rPr>
              <w:t>安全管理措施：设置安全管理机构，建立安全管理制度，加强人员培训，预防安全事故发生。</w:t>
            </w:r>
          </w:p>
        </w:tc>
      </w:tr>
      <w:tr w14:paraId="5F79C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6" w:type="pct"/>
            <w:vAlign w:val="center"/>
          </w:tcPr>
          <w:p w14:paraId="10DD7EBC">
            <w:pPr>
              <w:tabs>
                <w:tab w:val="left" w:pos="4767"/>
              </w:tabs>
              <w:adjustRightInd w:val="0"/>
              <w:spacing w:line="440" w:lineRule="exact"/>
              <w:jc w:val="center"/>
              <w:rPr>
                <w:rFonts w:hint="default" w:ascii="Times New Roman" w:hAnsi="Times New Roman" w:cs="Times New Roman"/>
                <w:color w:val="auto"/>
                <w:spacing w:val="-8"/>
                <w:sz w:val="24"/>
              </w:rPr>
            </w:pPr>
            <w:r>
              <w:rPr>
                <w:rFonts w:hint="default" w:ascii="Times New Roman" w:hAnsi="Times New Roman" w:cs="Times New Roman"/>
                <w:color w:val="auto"/>
                <w:spacing w:val="-8"/>
                <w:sz w:val="24"/>
              </w:rPr>
              <w:t>其他环境</w:t>
            </w:r>
          </w:p>
          <w:p w14:paraId="1C53ACD2">
            <w:pPr>
              <w:tabs>
                <w:tab w:val="left" w:pos="4767"/>
              </w:tabs>
              <w:adjustRightInd w:val="0"/>
              <w:spacing w:line="440" w:lineRule="exact"/>
              <w:jc w:val="center"/>
              <w:rPr>
                <w:rFonts w:hint="default" w:ascii="Times New Roman" w:hAnsi="Times New Roman" w:cs="Times New Roman"/>
                <w:color w:val="auto"/>
                <w:spacing w:val="-8"/>
                <w:sz w:val="24"/>
              </w:rPr>
            </w:pPr>
            <w:r>
              <w:rPr>
                <w:rFonts w:hint="default" w:ascii="Times New Roman" w:hAnsi="Times New Roman" w:cs="Times New Roman"/>
                <w:color w:val="auto"/>
                <w:spacing w:val="-8"/>
                <w:sz w:val="24"/>
              </w:rPr>
              <w:t>管理要求</w:t>
            </w:r>
          </w:p>
        </w:tc>
        <w:tc>
          <w:tcPr>
            <w:tcW w:w="4293" w:type="pct"/>
            <w:gridSpan w:val="4"/>
            <w:vAlign w:val="center"/>
          </w:tcPr>
          <w:p w14:paraId="5119A272">
            <w:pPr>
              <w:tabs>
                <w:tab w:val="left" w:pos="4767"/>
              </w:tabs>
              <w:adjustRightInd w:val="0"/>
              <w:spacing w:line="440" w:lineRule="exact"/>
              <w:jc w:val="center"/>
              <w:rPr>
                <w:rFonts w:hint="default" w:ascii="Times New Roman" w:hAnsi="Times New Roman" w:cs="Times New Roman"/>
                <w:color w:val="auto"/>
                <w:sz w:val="24"/>
              </w:rPr>
            </w:pPr>
            <w:r>
              <w:rPr>
                <w:rFonts w:hint="default" w:ascii="Times New Roman" w:hAnsi="Times New Roman" w:cs="Times New Roman"/>
                <w:bCs/>
                <w:color w:val="auto"/>
                <w:sz w:val="24"/>
              </w:rPr>
              <w:t>/</w:t>
            </w:r>
          </w:p>
        </w:tc>
      </w:tr>
    </w:tbl>
    <w:p w14:paraId="5D899B87">
      <w:pPr>
        <w:tabs>
          <w:tab w:val="left" w:pos="4767"/>
        </w:tabs>
        <w:jc w:val="center"/>
        <w:rPr>
          <w:rFonts w:hint="default" w:ascii="Times New Roman" w:hAnsi="Times New Roman" w:eastAsia="黑体" w:cs="Times New Roman"/>
          <w:snapToGrid w:val="0"/>
          <w:color w:val="auto"/>
          <w:sz w:val="30"/>
          <w:szCs w:val="30"/>
        </w:rPr>
        <w:sectPr>
          <w:pgSz w:w="11905" w:h="16838"/>
          <w:pgMar w:top="1417" w:right="1417" w:bottom="1417" w:left="1417" w:header="851" w:footer="964" w:gutter="0"/>
          <w:pgBorders>
            <w:top w:val="none" w:sz="0" w:space="0"/>
            <w:left w:val="none" w:sz="0" w:space="0"/>
            <w:bottom w:val="none" w:sz="0" w:space="0"/>
            <w:right w:val="none" w:sz="0" w:space="0"/>
          </w:pgBorders>
          <w:cols w:space="0" w:num="1"/>
          <w:docGrid w:type="linesAndChars" w:linePitch="466" w:charSpace="3482"/>
        </w:sectPr>
      </w:pPr>
    </w:p>
    <w:p w14:paraId="03206409">
      <w:pPr>
        <w:tabs>
          <w:tab w:val="left" w:pos="4767"/>
        </w:tabs>
        <w:jc w:val="center"/>
        <w:rPr>
          <w:rFonts w:hint="default" w:ascii="Times New Roman" w:hAnsi="Times New Roman" w:cs="Times New Roman"/>
          <w:color w:val="auto"/>
        </w:rPr>
      </w:pPr>
      <w:r>
        <w:rPr>
          <w:rFonts w:hint="default" w:ascii="Times New Roman" w:hAnsi="Times New Roman" w:eastAsia="黑体" w:cs="Times New Roman"/>
          <w:snapToGrid w:val="0"/>
          <w:color w:val="auto"/>
          <w:sz w:val="30"/>
          <w:szCs w:val="30"/>
        </w:rPr>
        <w:t>六、结论</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356B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000" w:type="pct"/>
          </w:tcPr>
          <w:p w14:paraId="0CAA6685">
            <w:pPr>
              <w:tabs>
                <w:tab w:val="left" w:pos="4767"/>
              </w:tabs>
              <w:ind w:firstLine="514" w:firstLineChars="200"/>
              <w:rPr>
                <w:rFonts w:hint="default" w:ascii="Times New Roman" w:hAnsi="Times New Roman" w:cs="Times New Roman"/>
                <w:color w:val="auto"/>
              </w:rPr>
            </w:pPr>
            <w:r>
              <w:rPr>
                <w:rFonts w:hint="default" w:ascii="Times New Roman" w:hAnsi="Times New Roman" w:cs="Times New Roman"/>
                <w:color w:val="auto"/>
                <w:kern w:val="0"/>
                <w:sz w:val="24"/>
              </w:rPr>
              <w:t>综上所述，本项目建设符合国家产业政策和相关规划要求。项目运营期产生的污染物在采取相应的污染防治措施后能够达标排放，环境风险可防、可控，对周边环境影响可接受。因此，从环境保护角度来讲，本项目在坚持“三同时”原则，并采取相应环保治理措施后，建设是可行的。</w:t>
            </w:r>
          </w:p>
          <w:p w14:paraId="002BA71B">
            <w:pPr>
              <w:tabs>
                <w:tab w:val="left" w:pos="4767"/>
              </w:tabs>
              <w:rPr>
                <w:rFonts w:hint="default" w:ascii="Times New Roman" w:hAnsi="Times New Roman" w:cs="Times New Roman"/>
                <w:color w:val="auto"/>
              </w:rPr>
            </w:pPr>
          </w:p>
          <w:p w14:paraId="25B6766A">
            <w:pPr>
              <w:tabs>
                <w:tab w:val="left" w:pos="4767"/>
              </w:tabs>
              <w:rPr>
                <w:rFonts w:hint="default" w:ascii="Times New Roman" w:hAnsi="Times New Roman" w:cs="Times New Roman"/>
                <w:color w:val="auto"/>
              </w:rPr>
            </w:pPr>
          </w:p>
          <w:p w14:paraId="63E99342">
            <w:pPr>
              <w:tabs>
                <w:tab w:val="left" w:pos="4767"/>
              </w:tabs>
              <w:rPr>
                <w:rFonts w:hint="default" w:ascii="Times New Roman" w:hAnsi="Times New Roman" w:cs="Times New Roman"/>
                <w:color w:val="auto"/>
              </w:rPr>
            </w:pPr>
          </w:p>
          <w:p w14:paraId="12C3289A">
            <w:pPr>
              <w:tabs>
                <w:tab w:val="left" w:pos="4767"/>
              </w:tabs>
              <w:rPr>
                <w:rFonts w:hint="default" w:ascii="Times New Roman" w:hAnsi="Times New Roman" w:cs="Times New Roman"/>
                <w:color w:val="auto"/>
              </w:rPr>
            </w:pPr>
          </w:p>
          <w:p w14:paraId="63F96107">
            <w:pPr>
              <w:tabs>
                <w:tab w:val="left" w:pos="4767"/>
              </w:tabs>
              <w:rPr>
                <w:rFonts w:hint="default" w:ascii="Times New Roman" w:hAnsi="Times New Roman" w:cs="Times New Roman"/>
                <w:color w:val="auto"/>
              </w:rPr>
            </w:pPr>
          </w:p>
          <w:p w14:paraId="710C3583">
            <w:pPr>
              <w:tabs>
                <w:tab w:val="left" w:pos="4767"/>
              </w:tabs>
              <w:rPr>
                <w:rFonts w:hint="default" w:ascii="Times New Roman" w:hAnsi="Times New Roman" w:cs="Times New Roman"/>
                <w:color w:val="auto"/>
              </w:rPr>
            </w:pPr>
          </w:p>
          <w:p w14:paraId="7C6DD8F9">
            <w:pPr>
              <w:tabs>
                <w:tab w:val="left" w:pos="4767"/>
              </w:tabs>
              <w:rPr>
                <w:rFonts w:hint="default" w:ascii="Times New Roman" w:hAnsi="Times New Roman" w:cs="Times New Roman"/>
                <w:color w:val="auto"/>
              </w:rPr>
            </w:pPr>
          </w:p>
          <w:p w14:paraId="1D29C85D">
            <w:pPr>
              <w:tabs>
                <w:tab w:val="left" w:pos="4767"/>
              </w:tabs>
              <w:rPr>
                <w:rFonts w:hint="default" w:ascii="Times New Roman" w:hAnsi="Times New Roman" w:cs="Times New Roman"/>
                <w:color w:val="auto"/>
              </w:rPr>
            </w:pPr>
          </w:p>
          <w:p w14:paraId="66F84DA8">
            <w:pPr>
              <w:tabs>
                <w:tab w:val="left" w:pos="4767"/>
              </w:tabs>
              <w:rPr>
                <w:rFonts w:hint="default" w:ascii="Times New Roman" w:hAnsi="Times New Roman" w:cs="Times New Roman"/>
                <w:color w:val="auto"/>
              </w:rPr>
            </w:pPr>
          </w:p>
          <w:p w14:paraId="5EC816DF">
            <w:pPr>
              <w:tabs>
                <w:tab w:val="left" w:pos="4767"/>
              </w:tabs>
              <w:rPr>
                <w:rFonts w:hint="default" w:ascii="Times New Roman" w:hAnsi="Times New Roman" w:cs="Times New Roman"/>
                <w:color w:val="auto"/>
              </w:rPr>
            </w:pPr>
          </w:p>
          <w:p w14:paraId="3D2257FB">
            <w:pPr>
              <w:tabs>
                <w:tab w:val="left" w:pos="4767"/>
              </w:tabs>
              <w:rPr>
                <w:rFonts w:hint="default" w:ascii="Times New Roman" w:hAnsi="Times New Roman" w:cs="Times New Roman"/>
                <w:color w:val="auto"/>
              </w:rPr>
            </w:pPr>
          </w:p>
          <w:p w14:paraId="69961265">
            <w:pPr>
              <w:tabs>
                <w:tab w:val="left" w:pos="4767"/>
              </w:tabs>
              <w:rPr>
                <w:rFonts w:hint="default" w:ascii="Times New Roman" w:hAnsi="Times New Roman" w:cs="Times New Roman"/>
                <w:color w:val="auto"/>
              </w:rPr>
            </w:pPr>
          </w:p>
          <w:p w14:paraId="3D4CA135">
            <w:pPr>
              <w:tabs>
                <w:tab w:val="left" w:pos="4767"/>
              </w:tabs>
              <w:rPr>
                <w:rFonts w:hint="default" w:ascii="Times New Roman" w:hAnsi="Times New Roman" w:cs="Times New Roman"/>
                <w:color w:val="auto"/>
              </w:rPr>
            </w:pPr>
          </w:p>
          <w:p w14:paraId="3FD1330A">
            <w:pPr>
              <w:tabs>
                <w:tab w:val="left" w:pos="4767"/>
              </w:tabs>
              <w:rPr>
                <w:rFonts w:hint="default" w:ascii="Times New Roman" w:hAnsi="Times New Roman" w:cs="Times New Roman"/>
                <w:color w:val="auto"/>
              </w:rPr>
            </w:pPr>
          </w:p>
          <w:p w14:paraId="579FD6BB">
            <w:pPr>
              <w:tabs>
                <w:tab w:val="left" w:pos="4767"/>
              </w:tabs>
              <w:rPr>
                <w:rFonts w:hint="default" w:ascii="Times New Roman" w:hAnsi="Times New Roman" w:cs="Times New Roman"/>
                <w:color w:val="auto"/>
              </w:rPr>
            </w:pPr>
          </w:p>
          <w:p w14:paraId="29FDA471">
            <w:pPr>
              <w:tabs>
                <w:tab w:val="left" w:pos="4767"/>
              </w:tabs>
              <w:rPr>
                <w:rFonts w:hint="default" w:ascii="Times New Roman" w:hAnsi="Times New Roman" w:cs="Times New Roman"/>
                <w:color w:val="auto"/>
              </w:rPr>
            </w:pPr>
          </w:p>
          <w:p w14:paraId="029A5B18">
            <w:pPr>
              <w:tabs>
                <w:tab w:val="left" w:pos="4767"/>
              </w:tabs>
              <w:rPr>
                <w:rFonts w:hint="default" w:ascii="Times New Roman" w:hAnsi="Times New Roman" w:cs="Times New Roman"/>
                <w:color w:val="auto"/>
              </w:rPr>
            </w:pPr>
          </w:p>
          <w:p w14:paraId="76A56B9A">
            <w:pPr>
              <w:tabs>
                <w:tab w:val="left" w:pos="4767"/>
              </w:tabs>
              <w:rPr>
                <w:rFonts w:hint="default" w:ascii="Times New Roman" w:hAnsi="Times New Roman" w:cs="Times New Roman"/>
                <w:color w:val="auto"/>
              </w:rPr>
            </w:pPr>
          </w:p>
          <w:p w14:paraId="431DE284">
            <w:pPr>
              <w:tabs>
                <w:tab w:val="left" w:pos="4767"/>
              </w:tabs>
              <w:rPr>
                <w:rFonts w:hint="default" w:ascii="Times New Roman" w:hAnsi="Times New Roman" w:cs="Times New Roman"/>
                <w:color w:val="auto"/>
              </w:rPr>
            </w:pPr>
          </w:p>
          <w:p w14:paraId="6C87BE30">
            <w:pPr>
              <w:tabs>
                <w:tab w:val="left" w:pos="4767"/>
              </w:tabs>
              <w:rPr>
                <w:rFonts w:hint="default" w:ascii="Times New Roman" w:hAnsi="Times New Roman" w:cs="Times New Roman"/>
                <w:color w:val="auto"/>
              </w:rPr>
            </w:pPr>
          </w:p>
          <w:p w14:paraId="2E982848">
            <w:pPr>
              <w:tabs>
                <w:tab w:val="left" w:pos="4767"/>
              </w:tabs>
              <w:rPr>
                <w:rFonts w:hint="default" w:ascii="Times New Roman" w:hAnsi="Times New Roman" w:cs="Times New Roman"/>
                <w:color w:val="auto"/>
              </w:rPr>
            </w:pPr>
          </w:p>
          <w:p w14:paraId="1E4E1AEA">
            <w:pPr>
              <w:tabs>
                <w:tab w:val="left" w:pos="4767"/>
              </w:tabs>
              <w:rPr>
                <w:rFonts w:hint="default" w:ascii="Times New Roman" w:hAnsi="Times New Roman" w:cs="Times New Roman"/>
                <w:color w:val="auto"/>
              </w:rPr>
            </w:pPr>
          </w:p>
        </w:tc>
      </w:tr>
    </w:tbl>
    <w:p w14:paraId="6F3B0C04">
      <w:pPr>
        <w:tabs>
          <w:tab w:val="left" w:pos="4767"/>
        </w:tabs>
        <w:rPr>
          <w:rFonts w:hint="default" w:ascii="Times New Roman" w:hAnsi="Times New Roman" w:cs="Times New Roman"/>
          <w:color w:val="auto"/>
        </w:rPr>
        <w:sectPr>
          <w:pgSz w:w="11905" w:h="16838"/>
          <w:pgMar w:top="1417" w:right="1417" w:bottom="1417" w:left="1417" w:header="851" w:footer="964" w:gutter="0"/>
          <w:pgBorders>
            <w:top w:val="none" w:sz="0" w:space="0"/>
            <w:left w:val="none" w:sz="0" w:space="0"/>
            <w:bottom w:val="none" w:sz="0" w:space="0"/>
            <w:right w:val="none" w:sz="0" w:space="0"/>
          </w:pgBorders>
          <w:cols w:space="0" w:num="1"/>
          <w:docGrid w:type="linesAndChars" w:linePitch="466" w:charSpace="3482"/>
        </w:sectPr>
      </w:pPr>
    </w:p>
    <w:p w14:paraId="4748E15A">
      <w:pPr>
        <w:pStyle w:val="23"/>
        <w:tabs>
          <w:tab w:val="left" w:pos="4767"/>
        </w:tabs>
        <w:adjustRightInd w:val="0"/>
        <w:snapToGrid w:val="0"/>
        <w:spacing w:before="0" w:beforeAutospacing="0" w:after="0" w:afterAutospacing="0"/>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附表</w:t>
      </w:r>
    </w:p>
    <w:p w14:paraId="51FA02C0">
      <w:pPr>
        <w:pStyle w:val="53"/>
        <w:tabs>
          <w:tab w:val="left" w:pos="880"/>
          <w:tab w:val="left" w:pos="4767"/>
        </w:tabs>
        <w:ind w:left="20"/>
        <w:rPr>
          <w:rFonts w:hint="default" w:ascii="Times New Roman" w:hAnsi="Times New Roman" w:eastAsia="黑体" w:cs="Times New Roman"/>
          <w:color w:val="auto"/>
          <w:kern w:val="2"/>
          <w:sz w:val="24"/>
          <w:szCs w:val="24"/>
          <w:lang w:eastAsia="zh-CN"/>
        </w:rPr>
      </w:pPr>
      <w:r>
        <w:rPr>
          <w:rFonts w:hint="default" w:ascii="Times New Roman" w:hAnsi="Times New Roman" w:eastAsia="黑体" w:cs="Times New Roman"/>
          <w:color w:val="auto"/>
          <w:kern w:val="2"/>
          <w:sz w:val="24"/>
          <w:szCs w:val="24"/>
          <w:lang w:eastAsia="zh-CN"/>
        </w:rPr>
        <w:t>建设项目污染物排放量汇总表</w:t>
      </w:r>
    </w:p>
    <w:tbl>
      <w:tblPr>
        <w:tblStyle w:val="26"/>
        <w:tblW w:w="1389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727"/>
        <w:gridCol w:w="1701"/>
        <w:gridCol w:w="1276"/>
        <w:gridCol w:w="1701"/>
        <w:gridCol w:w="1445"/>
        <w:gridCol w:w="1530"/>
        <w:gridCol w:w="1590"/>
        <w:gridCol w:w="1540"/>
      </w:tblGrid>
      <w:tr w14:paraId="79A81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8" w:type="dxa"/>
            <w:tcBorders>
              <w:tl2br w:val="single" w:color="auto" w:sz="4" w:space="0"/>
            </w:tcBorders>
            <w:tcMar>
              <w:left w:w="28" w:type="dxa"/>
              <w:right w:w="28" w:type="dxa"/>
            </w:tcMar>
            <w:vAlign w:val="center"/>
          </w:tcPr>
          <w:p w14:paraId="7F485D68">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 xml:space="preserve">        项目</w:t>
            </w:r>
          </w:p>
          <w:p w14:paraId="163460EF">
            <w:pPr>
              <w:pStyle w:val="35"/>
              <w:tabs>
                <w:tab w:val="left" w:pos="4767"/>
              </w:tabs>
              <w:spacing w:beforeLines="0" w:afterLines="0" w:line="240" w:lineRule="auto"/>
              <w:ind w:firstLine="0"/>
              <w:jc w:val="both"/>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分类</w:t>
            </w:r>
          </w:p>
        </w:tc>
        <w:tc>
          <w:tcPr>
            <w:tcW w:w="1727" w:type="dxa"/>
            <w:tcMar>
              <w:left w:w="28" w:type="dxa"/>
              <w:right w:w="28" w:type="dxa"/>
            </w:tcMar>
            <w:vAlign w:val="center"/>
          </w:tcPr>
          <w:p w14:paraId="727777EE">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污染物名称</w:t>
            </w:r>
          </w:p>
        </w:tc>
        <w:tc>
          <w:tcPr>
            <w:tcW w:w="1701" w:type="dxa"/>
            <w:tcMar>
              <w:left w:w="28" w:type="dxa"/>
              <w:right w:w="28" w:type="dxa"/>
            </w:tcMar>
            <w:vAlign w:val="center"/>
          </w:tcPr>
          <w:p w14:paraId="6C40CDC2">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现有工程</w:t>
            </w:r>
          </w:p>
          <w:p w14:paraId="0D2285B0">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排放量（固体废物产生量）</w:t>
            </w:r>
            <w:r>
              <w:rPr>
                <w:rFonts w:hint="default" w:ascii="Times New Roman" w:hAnsi="Times New Roman" w:cs="Times New Roman" w:eastAsiaTheme="minorEastAsia"/>
                <w:b/>
                <w:bCs/>
                <w:snapToGrid w:val="0"/>
                <w:color w:val="auto"/>
                <w:spacing w:val="-6"/>
                <w:kern w:val="21"/>
                <w:sz w:val="24"/>
                <w:szCs w:val="24"/>
              </w:rPr>
              <w:fldChar w:fldCharType="begin"/>
            </w:r>
            <w:r>
              <w:rPr>
                <w:rFonts w:hint="default" w:ascii="Times New Roman" w:hAnsi="Times New Roman" w:cs="Times New Roman" w:eastAsiaTheme="minorEastAsia"/>
                <w:b/>
                <w:bCs/>
                <w:snapToGrid w:val="0"/>
                <w:color w:val="auto"/>
                <w:spacing w:val="-6"/>
                <w:kern w:val="21"/>
                <w:sz w:val="24"/>
                <w:szCs w:val="24"/>
              </w:rPr>
              <w:instrText xml:space="preserve"> = 1 \* GB3 \* MERGEFORMAT </w:instrText>
            </w:r>
            <w:r>
              <w:rPr>
                <w:rFonts w:hint="default" w:ascii="Times New Roman" w:hAnsi="Times New Roman" w:cs="Times New Roman" w:eastAsiaTheme="minorEastAsia"/>
                <w:b/>
                <w:bCs/>
                <w:snapToGrid w:val="0"/>
                <w:color w:val="auto"/>
                <w:spacing w:val="-6"/>
                <w:kern w:val="21"/>
                <w:sz w:val="24"/>
                <w:szCs w:val="24"/>
              </w:rPr>
              <w:fldChar w:fldCharType="separate"/>
            </w:r>
            <w:r>
              <w:rPr>
                <w:rFonts w:hint="default" w:ascii="Times New Roman" w:hAnsi="Times New Roman" w:cs="Times New Roman" w:eastAsiaTheme="minorEastAsia"/>
                <w:b/>
                <w:bCs/>
                <w:snapToGrid w:val="0"/>
                <w:color w:val="auto"/>
                <w:spacing w:val="-6"/>
                <w:kern w:val="21"/>
                <w:sz w:val="24"/>
                <w:szCs w:val="24"/>
              </w:rPr>
              <w:t>①</w:t>
            </w:r>
            <w:r>
              <w:rPr>
                <w:rFonts w:hint="default" w:ascii="Times New Roman" w:hAnsi="Times New Roman" w:cs="Times New Roman" w:eastAsiaTheme="minorEastAsia"/>
                <w:b/>
                <w:bCs/>
                <w:snapToGrid w:val="0"/>
                <w:color w:val="auto"/>
                <w:spacing w:val="-6"/>
                <w:kern w:val="21"/>
                <w:sz w:val="24"/>
                <w:szCs w:val="24"/>
              </w:rPr>
              <w:fldChar w:fldCharType="end"/>
            </w:r>
          </w:p>
        </w:tc>
        <w:tc>
          <w:tcPr>
            <w:tcW w:w="1276" w:type="dxa"/>
            <w:tcMar>
              <w:left w:w="28" w:type="dxa"/>
              <w:right w:w="28" w:type="dxa"/>
            </w:tcMar>
            <w:vAlign w:val="center"/>
          </w:tcPr>
          <w:p w14:paraId="006F6E4F">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现有工程</w:t>
            </w:r>
          </w:p>
          <w:p w14:paraId="4DE7771C">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许可排放量</w:t>
            </w:r>
          </w:p>
          <w:p w14:paraId="43D13FAB">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fldChar w:fldCharType="begin"/>
            </w:r>
            <w:r>
              <w:rPr>
                <w:rFonts w:hint="default" w:ascii="Times New Roman" w:hAnsi="Times New Roman" w:cs="Times New Roman" w:eastAsiaTheme="minorEastAsia"/>
                <w:b/>
                <w:bCs/>
                <w:snapToGrid w:val="0"/>
                <w:color w:val="auto"/>
                <w:spacing w:val="-6"/>
                <w:kern w:val="21"/>
                <w:sz w:val="24"/>
                <w:szCs w:val="24"/>
              </w:rPr>
              <w:instrText xml:space="preserve"> = 2 \* GB3 \* MERGEFORMAT </w:instrText>
            </w:r>
            <w:r>
              <w:rPr>
                <w:rFonts w:hint="default" w:ascii="Times New Roman" w:hAnsi="Times New Roman" w:cs="Times New Roman" w:eastAsiaTheme="minorEastAsia"/>
                <w:b/>
                <w:bCs/>
                <w:snapToGrid w:val="0"/>
                <w:color w:val="auto"/>
                <w:spacing w:val="-6"/>
                <w:kern w:val="21"/>
                <w:sz w:val="24"/>
                <w:szCs w:val="24"/>
              </w:rPr>
              <w:fldChar w:fldCharType="separate"/>
            </w:r>
            <w:r>
              <w:rPr>
                <w:rFonts w:hint="default" w:ascii="Times New Roman" w:hAnsi="Times New Roman" w:cs="Times New Roman" w:eastAsiaTheme="minorEastAsia"/>
                <w:b/>
                <w:bCs/>
                <w:snapToGrid w:val="0"/>
                <w:color w:val="auto"/>
                <w:spacing w:val="-6"/>
                <w:kern w:val="21"/>
                <w:sz w:val="24"/>
                <w:szCs w:val="24"/>
              </w:rPr>
              <w:t>②</w:t>
            </w:r>
            <w:r>
              <w:rPr>
                <w:rFonts w:hint="default" w:ascii="Times New Roman" w:hAnsi="Times New Roman" w:cs="Times New Roman" w:eastAsiaTheme="minorEastAsia"/>
                <w:b/>
                <w:bCs/>
                <w:snapToGrid w:val="0"/>
                <w:color w:val="auto"/>
                <w:spacing w:val="-6"/>
                <w:kern w:val="21"/>
                <w:sz w:val="24"/>
                <w:szCs w:val="24"/>
              </w:rPr>
              <w:fldChar w:fldCharType="end"/>
            </w:r>
          </w:p>
        </w:tc>
        <w:tc>
          <w:tcPr>
            <w:tcW w:w="1701" w:type="dxa"/>
            <w:tcMar>
              <w:left w:w="28" w:type="dxa"/>
              <w:right w:w="28" w:type="dxa"/>
            </w:tcMar>
            <w:vAlign w:val="center"/>
          </w:tcPr>
          <w:p w14:paraId="4D8467E6">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在建工程</w:t>
            </w:r>
          </w:p>
          <w:p w14:paraId="6B92C828">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排放量（固体废物产生量）</w:t>
            </w:r>
            <w:r>
              <w:rPr>
                <w:rFonts w:hint="default" w:ascii="Times New Roman" w:hAnsi="Times New Roman" w:cs="Times New Roman" w:eastAsiaTheme="minorEastAsia"/>
                <w:b/>
                <w:bCs/>
                <w:snapToGrid w:val="0"/>
                <w:color w:val="auto"/>
                <w:spacing w:val="-6"/>
                <w:kern w:val="21"/>
                <w:sz w:val="24"/>
                <w:szCs w:val="24"/>
              </w:rPr>
              <w:fldChar w:fldCharType="begin"/>
            </w:r>
            <w:r>
              <w:rPr>
                <w:rFonts w:hint="default" w:ascii="Times New Roman" w:hAnsi="Times New Roman" w:cs="Times New Roman" w:eastAsiaTheme="minorEastAsia"/>
                <w:b/>
                <w:bCs/>
                <w:snapToGrid w:val="0"/>
                <w:color w:val="auto"/>
                <w:spacing w:val="-6"/>
                <w:kern w:val="21"/>
                <w:sz w:val="24"/>
                <w:szCs w:val="24"/>
              </w:rPr>
              <w:instrText xml:space="preserve"> = 3 \* GB3 \* MERGEFORMAT </w:instrText>
            </w:r>
            <w:r>
              <w:rPr>
                <w:rFonts w:hint="default" w:ascii="Times New Roman" w:hAnsi="Times New Roman" w:cs="Times New Roman" w:eastAsiaTheme="minorEastAsia"/>
                <w:b/>
                <w:bCs/>
                <w:snapToGrid w:val="0"/>
                <w:color w:val="auto"/>
                <w:spacing w:val="-6"/>
                <w:kern w:val="21"/>
                <w:sz w:val="24"/>
                <w:szCs w:val="24"/>
              </w:rPr>
              <w:fldChar w:fldCharType="separate"/>
            </w:r>
            <w:r>
              <w:rPr>
                <w:rFonts w:hint="default" w:ascii="Times New Roman" w:hAnsi="Times New Roman" w:cs="Times New Roman" w:eastAsiaTheme="minorEastAsia"/>
                <w:b/>
                <w:bCs/>
                <w:snapToGrid w:val="0"/>
                <w:color w:val="auto"/>
                <w:spacing w:val="-6"/>
                <w:kern w:val="21"/>
                <w:sz w:val="24"/>
                <w:szCs w:val="24"/>
              </w:rPr>
              <w:t>③</w:t>
            </w:r>
            <w:r>
              <w:rPr>
                <w:rFonts w:hint="default" w:ascii="Times New Roman" w:hAnsi="Times New Roman" w:cs="Times New Roman" w:eastAsiaTheme="minorEastAsia"/>
                <w:b/>
                <w:bCs/>
                <w:snapToGrid w:val="0"/>
                <w:color w:val="auto"/>
                <w:spacing w:val="-6"/>
                <w:kern w:val="21"/>
                <w:sz w:val="24"/>
                <w:szCs w:val="24"/>
              </w:rPr>
              <w:fldChar w:fldCharType="end"/>
            </w:r>
          </w:p>
        </w:tc>
        <w:tc>
          <w:tcPr>
            <w:tcW w:w="1445" w:type="dxa"/>
            <w:tcMar>
              <w:left w:w="28" w:type="dxa"/>
              <w:right w:w="28" w:type="dxa"/>
            </w:tcMar>
            <w:vAlign w:val="center"/>
          </w:tcPr>
          <w:p w14:paraId="4AAAFA15">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本项目排放量（固体废物产生量）</w:t>
            </w:r>
            <w:r>
              <w:rPr>
                <w:rFonts w:hint="default" w:ascii="Times New Roman" w:hAnsi="Times New Roman" w:cs="Times New Roman" w:eastAsiaTheme="minorEastAsia"/>
                <w:b/>
                <w:bCs/>
                <w:snapToGrid w:val="0"/>
                <w:color w:val="auto"/>
                <w:spacing w:val="-6"/>
                <w:kern w:val="21"/>
                <w:sz w:val="24"/>
                <w:szCs w:val="24"/>
              </w:rPr>
              <w:fldChar w:fldCharType="begin"/>
            </w:r>
            <w:r>
              <w:rPr>
                <w:rFonts w:hint="default" w:ascii="Times New Roman" w:hAnsi="Times New Roman" w:cs="Times New Roman" w:eastAsiaTheme="minorEastAsia"/>
                <w:b/>
                <w:bCs/>
                <w:snapToGrid w:val="0"/>
                <w:color w:val="auto"/>
                <w:spacing w:val="-6"/>
                <w:kern w:val="21"/>
                <w:sz w:val="24"/>
                <w:szCs w:val="24"/>
              </w:rPr>
              <w:instrText xml:space="preserve"> = 4 \* GB3 \* MERGEFORMAT </w:instrText>
            </w:r>
            <w:r>
              <w:rPr>
                <w:rFonts w:hint="default" w:ascii="Times New Roman" w:hAnsi="Times New Roman" w:cs="Times New Roman" w:eastAsiaTheme="minorEastAsia"/>
                <w:b/>
                <w:bCs/>
                <w:snapToGrid w:val="0"/>
                <w:color w:val="auto"/>
                <w:spacing w:val="-6"/>
                <w:kern w:val="21"/>
                <w:sz w:val="24"/>
                <w:szCs w:val="24"/>
              </w:rPr>
              <w:fldChar w:fldCharType="separate"/>
            </w:r>
            <w:r>
              <w:rPr>
                <w:rFonts w:hint="default" w:ascii="Times New Roman" w:hAnsi="Times New Roman" w:cs="Times New Roman" w:eastAsiaTheme="minorEastAsia"/>
                <w:b/>
                <w:bCs/>
                <w:snapToGrid w:val="0"/>
                <w:color w:val="auto"/>
                <w:spacing w:val="-6"/>
                <w:kern w:val="21"/>
                <w:sz w:val="24"/>
                <w:szCs w:val="24"/>
              </w:rPr>
              <w:t>④</w:t>
            </w:r>
            <w:r>
              <w:rPr>
                <w:rFonts w:hint="default" w:ascii="Times New Roman" w:hAnsi="Times New Roman" w:cs="Times New Roman" w:eastAsiaTheme="minorEastAsia"/>
                <w:b/>
                <w:bCs/>
                <w:snapToGrid w:val="0"/>
                <w:color w:val="auto"/>
                <w:spacing w:val="-6"/>
                <w:kern w:val="21"/>
                <w:sz w:val="24"/>
                <w:szCs w:val="24"/>
              </w:rPr>
              <w:fldChar w:fldCharType="end"/>
            </w:r>
          </w:p>
        </w:tc>
        <w:tc>
          <w:tcPr>
            <w:tcW w:w="1530" w:type="dxa"/>
            <w:tcMar>
              <w:left w:w="28" w:type="dxa"/>
              <w:right w:w="28" w:type="dxa"/>
            </w:tcMar>
            <w:vAlign w:val="center"/>
          </w:tcPr>
          <w:p w14:paraId="1C48E15B">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以新带老削减量</w:t>
            </w:r>
          </w:p>
          <w:p w14:paraId="32FA1EDA">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（新建项目不填）</w:t>
            </w:r>
            <w:r>
              <w:rPr>
                <w:rFonts w:hint="default" w:ascii="Times New Roman" w:hAnsi="Times New Roman" w:cs="Times New Roman" w:eastAsiaTheme="minorEastAsia"/>
                <w:b/>
                <w:bCs/>
                <w:snapToGrid w:val="0"/>
                <w:color w:val="auto"/>
                <w:spacing w:val="-6"/>
                <w:kern w:val="21"/>
                <w:sz w:val="24"/>
                <w:szCs w:val="24"/>
              </w:rPr>
              <w:fldChar w:fldCharType="begin"/>
            </w:r>
            <w:r>
              <w:rPr>
                <w:rFonts w:hint="default" w:ascii="Times New Roman" w:hAnsi="Times New Roman" w:cs="Times New Roman" w:eastAsiaTheme="minorEastAsia"/>
                <w:b/>
                <w:bCs/>
                <w:snapToGrid w:val="0"/>
                <w:color w:val="auto"/>
                <w:spacing w:val="-6"/>
                <w:kern w:val="21"/>
                <w:sz w:val="24"/>
                <w:szCs w:val="24"/>
              </w:rPr>
              <w:instrText xml:space="preserve"> = 5 \* GB3 \* MERGEFORMAT </w:instrText>
            </w:r>
            <w:r>
              <w:rPr>
                <w:rFonts w:hint="default" w:ascii="Times New Roman" w:hAnsi="Times New Roman" w:cs="Times New Roman" w:eastAsiaTheme="minorEastAsia"/>
                <w:b/>
                <w:bCs/>
                <w:snapToGrid w:val="0"/>
                <w:color w:val="auto"/>
                <w:spacing w:val="-6"/>
                <w:kern w:val="21"/>
                <w:sz w:val="24"/>
                <w:szCs w:val="24"/>
              </w:rPr>
              <w:fldChar w:fldCharType="separate"/>
            </w:r>
            <w:r>
              <w:rPr>
                <w:rFonts w:hint="default" w:ascii="Times New Roman" w:hAnsi="Times New Roman" w:cs="Times New Roman" w:eastAsiaTheme="minorEastAsia"/>
                <w:b/>
                <w:bCs/>
                <w:snapToGrid w:val="0"/>
                <w:color w:val="auto"/>
                <w:spacing w:val="-6"/>
                <w:kern w:val="21"/>
                <w:sz w:val="24"/>
                <w:szCs w:val="24"/>
              </w:rPr>
              <w:t>⑤</w:t>
            </w:r>
            <w:r>
              <w:rPr>
                <w:rFonts w:hint="default" w:ascii="Times New Roman" w:hAnsi="Times New Roman" w:cs="Times New Roman" w:eastAsiaTheme="minorEastAsia"/>
                <w:b/>
                <w:bCs/>
                <w:snapToGrid w:val="0"/>
                <w:color w:val="auto"/>
                <w:spacing w:val="-6"/>
                <w:kern w:val="21"/>
                <w:sz w:val="24"/>
                <w:szCs w:val="24"/>
              </w:rPr>
              <w:fldChar w:fldCharType="end"/>
            </w:r>
          </w:p>
        </w:tc>
        <w:tc>
          <w:tcPr>
            <w:tcW w:w="1590" w:type="dxa"/>
            <w:tcMar>
              <w:left w:w="28" w:type="dxa"/>
              <w:right w:w="28" w:type="dxa"/>
            </w:tcMar>
            <w:vAlign w:val="center"/>
          </w:tcPr>
          <w:p w14:paraId="407E4CEA">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本项目建成后</w:t>
            </w:r>
          </w:p>
          <w:p w14:paraId="48597DEE">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全厂排放量（固体废物产生量）</w:t>
            </w:r>
            <w:r>
              <w:rPr>
                <w:rFonts w:hint="default" w:ascii="Times New Roman" w:hAnsi="Times New Roman" w:cs="Times New Roman" w:eastAsiaTheme="minorEastAsia"/>
                <w:b/>
                <w:bCs/>
                <w:snapToGrid w:val="0"/>
                <w:color w:val="auto"/>
                <w:spacing w:val="-6"/>
                <w:kern w:val="21"/>
                <w:sz w:val="24"/>
                <w:szCs w:val="24"/>
              </w:rPr>
              <w:fldChar w:fldCharType="begin"/>
            </w:r>
            <w:r>
              <w:rPr>
                <w:rFonts w:hint="default" w:ascii="Times New Roman" w:hAnsi="Times New Roman" w:cs="Times New Roman" w:eastAsiaTheme="minorEastAsia"/>
                <w:b/>
                <w:bCs/>
                <w:snapToGrid w:val="0"/>
                <w:color w:val="auto"/>
                <w:spacing w:val="-6"/>
                <w:kern w:val="21"/>
                <w:sz w:val="24"/>
                <w:szCs w:val="24"/>
              </w:rPr>
              <w:instrText xml:space="preserve"> = 6 \* GB3 \* MERGEFORMAT </w:instrText>
            </w:r>
            <w:r>
              <w:rPr>
                <w:rFonts w:hint="default" w:ascii="Times New Roman" w:hAnsi="Times New Roman" w:cs="Times New Roman" w:eastAsiaTheme="minorEastAsia"/>
                <w:b/>
                <w:bCs/>
                <w:snapToGrid w:val="0"/>
                <w:color w:val="auto"/>
                <w:spacing w:val="-6"/>
                <w:kern w:val="21"/>
                <w:sz w:val="24"/>
                <w:szCs w:val="24"/>
              </w:rPr>
              <w:fldChar w:fldCharType="separate"/>
            </w:r>
            <w:r>
              <w:rPr>
                <w:rFonts w:hint="default" w:ascii="Times New Roman" w:hAnsi="Times New Roman" w:cs="Times New Roman" w:eastAsiaTheme="minorEastAsia"/>
                <w:b/>
                <w:bCs/>
                <w:snapToGrid w:val="0"/>
                <w:color w:val="auto"/>
                <w:spacing w:val="-6"/>
                <w:kern w:val="21"/>
                <w:sz w:val="24"/>
                <w:szCs w:val="24"/>
              </w:rPr>
              <w:t>⑥</w:t>
            </w:r>
            <w:r>
              <w:rPr>
                <w:rFonts w:hint="default" w:ascii="Times New Roman" w:hAnsi="Times New Roman" w:cs="Times New Roman" w:eastAsiaTheme="minorEastAsia"/>
                <w:b/>
                <w:bCs/>
                <w:snapToGrid w:val="0"/>
                <w:color w:val="auto"/>
                <w:spacing w:val="-6"/>
                <w:kern w:val="21"/>
                <w:sz w:val="24"/>
                <w:szCs w:val="24"/>
              </w:rPr>
              <w:fldChar w:fldCharType="end"/>
            </w:r>
          </w:p>
        </w:tc>
        <w:tc>
          <w:tcPr>
            <w:tcW w:w="1540" w:type="dxa"/>
            <w:tcMar>
              <w:left w:w="28" w:type="dxa"/>
              <w:right w:w="28" w:type="dxa"/>
            </w:tcMar>
            <w:vAlign w:val="center"/>
          </w:tcPr>
          <w:p w14:paraId="2C40F3E5">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t>变化量</w:t>
            </w:r>
          </w:p>
          <w:p w14:paraId="52D96943">
            <w:pPr>
              <w:pStyle w:val="35"/>
              <w:tabs>
                <w:tab w:val="left" w:pos="4767"/>
              </w:tabs>
              <w:spacing w:beforeLines="0" w:afterLines="0" w:line="240" w:lineRule="auto"/>
              <w:ind w:firstLine="0"/>
              <w:rPr>
                <w:rFonts w:hint="default" w:ascii="Times New Roman" w:hAnsi="Times New Roman" w:cs="Times New Roman" w:eastAsiaTheme="minorEastAsia"/>
                <w:b/>
                <w:bCs/>
                <w:snapToGrid w:val="0"/>
                <w:color w:val="auto"/>
                <w:spacing w:val="-6"/>
                <w:kern w:val="21"/>
                <w:sz w:val="24"/>
                <w:szCs w:val="24"/>
              </w:rPr>
            </w:pPr>
            <w:r>
              <w:rPr>
                <w:rFonts w:hint="default" w:ascii="Times New Roman" w:hAnsi="Times New Roman" w:cs="Times New Roman" w:eastAsiaTheme="minorEastAsia"/>
                <w:b/>
                <w:bCs/>
                <w:snapToGrid w:val="0"/>
                <w:color w:val="auto"/>
                <w:spacing w:val="-6"/>
                <w:kern w:val="21"/>
                <w:sz w:val="24"/>
                <w:szCs w:val="24"/>
              </w:rPr>
              <w:fldChar w:fldCharType="begin"/>
            </w:r>
            <w:r>
              <w:rPr>
                <w:rFonts w:hint="default" w:ascii="Times New Roman" w:hAnsi="Times New Roman" w:cs="Times New Roman" w:eastAsiaTheme="minorEastAsia"/>
                <w:b/>
                <w:bCs/>
                <w:snapToGrid w:val="0"/>
                <w:color w:val="auto"/>
                <w:spacing w:val="-6"/>
                <w:kern w:val="21"/>
                <w:sz w:val="24"/>
                <w:szCs w:val="24"/>
              </w:rPr>
              <w:instrText xml:space="preserve"> = 7 \* GB3 \* MERGEFORMAT </w:instrText>
            </w:r>
            <w:r>
              <w:rPr>
                <w:rFonts w:hint="default" w:ascii="Times New Roman" w:hAnsi="Times New Roman" w:cs="Times New Roman" w:eastAsiaTheme="minorEastAsia"/>
                <w:b/>
                <w:bCs/>
                <w:snapToGrid w:val="0"/>
                <w:color w:val="auto"/>
                <w:spacing w:val="-6"/>
                <w:kern w:val="21"/>
                <w:sz w:val="24"/>
                <w:szCs w:val="24"/>
              </w:rPr>
              <w:fldChar w:fldCharType="separate"/>
            </w:r>
            <w:r>
              <w:rPr>
                <w:rFonts w:hint="default" w:ascii="Times New Roman" w:hAnsi="Times New Roman" w:cs="Times New Roman" w:eastAsiaTheme="minorEastAsia"/>
                <w:b/>
                <w:bCs/>
                <w:snapToGrid w:val="0"/>
                <w:color w:val="auto"/>
                <w:spacing w:val="-6"/>
                <w:kern w:val="21"/>
                <w:sz w:val="24"/>
                <w:szCs w:val="24"/>
              </w:rPr>
              <w:t>⑦</w:t>
            </w:r>
            <w:r>
              <w:rPr>
                <w:rFonts w:hint="default" w:ascii="Times New Roman" w:hAnsi="Times New Roman" w:cs="Times New Roman" w:eastAsiaTheme="minorEastAsia"/>
                <w:b/>
                <w:bCs/>
                <w:snapToGrid w:val="0"/>
                <w:color w:val="auto"/>
                <w:spacing w:val="-6"/>
                <w:kern w:val="21"/>
                <w:sz w:val="24"/>
                <w:szCs w:val="24"/>
              </w:rPr>
              <w:fldChar w:fldCharType="end"/>
            </w:r>
          </w:p>
        </w:tc>
      </w:tr>
      <w:tr w14:paraId="0D8DD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8" w:type="dxa"/>
            <w:vMerge w:val="restart"/>
            <w:vAlign w:val="center"/>
          </w:tcPr>
          <w:p w14:paraId="418897F3">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废</w:t>
            </w:r>
            <w:r>
              <w:rPr>
                <w:rFonts w:hint="default" w:ascii="Times New Roman" w:hAnsi="Times New Roman" w:cs="Times New Roman" w:eastAsiaTheme="minorEastAsia"/>
                <w:color w:val="auto"/>
                <w:sz w:val="24"/>
                <w:lang w:val="en-US" w:eastAsia="zh-CN"/>
              </w:rPr>
              <w:t>气</w:t>
            </w:r>
            <w:r>
              <w:rPr>
                <w:rFonts w:hint="default" w:ascii="Times New Roman" w:hAnsi="Times New Roman" w:cs="Times New Roman" w:eastAsiaTheme="minorEastAsia"/>
                <w:color w:val="auto"/>
                <w:sz w:val="24"/>
              </w:rPr>
              <w:t>（t/a）</w:t>
            </w:r>
          </w:p>
        </w:tc>
        <w:tc>
          <w:tcPr>
            <w:tcW w:w="1727" w:type="dxa"/>
            <w:vAlign w:val="center"/>
          </w:tcPr>
          <w:p w14:paraId="303A0E09">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颗粒物</w:t>
            </w:r>
          </w:p>
        </w:tc>
        <w:tc>
          <w:tcPr>
            <w:tcW w:w="1701" w:type="dxa"/>
            <w:shd w:val="clear" w:color="auto" w:fill="auto"/>
            <w:vAlign w:val="center"/>
          </w:tcPr>
          <w:p w14:paraId="3E39310F">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w:t>
            </w:r>
          </w:p>
        </w:tc>
        <w:tc>
          <w:tcPr>
            <w:tcW w:w="1276" w:type="dxa"/>
            <w:shd w:val="clear" w:color="auto" w:fill="auto"/>
            <w:vAlign w:val="center"/>
          </w:tcPr>
          <w:p w14:paraId="331BD25C">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701" w:type="dxa"/>
            <w:shd w:val="clear" w:color="auto" w:fill="auto"/>
            <w:vAlign w:val="center"/>
          </w:tcPr>
          <w:p w14:paraId="4D61D8F4">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445" w:type="dxa"/>
            <w:shd w:val="clear" w:color="auto" w:fill="auto"/>
            <w:vAlign w:val="center"/>
          </w:tcPr>
          <w:p w14:paraId="3DCCF80F">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4.</w:t>
            </w:r>
            <w:r>
              <w:rPr>
                <w:rFonts w:hint="eastAsia" w:cs="Times New Roman" w:eastAsiaTheme="minorEastAsia"/>
                <w:color w:val="auto"/>
                <w:sz w:val="24"/>
                <w:lang w:val="en-US" w:eastAsia="zh-CN"/>
              </w:rPr>
              <w:t>568</w:t>
            </w:r>
            <w:r>
              <w:rPr>
                <w:rFonts w:hint="default" w:ascii="Times New Roman" w:hAnsi="Times New Roman" w:cs="Times New Roman" w:eastAsiaTheme="minorEastAsia"/>
                <w:color w:val="auto"/>
                <w:sz w:val="24"/>
              </w:rPr>
              <w:t>t/a</w:t>
            </w:r>
          </w:p>
        </w:tc>
        <w:tc>
          <w:tcPr>
            <w:tcW w:w="1530" w:type="dxa"/>
            <w:shd w:val="clear" w:color="auto" w:fill="auto"/>
            <w:vAlign w:val="center"/>
          </w:tcPr>
          <w:p w14:paraId="7B55351B">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590" w:type="dxa"/>
            <w:shd w:val="clear" w:color="auto" w:fill="auto"/>
            <w:vAlign w:val="center"/>
          </w:tcPr>
          <w:p w14:paraId="0EE34EF6">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4.</w:t>
            </w:r>
            <w:r>
              <w:rPr>
                <w:rFonts w:hint="eastAsia" w:cs="Times New Roman" w:eastAsiaTheme="minorEastAsia"/>
                <w:color w:val="auto"/>
                <w:sz w:val="24"/>
                <w:lang w:val="en-US" w:eastAsia="zh-CN"/>
              </w:rPr>
              <w:t>568</w:t>
            </w:r>
            <w:r>
              <w:rPr>
                <w:rFonts w:hint="default" w:ascii="Times New Roman" w:hAnsi="Times New Roman" w:cs="Times New Roman" w:eastAsiaTheme="minorEastAsia"/>
                <w:color w:val="auto"/>
                <w:sz w:val="24"/>
              </w:rPr>
              <w:t>t/a</w:t>
            </w:r>
          </w:p>
        </w:tc>
        <w:tc>
          <w:tcPr>
            <w:tcW w:w="1540" w:type="dxa"/>
            <w:shd w:val="clear" w:color="auto" w:fill="auto"/>
            <w:vAlign w:val="center"/>
          </w:tcPr>
          <w:p w14:paraId="4158FA79">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4.</w:t>
            </w:r>
            <w:r>
              <w:rPr>
                <w:rFonts w:hint="eastAsia" w:cs="Times New Roman" w:eastAsiaTheme="minorEastAsia"/>
                <w:color w:val="auto"/>
                <w:sz w:val="24"/>
                <w:lang w:val="en-US" w:eastAsia="zh-CN"/>
              </w:rPr>
              <w:t>568</w:t>
            </w:r>
            <w:r>
              <w:rPr>
                <w:rFonts w:hint="default" w:ascii="Times New Roman" w:hAnsi="Times New Roman" w:cs="Times New Roman" w:eastAsiaTheme="minorEastAsia"/>
                <w:color w:val="auto"/>
                <w:sz w:val="24"/>
              </w:rPr>
              <w:t>t/a</w:t>
            </w:r>
          </w:p>
        </w:tc>
      </w:tr>
      <w:tr w14:paraId="40E15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8" w:type="dxa"/>
            <w:vMerge w:val="continue"/>
            <w:vAlign w:val="center"/>
          </w:tcPr>
          <w:p w14:paraId="2F8BC812">
            <w:pPr>
              <w:tabs>
                <w:tab w:val="left" w:pos="4767"/>
              </w:tabs>
              <w:adjustRightInd w:val="0"/>
              <w:jc w:val="center"/>
              <w:rPr>
                <w:rFonts w:hint="default" w:ascii="Times New Roman" w:hAnsi="Times New Roman" w:cs="Times New Roman" w:eastAsiaTheme="minorEastAsia"/>
                <w:color w:val="auto"/>
                <w:sz w:val="24"/>
              </w:rPr>
            </w:pPr>
          </w:p>
        </w:tc>
        <w:tc>
          <w:tcPr>
            <w:tcW w:w="1727" w:type="dxa"/>
            <w:vAlign w:val="center"/>
          </w:tcPr>
          <w:p w14:paraId="2E934BF9">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苯并[a]芘</w:t>
            </w:r>
          </w:p>
        </w:tc>
        <w:tc>
          <w:tcPr>
            <w:tcW w:w="1701" w:type="dxa"/>
            <w:shd w:val="clear" w:color="auto" w:fill="auto"/>
            <w:vAlign w:val="center"/>
          </w:tcPr>
          <w:p w14:paraId="04642971">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w:t>
            </w:r>
          </w:p>
        </w:tc>
        <w:tc>
          <w:tcPr>
            <w:tcW w:w="1276" w:type="dxa"/>
            <w:shd w:val="clear" w:color="auto" w:fill="auto"/>
            <w:vAlign w:val="center"/>
          </w:tcPr>
          <w:p w14:paraId="4FDFA5FF">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701" w:type="dxa"/>
            <w:shd w:val="clear" w:color="auto" w:fill="auto"/>
            <w:vAlign w:val="center"/>
          </w:tcPr>
          <w:p w14:paraId="6FECC29F">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445" w:type="dxa"/>
            <w:shd w:val="clear" w:color="auto" w:fill="auto"/>
            <w:vAlign w:val="center"/>
          </w:tcPr>
          <w:p w14:paraId="16CE330B">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2.75×10</w:t>
            </w:r>
            <w:r>
              <w:rPr>
                <w:rFonts w:hint="default" w:ascii="Times New Roman" w:hAnsi="Times New Roman" w:cs="Times New Roman" w:eastAsiaTheme="minorEastAsia"/>
                <w:color w:val="auto"/>
                <w:sz w:val="24"/>
                <w:vertAlign w:val="superscript"/>
                <w:lang w:val="en-US" w:eastAsia="zh-CN"/>
              </w:rPr>
              <w:t>-6</w:t>
            </w:r>
            <w:r>
              <w:rPr>
                <w:rFonts w:hint="default" w:ascii="Times New Roman" w:hAnsi="Times New Roman" w:cs="Times New Roman" w:eastAsiaTheme="minorEastAsia"/>
                <w:color w:val="auto"/>
                <w:sz w:val="24"/>
              </w:rPr>
              <w:t>t/a</w:t>
            </w:r>
          </w:p>
        </w:tc>
        <w:tc>
          <w:tcPr>
            <w:tcW w:w="1530" w:type="dxa"/>
            <w:shd w:val="clear" w:color="auto" w:fill="auto"/>
            <w:vAlign w:val="center"/>
          </w:tcPr>
          <w:p w14:paraId="6A25E48B">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w:t>
            </w:r>
          </w:p>
        </w:tc>
        <w:tc>
          <w:tcPr>
            <w:tcW w:w="1590" w:type="dxa"/>
            <w:shd w:val="clear" w:color="auto" w:fill="auto"/>
            <w:vAlign w:val="center"/>
          </w:tcPr>
          <w:p w14:paraId="25CCD6A9">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2.75×10</w:t>
            </w:r>
            <w:r>
              <w:rPr>
                <w:rFonts w:hint="default" w:ascii="Times New Roman" w:hAnsi="Times New Roman" w:cs="Times New Roman" w:eastAsiaTheme="minorEastAsia"/>
                <w:color w:val="auto"/>
                <w:sz w:val="24"/>
                <w:vertAlign w:val="superscript"/>
                <w:lang w:val="en-US" w:eastAsia="zh-CN"/>
              </w:rPr>
              <w:t>-6</w:t>
            </w:r>
            <w:r>
              <w:rPr>
                <w:rFonts w:hint="default" w:ascii="Times New Roman" w:hAnsi="Times New Roman" w:cs="Times New Roman" w:eastAsiaTheme="minorEastAsia"/>
                <w:color w:val="auto"/>
                <w:sz w:val="24"/>
              </w:rPr>
              <w:t>t/a</w:t>
            </w:r>
          </w:p>
        </w:tc>
        <w:tc>
          <w:tcPr>
            <w:tcW w:w="1540" w:type="dxa"/>
            <w:shd w:val="clear" w:color="auto" w:fill="auto"/>
            <w:vAlign w:val="center"/>
          </w:tcPr>
          <w:p w14:paraId="5A31C896">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2.75×10</w:t>
            </w:r>
            <w:r>
              <w:rPr>
                <w:rFonts w:hint="default" w:ascii="Times New Roman" w:hAnsi="Times New Roman" w:cs="Times New Roman" w:eastAsiaTheme="minorEastAsia"/>
                <w:color w:val="auto"/>
                <w:sz w:val="24"/>
                <w:vertAlign w:val="superscript"/>
                <w:lang w:val="en-US" w:eastAsia="zh-CN"/>
              </w:rPr>
              <w:t>-6</w:t>
            </w:r>
            <w:r>
              <w:rPr>
                <w:rFonts w:hint="default" w:ascii="Times New Roman" w:hAnsi="Times New Roman" w:cs="Times New Roman" w:eastAsiaTheme="minorEastAsia"/>
                <w:color w:val="auto"/>
                <w:sz w:val="24"/>
              </w:rPr>
              <w:t>t/a</w:t>
            </w:r>
          </w:p>
        </w:tc>
      </w:tr>
      <w:tr w14:paraId="37610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8" w:type="dxa"/>
            <w:vMerge w:val="continue"/>
            <w:vAlign w:val="center"/>
          </w:tcPr>
          <w:p w14:paraId="66A3F279">
            <w:pPr>
              <w:tabs>
                <w:tab w:val="left" w:pos="4767"/>
              </w:tabs>
              <w:adjustRightInd w:val="0"/>
              <w:jc w:val="center"/>
              <w:rPr>
                <w:rFonts w:hint="default" w:ascii="Times New Roman" w:hAnsi="Times New Roman" w:cs="Times New Roman" w:eastAsiaTheme="minorEastAsia"/>
                <w:color w:val="auto"/>
                <w:sz w:val="24"/>
              </w:rPr>
            </w:pPr>
          </w:p>
        </w:tc>
        <w:tc>
          <w:tcPr>
            <w:tcW w:w="1727" w:type="dxa"/>
            <w:vAlign w:val="center"/>
          </w:tcPr>
          <w:p w14:paraId="115973A0">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沥青烟</w:t>
            </w:r>
          </w:p>
        </w:tc>
        <w:tc>
          <w:tcPr>
            <w:tcW w:w="1701" w:type="dxa"/>
            <w:shd w:val="clear" w:color="auto" w:fill="auto"/>
            <w:vAlign w:val="center"/>
          </w:tcPr>
          <w:p w14:paraId="579AD006">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w:t>
            </w:r>
          </w:p>
        </w:tc>
        <w:tc>
          <w:tcPr>
            <w:tcW w:w="1276" w:type="dxa"/>
            <w:shd w:val="clear" w:color="auto" w:fill="auto"/>
            <w:vAlign w:val="center"/>
          </w:tcPr>
          <w:p w14:paraId="5EDB782D">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701" w:type="dxa"/>
            <w:shd w:val="clear" w:color="auto" w:fill="auto"/>
            <w:vAlign w:val="center"/>
          </w:tcPr>
          <w:p w14:paraId="2D532C84">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445" w:type="dxa"/>
            <w:shd w:val="clear" w:color="auto" w:fill="auto"/>
            <w:vAlign w:val="center"/>
          </w:tcPr>
          <w:p w14:paraId="0EC7C167">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0.0021</w:t>
            </w:r>
            <w:r>
              <w:rPr>
                <w:rFonts w:hint="default" w:ascii="Times New Roman" w:hAnsi="Times New Roman" w:cs="Times New Roman" w:eastAsiaTheme="minorEastAsia"/>
                <w:color w:val="auto"/>
                <w:sz w:val="24"/>
              </w:rPr>
              <w:t>t/a</w:t>
            </w:r>
          </w:p>
        </w:tc>
        <w:tc>
          <w:tcPr>
            <w:tcW w:w="1530" w:type="dxa"/>
            <w:shd w:val="clear" w:color="auto" w:fill="auto"/>
            <w:vAlign w:val="center"/>
          </w:tcPr>
          <w:p w14:paraId="28239AEC">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w:t>
            </w:r>
          </w:p>
        </w:tc>
        <w:tc>
          <w:tcPr>
            <w:tcW w:w="1590" w:type="dxa"/>
            <w:shd w:val="clear" w:color="auto" w:fill="auto"/>
            <w:vAlign w:val="center"/>
          </w:tcPr>
          <w:p w14:paraId="4490D82D">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0.0021</w:t>
            </w:r>
            <w:r>
              <w:rPr>
                <w:rFonts w:hint="default" w:ascii="Times New Roman" w:hAnsi="Times New Roman" w:cs="Times New Roman" w:eastAsiaTheme="minorEastAsia"/>
                <w:color w:val="auto"/>
                <w:sz w:val="24"/>
              </w:rPr>
              <w:t>t/a</w:t>
            </w:r>
          </w:p>
        </w:tc>
        <w:tc>
          <w:tcPr>
            <w:tcW w:w="1540" w:type="dxa"/>
            <w:shd w:val="clear" w:color="auto" w:fill="auto"/>
            <w:vAlign w:val="center"/>
          </w:tcPr>
          <w:p w14:paraId="21737E1D">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+0.0021</w:t>
            </w:r>
            <w:r>
              <w:rPr>
                <w:rFonts w:hint="default" w:ascii="Times New Roman" w:hAnsi="Times New Roman" w:cs="Times New Roman" w:eastAsiaTheme="minorEastAsia"/>
                <w:color w:val="auto"/>
                <w:sz w:val="24"/>
              </w:rPr>
              <w:t>t/a</w:t>
            </w:r>
          </w:p>
        </w:tc>
      </w:tr>
      <w:tr w14:paraId="46AB6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8" w:type="dxa"/>
            <w:vMerge w:val="continue"/>
            <w:vAlign w:val="center"/>
          </w:tcPr>
          <w:p w14:paraId="799EBE29">
            <w:pPr>
              <w:tabs>
                <w:tab w:val="left" w:pos="4767"/>
              </w:tabs>
              <w:adjustRightInd w:val="0"/>
              <w:jc w:val="center"/>
              <w:rPr>
                <w:rFonts w:hint="default" w:ascii="Times New Roman" w:hAnsi="Times New Roman" w:cs="Times New Roman" w:eastAsiaTheme="minorEastAsia"/>
                <w:color w:val="auto"/>
                <w:sz w:val="24"/>
              </w:rPr>
            </w:pPr>
          </w:p>
        </w:tc>
        <w:tc>
          <w:tcPr>
            <w:tcW w:w="1727" w:type="dxa"/>
            <w:vAlign w:val="center"/>
          </w:tcPr>
          <w:p w14:paraId="5035D473">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二氧化硫</w:t>
            </w:r>
          </w:p>
        </w:tc>
        <w:tc>
          <w:tcPr>
            <w:tcW w:w="1701" w:type="dxa"/>
            <w:shd w:val="clear" w:color="auto" w:fill="auto"/>
            <w:vAlign w:val="center"/>
          </w:tcPr>
          <w:p w14:paraId="679F814B">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w:t>
            </w:r>
          </w:p>
        </w:tc>
        <w:tc>
          <w:tcPr>
            <w:tcW w:w="1276" w:type="dxa"/>
            <w:shd w:val="clear" w:color="auto" w:fill="auto"/>
            <w:vAlign w:val="center"/>
          </w:tcPr>
          <w:p w14:paraId="69DAD647">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701" w:type="dxa"/>
            <w:shd w:val="clear" w:color="auto" w:fill="auto"/>
            <w:vAlign w:val="center"/>
          </w:tcPr>
          <w:p w14:paraId="7B5E0FA8">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445" w:type="dxa"/>
            <w:shd w:val="clear" w:color="auto" w:fill="auto"/>
            <w:vAlign w:val="center"/>
          </w:tcPr>
          <w:p w14:paraId="79D0904A">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0.1876</w:t>
            </w:r>
            <w:r>
              <w:rPr>
                <w:rFonts w:hint="default" w:ascii="Times New Roman" w:hAnsi="Times New Roman" w:cs="Times New Roman" w:eastAsiaTheme="minorEastAsia"/>
                <w:color w:val="auto"/>
                <w:sz w:val="24"/>
              </w:rPr>
              <w:t>t/a</w:t>
            </w:r>
          </w:p>
        </w:tc>
        <w:tc>
          <w:tcPr>
            <w:tcW w:w="1530" w:type="dxa"/>
            <w:shd w:val="clear" w:color="auto" w:fill="auto"/>
            <w:vAlign w:val="center"/>
          </w:tcPr>
          <w:p w14:paraId="7645A67B">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w:t>
            </w:r>
          </w:p>
        </w:tc>
        <w:tc>
          <w:tcPr>
            <w:tcW w:w="1590" w:type="dxa"/>
            <w:shd w:val="clear" w:color="auto" w:fill="auto"/>
            <w:vAlign w:val="center"/>
          </w:tcPr>
          <w:p w14:paraId="1429386B">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0.1876</w:t>
            </w:r>
            <w:r>
              <w:rPr>
                <w:rFonts w:hint="default" w:ascii="Times New Roman" w:hAnsi="Times New Roman" w:cs="Times New Roman" w:eastAsiaTheme="minorEastAsia"/>
                <w:color w:val="auto"/>
                <w:sz w:val="24"/>
              </w:rPr>
              <w:t>t/a</w:t>
            </w:r>
          </w:p>
        </w:tc>
        <w:tc>
          <w:tcPr>
            <w:tcW w:w="1540" w:type="dxa"/>
            <w:shd w:val="clear" w:color="auto" w:fill="auto"/>
            <w:vAlign w:val="center"/>
          </w:tcPr>
          <w:p w14:paraId="714D18DF">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+0.1876</w:t>
            </w:r>
            <w:r>
              <w:rPr>
                <w:rFonts w:hint="default" w:ascii="Times New Roman" w:hAnsi="Times New Roman" w:cs="Times New Roman" w:eastAsiaTheme="minorEastAsia"/>
                <w:color w:val="auto"/>
                <w:sz w:val="24"/>
              </w:rPr>
              <w:t>t/a</w:t>
            </w:r>
          </w:p>
        </w:tc>
      </w:tr>
      <w:tr w14:paraId="6833C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8" w:type="dxa"/>
            <w:vMerge w:val="continue"/>
            <w:vAlign w:val="center"/>
          </w:tcPr>
          <w:p w14:paraId="31FA22B4">
            <w:pPr>
              <w:tabs>
                <w:tab w:val="left" w:pos="4767"/>
              </w:tabs>
              <w:adjustRightInd w:val="0"/>
              <w:jc w:val="center"/>
              <w:rPr>
                <w:rFonts w:hint="default" w:ascii="Times New Roman" w:hAnsi="Times New Roman" w:cs="Times New Roman" w:eastAsiaTheme="minorEastAsia"/>
                <w:color w:val="auto"/>
                <w:sz w:val="24"/>
              </w:rPr>
            </w:pPr>
          </w:p>
        </w:tc>
        <w:tc>
          <w:tcPr>
            <w:tcW w:w="1727" w:type="dxa"/>
            <w:vAlign w:val="center"/>
          </w:tcPr>
          <w:p w14:paraId="372D4B27">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氮氧化物</w:t>
            </w:r>
          </w:p>
        </w:tc>
        <w:tc>
          <w:tcPr>
            <w:tcW w:w="1701" w:type="dxa"/>
            <w:shd w:val="clear" w:color="auto" w:fill="auto"/>
            <w:vAlign w:val="center"/>
          </w:tcPr>
          <w:p w14:paraId="53A06E9A">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w:t>
            </w:r>
          </w:p>
        </w:tc>
        <w:tc>
          <w:tcPr>
            <w:tcW w:w="1276" w:type="dxa"/>
            <w:shd w:val="clear" w:color="auto" w:fill="auto"/>
            <w:vAlign w:val="center"/>
          </w:tcPr>
          <w:p w14:paraId="22DA58AA">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701" w:type="dxa"/>
            <w:shd w:val="clear" w:color="auto" w:fill="auto"/>
            <w:vAlign w:val="center"/>
          </w:tcPr>
          <w:p w14:paraId="4AF15E4A">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445" w:type="dxa"/>
            <w:shd w:val="clear" w:color="auto" w:fill="auto"/>
            <w:vAlign w:val="center"/>
          </w:tcPr>
          <w:p w14:paraId="0B91DDEE">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0.283</w:t>
            </w:r>
            <w:r>
              <w:rPr>
                <w:rFonts w:hint="default" w:ascii="Times New Roman" w:hAnsi="Times New Roman" w:cs="Times New Roman" w:eastAsiaTheme="minorEastAsia"/>
                <w:color w:val="auto"/>
                <w:sz w:val="24"/>
              </w:rPr>
              <w:t>t/a</w:t>
            </w:r>
          </w:p>
        </w:tc>
        <w:tc>
          <w:tcPr>
            <w:tcW w:w="1530" w:type="dxa"/>
            <w:shd w:val="clear" w:color="auto" w:fill="auto"/>
            <w:vAlign w:val="center"/>
          </w:tcPr>
          <w:p w14:paraId="523C8228">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w:t>
            </w:r>
          </w:p>
        </w:tc>
        <w:tc>
          <w:tcPr>
            <w:tcW w:w="1590" w:type="dxa"/>
            <w:shd w:val="clear" w:color="auto" w:fill="auto"/>
            <w:vAlign w:val="center"/>
          </w:tcPr>
          <w:p w14:paraId="228378D6">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0.283</w:t>
            </w:r>
            <w:r>
              <w:rPr>
                <w:rFonts w:hint="default" w:ascii="Times New Roman" w:hAnsi="Times New Roman" w:cs="Times New Roman" w:eastAsiaTheme="minorEastAsia"/>
                <w:color w:val="auto"/>
                <w:sz w:val="24"/>
              </w:rPr>
              <w:t>t/a</w:t>
            </w:r>
          </w:p>
        </w:tc>
        <w:tc>
          <w:tcPr>
            <w:tcW w:w="1540" w:type="dxa"/>
            <w:shd w:val="clear" w:color="auto" w:fill="auto"/>
            <w:vAlign w:val="center"/>
          </w:tcPr>
          <w:p w14:paraId="407C3074">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+0.283</w:t>
            </w:r>
            <w:r>
              <w:rPr>
                <w:rFonts w:hint="default" w:ascii="Times New Roman" w:hAnsi="Times New Roman" w:cs="Times New Roman" w:eastAsiaTheme="minorEastAsia"/>
                <w:color w:val="auto"/>
                <w:sz w:val="24"/>
              </w:rPr>
              <w:t>t/a</w:t>
            </w:r>
          </w:p>
        </w:tc>
      </w:tr>
      <w:tr w14:paraId="7C291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8" w:type="dxa"/>
            <w:vAlign w:val="center"/>
          </w:tcPr>
          <w:p w14:paraId="1647A3D3">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生活垃圾</w:t>
            </w:r>
          </w:p>
        </w:tc>
        <w:tc>
          <w:tcPr>
            <w:tcW w:w="1727" w:type="dxa"/>
            <w:tcBorders>
              <w:top w:val="single" w:color="auto" w:sz="4" w:space="0"/>
            </w:tcBorders>
            <w:vAlign w:val="center"/>
          </w:tcPr>
          <w:p w14:paraId="556492F1">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生活垃圾</w:t>
            </w:r>
          </w:p>
        </w:tc>
        <w:tc>
          <w:tcPr>
            <w:tcW w:w="1701" w:type="dxa"/>
            <w:vAlign w:val="center"/>
          </w:tcPr>
          <w:p w14:paraId="0E6617B9">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w:t>
            </w:r>
          </w:p>
        </w:tc>
        <w:tc>
          <w:tcPr>
            <w:tcW w:w="1276" w:type="dxa"/>
            <w:vAlign w:val="center"/>
          </w:tcPr>
          <w:p w14:paraId="7DA8C475">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701" w:type="dxa"/>
            <w:vAlign w:val="center"/>
          </w:tcPr>
          <w:p w14:paraId="4E85BBCE">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445" w:type="dxa"/>
            <w:vAlign w:val="center"/>
          </w:tcPr>
          <w:p w14:paraId="7B82BF0D">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0.8</w:t>
            </w:r>
            <w:r>
              <w:rPr>
                <w:rFonts w:hint="default" w:ascii="Times New Roman" w:hAnsi="Times New Roman" w:cs="Times New Roman" w:eastAsiaTheme="minorEastAsia"/>
                <w:color w:val="auto"/>
                <w:sz w:val="24"/>
              </w:rPr>
              <w:t>t/a</w:t>
            </w:r>
          </w:p>
        </w:tc>
        <w:tc>
          <w:tcPr>
            <w:tcW w:w="1530" w:type="dxa"/>
            <w:vAlign w:val="center"/>
          </w:tcPr>
          <w:p w14:paraId="61E8412B">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590" w:type="dxa"/>
            <w:vAlign w:val="center"/>
          </w:tcPr>
          <w:p w14:paraId="2618FABF">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0.8</w:t>
            </w:r>
            <w:r>
              <w:rPr>
                <w:rFonts w:hint="default" w:ascii="Times New Roman" w:hAnsi="Times New Roman" w:cs="Times New Roman" w:eastAsiaTheme="minorEastAsia"/>
                <w:color w:val="auto"/>
                <w:sz w:val="24"/>
              </w:rPr>
              <w:t>t/a</w:t>
            </w:r>
          </w:p>
        </w:tc>
        <w:tc>
          <w:tcPr>
            <w:tcW w:w="1540" w:type="dxa"/>
            <w:vAlign w:val="center"/>
          </w:tcPr>
          <w:p w14:paraId="275828FC">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0.8</w:t>
            </w:r>
            <w:r>
              <w:rPr>
                <w:rFonts w:hint="default" w:ascii="Times New Roman" w:hAnsi="Times New Roman" w:cs="Times New Roman" w:eastAsiaTheme="minorEastAsia"/>
                <w:color w:val="auto"/>
                <w:sz w:val="24"/>
              </w:rPr>
              <w:t>t/a</w:t>
            </w:r>
          </w:p>
        </w:tc>
      </w:tr>
      <w:tr w14:paraId="30772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8" w:type="dxa"/>
            <w:vMerge w:val="restart"/>
            <w:vAlign w:val="center"/>
          </w:tcPr>
          <w:p w14:paraId="192DC715">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一般固废</w:t>
            </w:r>
          </w:p>
        </w:tc>
        <w:tc>
          <w:tcPr>
            <w:tcW w:w="1727" w:type="dxa"/>
            <w:tcBorders>
              <w:top w:val="single" w:color="auto" w:sz="4" w:space="0"/>
              <w:bottom w:val="single" w:color="auto" w:sz="4" w:space="0"/>
            </w:tcBorders>
            <w:vAlign w:val="center"/>
          </w:tcPr>
          <w:p w14:paraId="0C3B2528">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eastAsia="zh-CN"/>
              </w:rPr>
              <w:t>废导热油</w:t>
            </w:r>
          </w:p>
        </w:tc>
        <w:tc>
          <w:tcPr>
            <w:tcW w:w="1701" w:type="dxa"/>
            <w:shd w:val="clear" w:color="auto" w:fill="auto"/>
            <w:vAlign w:val="center"/>
          </w:tcPr>
          <w:p w14:paraId="540D2FAB">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w:t>
            </w:r>
          </w:p>
        </w:tc>
        <w:tc>
          <w:tcPr>
            <w:tcW w:w="1276" w:type="dxa"/>
            <w:shd w:val="clear" w:color="auto" w:fill="auto"/>
            <w:vAlign w:val="center"/>
          </w:tcPr>
          <w:p w14:paraId="18EA9F8C">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701" w:type="dxa"/>
            <w:shd w:val="clear" w:color="auto" w:fill="auto"/>
            <w:vAlign w:val="center"/>
          </w:tcPr>
          <w:p w14:paraId="7BF76AF6">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445" w:type="dxa"/>
            <w:vAlign w:val="center"/>
          </w:tcPr>
          <w:p w14:paraId="5DCF6CE8">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5</w:t>
            </w:r>
            <w:r>
              <w:rPr>
                <w:rFonts w:hint="default" w:ascii="Times New Roman" w:hAnsi="Times New Roman" w:cs="Times New Roman" w:eastAsiaTheme="minorEastAsia"/>
                <w:color w:val="auto"/>
                <w:sz w:val="24"/>
              </w:rPr>
              <w:t>t/</w:t>
            </w:r>
            <w:r>
              <w:rPr>
                <w:rFonts w:hint="default" w:ascii="Times New Roman" w:hAnsi="Times New Roman" w:cs="Times New Roman" w:eastAsiaTheme="minorEastAsia"/>
                <w:color w:val="auto"/>
                <w:sz w:val="24"/>
                <w:lang w:val="en-US" w:eastAsia="zh-CN"/>
              </w:rPr>
              <w:t>5</w:t>
            </w:r>
            <w:r>
              <w:rPr>
                <w:rFonts w:hint="default" w:ascii="Times New Roman" w:hAnsi="Times New Roman" w:cs="Times New Roman" w:eastAsiaTheme="minorEastAsia"/>
                <w:color w:val="auto"/>
                <w:sz w:val="24"/>
              </w:rPr>
              <w:t>a</w:t>
            </w:r>
          </w:p>
        </w:tc>
        <w:tc>
          <w:tcPr>
            <w:tcW w:w="1530" w:type="dxa"/>
            <w:vAlign w:val="center"/>
          </w:tcPr>
          <w:p w14:paraId="7991DEC3">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590" w:type="dxa"/>
            <w:vAlign w:val="center"/>
          </w:tcPr>
          <w:p w14:paraId="6C1BE0EA">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5</w:t>
            </w:r>
            <w:r>
              <w:rPr>
                <w:rFonts w:hint="default" w:ascii="Times New Roman" w:hAnsi="Times New Roman" w:cs="Times New Roman" w:eastAsiaTheme="minorEastAsia"/>
                <w:color w:val="auto"/>
                <w:sz w:val="24"/>
              </w:rPr>
              <w:t>t/</w:t>
            </w:r>
            <w:r>
              <w:rPr>
                <w:rFonts w:hint="default" w:ascii="Times New Roman" w:hAnsi="Times New Roman" w:cs="Times New Roman" w:eastAsiaTheme="minorEastAsia"/>
                <w:color w:val="auto"/>
                <w:sz w:val="24"/>
                <w:lang w:val="en-US" w:eastAsia="zh-CN"/>
              </w:rPr>
              <w:t>5</w:t>
            </w:r>
            <w:r>
              <w:rPr>
                <w:rFonts w:hint="default" w:ascii="Times New Roman" w:hAnsi="Times New Roman" w:cs="Times New Roman" w:eastAsiaTheme="minorEastAsia"/>
                <w:color w:val="auto"/>
                <w:sz w:val="24"/>
              </w:rPr>
              <w:t>a</w:t>
            </w:r>
          </w:p>
        </w:tc>
        <w:tc>
          <w:tcPr>
            <w:tcW w:w="1540" w:type="dxa"/>
            <w:vAlign w:val="center"/>
          </w:tcPr>
          <w:p w14:paraId="04905770">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5</w:t>
            </w:r>
            <w:r>
              <w:rPr>
                <w:rFonts w:hint="default" w:ascii="Times New Roman" w:hAnsi="Times New Roman" w:cs="Times New Roman" w:eastAsiaTheme="minorEastAsia"/>
                <w:color w:val="auto"/>
                <w:sz w:val="24"/>
              </w:rPr>
              <w:t>t/</w:t>
            </w:r>
            <w:r>
              <w:rPr>
                <w:rFonts w:hint="default" w:ascii="Times New Roman" w:hAnsi="Times New Roman" w:cs="Times New Roman" w:eastAsiaTheme="minorEastAsia"/>
                <w:color w:val="auto"/>
                <w:sz w:val="24"/>
                <w:lang w:val="en-US" w:eastAsia="zh-CN"/>
              </w:rPr>
              <w:t>5</w:t>
            </w:r>
            <w:r>
              <w:rPr>
                <w:rFonts w:hint="default" w:ascii="Times New Roman" w:hAnsi="Times New Roman" w:cs="Times New Roman" w:eastAsiaTheme="minorEastAsia"/>
                <w:color w:val="auto"/>
                <w:sz w:val="24"/>
              </w:rPr>
              <w:t>a</w:t>
            </w:r>
          </w:p>
        </w:tc>
      </w:tr>
      <w:tr w14:paraId="72B2E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8" w:type="dxa"/>
            <w:vMerge w:val="continue"/>
            <w:vAlign w:val="center"/>
          </w:tcPr>
          <w:p w14:paraId="6580E3C1">
            <w:pPr>
              <w:tabs>
                <w:tab w:val="left" w:pos="4767"/>
              </w:tabs>
              <w:adjustRightInd w:val="0"/>
              <w:jc w:val="center"/>
              <w:rPr>
                <w:rFonts w:hint="default" w:ascii="Times New Roman" w:hAnsi="Times New Roman" w:cs="Times New Roman" w:eastAsiaTheme="minorEastAsia"/>
                <w:color w:val="auto"/>
                <w:sz w:val="24"/>
              </w:rPr>
            </w:pPr>
          </w:p>
        </w:tc>
        <w:tc>
          <w:tcPr>
            <w:tcW w:w="1727" w:type="dxa"/>
            <w:tcBorders>
              <w:top w:val="single" w:color="auto" w:sz="4" w:space="0"/>
              <w:bottom w:val="single" w:color="auto" w:sz="4" w:space="0"/>
            </w:tcBorders>
            <w:vAlign w:val="center"/>
          </w:tcPr>
          <w:p w14:paraId="1CAE45CC">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eastAsia="zh-CN"/>
              </w:rPr>
              <w:t>收尘灰</w:t>
            </w:r>
          </w:p>
        </w:tc>
        <w:tc>
          <w:tcPr>
            <w:tcW w:w="1701" w:type="dxa"/>
            <w:shd w:val="clear" w:color="auto" w:fill="auto"/>
            <w:vAlign w:val="center"/>
          </w:tcPr>
          <w:p w14:paraId="64B85F0D">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rPr>
              <w:t>/</w:t>
            </w:r>
          </w:p>
        </w:tc>
        <w:tc>
          <w:tcPr>
            <w:tcW w:w="1276" w:type="dxa"/>
            <w:shd w:val="clear" w:color="auto" w:fill="auto"/>
            <w:vAlign w:val="center"/>
          </w:tcPr>
          <w:p w14:paraId="10235B8E">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701" w:type="dxa"/>
            <w:shd w:val="clear" w:color="auto" w:fill="auto"/>
            <w:vAlign w:val="center"/>
          </w:tcPr>
          <w:p w14:paraId="377C044B">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445" w:type="dxa"/>
            <w:shd w:val="clear" w:color="auto" w:fill="auto"/>
            <w:vAlign w:val="center"/>
          </w:tcPr>
          <w:p w14:paraId="2BBD8372">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43</w:t>
            </w:r>
            <w:r>
              <w:rPr>
                <w:rFonts w:hint="default" w:ascii="Times New Roman" w:hAnsi="Times New Roman" w:cs="Times New Roman" w:eastAsiaTheme="minorEastAsia"/>
                <w:color w:val="auto"/>
                <w:sz w:val="24"/>
              </w:rPr>
              <w:t>t/a</w:t>
            </w:r>
          </w:p>
        </w:tc>
        <w:tc>
          <w:tcPr>
            <w:tcW w:w="1530" w:type="dxa"/>
            <w:shd w:val="clear" w:color="auto" w:fill="auto"/>
            <w:vAlign w:val="center"/>
          </w:tcPr>
          <w:p w14:paraId="206869DC">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590" w:type="dxa"/>
            <w:shd w:val="clear" w:color="auto" w:fill="auto"/>
            <w:vAlign w:val="center"/>
          </w:tcPr>
          <w:p w14:paraId="60B1CE4C">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43</w:t>
            </w:r>
            <w:r>
              <w:rPr>
                <w:rFonts w:hint="default" w:ascii="Times New Roman" w:hAnsi="Times New Roman" w:cs="Times New Roman" w:eastAsiaTheme="minorEastAsia"/>
                <w:color w:val="auto"/>
                <w:sz w:val="24"/>
              </w:rPr>
              <w:t>t/a</w:t>
            </w:r>
          </w:p>
        </w:tc>
        <w:tc>
          <w:tcPr>
            <w:tcW w:w="1540" w:type="dxa"/>
            <w:shd w:val="clear" w:color="auto" w:fill="auto"/>
            <w:vAlign w:val="center"/>
          </w:tcPr>
          <w:p w14:paraId="20442E5A">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43</w:t>
            </w:r>
            <w:r>
              <w:rPr>
                <w:rFonts w:hint="default" w:ascii="Times New Roman" w:hAnsi="Times New Roman" w:cs="Times New Roman" w:eastAsiaTheme="minorEastAsia"/>
                <w:color w:val="auto"/>
                <w:sz w:val="24"/>
              </w:rPr>
              <w:t>t/a</w:t>
            </w:r>
          </w:p>
        </w:tc>
      </w:tr>
      <w:tr w14:paraId="52C40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8" w:type="dxa"/>
            <w:vMerge w:val="continue"/>
            <w:vAlign w:val="center"/>
          </w:tcPr>
          <w:p w14:paraId="541FA24B">
            <w:pPr>
              <w:tabs>
                <w:tab w:val="left" w:pos="4767"/>
              </w:tabs>
              <w:adjustRightInd w:val="0"/>
              <w:jc w:val="center"/>
              <w:rPr>
                <w:rFonts w:hint="default" w:ascii="Times New Roman" w:hAnsi="Times New Roman" w:cs="Times New Roman" w:eastAsiaTheme="minorEastAsia"/>
                <w:color w:val="auto"/>
                <w:sz w:val="24"/>
              </w:rPr>
            </w:pPr>
          </w:p>
        </w:tc>
        <w:tc>
          <w:tcPr>
            <w:tcW w:w="1727" w:type="dxa"/>
            <w:tcBorders>
              <w:top w:val="single" w:color="auto" w:sz="4" w:space="0"/>
              <w:bottom w:val="single" w:color="auto" w:sz="4" w:space="0"/>
            </w:tcBorders>
            <w:vAlign w:val="center"/>
          </w:tcPr>
          <w:p w14:paraId="3361490C">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滴漏沥青及拌和残渣</w:t>
            </w:r>
          </w:p>
        </w:tc>
        <w:tc>
          <w:tcPr>
            <w:tcW w:w="1701" w:type="dxa"/>
            <w:shd w:val="clear" w:color="auto" w:fill="auto"/>
            <w:vAlign w:val="center"/>
          </w:tcPr>
          <w:p w14:paraId="50043076">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276" w:type="dxa"/>
            <w:shd w:val="clear" w:color="auto" w:fill="auto"/>
            <w:vAlign w:val="center"/>
          </w:tcPr>
          <w:p w14:paraId="24B9D69A">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701" w:type="dxa"/>
            <w:shd w:val="clear" w:color="auto" w:fill="auto"/>
            <w:vAlign w:val="center"/>
          </w:tcPr>
          <w:p w14:paraId="7840CE28">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445" w:type="dxa"/>
            <w:shd w:val="clear" w:color="auto" w:fill="auto"/>
            <w:vAlign w:val="center"/>
          </w:tcPr>
          <w:p w14:paraId="387BC895">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0.01</w:t>
            </w:r>
            <w:r>
              <w:rPr>
                <w:rFonts w:hint="default" w:ascii="Times New Roman" w:hAnsi="Times New Roman" w:cs="Times New Roman" w:eastAsiaTheme="minorEastAsia"/>
                <w:color w:val="auto"/>
                <w:sz w:val="24"/>
              </w:rPr>
              <w:t>t/a</w:t>
            </w:r>
          </w:p>
        </w:tc>
        <w:tc>
          <w:tcPr>
            <w:tcW w:w="1530" w:type="dxa"/>
            <w:shd w:val="clear" w:color="auto" w:fill="auto"/>
            <w:vAlign w:val="center"/>
          </w:tcPr>
          <w:p w14:paraId="16E6DFBB">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590" w:type="dxa"/>
            <w:shd w:val="clear" w:color="auto" w:fill="auto"/>
            <w:vAlign w:val="center"/>
          </w:tcPr>
          <w:p w14:paraId="0D50D0DE">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t>0.01</w:t>
            </w:r>
            <w:r>
              <w:rPr>
                <w:rFonts w:hint="default" w:ascii="Times New Roman" w:hAnsi="Times New Roman" w:cs="Times New Roman" w:eastAsiaTheme="minorEastAsia"/>
                <w:color w:val="auto"/>
                <w:sz w:val="24"/>
              </w:rPr>
              <w:t>t/a</w:t>
            </w:r>
          </w:p>
        </w:tc>
        <w:tc>
          <w:tcPr>
            <w:tcW w:w="1540" w:type="dxa"/>
            <w:shd w:val="clear" w:color="auto" w:fill="auto"/>
            <w:vAlign w:val="center"/>
          </w:tcPr>
          <w:p w14:paraId="162B911B">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+0.01</w:t>
            </w:r>
            <w:r>
              <w:rPr>
                <w:rFonts w:hint="default" w:ascii="Times New Roman" w:hAnsi="Times New Roman" w:cs="Times New Roman" w:eastAsiaTheme="minorEastAsia"/>
                <w:color w:val="auto"/>
                <w:sz w:val="24"/>
              </w:rPr>
              <w:t>t/a</w:t>
            </w:r>
          </w:p>
        </w:tc>
      </w:tr>
      <w:tr w14:paraId="2E4A8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8" w:type="dxa"/>
            <w:vMerge w:val="continue"/>
            <w:vAlign w:val="center"/>
          </w:tcPr>
          <w:p w14:paraId="6491E48D">
            <w:pPr>
              <w:tabs>
                <w:tab w:val="left" w:pos="4767"/>
              </w:tabs>
              <w:adjustRightInd w:val="0"/>
              <w:jc w:val="center"/>
              <w:rPr>
                <w:rFonts w:hint="default" w:ascii="Times New Roman" w:hAnsi="Times New Roman" w:cs="Times New Roman" w:eastAsiaTheme="minorEastAsia"/>
                <w:color w:val="auto"/>
                <w:sz w:val="24"/>
              </w:rPr>
            </w:pPr>
          </w:p>
        </w:tc>
        <w:tc>
          <w:tcPr>
            <w:tcW w:w="1727" w:type="dxa"/>
            <w:tcBorders>
              <w:top w:val="single" w:color="auto" w:sz="4" w:space="0"/>
            </w:tcBorders>
            <w:vAlign w:val="center"/>
          </w:tcPr>
          <w:p w14:paraId="1C2B6827">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eastAsia="zh-CN"/>
              </w:rPr>
              <w:t>废石料</w:t>
            </w:r>
          </w:p>
        </w:tc>
        <w:tc>
          <w:tcPr>
            <w:tcW w:w="1701" w:type="dxa"/>
            <w:shd w:val="clear" w:color="auto" w:fill="auto"/>
            <w:vAlign w:val="center"/>
          </w:tcPr>
          <w:p w14:paraId="0EA80FAA">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276" w:type="dxa"/>
            <w:shd w:val="clear" w:color="auto" w:fill="auto"/>
            <w:vAlign w:val="center"/>
          </w:tcPr>
          <w:p w14:paraId="0703A619">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701" w:type="dxa"/>
            <w:shd w:val="clear" w:color="auto" w:fill="auto"/>
            <w:vAlign w:val="center"/>
          </w:tcPr>
          <w:p w14:paraId="4B55D14F">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445" w:type="dxa"/>
            <w:shd w:val="clear" w:color="auto" w:fill="auto"/>
            <w:vAlign w:val="center"/>
          </w:tcPr>
          <w:p w14:paraId="0E4C6F24">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eastAsia" w:cs="Times New Roman" w:eastAsiaTheme="minorEastAsia"/>
                <w:color w:val="auto"/>
                <w:sz w:val="24"/>
                <w:lang w:val="en-US" w:eastAsia="zh-CN"/>
              </w:rPr>
              <w:t>185.54</w:t>
            </w:r>
            <w:r>
              <w:rPr>
                <w:rFonts w:hint="default" w:ascii="Times New Roman" w:hAnsi="Times New Roman" w:cs="Times New Roman" w:eastAsiaTheme="minorEastAsia"/>
                <w:color w:val="auto"/>
                <w:sz w:val="24"/>
              </w:rPr>
              <w:t>t/a</w:t>
            </w:r>
          </w:p>
        </w:tc>
        <w:tc>
          <w:tcPr>
            <w:tcW w:w="1530" w:type="dxa"/>
            <w:shd w:val="clear" w:color="auto" w:fill="auto"/>
            <w:vAlign w:val="center"/>
          </w:tcPr>
          <w:p w14:paraId="155C435A">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p>
        </w:tc>
        <w:tc>
          <w:tcPr>
            <w:tcW w:w="1590" w:type="dxa"/>
            <w:shd w:val="clear" w:color="auto" w:fill="auto"/>
            <w:vAlign w:val="center"/>
          </w:tcPr>
          <w:p w14:paraId="319C0648">
            <w:pPr>
              <w:tabs>
                <w:tab w:val="left" w:pos="4767"/>
              </w:tabs>
              <w:adjustRightInd w:val="0"/>
              <w:jc w:val="center"/>
              <w:rPr>
                <w:rFonts w:hint="default" w:ascii="Times New Roman" w:hAnsi="Times New Roman" w:cs="Times New Roman" w:eastAsiaTheme="minorEastAsia"/>
                <w:color w:val="auto"/>
                <w:sz w:val="24"/>
                <w:lang w:val="en-US" w:eastAsia="zh-CN"/>
              </w:rPr>
            </w:pPr>
            <w:r>
              <w:rPr>
                <w:rFonts w:hint="eastAsia" w:cs="Times New Roman" w:eastAsiaTheme="minorEastAsia"/>
                <w:color w:val="auto"/>
                <w:sz w:val="24"/>
                <w:lang w:val="en-US" w:eastAsia="zh-CN"/>
              </w:rPr>
              <w:t>185.54</w:t>
            </w:r>
            <w:r>
              <w:rPr>
                <w:rFonts w:hint="default" w:ascii="Times New Roman" w:hAnsi="Times New Roman" w:cs="Times New Roman" w:eastAsiaTheme="minorEastAsia"/>
                <w:color w:val="auto"/>
                <w:sz w:val="24"/>
              </w:rPr>
              <w:t>t/a</w:t>
            </w:r>
          </w:p>
        </w:tc>
        <w:tc>
          <w:tcPr>
            <w:tcW w:w="1540" w:type="dxa"/>
            <w:shd w:val="clear" w:color="auto" w:fill="auto"/>
            <w:vAlign w:val="center"/>
          </w:tcPr>
          <w:p w14:paraId="4F49A10F">
            <w:pPr>
              <w:tabs>
                <w:tab w:val="left" w:pos="4767"/>
              </w:tabs>
              <w:adjustRightInd w:val="0"/>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val="en-US" w:eastAsia="zh-CN"/>
              </w:rPr>
              <w:t>+</w:t>
            </w:r>
            <w:r>
              <w:rPr>
                <w:rFonts w:hint="eastAsia" w:cs="Times New Roman" w:eastAsiaTheme="minorEastAsia"/>
                <w:color w:val="auto"/>
                <w:sz w:val="24"/>
                <w:lang w:val="en-US" w:eastAsia="zh-CN"/>
              </w:rPr>
              <w:t>185.54</w:t>
            </w:r>
            <w:r>
              <w:rPr>
                <w:rFonts w:hint="default" w:ascii="Times New Roman" w:hAnsi="Times New Roman" w:cs="Times New Roman" w:eastAsiaTheme="minorEastAsia"/>
                <w:color w:val="auto"/>
                <w:sz w:val="24"/>
              </w:rPr>
              <w:t>t/a</w:t>
            </w:r>
          </w:p>
        </w:tc>
      </w:tr>
    </w:tbl>
    <w:p w14:paraId="542F37EA">
      <w:pPr>
        <w:pStyle w:val="35"/>
        <w:tabs>
          <w:tab w:val="left" w:pos="4767"/>
        </w:tabs>
        <w:snapToGrid/>
        <w:spacing w:beforeLines="0" w:afterLines="0" w:line="240" w:lineRule="auto"/>
        <w:ind w:firstLine="0"/>
        <w:jc w:val="left"/>
        <w:rPr>
          <w:rFonts w:hint="default" w:ascii="Times New Roman" w:hAnsi="Times New Roman" w:cs="Times New Roman" w:eastAsiaTheme="minorEastAsia"/>
          <w:snapToGrid w:val="0"/>
          <w:color w:val="auto"/>
          <w:spacing w:val="-6"/>
          <w:kern w:val="21"/>
          <w:sz w:val="24"/>
          <w:szCs w:val="24"/>
        </w:rPr>
      </w:pPr>
      <w:r>
        <w:rPr>
          <w:rFonts w:hint="default" w:ascii="Times New Roman" w:hAnsi="Times New Roman" w:cs="Times New Roman" w:eastAsiaTheme="minorEastAsia"/>
          <w:snapToGrid w:val="0"/>
          <w:color w:val="auto"/>
          <w:kern w:val="21"/>
          <w:sz w:val="24"/>
          <w:szCs w:val="24"/>
        </w:rPr>
        <w:t>注：</w:t>
      </w:r>
      <w:r>
        <w:rPr>
          <w:rFonts w:hint="default" w:ascii="Times New Roman" w:hAnsi="Times New Roman" w:cs="Times New Roman" w:eastAsiaTheme="minorEastAsia"/>
          <w:snapToGrid w:val="0"/>
          <w:color w:val="auto"/>
          <w:spacing w:val="-16"/>
          <w:kern w:val="21"/>
          <w:sz w:val="24"/>
          <w:szCs w:val="24"/>
        </w:rPr>
        <w:fldChar w:fldCharType="begin"/>
      </w:r>
      <w:r>
        <w:rPr>
          <w:rFonts w:hint="default" w:ascii="Times New Roman" w:hAnsi="Times New Roman" w:cs="Times New Roman" w:eastAsiaTheme="minorEastAsia"/>
          <w:snapToGrid w:val="0"/>
          <w:color w:val="auto"/>
          <w:spacing w:val="-16"/>
          <w:kern w:val="21"/>
          <w:sz w:val="24"/>
          <w:szCs w:val="24"/>
        </w:rPr>
        <w:instrText xml:space="preserve"> = 6 \* GB3 \* MERGEFORMAT </w:instrText>
      </w:r>
      <w:r>
        <w:rPr>
          <w:rFonts w:hint="default" w:ascii="Times New Roman" w:hAnsi="Times New Roman" w:cs="Times New Roman" w:eastAsiaTheme="minorEastAsia"/>
          <w:snapToGrid w:val="0"/>
          <w:color w:val="auto"/>
          <w:spacing w:val="-16"/>
          <w:kern w:val="21"/>
          <w:sz w:val="24"/>
          <w:szCs w:val="24"/>
        </w:rPr>
        <w:fldChar w:fldCharType="separate"/>
      </w:r>
      <w:r>
        <w:rPr>
          <w:rFonts w:hint="default" w:ascii="Times New Roman" w:hAnsi="Times New Roman" w:cs="Times New Roman" w:eastAsiaTheme="minorEastAsia"/>
          <w:color w:val="auto"/>
          <w:sz w:val="24"/>
          <w:szCs w:val="24"/>
        </w:rPr>
        <w:t>⑥</w:t>
      </w:r>
      <w:r>
        <w:rPr>
          <w:rFonts w:hint="default" w:ascii="Times New Roman" w:hAnsi="Times New Roman" w:cs="Times New Roman" w:eastAsiaTheme="minorEastAsia"/>
          <w:snapToGrid w:val="0"/>
          <w:color w:val="auto"/>
          <w:spacing w:val="-16"/>
          <w:kern w:val="21"/>
          <w:sz w:val="24"/>
          <w:szCs w:val="24"/>
        </w:rPr>
        <w:fldChar w:fldCharType="end"/>
      </w:r>
      <w:r>
        <w:rPr>
          <w:rFonts w:hint="default" w:ascii="Times New Roman" w:hAnsi="Times New Roman" w:cs="Times New Roman" w:eastAsiaTheme="minorEastAsia"/>
          <w:snapToGrid w:val="0"/>
          <w:color w:val="auto"/>
          <w:spacing w:val="-16"/>
          <w:kern w:val="21"/>
          <w:sz w:val="24"/>
          <w:szCs w:val="24"/>
        </w:rPr>
        <w:t>=</w:t>
      </w:r>
      <w:r>
        <w:rPr>
          <w:rFonts w:hint="default" w:ascii="Times New Roman" w:hAnsi="Times New Roman" w:cs="Times New Roman" w:eastAsiaTheme="minorEastAsia"/>
          <w:snapToGrid w:val="0"/>
          <w:color w:val="auto"/>
          <w:spacing w:val="-6"/>
          <w:kern w:val="21"/>
          <w:sz w:val="24"/>
          <w:szCs w:val="24"/>
        </w:rPr>
        <w:fldChar w:fldCharType="begin"/>
      </w:r>
      <w:r>
        <w:rPr>
          <w:rFonts w:hint="default" w:ascii="Times New Roman" w:hAnsi="Times New Roman" w:cs="Times New Roman" w:eastAsiaTheme="minorEastAsia"/>
          <w:snapToGrid w:val="0"/>
          <w:color w:val="auto"/>
          <w:spacing w:val="-6"/>
          <w:kern w:val="21"/>
          <w:sz w:val="24"/>
          <w:szCs w:val="24"/>
        </w:rPr>
        <w:instrText xml:space="preserve"> = 1 \* GB3 \* MERGEFORMAT </w:instrText>
      </w:r>
      <w:r>
        <w:rPr>
          <w:rFonts w:hint="default" w:ascii="Times New Roman" w:hAnsi="Times New Roman" w:cs="Times New Roman" w:eastAsiaTheme="minorEastAsia"/>
          <w:snapToGrid w:val="0"/>
          <w:color w:val="auto"/>
          <w:spacing w:val="-6"/>
          <w:kern w:val="21"/>
          <w:sz w:val="24"/>
          <w:szCs w:val="24"/>
        </w:rPr>
        <w:fldChar w:fldCharType="separate"/>
      </w:r>
      <w:r>
        <w:rPr>
          <w:rFonts w:hint="default" w:ascii="Times New Roman" w:hAnsi="Times New Roman" w:cs="Times New Roman" w:eastAsiaTheme="minorEastAsia"/>
          <w:color w:val="auto"/>
          <w:sz w:val="24"/>
          <w:szCs w:val="24"/>
        </w:rPr>
        <w:t>①</w:t>
      </w:r>
      <w:r>
        <w:rPr>
          <w:rFonts w:hint="default" w:ascii="Times New Roman" w:hAnsi="Times New Roman" w:cs="Times New Roman" w:eastAsiaTheme="minorEastAsia"/>
          <w:snapToGrid w:val="0"/>
          <w:color w:val="auto"/>
          <w:spacing w:val="-6"/>
          <w:kern w:val="21"/>
          <w:sz w:val="24"/>
          <w:szCs w:val="24"/>
        </w:rPr>
        <w:fldChar w:fldCharType="end"/>
      </w:r>
      <w:r>
        <w:rPr>
          <w:rFonts w:hint="default" w:ascii="Times New Roman" w:hAnsi="Times New Roman" w:cs="Times New Roman" w:eastAsiaTheme="minorEastAsia"/>
          <w:snapToGrid w:val="0"/>
          <w:color w:val="auto"/>
          <w:spacing w:val="-6"/>
          <w:kern w:val="21"/>
          <w:sz w:val="24"/>
          <w:szCs w:val="24"/>
        </w:rPr>
        <w:t>+</w:t>
      </w:r>
      <w:r>
        <w:rPr>
          <w:rFonts w:hint="default" w:ascii="Times New Roman" w:hAnsi="Times New Roman" w:cs="Times New Roman" w:eastAsiaTheme="minorEastAsia"/>
          <w:snapToGrid w:val="0"/>
          <w:color w:val="auto"/>
          <w:spacing w:val="-6"/>
          <w:kern w:val="21"/>
          <w:sz w:val="24"/>
          <w:szCs w:val="24"/>
        </w:rPr>
        <w:fldChar w:fldCharType="begin"/>
      </w:r>
      <w:r>
        <w:rPr>
          <w:rFonts w:hint="default" w:ascii="Times New Roman" w:hAnsi="Times New Roman" w:cs="Times New Roman" w:eastAsiaTheme="minorEastAsia"/>
          <w:snapToGrid w:val="0"/>
          <w:color w:val="auto"/>
          <w:spacing w:val="-6"/>
          <w:kern w:val="21"/>
          <w:sz w:val="24"/>
          <w:szCs w:val="24"/>
        </w:rPr>
        <w:instrText xml:space="preserve"> = 3 \* GB3 \* MERGEFORMAT </w:instrText>
      </w:r>
      <w:r>
        <w:rPr>
          <w:rFonts w:hint="default" w:ascii="Times New Roman" w:hAnsi="Times New Roman" w:cs="Times New Roman" w:eastAsiaTheme="minorEastAsia"/>
          <w:snapToGrid w:val="0"/>
          <w:color w:val="auto"/>
          <w:spacing w:val="-6"/>
          <w:kern w:val="21"/>
          <w:sz w:val="24"/>
          <w:szCs w:val="24"/>
        </w:rPr>
        <w:fldChar w:fldCharType="separate"/>
      </w:r>
      <w:r>
        <w:rPr>
          <w:rFonts w:hint="default" w:ascii="Times New Roman" w:hAnsi="Times New Roman" w:cs="Times New Roman" w:eastAsiaTheme="minorEastAsia"/>
          <w:color w:val="auto"/>
          <w:sz w:val="24"/>
          <w:szCs w:val="24"/>
        </w:rPr>
        <w:t>③</w:t>
      </w:r>
      <w:r>
        <w:rPr>
          <w:rFonts w:hint="default" w:ascii="Times New Roman" w:hAnsi="Times New Roman" w:cs="Times New Roman" w:eastAsiaTheme="minorEastAsia"/>
          <w:snapToGrid w:val="0"/>
          <w:color w:val="auto"/>
          <w:spacing w:val="-6"/>
          <w:kern w:val="21"/>
          <w:sz w:val="24"/>
          <w:szCs w:val="24"/>
        </w:rPr>
        <w:fldChar w:fldCharType="end"/>
      </w:r>
      <w:r>
        <w:rPr>
          <w:rFonts w:hint="default" w:ascii="Times New Roman" w:hAnsi="Times New Roman" w:cs="Times New Roman" w:eastAsiaTheme="minorEastAsia"/>
          <w:snapToGrid w:val="0"/>
          <w:color w:val="auto"/>
          <w:spacing w:val="-6"/>
          <w:kern w:val="21"/>
          <w:sz w:val="24"/>
          <w:szCs w:val="24"/>
        </w:rPr>
        <w:t>+</w:t>
      </w:r>
      <w:r>
        <w:rPr>
          <w:rFonts w:hint="default" w:ascii="Times New Roman" w:hAnsi="Times New Roman" w:cs="Times New Roman" w:eastAsiaTheme="minorEastAsia"/>
          <w:snapToGrid w:val="0"/>
          <w:color w:val="auto"/>
          <w:spacing w:val="-6"/>
          <w:kern w:val="21"/>
          <w:sz w:val="24"/>
          <w:szCs w:val="24"/>
        </w:rPr>
        <w:fldChar w:fldCharType="begin"/>
      </w:r>
      <w:r>
        <w:rPr>
          <w:rFonts w:hint="default" w:ascii="Times New Roman" w:hAnsi="Times New Roman" w:cs="Times New Roman" w:eastAsiaTheme="minorEastAsia"/>
          <w:snapToGrid w:val="0"/>
          <w:color w:val="auto"/>
          <w:spacing w:val="-6"/>
          <w:kern w:val="21"/>
          <w:sz w:val="24"/>
          <w:szCs w:val="24"/>
        </w:rPr>
        <w:instrText xml:space="preserve"> = 4 \* GB3 \* MERGEFORMAT </w:instrText>
      </w:r>
      <w:r>
        <w:rPr>
          <w:rFonts w:hint="default" w:ascii="Times New Roman" w:hAnsi="Times New Roman" w:cs="Times New Roman" w:eastAsiaTheme="minorEastAsia"/>
          <w:snapToGrid w:val="0"/>
          <w:color w:val="auto"/>
          <w:spacing w:val="-6"/>
          <w:kern w:val="21"/>
          <w:sz w:val="24"/>
          <w:szCs w:val="24"/>
        </w:rPr>
        <w:fldChar w:fldCharType="separate"/>
      </w:r>
      <w:r>
        <w:rPr>
          <w:rFonts w:hint="default" w:ascii="Times New Roman" w:hAnsi="Times New Roman" w:cs="Times New Roman" w:eastAsiaTheme="minorEastAsia"/>
          <w:color w:val="auto"/>
          <w:sz w:val="24"/>
          <w:szCs w:val="24"/>
        </w:rPr>
        <w:t>④</w:t>
      </w:r>
      <w:r>
        <w:rPr>
          <w:rFonts w:hint="default" w:ascii="Times New Roman" w:hAnsi="Times New Roman" w:cs="Times New Roman" w:eastAsiaTheme="minorEastAsia"/>
          <w:snapToGrid w:val="0"/>
          <w:color w:val="auto"/>
          <w:spacing w:val="-6"/>
          <w:kern w:val="21"/>
          <w:sz w:val="24"/>
          <w:szCs w:val="24"/>
        </w:rPr>
        <w:fldChar w:fldCharType="end"/>
      </w:r>
      <w:r>
        <w:rPr>
          <w:rFonts w:hint="default" w:ascii="Times New Roman" w:hAnsi="Times New Roman" w:cs="Times New Roman" w:eastAsiaTheme="minorEastAsia"/>
          <w:snapToGrid w:val="0"/>
          <w:color w:val="auto"/>
          <w:spacing w:val="-6"/>
          <w:kern w:val="21"/>
          <w:sz w:val="24"/>
          <w:szCs w:val="24"/>
        </w:rPr>
        <w:t>-</w:t>
      </w:r>
      <w:r>
        <w:rPr>
          <w:rFonts w:hint="default" w:ascii="Times New Roman" w:hAnsi="Times New Roman" w:cs="Times New Roman" w:eastAsiaTheme="minorEastAsia"/>
          <w:snapToGrid w:val="0"/>
          <w:color w:val="auto"/>
          <w:spacing w:val="-16"/>
          <w:kern w:val="21"/>
          <w:sz w:val="24"/>
          <w:szCs w:val="24"/>
        </w:rPr>
        <w:fldChar w:fldCharType="begin"/>
      </w:r>
      <w:r>
        <w:rPr>
          <w:rFonts w:hint="default" w:ascii="Times New Roman" w:hAnsi="Times New Roman" w:cs="Times New Roman" w:eastAsiaTheme="minorEastAsia"/>
          <w:snapToGrid w:val="0"/>
          <w:color w:val="auto"/>
          <w:spacing w:val="-16"/>
          <w:kern w:val="21"/>
          <w:sz w:val="24"/>
          <w:szCs w:val="24"/>
        </w:rPr>
        <w:instrText xml:space="preserve"> = 5 \* GB3 \* MERGEFORMAT </w:instrText>
      </w:r>
      <w:r>
        <w:rPr>
          <w:rFonts w:hint="default" w:ascii="Times New Roman" w:hAnsi="Times New Roman" w:cs="Times New Roman" w:eastAsiaTheme="minorEastAsia"/>
          <w:snapToGrid w:val="0"/>
          <w:color w:val="auto"/>
          <w:spacing w:val="-16"/>
          <w:kern w:val="21"/>
          <w:sz w:val="24"/>
          <w:szCs w:val="24"/>
        </w:rPr>
        <w:fldChar w:fldCharType="separate"/>
      </w:r>
      <w:r>
        <w:rPr>
          <w:rFonts w:hint="default" w:ascii="Times New Roman" w:hAnsi="Times New Roman" w:cs="Times New Roman" w:eastAsiaTheme="minorEastAsia"/>
          <w:color w:val="auto"/>
          <w:sz w:val="24"/>
          <w:szCs w:val="24"/>
        </w:rPr>
        <w:t>⑤</w:t>
      </w:r>
      <w:r>
        <w:rPr>
          <w:rFonts w:hint="default" w:ascii="Times New Roman" w:hAnsi="Times New Roman" w:cs="Times New Roman" w:eastAsiaTheme="minorEastAsia"/>
          <w:snapToGrid w:val="0"/>
          <w:color w:val="auto"/>
          <w:spacing w:val="-16"/>
          <w:kern w:val="21"/>
          <w:sz w:val="24"/>
          <w:szCs w:val="24"/>
        </w:rPr>
        <w:fldChar w:fldCharType="end"/>
      </w:r>
      <w:r>
        <w:rPr>
          <w:rFonts w:hint="default" w:ascii="Times New Roman" w:hAnsi="Times New Roman" w:cs="Times New Roman" w:eastAsiaTheme="minorEastAsia"/>
          <w:snapToGrid w:val="0"/>
          <w:color w:val="auto"/>
          <w:spacing w:val="-16"/>
          <w:kern w:val="21"/>
          <w:sz w:val="24"/>
          <w:szCs w:val="24"/>
        </w:rPr>
        <w:t>；</w:t>
      </w:r>
      <w:r>
        <w:rPr>
          <w:rFonts w:hint="default" w:ascii="Times New Roman" w:hAnsi="Times New Roman" w:cs="Times New Roman" w:eastAsiaTheme="minorEastAsia"/>
          <w:snapToGrid w:val="0"/>
          <w:color w:val="auto"/>
          <w:spacing w:val="-6"/>
          <w:kern w:val="21"/>
          <w:sz w:val="24"/>
          <w:szCs w:val="24"/>
        </w:rPr>
        <w:fldChar w:fldCharType="begin"/>
      </w:r>
      <w:r>
        <w:rPr>
          <w:rFonts w:hint="default" w:ascii="Times New Roman" w:hAnsi="Times New Roman" w:cs="Times New Roman" w:eastAsiaTheme="minorEastAsia"/>
          <w:snapToGrid w:val="0"/>
          <w:color w:val="auto"/>
          <w:spacing w:val="-6"/>
          <w:kern w:val="21"/>
          <w:sz w:val="24"/>
          <w:szCs w:val="24"/>
        </w:rPr>
        <w:instrText xml:space="preserve"> = 7 \* GB3 \* MERGEFORMAT </w:instrText>
      </w:r>
      <w:r>
        <w:rPr>
          <w:rFonts w:hint="default" w:ascii="Times New Roman" w:hAnsi="Times New Roman" w:cs="Times New Roman" w:eastAsiaTheme="minorEastAsia"/>
          <w:snapToGrid w:val="0"/>
          <w:color w:val="auto"/>
          <w:spacing w:val="-6"/>
          <w:kern w:val="21"/>
          <w:sz w:val="24"/>
          <w:szCs w:val="24"/>
        </w:rPr>
        <w:fldChar w:fldCharType="separate"/>
      </w:r>
      <w:r>
        <w:rPr>
          <w:rFonts w:hint="default" w:ascii="Times New Roman" w:hAnsi="Times New Roman" w:cs="Times New Roman" w:eastAsiaTheme="minorEastAsia"/>
          <w:color w:val="auto"/>
          <w:sz w:val="24"/>
          <w:szCs w:val="24"/>
        </w:rPr>
        <w:t>⑦</w:t>
      </w:r>
      <w:r>
        <w:rPr>
          <w:rFonts w:hint="default" w:ascii="Times New Roman" w:hAnsi="Times New Roman" w:cs="Times New Roman" w:eastAsiaTheme="minorEastAsia"/>
          <w:snapToGrid w:val="0"/>
          <w:color w:val="auto"/>
          <w:spacing w:val="-6"/>
          <w:kern w:val="21"/>
          <w:sz w:val="24"/>
          <w:szCs w:val="24"/>
        </w:rPr>
        <w:fldChar w:fldCharType="end"/>
      </w:r>
      <w:r>
        <w:rPr>
          <w:rFonts w:hint="default" w:ascii="Times New Roman" w:hAnsi="Times New Roman" w:cs="Times New Roman" w:eastAsiaTheme="minorEastAsia"/>
          <w:snapToGrid w:val="0"/>
          <w:color w:val="auto"/>
          <w:spacing w:val="-6"/>
          <w:kern w:val="21"/>
          <w:sz w:val="24"/>
          <w:szCs w:val="24"/>
        </w:rPr>
        <w:t>=</w:t>
      </w:r>
      <w:r>
        <w:rPr>
          <w:rFonts w:hint="default" w:ascii="Times New Roman" w:hAnsi="Times New Roman" w:cs="Times New Roman" w:eastAsiaTheme="minorEastAsia"/>
          <w:snapToGrid w:val="0"/>
          <w:color w:val="auto"/>
          <w:spacing w:val="-16"/>
          <w:kern w:val="21"/>
          <w:sz w:val="24"/>
          <w:szCs w:val="24"/>
        </w:rPr>
        <w:fldChar w:fldCharType="begin"/>
      </w:r>
      <w:r>
        <w:rPr>
          <w:rFonts w:hint="default" w:ascii="Times New Roman" w:hAnsi="Times New Roman" w:cs="Times New Roman" w:eastAsiaTheme="minorEastAsia"/>
          <w:snapToGrid w:val="0"/>
          <w:color w:val="auto"/>
          <w:spacing w:val="-16"/>
          <w:kern w:val="21"/>
          <w:sz w:val="24"/>
          <w:szCs w:val="24"/>
        </w:rPr>
        <w:instrText xml:space="preserve"> = 6 \* GB3 \* MERGEFORMAT </w:instrText>
      </w:r>
      <w:r>
        <w:rPr>
          <w:rFonts w:hint="default" w:ascii="Times New Roman" w:hAnsi="Times New Roman" w:cs="Times New Roman" w:eastAsiaTheme="minorEastAsia"/>
          <w:snapToGrid w:val="0"/>
          <w:color w:val="auto"/>
          <w:spacing w:val="-16"/>
          <w:kern w:val="21"/>
          <w:sz w:val="24"/>
          <w:szCs w:val="24"/>
        </w:rPr>
        <w:fldChar w:fldCharType="separate"/>
      </w:r>
      <w:r>
        <w:rPr>
          <w:rFonts w:hint="default" w:ascii="Times New Roman" w:hAnsi="Times New Roman" w:cs="Times New Roman" w:eastAsiaTheme="minorEastAsia"/>
          <w:color w:val="auto"/>
          <w:sz w:val="24"/>
          <w:szCs w:val="24"/>
        </w:rPr>
        <w:t>⑥</w:t>
      </w:r>
      <w:r>
        <w:rPr>
          <w:rFonts w:hint="default" w:ascii="Times New Roman" w:hAnsi="Times New Roman" w:cs="Times New Roman" w:eastAsiaTheme="minorEastAsia"/>
          <w:snapToGrid w:val="0"/>
          <w:color w:val="auto"/>
          <w:spacing w:val="-16"/>
          <w:kern w:val="21"/>
          <w:sz w:val="24"/>
          <w:szCs w:val="24"/>
        </w:rPr>
        <w:fldChar w:fldCharType="end"/>
      </w:r>
      <w:r>
        <w:rPr>
          <w:rFonts w:hint="default" w:ascii="Times New Roman" w:hAnsi="Times New Roman" w:cs="Times New Roman" w:eastAsiaTheme="minorEastAsia"/>
          <w:snapToGrid w:val="0"/>
          <w:color w:val="auto"/>
          <w:spacing w:val="-16"/>
          <w:kern w:val="21"/>
          <w:sz w:val="24"/>
          <w:szCs w:val="24"/>
        </w:rPr>
        <w:t>-</w:t>
      </w:r>
      <w:r>
        <w:rPr>
          <w:rFonts w:hint="default" w:ascii="Times New Roman" w:hAnsi="Times New Roman" w:cs="Times New Roman" w:eastAsiaTheme="minorEastAsia"/>
          <w:snapToGrid w:val="0"/>
          <w:color w:val="auto"/>
          <w:spacing w:val="-6"/>
          <w:kern w:val="21"/>
          <w:sz w:val="24"/>
          <w:szCs w:val="24"/>
        </w:rPr>
        <w:fldChar w:fldCharType="begin"/>
      </w:r>
      <w:r>
        <w:rPr>
          <w:rFonts w:hint="default" w:ascii="Times New Roman" w:hAnsi="Times New Roman" w:cs="Times New Roman" w:eastAsiaTheme="minorEastAsia"/>
          <w:snapToGrid w:val="0"/>
          <w:color w:val="auto"/>
          <w:spacing w:val="-6"/>
          <w:kern w:val="21"/>
          <w:sz w:val="24"/>
          <w:szCs w:val="24"/>
        </w:rPr>
        <w:instrText xml:space="preserve"> = 1 \* GB3 \* MERGEFORMAT </w:instrText>
      </w:r>
      <w:r>
        <w:rPr>
          <w:rFonts w:hint="default" w:ascii="Times New Roman" w:hAnsi="Times New Roman" w:cs="Times New Roman" w:eastAsiaTheme="minorEastAsia"/>
          <w:snapToGrid w:val="0"/>
          <w:color w:val="auto"/>
          <w:spacing w:val="-6"/>
          <w:kern w:val="21"/>
          <w:sz w:val="24"/>
          <w:szCs w:val="24"/>
        </w:rPr>
        <w:fldChar w:fldCharType="separate"/>
      </w:r>
      <w:r>
        <w:rPr>
          <w:rFonts w:hint="default" w:ascii="Times New Roman" w:hAnsi="Times New Roman" w:cs="Times New Roman" w:eastAsiaTheme="minorEastAsia"/>
          <w:color w:val="auto"/>
          <w:sz w:val="24"/>
          <w:szCs w:val="24"/>
        </w:rPr>
        <w:t>①</w:t>
      </w:r>
      <w:r>
        <w:rPr>
          <w:rFonts w:hint="default" w:ascii="Times New Roman" w:hAnsi="Times New Roman" w:cs="Times New Roman" w:eastAsiaTheme="minorEastAsia"/>
          <w:snapToGrid w:val="0"/>
          <w:color w:val="auto"/>
          <w:spacing w:val="-6"/>
          <w:kern w:val="21"/>
          <w:sz w:val="24"/>
          <w:szCs w:val="24"/>
        </w:rPr>
        <w:fldChar w:fldCharType="end"/>
      </w:r>
    </w:p>
    <w:p w14:paraId="3280EDA4">
      <w:pPr>
        <w:tabs>
          <w:tab w:val="left" w:pos="4767"/>
        </w:tabs>
        <w:rPr>
          <w:rFonts w:hint="default" w:ascii="Times New Roman" w:hAnsi="Times New Roman" w:cs="Times New Roman"/>
          <w:color w:val="auto"/>
        </w:rPr>
      </w:pPr>
    </w:p>
    <w:sectPr>
      <w:pgSz w:w="16838" w:h="11905" w:orient="landscape"/>
      <w:pgMar w:top="1418" w:right="1418" w:bottom="1418" w:left="1418" w:header="851" w:footer="964" w:gutter="0"/>
      <w:pgBorders>
        <w:top w:val="none" w:sz="0" w:space="0"/>
        <w:left w:val="none" w:sz="0" w:space="0"/>
        <w:bottom w:val="none" w:sz="0" w:space="0"/>
        <w:right w:val="none" w:sz="0" w:space="0"/>
      </w:pgBorders>
      <w:cols w:space="0" w:num="1"/>
      <w:docGrid w:type="lines" w:linePitch="466" w:charSpace="3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CF578">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33EB">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234D">
    <w:pPr>
      <w:pStyle w:val="17"/>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F5CE6">
                          <w:pPr>
                            <w:pStyle w:val="17"/>
                            <w:jc w:val="center"/>
                          </w:pPr>
                          <w:sdt>
                            <w:sdtPr>
                              <w:id w:val="147464045"/>
                            </w:sdtPr>
                            <w:sdtEndPr>
                              <w:rPr>
                                <w:sz w:val="21"/>
                                <w:szCs w:val="21"/>
                              </w:rPr>
                            </w:sdtEndPr>
                            <w:sdtContent>
                              <w:r>
                                <w:rPr>
                                  <w:rFonts w:hint="eastAsia"/>
                                  <w:sz w:val="21"/>
                                  <w:szCs w:val="21"/>
                                </w:rPr>
                                <w:t>-</w:t>
                              </w:r>
                              <w:r>
                                <w:rPr>
                                  <w:sz w:val="21"/>
                                  <w:szCs w:val="21"/>
                                </w:rPr>
                                <w:t xml:space="preserve"> </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sdtContent>
                          </w:sdt>
                          <w:r>
                            <w:rPr>
                              <w:rFonts w:hint="eastAsia"/>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7CF5CE6">
                    <w:pPr>
                      <w:pStyle w:val="17"/>
                      <w:jc w:val="center"/>
                    </w:pPr>
                    <w:sdt>
                      <w:sdtPr>
                        <w:id w:val="147464045"/>
                      </w:sdtPr>
                      <w:sdtEndPr>
                        <w:rPr>
                          <w:sz w:val="21"/>
                          <w:szCs w:val="21"/>
                        </w:rPr>
                      </w:sdtEndPr>
                      <w:sdtContent>
                        <w:r>
                          <w:rPr>
                            <w:rFonts w:hint="eastAsia"/>
                            <w:sz w:val="21"/>
                            <w:szCs w:val="21"/>
                          </w:rPr>
                          <w:t>-</w:t>
                        </w:r>
                        <w:r>
                          <w:rPr>
                            <w:sz w:val="21"/>
                            <w:szCs w:val="21"/>
                          </w:rPr>
                          <w:t xml:space="preserve"> </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sdtContent>
                    </w:sdt>
                    <w:r>
                      <w:rPr>
                        <w:rFonts w:hint="eastAsia"/>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32F7C">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7961">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48A0B"/>
    <w:multiLevelType w:val="singleLevel"/>
    <w:tmpl w:val="63F48A0B"/>
    <w:lvl w:ilvl="0" w:tentative="0">
      <w:start w:val="1"/>
      <w:numFmt w:val="bullet"/>
      <w:pStyle w:val="1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27"/>
  <w:drawingGridVerticalSpacing w:val="23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NWEwM2ZjMGI1Y2M1NDBiZTEwOWZhYzZmZWVjYjkifQ=="/>
  </w:docVars>
  <w:rsids>
    <w:rsidRoot w:val="00172A27"/>
    <w:rsid w:val="000022CD"/>
    <w:rsid w:val="00011D8E"/>
    <w:rsid w:val="000169A2"/>
    <w:rsid w:val="00034622"/>
    <w:rsid w:val="0005142C"/>
    <w:rsid w:val="00054B66"/>
    <w:rsid w:val="000570D6"/>
    <w:rsid w:val="000878CB"/>
    <w:rsid w:val="00090A92"/>
    <w:rsid w:val="00095E44"/>
    <w:rsid w:val="000B5FC6"/>
    <w:rsid w:val="000D201E"/>
    <w:rsid w:val="000E1A41"/>
    <w:rsid w:val="000E3641"/>
    <w:rsid w:val="00101E81"/>
    <w:rsid w:val="00126103"/>
    <w:rsid w:val="00130773"/>
    <w:rsid w:val="00151FA8"/>
    <w:rsid w:val="00154FF6"/>
    <w:rsid w:val="00156AD6"/>
    <w:rsid w:val="00161484"/>
    <w:rsid w:val="00166903"/>
    <w:rsid w:val="00176DBF"/>
    <w:rsid w:val="001A204D"/>
    <w:rsid w:val="001B045A"/>
    <w:rsid w:val="001D5A1C"/>
    <w:rsid w:val="00223D30"/>
    <w:rsid w:val="002419B5"/>
    <w:rsid w:val="00243B09"/>
    <w:rsid w:val="00243D6C"/>
    <w:rsid w:val="00254713"/>
    <w:rsid w:val="00262FE8"/>
    <w:rsid w:val="00276373"/>
    <w:rsid w:val="0027792D"/>
    <w:rsid w:val="00282D58"/>
    <w:rsid w:val="002868CF"/>
    <w:rsid w:val="002906D5"/>
    <w:rsid w:val="002A4EF2"/>
    <w:rsid w:val="002B3858"/>
    <w:rsid w:val="002C08D5"/>
    <w:rsid w:val="002D0E4E"/>
    <w:rsid w:val="002E411B"/>
    <w:rsid w:val="00320A10"/>
    <w:rsid w:val="0034768B"/>
    <w:rsid w:val="00351EA3"/>
    <w:rsid w:val="00354D1B"/>
    <w:rsid w:val="00370899"/>
    <w:rsid w:val="00376E51"/>
    <w:rsid w:val="003A3A1D"/>
    <w:rsid w:val="003B33F5"/>
    <w:rsid w:val="003C104D"/>
    <w:rsid w:val="003C292C"/>
    <w:rsid w:val="003C53CC"/>
    <w:rsid w:val="003D1990"/>
    <w:rsid w:val="003D4492"/>
    <w:rsid w:val="003E478A"/>
    <w:rsid w:val="00402CF6"/>
    <w:rsid w:val="00402D5B"/>
    <w:rsid w:val="00411CA7"/>
    <w:rsid w:val="0042715B"/>
    <w:rsid w:val="00431AEE"/>
    <w:rsid w:val="00437227"/>
    <w:rsid w:val="00451DEA"/>
    <w:rsid w:val="004605BA"/>
    <w:rsid w:val="0047392F"/>
    <w:rsid w:val="004D7CDD"/>
    <w:rsid w:val="005046CD"/>
    <w:rsid w:val="00510CEA"/>
    <w:rsid w:val="00515338"/>
    <w:rsid w:val="0052016D"/>
    <w:rsid w:val="005308A4"/>
    <w:rsid w:val="00544E69"/>
    <w:rsid w:val="00556CD1"/>
    <w:rsid w:val="0056616A"/>
    <w:rsid w:val="00577B9C"/>
    <w:rsid w:val="00584848"/>
    <w:rsid w:val="005920AF"/>
    <w:rsid w:val="005960AA"/>
    <w:rsid w:val="005B2801"/>
    <w:rsid w:val="005B7768"/>
    <w:rsid w:val="005C39EF"/>
    <w:rsid w:val="005C42C7"/>
    <w:rsid w:val="005E2E45"/>
    <w:rsid w:val="005E3455"/>
    <w:rsid w:val="005F161B"/>
    <w:rsid w:val="005F6A35"/>
    <w:rsid w:val="00611111"/>
    <w:rsid w:val="00611773"/>
    <w:rsid w:val="00620667"/>
    <w:rsid w:val="00620CA7"/>
    <w:rsid w:val="0063690F"/>
    <w:rsid w:val="00651D57"/>
    <w:rsid w:val="00660BCE"/>
    <w:rsid w:val="00692D38"/>
    <w:rsid w:val="006A0230"/>
    <w:rsid w:val="006A0AFA"/>
    <w:rsid w:val="006A3FC1"/>
    <w:rsid w:val="006B2B54"/>
    <w:rsid w:val="006B48A8"/>
    <w:rsid w:val="006E7D0C"/>
    <w:rsid w:val="006F3CDF"/>
    <w:rsid w:val="007237A6"/>
    <w:rsid w:val="00741E45"/>
    <w:rsid w:val="0076652A"/>
    <w:rsid w:val="00793A8D"/>
    <w:rsid w:val="007B05FC"/>
    <w:rsid w:val="007E10A3"/>
    <w:rsid w:val="007F7BAB"/>
    <w:rsid w:val="00803F09"/>
    <w:rsid w:val="00806977"/>
    <w:rsid w:val="00817DCD"/>
    <w:rsid w:val="008313DD"/>
    <w:rsid w:val="008451D5"/>
    <w:rsid w:val="00856360"/>
    <w:rsid w:val="0086485B"/>
    <w:rsid w:val="0088392A"/>
    <w:rsid w:val="00893277"/>
    <w:rsid w:val="008A48F1"/>
    <w:rsid w:val="008C4708"/>
    <w:rsid w:val="008D0215"/>
    <w:rsid w:val="008F44F8"/>
    <w:rsid w:val="009358C0"/>
    <w:rsid w:val="00936FBB"/>
    <w:rsid w:val="00937E97"/>
    <w:rsid w:val="00941CF1"/>
    <w:rsid w:val="00944935"/>
    <w:rsid w:val="00954761"/>
    <w:rsid w:val="00956A1F"/>
    <w:rsid w:val="00957D37"/>
    <w:rsid w:val="009748D5"/>
    <w:rsid w:val="009A584F"/>
    <w:rsid w:val="009B3435"/>
    <w:rsid w:val="009B7AE6"/>
    <w:rsid w:val="009C2B76"/>
    <w:rsid w:val="009D4A49"/>
    <w:rsid w:val="009E11B1"/>
    <w:rsid w:val="009E68DC"/>
    <w:rsid w:val="00A065B7"/>
    <w:rsid w:val="00A1399B"/>
    <w:rsid w:val="00A15D4B"/>
    <w:rsid w:val="00A17C4D"/>
    <w:rsid w:val="00A23B84"/>
    <w:rsid w:val="00A43337"/>
    <w:rsid w:val="00A47CDF"/>
    <w:rsid w:val="00A543BD"/>
    <w:rsid w:val="00A6099D"/>
    <w:rsid w:val="00A63C17"/>
    <w:rsid w:val="00A66F39"/>
    <w:rsid w:val="00A71DE7"/>
    <w:rsid w:val="00A857FE"/>
    <w:rsid w:val="00A90DC6"/>
    <w:rsid w:val="00AA582F"/>
    <w:rsid w:val="00AB7437"/>
    <w:rsid w:val="00AC1971"/>
    <w:rsid w:val="00AD3AD8"/>
    <w:rsid w:val="00AD47EA"/>
    <w:rsid w:val="00AE2F2E"/>
    <w:rsid w:val="00AF3F6C"/>
    <w:rsid w:val="00AF4A44"/>
    <w:rsid w:val="00B13CA4"/>
    <w:rsid w:val="00B46262"/>
    <w:rsid w:val="00B63A9F"/>
    <w:rsid w:val="00B7157E"/>
    <w:rsid w:val="00B72A26"/>
    <w:rsid w:val="00B80D26"/>
    <w:rsid w:val="00B82865"/>
    <w:rsid w:val="00BA188B"/>
    <w:rsid w:val="00BA7022"/>
    <w:rsid w:val="00BB325F"/>
    <w:rsid w:val="00BB7C12"/>
    <w:rsid w:val="00BC7ABA"/>
    <w:rsid w:val="00BE088D"/>
    <w:rsid w:val="00BE33F5"/>
    <w:rsid w:val="00C12694"/>
    <w:rsid w:val="00C1296B"/>
    <w:rsid w:val="00C1498E"/>
    <w:rsid w:val="00C243C4"/>
    <w:rsid w:val="00C3677A"/>
    <w:rsid w:val="00C404E0"/>
    <w:rsid w:val="00C4299D"/>
    <w:rsid w:val="00C61DC3"/>
    <w:rsid w:val="00C72AD9"/>
    <w:rsid w:val="00C760A3"/>
    <w:rsid w:val="00C77798"/>
    <w:rsid w:val="00C93928"/>
    <w:rsid w:val="00CA01E6"/>
    <w:rsid w:val="00CC2F86"/>
    <w:rsid w:val="00CD4BE2"/>
    <w:rsid w:val="00CE61E4"/>
    <w:rsid w:val="00D315FC"/>
    <w:rsid w:val="00D32C6F"/>
    <w:rsid w:val="00D3685F"/>
    <w:rsid w:val="00D43FC8"/>
    <w:rsid w:val="00D66FC4"/>
    <w:rsid w:val="00D70EA8"/>
    <w:rsid w:val="00D70F35"/>
    <w:rsid w:val="00D86D42"/>
    <w:rsid w:val="00D8728A"/>
    <w:rsid w:val="00DC1710"/>
    <w:rsid w:val="00DD0E09"/>
    <w:rsid w:val="00DE2B00"/>
    <w:rsid w:val="00DE4ACD"/>
    <w:rsid w:val="00DF556E"/>
    <w:rsid w:val="00E14BFE"/>
    <w:rsid w:val="00E22273"/>
    <w:rsid w:val="00E45AFC"/>
    <w:rsid w:val="00E53BCA"/>
    <w:rsid w:val="00E578CE"/>
    <w:rsid w:val="00E63D14"/>
    <w:rsid w:val="00E7116E"/>
    <w:rsid w:val="00E82FFA"/>
    <w:rsid w:val="00EA014A"/>
    <w:rsid w:val="00EA1636"/>
    <w:rsid w:val="00EB3D30"/>
    <w:rsid w:val="00EC2A0C"/>
    <w:rsid w:val="00EE3F47"/>
    <w:rsid w:val="00EF6874"/>
    <w:rsid w:val="00F24877"/>
    <w:rsid w:val="00F458C9"/>
    <w:rsid w:val="00F530D8"/>
    <w:rsid w:val="00F53363"/>
    <w:rsid w:val="00F60709"/>
    <w:rsid w:val="00F65E80"/>
    <w:rsid w:val="00F806F6"/>
    <w:rsid w:val="00F8784A"/>
    <w:rsid w:val="00F94470"/>
    <w:rsid w:val="00FC2ED1"/>
    <w:rsid w:val="00FD2A7B"/>
    <w:rsid w:val="00FE554E"/>
    <w:rsid w:val="013730A5"/>
    <w:rsid w:val="01374878"/>
    <w:rsid w:val="01673EE4"/>
    <w:rsid w:val="016C71F3"/>
    <w:rsid w:val="016D137A"/>
    <w:rsid w:val="017B375D"/>
    <w:rsid w:val="018801D5"/>
    <w:rsid w:val="01ED08D5"/>
    <w:rsid w:val="02296E92"/>
    <w:rsid w:val="02405F8A"/>
    <w:rsid w:val="0248126F"/>
    <w:rsid w:val="024829CB"/>
    <w:rsid w:val="029C7664"/>
    <w:rsid w:val="02A66DE4"/>
    <w:rsid w:val="02B71C54"/>
    <w:rsid w:val="02CC48F7"/>
    <w:rsid w:val="02DF39F5"/>
    <w:rsid w:val="02E334E5"/>
    <w:rsid w:val="03280116"/>
    <w:rsid w:val="03897CC8"/>
    <w:rsid w:val="03962305"/>
    <w:rsid w:val="03E74669"/>
    <w:rsid w:val="041476CE"/>
    <w:rsid w:val="0422003D"/>
    <w:rsid w:val="042518DB"/>
    <w:rsid w:val="046A19BE"/>
    <w:rsid w:val="04770389"/>
    <w:rsid w:val="047C5AED"/>
    <w:rsid w:val="047D34C5"/>
    <w:rsid w:val="04A41AD8"/>
    <w:rsid w:val="04BD7D66"/>
    <w:rsid w:val="04C335CE"/>
    <w:rsid w:val="04D549B2"/>
    <w:rsid w:val="051536FE"/>
    <w:rsid w:val="051F76C8"/>
    <w:rsid w:val="05526700"/>
    <w:rsid w:val="059A620C"/>
    <w:rsid w:val="05A440DE"/>
    <w:rsid w:val="06A5495D"/>
    <w:rsid w:val="06AA1AF2"/>
    <w:rsid w:val="06C13B3D"/>
    <w:rsid w:val="06CA40A4"/>
    <w:rsid w:val="06E22DDA"/>
    <w:rsid w:val="06E635A4"/>
    <w:rsid w:val="077709ED"/>
    <w:rsid w:val="078A2181"/>
    <w:rsid w:val="07DA1EFF"/>
    <w:rsid w:val="07EE1BE1"/>
    <w:rsid w:val="08744BDF"/>
    <w:rsid w:val="08AB1F54"/>
    <w:rsid w:val="08CA03FD"/>
    <w:rsid w:val="08DC1E07"/>
    <w:rsid w:val="08EE36CD"/>
    <w:rsid w:val="09A432A2"/>
    <w:rsid w:val="09A6526C"/>
    <w:rsid w:val="09DB3168"/>
    <w:rsid w:val="0A0F593A"/>
    <w:rsid w:val="0A71587A"/>
    <w:rsid w:val="0AD51A66"/>
    <w:rsid w:val="0AFB3E9E"/>
    <w:rsid w:val="0B00275A"/>
    <w:rsid w:val="0B167077"/>
    <w:rsid w:val="0B763B6F"/>
    <w:rsid w:val="0B7F5405"/>
    <w:rsid w:val="0B852D0C"/>
    <w:rsid w:val="0B925AA8"/>
    <w:rsid w:val="0B9746FE"/>
    <w:rsid w:val="0BBC123E"/>
    <w:rsid w:val="0BEF2EFA"/>
    <w:rsid w:val="0C2B70A0"/>
    <w:rsid w:val="0C3C5A14"/>
    <w:rsid w:val="0C546833"/>
    <w:rsid w:val="0C5A43D4"/>
    <w:rsid w:val="0C8E44C1"/>
    <w:rsid w:val="0CB47CA0"/>
    <w:rsid w:val="0CBF0B1F"/>
    <w:rsid w:val="0CBF7810"/>
    <w:rsid w:val="0CCA415C"/>
    <w:rsid w:val="0CD236E6"/>
    <w:rsid w:val="0D076022"/>
    <w:rsid w:val="0D2C3CDA"/>
    <w:rsid w:val="0D38442D"/>
    <w:rsid w:val="0DB461AA"/>
    <w:rsid w:val="0DC932D7"/>
    <w:rsid w:val="0DED6FC6"/>
    <w:rsid w:val="0E39045D"/>
    <w:rsid w:val="0E680D42"/>
    <w:rsid w:val="0EA004DC"/>
    <w:rsid w:val="0EC51CF1"/>
    <w:rsid w:val="0ECB4249"/>
    <w:rsid w:val="0EE228A3"/>
    <w:rsid w:val="0EED1247"/>
    <w:rsid w:val="0F704352"/>
    <w:rsid w:val="0FAB6960"/>
    <w:rsid w:val="0FC87CEA"/>
    <w:rsid w:val="0FD52DDA"/>
    <w:rsid w:val="0FDE750E"/>
    <w:rsid w:val="0FFD4601"/>
    <w:rsid w:val="101A42BE"/>
    <w:rsid w:val="10390BE8"/>
    <w:rsid w:val="10414D6D"/>
    <w:rsid w:val="106C2D6C"/>
    <w:rsid w:val="107427F4"/>
    <w:rsid w:val="107759BB"/>
    <w:rsid w:val="10A35310"/>
    <w:rsid w:val="11011F17"/>
    <w:rsid w:val="11146F5F"/>
    <w:rsid w:val="1136075A"/>
    <w:rsid w:val="11405FA6"/>
    <w:rsid w:val="1170063A"/>
    <w:rsid w:val="118714DF"/>
    <w:rsid w:val="11A16A45"/>
    <w:rsid w:val="11A77389"/>
    <w:rsid w:val="11A84852"/>
    <w:rsid w:val="11BD13A5"/>
    <w:rsid w:val="11CC5193"/>
    <w:rsid w:val="11D16BFE"/>
    <w:rsid w:val="11E9219A"/>
    <w:rsid w:val="122F22A3"/>
    <w:rsid w:val="1246139A"/>
    <w:rsid w:val="125B4FE1"/>
    <w:rsid w:val="126B0CC2"/>
    <w:rsid w:val="12916E0C"/>
    <w:rsid w:val="12A6218F"/>
    <w:rsid w:val="12B26A30"/>
    <w:rsid w:val="12DE5A77"/>
    <w:rsid w:val="131C20FB"/>
    <w:rsid w:val="13281504"/>
    <w:rsid w:val="13360078"/>
    <w:rsid w:val="13652992"/>
    <w:rsid w:val="13961EAE"/>
    <w:rsid w:val="13CC5116"/>
    <w:rsid w:val="13E64BA0"/>
    <w:rsid w:val="13EE1133"/>
    <w:rsid w:val="13F76DF0"/>
    <w:rsid w:val="13FD22DE"/>
    <w:rsid w:val="143F0797"/>
    <w:rsid w:val="143F7BC2"/>
    <w:rsid w:val="145E77EA"/>
    <w:rsid w:val="14904B4F"/>
    <w:rsid w:val="14AB11C2"/>
    <w:rsid w:val="14AE31B6"/>
    <w:rsid w:val="14C8078D"/>
    <w:rsid w:val="14EA0703"/>
    <w:rsid w:val="14F63C9E"/>
    <w:rsid w:val="1515166A"/>
    <w:rsid w:val="15793EC3"/>
    <w:rsid w:val="16012409"/>
    <w:rsid w:val="16085695"/>
    <w:rsid w:val="16D76A65"/>
    <w:rsid w:val="1726179A"/>
    <w:rsid w:val="17593611"/>
    <w:rsid w:val="17654071"/>
    <w:rsid w:val="17B22007"/>
    <w:rsid w:val="17BF5F20"/>
    <w:rsid w:val="17D9680D"/>
    <w:rsid w:val="17F90C5D"/>
    <w:rsid w:val="182D69DF"/>
    <w:rsid w:val="18560D22"/>
    <w:rsid w:val="185F31B6"/>
    <w:rsid w:val="18823CD5"/>
    <w:rsid w:val="18972950"/>
    <w:rsid w:val="18A51579"/>
    <w:rsid w:val="19210A75"/>
    <w:rsid w:val="194859F8"/>
    <w:rsid w:val="19B371F0"/>
    <w:rsid w:val="1A053165"/>
    <w:rsid w:val="1A2C356C"/>
    <w:rsid w:val="1A312DD1"/>
    <w:rsid w:val="1A383CBF"/>
    <w:rsid w:val="1A82318C"/>
    <w:rsid w:val="1A9D7973"/>
    <w:rsid w:val="1AF442A7"/>
    <w:rsid w:val="1B610FF3"/>
    <w:rsid w:val="1BD67360"/>
    <w:rsid w:val="1BD73063"/>
    <w:rsid w:val="1C0C6019"/>
    <w:rsid w:val="1C4C488A"/>
    <w:rsid w:val="1C784846"/>
    <w:rsid w:val="1CAE2016"/>
    <w:rsid w:val="1D24536D"/>
    <w:rsid w:val="1D41732E"/>
    <w:rsid w:val="1D601428"/>
    <w:rsid w:val="1D6734BF"/>
    <w:rsid w:val="1D6D5030"/>
    <w:rsid w:val="1D9C27B6"/>
    <w:rsid w:val="1DB3313E"/>
    <w:rsid w:val="1DB47B00"/>
    <w:rsid w:val="1DBA49EB"/>
    <w:rsid w:val="1E094E83"/>
    <w:rsid w:val="1E18182C"/>
    <w:rsid w:val="1E4E1D03"/>
    <w:rsid w:val="1E963D83"/>
    <w:rsid w:val="1E9B481C"/>
    <w:rsid w:val="1EBA2EF4"/>
    <w:rsid w:val="1EED151B"/>
    <w:rsid w:val="1EF00551"/>
    <w:rsid w:val="1EFE5FEF"/>
    <w:rsid w:val="1F5350F7"/>
    <w:rsid w:val="1F6410B2"/>
    <w:rsid w:val="1F903C55"/>
    <w:rsid w:val="1FA45952"/>
    <w:rsid w:val="1FA64686"/>
    <w:rsid w:val="1FCF02E8"/>
    <w:rsid w:val="1FE83A91"/>
    <w:rsid w:val="20370A6E"/>
    <w:rsid w:val="203942EC"/>
    <w:rsid w:val="20A025BE"/>
    <w:rsid w:val="20D81D57"/>
    <w:rsid w:val="20D858B3"/>
    <w:rsid w:val="20FD531A"/>
    <w:rsid w:val="211C7E96"/>
    <w:rsid w:val="21387FB5"/>
    <w:rsid w:val="21442F49"/>
    <w:rsid w:val="2181419D"/>
    <w:rsid w:val="219043E0"/>
    <w:rsid w:val="21AB746C"/>
    <w:rsid w:val="21B86AC5"/>
    <w:rsid w:val="21DC13D3"/>
    <w:rsid w:val="21F04BAD"/>
    <w:rsid w:val="21FE57EE"/>
    <w:rsid w:val="220D5325"/>
    <w:rsid w:val="22104BA9"/>
    <w:rsid w:val="2221328A"/>
    <w:rsid w:val="22317971"/>
    <w:rsid w:val="224C6DC4"/>
    <w:rsid w:val="22521696"/>
    <w:rsid w:val="22636E61"/>
    <w:rsid w:val="2288155B"/>
    <w:rsid w:val="22963C78"/>
    <w:rsid w:val="22A46395"/>
    <w:rsid w:val="22CA4924"/>
    <w:rsid w:val="22E36792"/>
    <w:rsid w:val="22ED0095"/>
    <w:rsid w:val="23041A32"/>
    <w:rsid w:val="23164DB9"/>
    <w:rsid w:val="23294AEC"/>
    <w:rsid w:val="23B720F8"/>
    <w:rsid w:val="23C40371"/>
    <w:rsid w:val="24134E54"/>
    <w:rsid w:val="24242C2C"/>
    <w:rsid w:val="24487461"/>
    <w:rsid w:val="24516CBE"/>
    <w:rsid w:val="245C5446"/>
    <w:rsid w:val="247817BA"/>
    <w:rsid w:val="247D50F0"/>
    <w:rsid w:val="24F133E8"/>
    <w:rsid w:val="25113A8A"/>
    <w:rsid w:val="25147BA0"/>
    <w:rsid w:val="255D6CCF"/>
    <w:rsid w:val="257C42E8"/>
    <w:rsid w:val="25F03194"/>
    <w:rsid w:val="25F46B70"/>
    <w:rsid w:val="25F969F8"/>
    <w:rsid w:val="260E3FFB"/>
    <w:rsid w:val="2661459D"/>
    <w:rsid w:val="26887965"/>
    <w:rsid w:val="26A050C5"/>
    <w:rsid w:val="26A10E3D"/>
    <w:rsid w:val="26A61FB0"/>
    <w:rsid w:val="26F66CF5"/>
    <w:rsid w:val="2769195B"/>
    <w:rsid w:val="27C37D5C"/>
    <w:rsid w:val="27CD3B0B"/>
    <w:rsid w:val="27D668C5"/>
    <w:rsid w:val="27D8088F"/>
    <w:rsid w:val="281A0EA7"/>
    <w:rsid w:val="285443B9"/>
    <w:rsid w:val="2861283E"/>
    <w:rsid w:val="28B2374C"/>
    <w:rsid w:val="28BE7A85"/>
    <w:rsid w:val="29515A5C"/>
    <w:rsid w:val="29AC6EB1"/>
    <w:rsid w:val="29B95E73"/>
    <w:rsid w:val="29BB2977"/>
    <w:rsid w:val="29EE439A"/>
    <w:rsid w:val="29FC6869"/>
    <w:rsid w:val="2A707CD1"/>
    <w:rsid w:val="2A750617"/>
    <w:rsid w:val="2A8B7E3A"/>
    <w:rsid w:val="2A9E191C"/>
    <w:rsid w:val="2AA84549"/>
    <w:rsid w:val="2ABD6108"/>
    <w:rsid w:val="2ACD0979"/>
    <w:rsid w:val="2ACE1AD5"/>
    <w:rsid w:val="2B146082"/>
    <w:rsid w:val="2B274133"/>
    <w:rsid w:val="2B6A5CA2"/>
    <w:rsid w:val="2B6C5576"/>
    <w:rsid w:val="2B7859EC"/>
    <w:rsid w:val="2B844FB6"/>
    <w:rsid w:val="2BD369A2"/>
    <w:rsid w:val="2BD82C0B"/>
    <w:rsid w:val="2BF67536"/>
    <w:rsid w:val="2BFD1B79"/>
    <w:rsid w:val="2C247E98"/>
    <w:rsid w:val="2C3D46EB"/>
    <w:rsid w:val="2C3E50A4"/>
    <w:rsid w:val="2C437B6F"/>
    <w:rsid w:val="2C6620BF"/>
    <w:rsid w:val="2C7B2207"/>
    <w:rsid w:val="2C7C1263"/>
    <w:rsid w:val="2C9805ED"/>
    <w:rsid w:val="2CB90C8F"/>
    <w:rsid w:val="2CEB4BC0"/>
    <w:rsid w:val="2D0E6284"/>
    <w:rsid w:val="2D404F0C"/>
    <w:rsid w:val="2D452523"/>
    <w:rsid w:val="2D542FFE"/>
    <w:rsid w:val="2D8E06E8"/>
    <w:rsid w:val="2DC270A0"/>
    <w:rsid w:val="2DD84776"/>
    <w:rsid w:val="2DE97352"/>
    <w:rsid w:val="2DF33E65"/>
    <w:rsid w:val="2E210323"/>
    <w:rsid w:val="2E3B56D4"/>
    <w:rsid w:val="2E464DCE"/>
    <w:rsid w:val="2E4722CA"/>
    <w:rsid w:val="2E533B12"/>
    <w:rsid w:val="2E580A6B"/>
    <w:rsid w:val="2EC25B2C"/>
    <w:rsid w:val="2F05640D"/>
    <w:rsid w:val="2F0957D2"/>
    <w:rsid w:val="2F104DB2"/>
    <w:rsid w:val="2F2B399A"/>
    <w:rsid w:val="2F324D29"/>
    <w:rsid w:val="2F564869"/>
    <w:rsid w:val="2F9E23BE"/>
    <w:rsid w:val="2FD23E16"/>
    <w:rsid w:val="2FF63FA8"/>
    <w:rsid w:val="306C6018"/>
    <w:rsid w:val="30917605"/>
    <w:rsid w:val="309B5044"/>
    <w:rsid w:val="30C144D4"/>
    <w:rsid w:val="30FB40DA"/>
    <w:rsid w:val="31224DEE"/>
    <w:rsid w:val="31440D43"/>
    <w:rsid w:val="31523460"/>
    <w:rsid w:val="316B4522"/>
    <w:rsid w:val="31A57A34"/>
    <w:rsid w:val="31D25FD2"/>
    <w:rsid w:val="31D420C7"/>
    <w:rsid w:val="31E232FF"/>
    <w:rsid w:val="32193F7E"/>
    <w:rsid w:val="324059AE"/>
    <w:rsid w:val="32596791"/>
    <w:rsid w:val="325B4596"/>
    <w:rsid w:val="325B6344"/>
    <w:rsid w:val="328C4750"/>
    <w:rsid w:val="32920DCC"/>
    <w:rsid w:val="32963820"/>
    <w:rsid w:val="32AB3B37"/>
    <w:rsid w:val="32DA195F"/>
    <w:rsid w:val="32E538C3"/>
    <w:rsid w:val="33D77C4D"/>
    <w:rsid w:val="34384B8F"/>
    <w:rsid w:val="343B642D"/>
    <w:rsid w:val="35066A3B"/>
    <w:rsid w:val="35810117"/>
    <w:rsid w:val="35973B37"/>
    <w:rsid w:val="35CA5CBB"/>
    <w:rsid w:val="35E6686D"/>
    <w:rsid w:val="35ED19A9"/>
    <w:rsid w:val="3628478F"/>
    <w:rsid w:val="36493519"/>
    <w:rsid w:val="36643F5E"/>
    <w:rsid w:val="36730100"/>
    <w:rsid w:val="369B31B3"/>
    <w:rsid w:val="36E83F1F"/>
    <w:rsid w:val="36F6488E"/>
    <w:rsid w:val="37113475"/>
    <w:rsid w:val="37893954"/>
    <w:rsid w:val="37B671A6"/>
    <w:rsid w:val="3824019C"/>
    <w:rsid w:val="386A2866"/>
    <w:rsid w:val="386B3C1C"/>
    <w:rsid w:val="38AA32B0"/>
    <w:rsid w:val="39203E44"/>
    <w:rsid w:val="39290B7B"/>
    <w:rsid w:val="3929535A"/>
    <w:rsid w:val="395D0BF4"/>
    <w:rsid w:val="39906D7F"/>
    <w:rsid w:val="39BC1DBE"/>
    <w:rsid w:val="3A8F1281"/>
    <w:rsid w:val="3AA25616"/>
    <w:rsid w:val="3AC86541"/>
    <w:rsid w:val="3AF47336"/>
    <w:rsid w:val="3B392860"/>
    <w:rsid w:val="3B6A75F8"/>
    <w:rsid w:val="3BC44F5A"/>
    <w:rsid w:val="3C027831"/>
    <w:rsid w:val="3C0D06AF"/>
    <w:rsid w:val="3C2E0626"/>
    <w:rsid w:val="3C44609B"/>
    <w:rsid w:val="3C7A1ABD"/>
    <w:rsid w:val="3C990195"/>
    <w:rsid w:val="3CBD5E15"/>
    <w:rsid w:val="3CF36A33"/>
    <w:rsid w:val="3D051594"/>
    <w:rsid w:val="3D2C1009"/>
    <w:rsid w:val="3D9975C0"/>
    <w:rsid w:val="3E1641C5"/>
    <w:rsid w:val="3E422215"/>
    <w:rsid w:val="3E4E3201"/>
    <w:rsid w:val="3E682515"/>
    <w:rsid w:val="3E7D3E53"/>
    <w:rsid w:val="3E810EE1"/>
    <w:rsid w:val="3E817133"/>
    <w:rsid w:val="3EAF3CA0"/>
    <w:rsid w:val="3ECD79B4"/>
    <w:rsid w:val="3EE15E23"/>
    <w:rsid w:val="3EE37DED"/>
    <w:rsid w:val="3F4C65B9"/>
    <w:rsid w:val="3F4F5483"/>
    <w:rsid w:val="3F8844F1"/>
    <w:rsid w:val="3FC10A9F"/>
    <w:rsid w:val="3FC40457"/>
    <w:rsid w:val="3FDB6D16"/>
    <w:rsid w:val="3FFE1233"/>
    <w:rsid w:val="403501D5"/>
    <w:rsid w:val="408B4299"/>
    <w:rsid w:val="40F462E2"/>
    <w:rsid w:val="40FA31CC"/>
    <w:rsid w:val="41173D7E"/>
    <w:rsid w:val="412D70FE"/>
    <w:rsid w:val="41384420"/>
    <w:rsid w:val="414F3518"/>
    <w:rsid w:val="415F6A2C"/>
    <w:rsid w:val="41A0717A"/>
    <w:rsid w:val="41AE2322"/>
    <w:rsid w:val="41C84456"/>
    <w:rsid w:val="420C31B7"/>
    <w:rsid w:val="42101E4A"/>
    <w:rsid w:val="42693CE1"/>
    <w:rsid w:val="4281555E"/>
    <w:rsid w:val="42892A5A"/>
    <w:rsid w:val="42D31F27"/>
    <w:rsid w:val="432636BD"/>
    <w:rsid w:val="43364990"/>
    <w:rsid w:val="43615785"/>
    <w:rsid w:val="438A6A89"/>
    <w:rsid w:val="43BA5F4C"/>
    <w:rsid w:val="43C57E2B"/>
    <w:rsid w:val="441058CA"/>
    <w:rsid w:val="441D16AC"/>
    <w:rsid w:val="4456563A"/>
    <w:rsid w:val="447A6AFE"/>
    <w:rsid w:val="45353B59"/>
    <w:rsid w:val="45800144"/>
    <w:rsid w:val="458624A4"/>
    <w:rsid w:val="45C4024A"/>
    <w:rsid w:val="45C734A1"/>
    <w:rsid w:val="45D67D64"/>
    <w:rsid w:val="45D801F3"/>
    <w:rsid w:val="45F428E0"/>
    <w:rsid w:val="45F76F49"/>
    <w:rsid w:val="46B67B95"/>
    <w:rsid w:val="46DF70EC"/>
    <w:rsid w:val="46FF153C"/>
    <w:rsid w:val="473A07C7"/>
    <w:rsid w:val="473C3C95"/>
    <w:rsid w:val="47413903"/>
    <w:rsid w:val="4742208F"/>
    <w:rsid w:val="474B66A7"/>
    <w:rsid w:val="47637D1D"/>
    <w:rsid w:val="47AA208E"/>
    <w:rsid w:val="47B437DC"/>
    <w:rsid w:val="47BF4533"/>
    <w:rsid w:val="47D74267"/>
    <w:rsid w:val="47D9660E"/>
    <w:rsid w:val="47FD3753"/>
    <w:rsid w:val="48221986"/>
    <w:rsid w:val="484418FD"/>
    <w:rsid w:val="4867383D"/>
    <w:rsid w:val="48877A3B"/>
    <w:rsid w:val="48C86990"/>
    <w:rsid w:val="49105C83"/>
    <w:rsid w:val="492E634C"/>
    <w:rsid w:val="49900B72"/>
    <w:rsid w:val="49AC075E"/>
    <w:rsid w:val="49DB4231"/>
    <w:rsid w:val="4A037596"/>
    <w:rsid w:val="4A0742A5"/>
    <w:rsid w:val="4A1D0657"/>
    <w:rsid w:val="4A3D4856"/>
    <w:rsid w:val="4A4F27DB"/>
    <w:rsid w:val="4A995804"/>
    <w:rsid w:val="4AAC1859"/>
    <w:rsid w:val="4AE36DAD"/>
    <w:rsid w:val="4AEA6060"/>
    <w:rsid w:val="4AF64A96"/>
    <w:rsid w:val="4B171D12"/>
    <w:rsid w:val="4B214867"/>
    <w:rsid w:val="4B7672B8"/>
    <w:rsid w:val="4B9B5282"/>
    <w:rsid w:val="4BAD77B9"/>
    <w:rsid w:val="4BBC79FC"/>
    <w:rsid w:val="4BC33584"/>
    <w:rsid w:val="4BDC1E4C"/>
    <w:rsid w:val="4BFF1DDC"/>
    <w:rsid w:val="4C0513A3"/>
    <w:rsid w:val="4C2253E3"/>
    <w:rsid w:val="4C53438E"/>
    <w:rsid w:val="4C5446C2"/>
    <w:rsid w:val="4C725E3B"/>
    <w:rsid w:val="4C7675E4"/>
    <w:rsid w:val="4C8D1398"/>
    <w:rsid w:val="4D18678F"/>
    <w:rsid w:val="4D241CFD"/>
    <w:rsid w:val="4D3D2DBF"/>
    <w:rsid w:val="4D41465D"/>
    <w:rsid w:val="4D4B7289"/>
    <w:rsid w:val="4D6B3488"/>
    <w:rsid w:val="4DB65A5D"/>
    <w:rsid w:val="4DFC67D6"/>
    <w:rsid w:val="4E1A4EB3"/>
    <w:rsid w:val="4E4245F6"/>
    <w:rsid w:val="4E636855"/>
    <w:rsid w:val="4E6F51FA"/>
    <w:rsid w:val="4E881E17"/>
    <w:rsid w:val="4EBD6DA1"/>
    <w:rsid w:val="4EC24C6A"/>
    <w:rsid w:val="4EF060BB"/>
    <w:rsid w:val="4F2204BE"/>
    <w:rsid w:val="4F3501F1"/>
    <w:rsid w:val="4F473793"/>
    <w:rsid w:val="4F5C1DFC"/>
    <w:rsid w:val="4F5D2FAF"/>
    <w:rsid w:val="4F5E44D4"/>
    <w:rsid w:val="4F6525F8"/>
    <w:rsid w:val="4F6E725F"/>
    <w:rsid w:val="4F7350ED"/>
    <w:rsid w:val="4FB6242A"/>
    <w:rsid w:val="4FC21359"/>
    <w:rsid w:val="4FE63299"/>
    <w:rsid w:val="4FFE2387"/>
    <w:rsid w:val="500C34E5"/>
    <w:rsid w:val="501522F3"/>
    <w:rsid w:val="50153B7F"/>
    <w:rsid w:val="50481739"/>
    <w:rsid w:val="504A1092"/>
    <w:rsid w:val="505E1082"/>
    <w:rsid w:val="50CF1F80"/>
    <w:rsid w:val="50EA0B67"/>
    <w:rsid w:val="510C44F3"/>
    <w:rsid w:val="512F0C70"/>
    <w:rsid w:val="51386B96"/>
    <w:rsid w:val="5146550A"/>
    <w:rsid w:val="51750D79"/>
    <w:rsid w:val="519C1014"/>
    <w:rsid w:val="51A77318"/>
    <w:rsid w:val="51BA49DE"/>
    <w:rsid w:val="51C23892"/>
    <w:rsid w:val="51FB423B"/>
    <w:rsid w:val="520D0FB1"/>
    <w:rsid w:val="52416EAD"/>
    <w:rsid w:val="52524C16"/>
    <w:rsid w:val="52636E23"/>
    <w:rsid w:val="5276185B"/>
    <w:rsid w:val="529575DF"/>
    <w:rsid w:val="52A744D0"/>
    <w:rsid w:val="52AF3E17"/>
    <w:rsid w:val="52B547BD"/>
    <w:rsid w:val="52E63894"/>
    <w:rsid w:val="52F433D8"/>
    <w:rsid w:val="53031BA7"/>
    <w:rsid w:val="53092B69"/>
    <w:rsid w:val="531F6EC4"/>
    <w:rsid w:val="53567573"/>
    <w:rsid w:val="539354E6"/>
    <w:rsid w:val="53A2229D"/>
    <w:rsid w:val="540463E4"/>
    <w:rsid w:val="54295E4B"/>
    <w:rsid w:val="544762D1"/>
    <w:rsid w:val="54D74791"/>
    <w:rsid w:val="54DF5227"/>
    <w:rsid w:val="55366A71"/>
    <w:rsid w:val="554A7E27"/>
    <w:rsid w:val="55943585"/>
    <w:rsid w:val="55C67DF5"/>
    <w:rsid w:val="55CC1388"/>
    <w:rsid w:val="55F95E62"/>
    <w:rsid w:val="56344425"/>
    <w:rsid w:val="569A4DDE"/>
    <w:rsid w:val="56DA167E"/>
    <w:rsid w:val="56E36785"/>
    <w:rsid w:val="56FB4A0F"/>
    <w:rsid w:val="57332B4A"/>
    <w:rsid w:val="57346FE0"/>
    <w:rsid w:val="57477BBC"/>
    <w:rsid w:val="575D1918"/>
    <w:rsid w:val="57607DD5"/>
    <w:rsid w:val="57636D06"/>
    <w:rsid w:val="576B0216"/>
    <w:rsid w:val="578F06BB"/>
    <w:rsid w:val="57CA16F3"/>
    <w:rsid w:val="58140740"/>
    <w:rsid w:val="583C439E"/>
    <w:rsid w:val="589200A9"/>
    <w:rsid w:val="58A9352B"/>
    <w:rsid w:val="58AC35FD"/>
    <w:rsid w:val="58EE22F6"/>
    <w:rsid w:val="58F33C10"/>
    <w:rsid w:val="5906675A"/>
    <w:rsid w:val="59080725"/>
    <w:rsid w:val="59100E64"/>
    <w:rsid w:val="591369AB"/>
    <w:rsid w:val="592762E1"/>
    <w:rsid w:val="596813C5"/>
    <w:rsid w:val="596F60AE"/>
    <w:rsid w:val="59D93B63"/>
    <w:rsid w:val="59EE16C8"/>
    <w:rsid w:val="59FA00A3"/>
    <w:rsid w:val="5A581238"/>
    <w:rsid w:val="5A5B385D"/>
    <w:rsid w:val="5AB87F28"/>
    <w:rsid w:val="5B12588A"/>
    <w:rsid w:val="5B32462C"/>
    <w:rsid w:val="5B4041A6"/>
    <w:rsid w:val="5B433C96"/>
    <w:rsid w:val="5B7C71A8"/>
    <w:rsid w:val="5B970287"/>
    <w:rsid w:val="5BAD110F"/>
    <w:rsid w:val="5BC56B2A"/>
    <w:rsid w:val="5BCA1CC1"/>
    <w:rsid w:val="5BCF552A"/>
    <w:rsid w:val="5BFC5BF3"/>
    <w:rsid w:val="5C295359"/>
    <w:rsid w:val="5C5477DD"/>
    <w:rsid w:val="5C92471D"/>
    <w:rsid w:val="5CC45309"/>
    <w:rsid w:val="5CCC1A69"/>
    <w:rsid w:val="5CFA4828"/>
    <w:rsid w:val="5D3E4715"/>
    <w:rsid w:val="5D5F496D"/>
    <w:rsid w:val="5DC009C7"/>
    <w:rsid w:val="5DC56BE4"/>
    <w:rsid w:val="5DCA799F"/>
    <w:rsid w:val="5DD706C5"/>
    <w:rsid w:val="5DE27796"/>
    <w:rsid w:val="5E2025E6"/>
    <w:rsid w:val="5E78331A"/>
    <w:rsid w:val="5EAC1FB8"/>
    <w:rsid w:val="5EF822A2"/>
    <w:rsid w:val="5F2046ED"/>
    <w:rsid w:val="5F6B752F"/>
    <w:rsid w:val="5FB15682"/>
    <w:rsid w:val="604638E0"/>
    <w:rsid w:val="607C1252"/>
    <w:rsid w:val="60BD4284"/>
    <w:rsid w:val="60D1764E"/>
    <w:rsid w:val="612956DC"/>
    <w:rsid w:val="61565DA5"/>
    <w:rsid w:val="615945CB"/>
    <w:rsid w:val="6173685E"/>
    <w:rsid w:val="617C3DD9"/>
    <w:rsid w:val="617D1584"/>
    <w:rsid w:val="61D5316E"/>
    <w:rsid w:val="61E71FCA"/>
    <w:rsid w:val="62111C55"/>
    <w:rsid w:val="6220674B"/>
    <w:rsid w:val="628074C4"/>
    <w:rsid w:val="628F5A13"/>
    <w:rsid w:val="631F0B47"/>
    <w:rsid w:val="63554566"/>
    <w:rsid w:val="63611F7E"/>
    <w:rsid w:val="638A4952"/>
    <w:rsid w:val="63AB4186"/>
    <w:rsid w:val="63B36AFC"/>
    <w:rsid w:val="63D556A7"/>
    <w:rsid w:val="63FA0109"/>
    <w:rsid w:val="6425384D"/>
    <w:rsid w:val="647E29D2"/>
    <w:rsid w:val="64801AB7"/>
    <w:rsid w:val="6488707F"/>
    <w:rsid w:val="64B96D77"/>
    <w:rsid w:val="64E2007C"/>
    <w:rsid w:val="650812D1"/>
    <w:rsid w:val="6511265D"/>
    <w:rsid w:val="654B3E73"/>
    <w:rsid w:val="656D6A88"/>
    <w:rsid w:val="659B4B41"/>
    <w:rsid w:val="65AE2533"/>
    <w:rsid w:val="65AE4402"/>
    <w:rsid w:val="65CC77EE"/>
    <w:rsid w:val="65E331DB"/>
    <w:rsid w:val="65ED7CCE"/>
    <w:rsid w:val="6630191B"/>
    <w:rsid w:val="666127E4"/>
    <w:rsid w:val="667016B7"/>
    <w:rsid w:val="66CC0FE3"/>
    <w:rsid w:val="671C495B"/>
    <w:rsid w:val="67417F69"/>
    <w:rsid w:val="6748547A"/>
    <w:rsid w:val="676F4E5A"/>
    <w:rsid w:val="677156E7"/>
    <w:rsid w:val="67A121F3"/>
    <w:rsid w:val="67CB78A4"/>
    <w:rsid w:val="67CE561D"/>
    <w:rsid w:val="67D31EFE"/>
    <w:rsid w:val="67E170E4"/>
    <w:rsid w:val="6812267A"/>
    <w:rsid w:val="683F3A37"/>
    <w:rsid w:val="68AD6BF3"/>
    <w:rsid w:val="68E1689C"/>
    <w:rsid w:val="68E8445D"/>
    <w:rsid w:val="68F14D31"/>
    <w:rsid w:val="68F93BE6"/>
    <w:rsid w:val="68FC5484"/>
    <w:rsid w:val="691A2F9F"/>
    <w:rsid w:val="692B758E"/>
    <w:rsid w:val="69676DA1"/>
    <w:rsid w:val="69D13DCB"/>
    <w:rsid w:val="69FA5E67"/>
    <w:rsid w:val="6A2922A9"/>
    <w:rsid w:val="6A4946F9"/>
    <w:rsid w:val="6A78579F"/>
    <w:rsid w:val="6A8B2F63"/>
    <w:rsid w:val="6AF077C4"/>
    <w:rsid w:val="6B317667"/>
    <w:rsid w:val="6B384049"/>
    <w:rsid w:val="6B833C3B"/>
    <w:rsid w:val="6C0B47CD"/>
    <w:rsid w:val="6C0E0BC5"/>
    <w:rsid w:val="6C4C7BB0"/>
    <w:rsid w:val="6C731F01"/>
    <w:rsid w:val="6CA2619A"/>
    <w:rsid w:val="6CC174CE"/>
    <w:rsid w:val="6CCB3AEB"/>
    <w:rsid w:val="6CD40276"/>
    <w:rsid w:val="6CE64481"/>
    <w:rsid w:val="6CEF1588"/>
    <w:rsid w:val="6D503B37"/>
    <w:rsid w:val="6D9A71E3"/>
    <w:rsid w:val="6D9C0911"/>
    <w:rsid w:val="6DCF760B"/>
    <w:rsid w:val="6DE560A0"/>
    <w:rsid w:val="6E096679"/>
    <w:rsid w:val="6E0D71BF"/>
    <w:rsid w:val="6E245261"/>
    <w:rsid w:val="6E4639AB"/>
    <w:rsid w:val="6E5A6ED5"/>
    <w:rsid w:val="6E5F273D"/>
    <w:rsid w:val="6E7A7577"/>
    <w:rsid w:val="6E8B7D79"/>
    <w:rsid w:val="6EBA385C"/>
    <w:rsid w:val="6EFD5AB2"/>
    <w:rsid w:val="6F683873"/>
    <w:rsid w:val="6F745D74"/>
    <w:rsid w:val="6FCA62DC"/>
    <w:rsid w:val="70495453"/>
    <w:rsid w:val="70860455"/>
    <w:rsid w:val="70C57A65"/>
    <w:rsid w:val="70E92792"/>
    <w:rsid w:val="71063344"/>
    <w:rsid w:val="711A294B"/>
    <w:rsid w:val="71327D50"/>
    <w:rsid w:val="714546CE"/>
    <w:rsid w:val="7161324F"/>
    <w:rsid w:val="717402AD"/>
    <w:rsid w:val="71A843FB"/>
    <w:rsid w:val="71D76A8E"/>
    <w:rsid w:val="71FB09CF"/>
    <w:rsid w:val="720D20DA"/>
    <w:rsid w:val="72331F17"/>
    <w:rsid w:val="725B3820"/>
    <w:rsid w:val="72A17B80"/>
    <w:rsid w:val="72A42E14"/>
    <w:rsid w:val="72C07AF4"/>
    <w:rsid w:val="72FB328C"/>
    <w:rsid w:val="72FF44EF"/>
    <w:rsid w:val="731A64A8"/>
    <w:rsid w:val="731D78FB"/>
    <w:rsid w:val="73775237"/>
    <w:rsid w:val="737F2193"/>
    <w:rsid w:val="73A8655E"/>
    <w:rsid w:val="73B72332"/>
    <w:rsid w:val="73E1162A"/>
    <w:rsid w:val="741E09A4"/>
    <w:rsid w:val="742648C9"/>
    <w:rsid w:val="742F6D35"/>
    <w:rsid w:val="7463214D"/>
    <w:rsid w:val="746C1710"/>
    <w:rsid w:val="75091655"/>
    <w:rsid w:val="754B3A1B"/>
    <w:rsid w:val="755A1EB0"/>
    <w:rsid w:val="760F0C69"/>
    <w:rsid w:val="76361FD5"/>
    <w:rsid w:val="76636B42"/>
    <w:rsid w:val="76DD5309"/>
    <w:rsid w:val="76EC2FDC"/>
    <w:rsid w:val="76FA3416"/>
    <w:rsid w:val="76FE0304"/>
    <w:rsid w:val="771A4041"/>
    <w:rsid w:val="7726029C"/>
    <w:rsid w:val="77275DC2"/>
    <w:rsid w:val="773078D0"/>
    <w:rsid w:val="773D2C39"/>
    <w:rsid w:val="7746449A"/>
    <w:rsid w:val="774B0D29"/>
    <w:rsid w:val="779F3B61"/>
    <w:rsid w:val="77B92F5D"/>
    <w:rsid w:val="78340796"/>
    <w:rsid w:val="78462278"/>
    <w:rsid w:val="78902DC5"/>
    <w:rsid w:val="78B83176"/>
    <w:rsid w:val="78FC7D1C"/>
    <w:rsid w:val="793C1549"/>
    <w:rsid w:val="7962698E"/>
    <w:rsid w:val="79701CA2"/>
    <w:rsid w:val="79773031"/>
    <w:rsid w:val="79B321A5"/>
    <w:rsid w:val="7A4939F2"/>
    <w:rsid w:val="7A4F1804"/>
    <w:rsid w:val="7A5D6ABC"/>
    <w:rsid w:val="7A5E26B2"/>
    <w:rsid w:val="7A6F1F5A"/>
    <w:rsid w:val="7AC027B5"/>
    <w:rsid w:val="7ADB3068"/>
    <w:rsid w:val="7B0027C3"/>
    <w:rsid w:val="7B242D44"/>
    <w:rsid w:val="7B466808"/>
    <w:rsid w:val="7B615D46"/>
    <w:rsid w:val="7B851309"/>
    <w:rsid w:val="7B8F4E78"/>
    <w:rsid w:val="7BB51BEE"/>
    <w:rsid w:val="7BBD6CF5"/>
    <w:rsid w:val="7BD56FC2"/>
    <w:rsid w:val="7C124706"/>
    <w:rsid w:val="7C4117F1"/>
    <w:rsid w:val="7C7C095E"/>
    <w:rsid w:val="7CBB0659"/>
    <w:rsid w:val="7CFE46D9"/>
    <w:rsid w:val="7D1961AD"/>
    <w:rsid w:val="7D39684F"/>
    <w:rsid w:val="7D6B786F"/>
    <w:rsid w:val="7D751CB9"/>
    <w:rsid w:val="7E1E7F1F"/>
    <w:rsid w:val="7E3E411D"/>
    <w:rsid w:val="7E870653"/>
    <w:rsid w:val="7F007624"/>
    <w:rsid w:val="7F196938"/>
    <w:rsid w:val="7F2257ED"/>
    <w:rsid w:val="7F4000DC"/>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1"/>
    <w:pPr>
      <w:keepNext/>
      <w:keepLines/>
      <w:spacing w:before="340" w:after="330" w:line="576" w:lineRule="auto"/>
    </w:pPr>
    <w:rPr>
      <w:rFonts w:ascii="Times New Roman" w:hAnsi="Times New Roman" w:eastAsia="黑体"/>
      <w:kern w:val="44"/>
      <w:sz w:val="30"/>
    </w:rPr>
  </w:style>
  <w:style w:type="paragraph" w:styleId="4">
    <w:name w:val="heading 3"/>
    <w:basedOn w:val="1"/>
    <w:next w:val="1"/>
    <w:qFormat/>
    <w:uiPriority w:val="99"/>
    <w:pPr>
      <w:widowControl/>
      <w:spacing w:before="240" w:after="60" w:line="360" w:lineRule="auto"/>
      <w:jc w:val="left"/>
      <w:outlineLvl w:val="2"/>
    </w:pPr>
    <w:rPr>
      <w:rFonts w:eastAsia="黑体"/>
      <w:color w:val="000000"/>
      <w:kern w:val="0"/>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6">
    <w:name w:val="Normal Indent"/>
    <w:basedOn w:val="1"/>
    <w:next w:val="7"/>
    <w:qFormat/>
    <w:uiPriority w:val="0"/>
    <w:pPr>
      <w:spacing w:line="360" w:lineRule="auto"/>
      <w:ind w:firstLine="420" w:firstLineChars="200"/>
    </w:pPr>
    <w:rPr>
      <w:rFonts w:ascii="宋体" w:hAnsi="宋体"/>
      <w:kern w:val="0"/>
      <w:sz w:val="24"/>
    </w:rPr>
  </w:style>
  <w:style w:type="paragraph" w:styleId="7">
    <w:name w:val="Body Text First Indent 2"/>
    <w:basedOn w:val="8"/>
    <w:next w:val="1"/>
    <w:link w:val="66"/>
    <w:qFormat/>
    <w:uiPriority w:val="0"/>
    <w:pPr>
      <w:ind w:left="200" w:firstLine="420" w:firstLineChars="200"/>
    </w:pPr>
  </w:style>
  <w:style w:type="paragraph" w:styleId="8">
    <w:name w:val="Body Text Indent"/>
    <w:basedOn w:val="1"/>
    <w:next w:val="9"/>
    <w:qFormat/>
    <w:uiPriority w:val="0"/>
    <w:pPr>
      <w:spacing w:after="120"/>
      <w:ind w:left="420" w:leftChars="200"/>
    </w:pPr>
    <w:rPr>
      <w:kern w:val="0"/>
      <w:sz w:val="24"/>
      <w:szCs w:val="20"/>
    </w:rPr>
  </w:style>
  <w:style w:type="paragraph" w:customStyle="1" w:styleId="9">
    <w:name w:val="样式 正文文本缩进 + 行距: 1.5 倍行距"/>
    <w:basedOn w:val="1"/>
    <w:qFormat/>
    <w:uiPriority w:val="0"/>
    <w:pPr>
      <w:spacing w:after="120" w:line="360" w:lineRule="auto"/>
      <w:ind w:left="90" w:leftChars="32" w:firstLine="560" w:firstLineChars="200"/>
    </w:pPr>
    <w:rPr>
      <w:rFonts w:cs="宋体"/>
    </w:rPr>
  </w:style>
  <w:style w:type="paragraph" w:styleId="10">
    <w:name w:val="caption"/>
    <w:basedOn w:val="1"/>
    <w:next w:val="1"/>
    <w:link w:val="70"/>
    <w:qFormat/>
    <w:uiPriority w:val="35"/>
    <w:pPr>
      <w:spacing w:before="25" w:beforeLines="25" w:after="25" w:afterLines="25" w:line="360" w:lineRule="auto"/>
      <w:ind w:firstLine="200" w:firstLineChars="200"/>
    </w:pPr>
    <w:rPr>
      <w:rFonts w:ascii="Arial" w:hAnsi="Arial" w:eastAsia="黑体" w:cs="Arial"/>
      <w:sz w:val="20"/>
      <w:szCs w:val="20"/>
    </w:rPr>
  </w:style>
  <w:style w:type="paragraph" w:styleId="11">
    <w:name w:val="index 5"/>
    <w:basedOn w:val="1"/>
    <w:next w:val="1"/>
    <w:qFormat/>
    <w:uiPriority w:val="99"/>
    <w:pPr>
      <w:ind w:left="1680"/>
    </w:pPr>
  </w:style>
  <w:style w:type="paragraph" w:styleId="12">
    <w:name w:val="annotation text"/>
    <w:basedOn w:val="1"/>
    <w:link w:val="62"/>
    <w:semiHidden/>
    <w:qFormat/>
    <w:uiPriority w:val="0"/>
    <w:pPr>
      <w:jc w:val="left"/>
    </w:pPr>
    <w:rPr>
      <w:kern w:val="0"/>
      <w:sz w:val="24"/>
      <w:szCs w:val="20"/>
    </w:rPr>
  </w:style>
  <w:style w:type="paragraph" w:styleId="13">
    <w:name w:val="index 6"/>
    <w:basedOn w:val="1"/>
    <w:next w:val="1"/>
    <w:qFormat/>
    <w:uiPriority w:val="0"/>
    <w:pPr>
      <w:ind w:left="2100"/>
    </w:pPr>
  </w:style>
  <w:style w:type="paragraph" w:styleId="14">
    <w:name w:val="Body Text"/>
    <w:basedOn w:val="1"/>
    <w:next w:val="15"/>
    <w:qFormat/>
    <w:uiPriority w:val="0"/>
    <w:pPr>
      <w:widowControl/>
      <w:snapToGrid w:val="0"/>
      <w:spacing w:before="60" w:after="160" w:line="259" w:lineRule="auto"/>
      <w:ind w:right="113"/>
    </w:pPr>
    <w:rPr>
      <w:kern w:val="0"/>
      <w:sz w:val="18"/>
      <w:szCs w:val="20"/>
    </w:rPr>
  </w:style>
  <w:style w:type="paragraph" w:customStyle="1" w:styleId="15">
    <w:name w:val="Date1"/>
    <w:basedOn w:val="1"/>
    <w:next w:val="1"/>
    <w:qFormat/>
    <w:uiPriority w:val="0"/>
    <w:pPr>
      <w:adjustRightInd w:val="0"/>
      <w:jc w:val="left"/>
      <w:textAlignment w:val="baseline"/>
    </w:pPr>
    <w:rPr>
      <w:rFonts w:ascii="宋体" w:hAnsi="宋体"/>
      <w:sz w:val="28"/>
      <w:szCs w:val="20"/>
    </w:rPr>
  </w:style>
  <w:style w:type="paragraph" w:styleId="16">
    <w:name w:val="List Bullet 5"/>
    <w:basedOn w:val="1"/>
    <w:qFormat/>
    <w:uiPriority w:val="0"/>
    <w:pPr>
      <w:numPr>
        <w:ilvl w:val="0"/>
        <w:numId w:val="1"/>
      </w:numPr>
    </w:pPr>
  </w:style>
  <w:style w:type="paragraph" w:styleId="17">
    <w:name w:val="footer"/>
    <w:basedOn w:val="1"/>
    <w:next w:val="1"/>
    <w:link w:val="64"/>
    <w:qFormat/>
    <w:uiPriority w:val="99"/>
    <w:pPr>
      <w:tabs>
        <w:tab w:val="center" w:pos="4153"/>
        <w:tab w:val="right" w:pos="8306"/>
      </w:tabs>
      <w:snapToGrid w:val="0"/>
      <w:jc w:val="left"/>
    </w:pPr>
    <w:rPr>
      <w:kern w:val="0"/>
      <w:sz w:val="18"/>
      <w:szCs w:val="20"/>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Subtitle"/>
    <w:basedOn w:val="1"/>
    <w:next w:val="1"/>
    <w:link w:val="67"/>
    <w:qFormat/>
    <w:uiPriority w:val="0"/>
    <w:pPr>
      <w:adjustRightInd w:val="0"/>
      <w:snapToGrid w:val="0"/>
      <w:jc w:val="center"/>
    </w:pPr>
    <w:rPr>
      <w:rFonts w:eastAsia="黑体"/>
      <w:bCs/>
      <w:snapToGrid w:val="0"/>
      <w:kern w:val="0"/>
      <w:sz w:val="24"/>
      <w:szCs w:val="32"/>
    </w:rPr>
  </w:style>
  <w:style w:type="paragraph" w:styleId="20">
    <w:name w:val="List"/>
    <w:basedOn w:val="1"/>
    <w:link w:val="81"/>
    <w:qFormat/>
    <w:uiPriority w:val="0"/>
    <w:pPr>
      <w:spacing w:line="240" w:lineRule="atLeast"/>
      <w:jc w:val="center"/>
    </w:pPr>
  </w:style>
  <w:style w:type="paragraph" w:styleId="21">
    <w:name w:val="footnote text"/>
    <w:basedOn w:val="1"/>
    <w:unhideWhenUsed/>
    <w:qFormat/>
    <w:uiPriority w:val="0"/>
    <w:pPr>
      <w:snapToGrid w:val="0"/>
      <w:jc w:val="left"/>
    </w:pPr>
    <w:rPr>
      <w:rFonts w:ascii="等线" w:hAnsi="等线" w:eastAsia="等线" w:cs="黑体"/>
      <w:sz w:val="18"/>
      <w:szCs w:val="18"/>
    </w:rPr>
  </w:style>
  <w:style w:type="paragraph" w:styleId="22">
    <w:name w:val="Body Text 2"/>
    <w:basedOn w:val="1"/>
    <w:qFormat/>
    <w:uiPriority w:val="0"/>
    <w:pPr>
      <w:snapToGrid w:val="0"/>
      <w:jc w:val="center"/>
    </w:pPr>
    <w:rPr>
      <w:sz w:val="28"/>
      <w:szCs w:val="20"/>
    </w:rPr>
  </w:style>
  <w:style w:type="paragraph" w:styleId="23">
    <w:name w:val="Normal (Web)"/>
    <w:basedOn w:val="1"/>
    <w:link w:val="72"/>
    <w:qFormat/>
    <w:uiPriority w:val="99"/>
    <w:pPr>
      <w:widowControl/>
      <w:spacing w:before="100" w:beforeAutospacing="1" w:after="100" w:afterAutospacing="1"/>
      <w:jc w:val="left"/>
    </w:pPr>
    <w:rPr>
      <w:rFonts w:ascii="宋体" w:hAnsi="宋体"/>
      <w:kern w:val="0"/>
      <w:sz w:val="24"/>
      <w:szCs w:val="20"/>
    </w:rPr>
  </w:style>
  <w:style w:type="paragraph" w:styleId="24">
    <w:name w:val="annotation subject"/>
    <w:basedOn w:val="12"/>
    <w:next w:val="12"/>
    <w:link w:val="63"/>
    <w:qFormat/>
    <w:uiPriority w:val="0"/>
    <w:rPr>
      <w:b/>
      <w:bCs/>
      <w:kern w:val="2"/>
      <w:sz w:val="21"/>
      <w:szCs w:val="24"/>
    </w:rPr>
  </w:style>
  <w:style w:type="paragraph" w:styleId="25">
    <w:name w:val="Body Text First Indent"/>
    <w:basedOn w:val="14"/>
    <w:next w:val="1"/>
    <w:qFormat/>
    <w:uiPriority w:val="0"/>
    <w:pPr>
      <w:widowControl w:val="0"/>
      <w:snapToGrid/>
      <w:spacing w:before="0" w:after="120" w:line="240" w:lineRule="auto"/>
      <w:ind w:right="0" w:firstLine="420" w:firstLineChars="100"/>
    </w:pPr>
    <w:rPr>
      <w:kern w:val="2"/>
      <w:sz w:val="21"/>
      <w:szCs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7E1FAD" w:themeColor="followedHyperlink"/>
      <w:u w:val="single"/>
      <w14:textFill>
        <w14:solidFill>
          <w14:schemeClr w14:val="folHlink"/>
        </w14:solidFill>
      </w14:textFill>
    </w:rPr>
  </w:style>
  <w:style w:type="character" w:styleId="32">
    <w:name w:val="Hyperlink"/>
    <w:basedOn w:val="28"/>
    <w:qFormat/>
    <w:uiPriority w:val="0"/>
    <w:rPr>
      <w:color w:val="0026E5" w:themeColor="hyperlink"/>
      <w:u w:val="single"/>
      <w14:textFill>
        <w14:solidFill>
          <w14:schemeClr w14:val="hlink"/>
        </w14:solidFill>
      </w14:textFill>
    </w:rPr>
  </w:style>
  <w:style w:type="character" w:styleId="33">
    <w:name w:val="annotation reference"/>
    <w:semiHidden/>
    <w:qFormat/>
    <w:uiPriority w:val="0"/>
    <w:rPr>
      <w:sz w:val="21"/>
    </w:rPr>
  </w:style>
  <w:style w:type="character" w:styleId="34">
    <w:name w:val="footnote reference"/>
    <w:unhideWhenUsed/>
    <w:qFormat/>
    <w:uiPriority w:val="0"/>
    <w:rPr>
      <w:vertAlign w:val="superscript"/>
    </w:rPr>
  </w:style>
  <w:style w:type="paragraph" w:customStyle="1" w:styleId="35">
    <w:name w:val="表格"/>
    <w:basedOn w:val="36"/>
    <w:next w:val="1"/>
    <w:qFormat/>
    <w:uiPriority w:val="0"/>
    <w:pPr>
      <w:adjustRightInd w:val="0"/>
      <w:snapToGrid w:val="0"/>
      <w:spacing w:beforeLines="10" w:afterLines="10" w:line="259" w:lineRule="auto"/>
      <w:jc w:val="center"/>
    </w:pPr>
  </w:style>
  <w:style w:type="paragraph" w:customStyle="1" w:styleId="36">
    <w:name w:val="Normal Indent1"/>
    <w:basedOn w:val="1"/>
    <w:qFormat/>
    <w:uiPriority w:val="0"/>
    <w:pPr>
      <w:spacing w:line="600" w:lineRule="exact"/>
      <w:ind w:firstLine="420"/>
    </w:pPr>
    <w:rPr>
      <w:rFonts w:ascii="宋体"/>
      <w:sz w:val="32"/>
      <w:szCs w:val="20"/>
    </w:rPr>
  </w:style>
  <w:style w:type="paragraph" w:customStyle="1" w:styleId="37">
    <w:name w:val="正文（缩进）"/>
    <w:basedOn w:val="38"/>
    <w:next w:val="1"/>
    <w:qFormat/>
    <w:uiPriority w:val="99"/>
    <w:pPr>
      <w:ind w:firstLine="480" w:firstLineChars="200"/>
    </w:pPr>
  </w:style>
  <w:style w:type="paragraph" w:customStyle="1" w:styleId="38">
    <w:name w:val="正文(首行缩进)"/>
    <w:basedOn w:val="1"/>
    <w:qFormat/>
    <w:uiPriority w:val="0"/>
    <w:pPr>
      <w:spacing w:line="360" w:lineRule="auto"/>
      <w:ind w:firstLine="540" w:firstLineChars="225"/>
    </w:pPr>
    <w:rPr>
      <w:snapToGrid w:val="0"/>
      <w:color w:val="000000"/>
      <w:kern w:val="0"/>
      <w:sz w:val="24"/>
    </w:rPr>
  </w:style>
  <w:style w:type="paragraph" w:customStyle="1" w:styleId="39">
    <w:name w:val="正文首行缩进2个字 Char"/>
    <w:basedOn w:val="1"/>
    <w:qFormat/>
    <w:uiPriority w:val="0"/>
    <w:pPr>
      <w:ind w:firstLine="480" w:firstLineChars="200"/>
    </w:pPr>
    <w:rPr>
      <w:rFonts w:eastAsia="楷体"/>
      <w:sz w:val="24"/>
    </w:rPr>
  </w:style>
  <w:style w:type="paragraph" w:customStyle="1" w:styleId="40">
    <w:name w:val="Default"/>
    <w:basedOn w:val="41"/>
    <w:next w:val="22"/>
    <w:unhideWhenUsed/>
    <w:qFormat/>
    <w:uiPriority w:val="99"/>
    <w:pPr>
      <w:autoSpaceDE w:val="0"/>
      <w:autoSpaceDN w:val="0"/>
      <w:adjustRightInd w:val="0"/>
    </w:pPr>
    <w:rPr>
      <w:rFonts w:hint="eastAsia" w:ascii="黑体" w:hAnsi="黑体" w:eastAsia="黑体"/>
      <w:sz w:val="24"/>
    </w:rPr>
  </w:style>
  <w:style w:type="paragraph" w:customStyle="1" w:styleId="41">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2">
    <w:name w:val="No Spacing"/>
    <w:basedOn w:val="1"/>
    <w:link w:val="51"/>
    <w:qFormat/>
    <w:uiPriority w:val="1"/>
    <w:pPr>
      <w:adjustRightInd w:val="0"/>
      <w:snapToGrid w:val="0"/>
      <w:spacing w:line="360" w:lineRule="auto"/>
      <w:ind w:firstLine="200" w:firstLineChars="200"/>
      <w:jc w:val="left"/>
    </w:pPr>
    <w:rPr>
      <w:snapToGrid w:val="0"/>
      <w:kern w:val="0"/>
      <w:sz w:val="24"/>
      <w:szCs w:val="22"/>
    </w:rPr>
  </w:style>
  <w:style w:type="paragraph" w:customStyle="1" w:styleId="43">
    <w:name w:val="小标题"/>
    <w:basedOn w:val="1"/>
    <w:next w:val="14"/>
    <w:qFormat/>
    <w:uiPriority w:val="0"/>
    <w:pPr>
      <w:adjustRightInd w:val="0"/>
      <w:snapToGrid w:val="0"/>
      <w:spacing w:line="360" w:lineRule="auto"/>
    </w:pPr>
    <w:rPr>
      <w:rFonts w:eastAsia="黑体"/>
      <w:snapToGrid w:val="0"/>
      <w:kern w:val="0"/>
      <w:sz w:val="24"/>
    </w:rPr>
  </w:style>
  <w:style w:type="paragraph" w:customStyle="1" w:styleId="44">
    <w:name w:val="Table Text"/>
    <w:basedOn w:val="1"/>
    <w:semiHidden/>
    <w:qFormat/>
    <w:uiPriority w:val="0"/>
    <w:rPr>
      <w:rFonts w:ascii="宋体" w:hAnsi="宋体" w:cs="宋体"/>
      <w:sz w:val="20"/>
      <w:szCs w:val="20"/>
      <w:lang w:eastAsia="en-US"/>
    </w:rPr>
  </w:style>
  <w:style w:type="paragraph" w:customStyle="1" w:styleId="45">
    <w:name w:val="表内文字"/>
    <w:basedOn w:val="1"/>
    <w:next w:val="1"/>
    <w:qFormat/>
    <w:uiPriority w:val="0"/>
    <w:pPr>
      <w:adjustRightInd w:val="0"/>
      <w:snapToGrid w:val="0"/>
    </w:pPr>
    <w:rPr>
      <w:rFonts w:cs="宋体"/>
      <w:snapToGrid w:val="0"/>
      <w:color w:val="000000"/>
      <w:kern w:val="0"/>
      <w:szCs w:val="20"/>
    </w:rPr>
  </w:style>
  <w:style w:type="paragraph" w:customStyle="1" w:styleId="46">
    <w:name w:val="标准正文"/>
    <w:basedOn w:val="1"/>
    <w:qFormat/>
    <w:uiPriority w:val="0"/>
    <w:pPr>
      <w:snapToGrid w:val="0"/>
      <w:spacing w:beforeLines="50" w:line="360" w:lineRule="auto"/>
      <w:ind w:firstLine="560" w:firstLineChars="200"/>
    </w:pPr>
    <w:rPr>
      <w:rFonts w:eastAsia="仿宋_GB2312"/>
      <w:sz w:val="28"/>
    </w:rPr>
  </w:style>
  <w:style w:type="character" w:customStyle="1" w:styleId="47">
    <w:name w:val="font11"/>
    <w:basedOn w:val="28"/>
    <w:qFormat/>
    <w:uiPriority w:val="0"/>
    <w:rPr>
      <w:rFonts w:hint="default" w:ascii="Times New Roman" w:hAnsi="Times New Roman" w:cs="Times New Roman"/>
      <w:color w:val="000000"/>
      <w:sz w:val="21"/>
      <w:szCs w:val="21"/>
      <w:u w:val="none"/>
    </w:rPr>
  </w:style>
  <w:style w:type="character" w:customStyle="1" w:styleId="48">
    <w:name w:val="font41"/>
    <w:basedOn w:val="28"/>
    <w:qFormat/>
    <w:uiPriority w:val="0"/>
    <w:rPr>
      <w:rFonts w:hint="default" w:ascii="Times New Roman" w:hAnsi="Times New Roman" w:cs="Times New Roman"/>
      <w:b/>
      <w:bCs/>
      <w:color w:val="000000"/>
      <w:sz w:val="21"/>
      <w:szCs w:val="21"/>
      <w:u w:val="none"/>
    </w:rPr>
  </w:style>
  <w:style w:type="character" w:customStyle="1" w:styleId="49">
    <w:name w:val="font51"/>
    <w:basedOn w:val="28"/>
    <w:qFormat/>
    <w:uiPriority w:val="0"/>
    <w:rPr>
      <w:rFonts w:hint="default" w:ascii="Times New Roman" w:hAnsi="Times New Roman" w:cs="Times New Roman"/>
      <w:b/>
      <w:bCs/>
      <w:color w:val="000000"/>
      <w:sz w:val="21"/>
      <w:szCs w:val="21"/>
      <w:u w:val="none"/>
      <w:vertAlign w:val="superscript"/>
    </w:rPr>
  </w:style>
  <w:style w:type="table" w:customStyle="1" w:styleId="50">
    <w:name w:val="Table Normal"/>
    <w:unhideWhenUsed/>
    <w:qFormat/>
    <w:uiPriority w:val="0"/>
    <w:tblPr>
      <w:tblCellMar>
        <w:top w:w="0" w:type="dxa"/>
        <w:left w:w="0" w:type="dxa"/>
        <w:bottom w:w="0" w:type="dxa"/>
        <w:right w:w="0" w:type="dxa"/>
      </w:tblCellMar>
    </w:tblPr>
  </w:style>
  <w:style w:type="character" w:customStyle="1" w:styleId="51">
    <w:name w:val="无间隔 字符"/>
    <w:link w:val="42"/>
    <w:qFormat/>
    <w:uiPriority w:val="1"/>
    <w:rPr>
      <w:snapToGrid w:val="0"/>
      <w:kern w:val="0"/>
      <w:sz w:val="24"/>
      <w:szCs w:val="22"/>
    </w:rPr>
  </w:style>
  <w:style w:type="paragraph" w:customStyle="1" w:styleId="52">
    <w:name w:val="表格1"/>
    <w:basedOn w:val="1"/>
    <w:next w:val="1"/>
    <w:qFormat/>
    <w:uiPriority w:val="0"/>
    <w:pPr>
      <w:spacing w:line="360" w:lineRule="auto"/>
      <w:ind w:firstLine="562" w:firstLineChars="200"/>
      <w:jc w:val="center"/>
    </w:pPr>
    <w:rPr>
      <w:rFonts w:eastAsia="仿宋_GB2312"/>
      <w:bCs/>
      <w:szCs w:val="20"/>
    </w:rPr>
  </w:style>
  <w:style w:type="paragraph" w:customStyle="1" w:styleId="53">
    <w:name w:val="Table Paragraph"/>
    <w:basedOn w:val="1"/>
    <w:next w:val="13"/>
    <w:qFormat/>
    <w:uiPriority w:val="1"/>
    <w:pPr>
      <w:autoSpaceDE w:val="0"/>
      <w:autoSpaceDN w:val="0"/>
      <w:jc w:val="center"/>
    </w:pPr>
    <w:rPr>
      <w:rFonts w:ascii="宋体" w:hAnsi="宋体" w:cs="宋体"/>
      <w:kern w:val="0"/>
      <w:sz w:val="22"/>
      <w:szCs w:val="22"/>
      <w:lang w:eastAsia="en-US"/>
    </w:rPr>
  </w:style>
  <w:style w:type="character" w:customStyle="1" w:styleId="54">
    <w:name w:val="样式 小四 Char Char"/>
    <w:link w:val="55"/>
    <w:qFormat/>
    <w:locked/>
    <w:uiPriority w:val="0"/>
    <w:rPr>
      <w:kern w:val="0"/>
      <w:sz w:val="24"/>
      <w:szCs w:val="20"/>
    </w:rPr>
  </w:style>
  <w:style w:type="paragraph" w:customStyle="1" w:styleId="55">
    <w:name w:val="样式 小四 Char"/>
    <w:basedOn w:val="1"/>
    <w:link w:val="54"/>
    <w:qFormat/>
    <w:uiPriority w:val="0"/>
    <w:pPr>
      <w:spacing w:line="360" w:lineRule="auto"/>
      <w:ind w:firstLine="480" w:firstLineChars="200"/>
    </w:pPr>
    <w:rPr>
      <w:kern w:val="0"/>
      <w:sz w:val="24"/>
      <w:szCs w:val="20"/>
    </w:rPr>
  </w:style>
  <w:style w:type="paragraph" w:customStyle="1" w:styleId="56">
    <w:name w:val="环评正文"/>
    <w:basedOn w:val="1"/>
    <w:next w:val="1"/>
    <w:qFormat/>
    <w:uiPriority w:val="0"/>
    <w:pPr>
      <w:spacing w:line="360" w:lineRule="auto"/>
      <w:ind w:firstLine="480" w:firstLineChars="200"/>
    </w:pPr>
    <w:rPr>
      <w:kern w:val="0"/>
      <w:sz w:val="20"/>
      <w:szCs w:val="20"/>
    </w:rPr>
  </w:style>
  <w:style w:type="paragraph" w:customStyle="1" w:styleId="57">
    <w:name w:val="环正文"/>
    <w:basedOn w:val="1"/>
    <w:qFormat/>
    <w:uiPriority w:val="0"/>
    <w:pPr>
      <w:suppressAutoHyphens/>
      <w:adjustRightInd w:val="0"/>
      <w:spacing w:line="360" w:lineRule="auto"/>
      <w:ind w:firstLine="480" w:firstLineChars="200"/>
      <w:textAlignment w:val="baseline"/>
    </w:pPr>
    <w:rPr>
      <w:rFonts w:ascii="宋体" w:hAnsi="宋体"/>
      <w:kern w:val="0"/>
      <w:szCs w:val="20"/>
    </w:rPr>
  </w:style>
  <w:style w:type="paragraph" w:styleId="58">
    <w:name w:val="List Paragraph"/>
    <w:basedOn w:val="1"/>
    <w:qFormat/>
    <w:uiPriority w:val="1"/>
    <w:pPr>
      <w:ind w:left="1838" w:hanging="182"/>
    </w:pPr>
    <w:rPr>
      <w:rFonts w:ascii="宋体" w:hAnsi="宋体" w:cs="宋体"/>
    </w:rPr>
  </w:style>
  <w:style w:type="character" w:customStyle="1" w:styleId="59">
    <w:name w:val="font31"/>
    <w:basedOn w:val="28"/>
    <w:qFormat/>
    <w:uiPriority w:val="0"/>
    <w:rPr>
      <w:rFonts w:hint="eastAsia" w:ascii="仿宋" w:hAnsi="仿宋" w:eastAsia="仿宋" w:cs="仿宋"/>
      <w:color w:val="000000"/>
      <w:sz w:val="13"/>
      <w:szCs w:val="13"/>
      <w:u w:val="none"/>
    </w:rPr>
  </w:style>
  <w:style w:type="character" w:customStyle="1" w:styleId="60">
    <w:name w:val="font21"/>
    <w:basedOn w:val="28"/>
    <w:qFormat/>
    <w:uiPriority w:val="0"/>
    <w:rPr>
      <w:rFonts w:hint="eastAsia" w:ascii="仿宋" w:hAnsi="仿宋" w:eastAsia="仿宋" w:cs="仿宋"/>
      <w:b/>
      <w:bCs/>
      <w:color w:val="000000"/>
      <w:sz w:val="21"/>
      <w:szCs w:val="21"/>
      <w:u w:val="none"/>
    </w:rPr>
  </w:style>
  <w:style w:type="paragraph" w:customStyle="1" w:styleId="61">
    <w:name w:val="WSH"/>
    <w:basedOn w:val="1"/>
    <w:qFormat/>
    <w:uiPriority w:val="0"/>
    <w:pPr>
      <w:autoSpaceDE w:val="0"/>
      <w:autoSpaceDN w:val="0"/>
      <w:spacing w:line="360" w:lineRule="auto"/>
    </w:pPr>
    <w:rPr>
      <w:bCs/>
    </w:rPr>
  </w:style>
  <w:style w:type="character" w:customStyle="1" w:styleId="62">
    <w:name w:val="批注文字 字符"/>
    <w:basedOn w:val="28"/>
    <w:link w:val="12"/>
    <w:semiHidden/>
    <w:qFormat/>
    <w:uiPriority w:val="0"/>
    <w:rPr>
      <w:sz w:val="24"/>
    </w:rPr>
  </w:style>
  <w:style w:type="character" w:customStyle="1" w:styleId="63">
    <w:name w:val="批注主题 字符"/>
    <w:basedOn w:val="62"/>
    <w:link w:val="24"/>
    <w:qFormat/>
    <w:uiPriority w:val="0"/>
    <w:rPr>
      <w:b/>
      <w:bCs/>
      <w:kern w:val="2"/>
      <w:sz w:val="21"/>
      <w:szCs w:val="24"/>
    </w:rPr>
  </w:style>
  <w:style w:type="character" w:customStyle="1" w:styleId="64">
    <w:name w:val="页脚 字符"/>
    <w:basedOn w:val="28"/>
    <w:link w:val="17"/>
    <w:qFormat/>
    <w:uiPriority w:val="99"/>
    <w:rPr>
      <w:sz w:val="18"/>
    </w:rPr>
  </w:style>
  <w:style w:type="character" w:customStyle="1" w:styleId="65">
    <w:name w:val="页脚 字符1"/>
    <w:qFormat/>
    <w:locked/>
    <w:uiPriority w:val="99"/>
    <w:rPr>
      <w:sz w:val="18"/>
    </w:rPr>
  </w:style>
  <w:style w:type="character" w:customStyle="1" w:styleId="66">
    <w:name w:val="正文文本首行缩进 2 字符"/>
    <w:basedOn w:val="28"/>
    <w:link w:val="7"/>
    <w:qFormat/>
    <w:uiPriority w:val="0"/>
    <w:rPr>
      <w:sz w:val="24"/>
    </w:rPr>
  </w:style>
  <w:style w:type="character" w:customStyle="1" w:styleId="67">
    <w:name w:val="副标题 字符"/>
    <w:basedOn w:val="28"/>
    <w:link w:val="19"/>
    <w:qFormat/>
    <w:uiPriority w:val="0"/>
    <w:rPr>
      <w:rFonts w:eastAsia="黑体"/>
      <w:bCs/>
      <w:snapToGrid w:val="0"/>
      <w:sz w:val="24"/>
      <w:szCs w:val="32"/>
    </w:rPr>
  </w:style>
  <w:style w:type="paragraph" w:styleId="68">
    <w:name w:val="Quote"/>
    <w:basedOn w:val="35"/>
    <w:next w:val="35"/>
    <w:link w:val="69"/>
    <w:autoRedefine/>
    <w:qFormat/>
    <w:uiPriority w:val="29"/>
    <w:pPr>
      <w:spacing w:line="0" w:lineRule="atLeast"/>
    </w:pPr>
    <w:rPr>
      <w:iCs/>
      <w:snapToGrid w:val="0"/>
      <w:color w:val="FF0000"/>
      <w:kern w:val="0"/>
      <w:szCs w:val="22"/>
    </w:rPr>
  </w:style>
  <w:style w:type="character" w:customStyle="1" w:styleId="69">
    <w:name w:val="引用 字符"/>
    <w:basedOn w:val="28"/>
    <w:link w:val="68"/>
    <w:qFormat/>
    <w:uiPriority w:val="29"/>
    <w:rPr>
      <w:iCs/>
      <w:snapToGrid w:val="0"/>
      <w:color w:val="FF0000"/>
      <w:sz w:val="21"/>
      <w:szCs w:val="22"/>
    </w:rPr>
  </w:style>
  <w:style w:type="character" w:customStyle="1" w:styleId="70">
    <w:name w:val="题注 字符"/>
    <w:link w:val="10"/>
    <w:qFormat/>
    <w:uiPriority w:val="35"/>
    <w:rPr>
      <w:rFonts w:ascii="Arial" w:hAnsi="Arial" w:eastAsia="黑体" w:cs="Arial"/>
      <w:kern w:val="2"/>
    </w:rPr>
  </w:style>
  <w:style w:type="paragraph" w:customStyle="1" w:styleId="71">
    <w:name w:val="表格标题"/>
    <w:basedOn w:val="1"/>
    <w:qFormat/>
    <w:uiPriority w:val="0"/>
    <w:pPr>
      <w:jc w:val="center"/>
    </w:pPr>
    <w:rPr>
      <w:rFonts w:eastAsia="黑体"/>
      <w:bCs/>
      <w:sz w:val="24"/>
    </w:rPr>
  </w:style>
  <w:style w:type="character" w:customStyle="1" w:styleId="72">
    <w:name w:val="普通(网站) 字符"/>
    <w:link w:val="23"/>
    <w:qFormat/>
    <w:locked/>
    <w:uiPriority w:val="0"/>
    <w:rPr>
      <w:rFonts w:ascii="宋体" w:hAnsi="宋体"/>
      <w:sz w:val="24"/>
    </w:rPr>
  </w:style>
  <w:style w:type="paragraph" w:customStyle="1" w:styleId="73">
    <w:name w:val="图表"/>
    <w:basedOn w:val="1"/>
    <w:qFormat/>
    <w:uiPriority w:val="0"/>
    <w:pPr>
      <w:spacing w:before="50" w:beforeLines="50" w:after="50" w:afterLines="50"/>
      <w:jc w:val="center"/>
      <w:outlineLvl w:val="3"/>
    </w:pPr>
    <w:rPr>
      <w:rFonts w:eastAsia="黑体"/>
    </w:rPr>
  </w:style>
  <w:style w:type="paragraph" w:customStyle="1" w:styleId="74">
    <w:name w:val="高-表格"/>
    <w:basedOn w:val="1"/>
    <w:qFormat/>
    <w:uiPriority w:val="0"/>
    <w:pPr>
      <w:spacing w:line="360" w:lineRule="exact"/>
      <w:jc w:val="center"/>
    </w:pPr>
  </w:style>
  <w:style w:type="character" w:customStyle="1" w:styleId="75">
    <w:name w:val="font61"/>
    <w:qFormat/>
    <w:uiPriority w:val="99"/>
    <w:rPr>
      <w:rFonts w:ascii="Times New Roman" w:hAnsi="Times New Roman" w:cs="Times New Roman"/>
      <w:color w:val="000000"/>
      <w:sz w:val="21"/>
      <w:szCs w:val="21"/>
      <w:u w:val="none"/>
    </w:rPr>
  </w:style>
  <w:style w:type="paragraph" w:customStyle="1" w:styleId="76">
    <w:name w:val="aa正文"/>
    <w:basedOn w:val="1"/>
    <w:qFormat/>
    <w:uiPriority w:val="0"/>
    <w:pPr>
      <w:spacing w:line="360" w:lineRule="auto"/>
      <w:ind w:firstLine="200" w:firstLineChars="200"/>
    </w:pPr>
    <w:rPr>
      <w:sz w:val="24"/>
    </w:rPr>
  </w:style>
  <w:style w:type="paragraph" w:customStyle="1" w:styleId="77">
    <w:name w:val="样式 方正仿宋_GBK 三号 行距: 固定值 28 磅"/>
    <w:basedOn w:val="1"/>
    <w:qFormat/>
    <w:uiPriority w:val="0"/>
    <w:pPr>
      <w:spacing w:line="360" w:lineRule="auto"/>
      <w:ind w:firstLine="200" w:firstLineChars="200"/>
      <w:jc w:val="left"/>
    </w:pPr>
    <w:rPr>
      <w:rFonts w:ascii="方正仿宋_GBK" w:hAnsi="方正仿宋_GBK" w:cs="宋体"/>
      <w:sz w:val="28"/>
      <w:szCs w:val="20"/>
    </w:rPr>
  </w:style>
  <w:style w:type="paragraph" w:customStyle="1" w:styleId="78">
    <w:name w:val="表格标题新"/>
    <w:basedOn w:val="1"/>
    <w:qFormat/>
    <w:uiPriority w:val="0"/>
    <w:pPr>
      <w:tabs>
        <w:tab w:val="left" w:pos="0"/>
      </w:tabs>
      <w:adjustRightInd w:val="0"/>
      <w:snapToGrid w:val="0"/>
      <w:spacing w:before="156" w:beforeLines="50"/>
      <w:ind w:left="-113" w:right="-113" w:firstLine="562"/>
      <w:jc w:val="center"/>
    </w:pPr>
    <w:rPr>
      <w:rFonts w:ascii="仿宋_GB2312" w:eastAsia="黑体"/>
      <w:b/>
      <w:snapToGrid w:val="0"/>
      <w:kern w:val="21"/>
      <w:sz w:val="24"/>
    </w:rPr>
  </w:style>
  <w:style w:type="paragraph" w:customStyle="1" w:styleId="79">
    <w:name w:val="表中正文"/>
    <w:basedOn w:val="1"/>
    <w:qFormat/>
    <w:uiPriority w:val="0"/>
    <w:pPr>
      <w:spacing w:line="360" w:lineRule="auto"/>
      <w:ind w:firstLine="752" w:firstLineChars="200"/>
    </w:pPr>
    <w:rPr>
      <w:sz w:val="24"/>
    </w:rPr>
  </w:style>
  <w:style w:type="paragraph" w:customStyle="1" w:styleId="80">
    <w:name w:val="题注1"/>
    <w:qFormat/>
    <w:uiPriority w:val="0"/>
    <w:pPr>
      <w:adjustRightInd w:val="0"/>
      <w:snapToGrid w:val="0"/>
      <w:jc w:val="center"/>
    </w:pPr>
    <w:rPr>
      <w:rFonts w:ascii="Times New Roman" w:hAnsi="Times New Roman" w:eastAsia="黑体" w:cs="Times New Roman"/>
      <w:sz w:val="21"/>
      <w:szCs w:val="21"/>
      <w:lang w:val="en-US" w:eastAsia="zh-CN" w:bidi="ar-SA"/>
    </w:rPr>
  </w:style>
  <w:style w:type="character" w:customStyle="1" w:styleId="81">
    <w:name w:val="列表 字符"/>
    <w:link w:val="20"/>
    <w:qFormat/>
    <w:uiPriority w:val="0"/>
    <w:rPr>
      <w:sz w:val="21"/>
    </w:rPr>
  </w:style>
  <w:style w:type="table" w:customStyle="1" w:styleId="82">
    <w:name w:val="张杰网格型3"/>
    <w:basedOn w:val="26"/>
    <w:qFormat/>
    <w:uiPriority w:val="9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3">
    <w:name w:val="Unresolved Mention"/>
    <w:basedOn w:val="28"/>
    <w:semiHidden/>
    <w:unhideWhenUsed/>
    <w:qFormat/>
    <w:uiPriority w:val="99"/>
    <w:rPr>
      <w:color w:val="605E5C"/>
      <w:shd w:val="clear" w:color="auto" w:fill="E1DFDD"/>
    </w:rPr>
  </w:style>
  <w:style w:type="paragraph" w:customStyle="1" w:styleId="84">
    <w:name w:val="表格内容"/>
    <w:basedOn w:val="6"/>
    <w:next w:val="1"/>
    <w:qFormat/>
    <w:uiPriority w:val="0"/>
    <w:pPr>
      <w:adjustRightInd w:val="0"/>
      <w:snapToGrid w:val="0"/>
      <w:spacing w:line="240" w:lineRule="auto"/>
      <w:ind w:firstLine="0" w:firstLineChars="0"/>
      <w:jc w:val="center"/>
    </w:pPr>
    <w:rPr>
      <w:sz w:val="21"/>
      <w:szCs w:val="18"/>
    </w:rPr>
  </w:style>
  <w:style w:type="paragraph" w:customStyle="1" w:styleId="85">
    <w:name w:val="新格式表"/>
    <w:basedOn w:val="1"/>
    <w:qFormat/>
    <w:uiPriority w:val="0"/>
    <w:pPr>
      <w:adjustRightInd w:val="0"/>
      <w:snapToGrid w:val="0"/>
      <w:spacing w:line="0" w:lineRule="atLeast"/>
      <w:jc w:val="center"/>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pn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28979</Words>
  <Characters>32777</Characters>
  <Lines>293</Lines>
  <Paragraphs>82</Paragraphs>
  <TotalTime>28</TotalTime>
  <ScaleCrop>false</ScaleCrop>
  <LinksUpToDate>false</LinksUpToDate>
  <CharactersWithSpaces>32957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2024-08-06T06:46:00Z</dcterms:created>
  <dc:creator>Liance</dc:creator>
  <cp:lastModifiedBy>鱼儿</cp:lastModifiedBy>
  <dcterms:modified xsi:type="dcterms:W3CDTF">2026-04-16T08:35:32Z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150CF76196FD4D73928BF1366D6FC9CA_13</vt:lpwstr>
  </property>
  <property fmtid="{D5CDD505-2E9C-101B-9397-08002B2CF9AE}" pid="4" name="KSOTemplateDocerSaveRecord">
    <vt:lpwstr>eyJoZGlkIjoiZTY5MGFlNTdlZjkzNjdlYzUyMzQ3OTY0OTRlZmU5N2IiLCJ1c2VySWQiOiI0NjI0MTY4NzQifQ==</vt:lpwstr>
  </property>
</Properties>
</file>