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2697B7">
      <w:pPr>
        <w:pStyle w:val="23"/>
        <w:ind w:left="0" w:leftChars="0" w:firstLine="0" w:firstLineChars="0"/>
        <w:rPr>
          <w:rFonts w:hint="default" w:eastAsia="宋体"/>
          <w:color w:val="000000" w:themeColor="text1"/>
          <w:lang w:val="en-US" w:eastAsia="zh-CN"/>
          <w14:textFill>
            <w14:solidFill>
              <w14:schemeClr w14:val="tx1"/>
            </w14:solidFill>
          </w14:textFill>
        </w:rPr>
      </w:pPr>
    </w:p>
    <w:p w14:paraId="0AC42083">
      <w:pPr>
        <w:ind w:left="0" w:leftChars="0" w:firstLine="0" w:firstLineChars="0"/>
        <w:rPr>
          <w:color w:val="000000" w:themeColor="text1"/>
          <w:highlight w:val="none"/>
          <w14:textFill>
            <w14:solidFill>
              <w14:schemeClr w14:val="tx1"/>
            </w14:solidFill>
          </w14:textFill>
        </w:rPr>
      </w:pPr>
    </w:p>
    <w:p w14:paraId="23B3040B">
      <w:pPr>
        <w:keepNext w:val="0"/>
        <w:keepLines w:val="0"/>
        <w:pageBreakBefore w:val="0"/>
        <w:kinsoku/>
        <w:wordWrap/>
        <w:overflowPunct/>
        <w:topLinePunct w:val="0"/>
        <w:autoSpaceDE/>
        <w:autoSpaceDN/>
        <w:bidi w:val="0"/>
        <w:ind w:firstLine="0" w:firstLineChars="0"/>
        <w:textAlignment w:val="auto"/>
        <w:rPr>
          <w:color w:val="000000" w:themeColor="text1"/>
          <w:highlight w:val="none"/>
          <w14:textFill>
            <w14:solidFill>
              <w14:schemeClr w14:val="tx1"/>
            </w14:solidFill>
          </w14:textFill>
        </w:rPr>
      </w:pPr>
    </w:p>
    <w:p w14:paraId="0CA52F24">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outlineLvl w:val="0"/>
        <w:rPr>
          <w:rFonts w:hint="eastAsia" w:ascii="方正小标宋_GBK" w:eastAsia="方正小标宋_GBK"/>
          <w:bCs/>
          <w:color w:val="000000" w:themeColor="text1"/>
          <w:sz w:val="72"/>
          <w:szCs w:val="72"/>
          <w:highlight w:val="none"/>
          <w14:textFill>
            <w14:solidFill>
              <w14:schemeClr w14:val="tx1"/>
            </w14:solidFill>
          </w14:textFill>
        </w:rPr>
      </w:pPr>
      <w:r>
        <w:rPr>
          <w:rFonts w:hint="eastAsia" w:ascii="方正小标宋_GBK" w:eastAsia="方正小标宋_GBK"/>
          <w:bCs/>
          <w:color w:val="000000" w:themeColor="text1"/>
          <w:sz w:val="72"/>
          <w:szCs w:val="72"/>
          <w:highlight w:val="none"/>
          <w14:textFill>
            <w14:solidFill>
              <w14:schemeClr w14:val="tx1"/>
            </w14:solidFill>
          </w14:textFill>
        </w:rPr>
        <w:t>建设项目环境影响报告表</w:t>
      </w:r>
    </w:p>
    <w:p w14:paraId="0D369BCC">
      <w:pPr>
        <w:keepNext w:val="0"/>
        <w:keepLines w:val="0"/>
        <w:pageBreakBefore w:val="0"/>
        <w:widowControl/>
        <w:kinsoku/>
        <w:wordWrap/>
        <w:overflowPunct/>
        <w:topLinePunct w:val="0"/>
        <w:autoSpaceDE/>
        <w:autoSpaceDN/>
        <w:bidi w:val="0"/>
        <w:adjustRightInd w:val="0"/>
        <w:snapToGrid w:val="0"/>
        <w:spacing w:before="372" w:beforeLines="80"/>
        <w:ind w:firstLine="0" w:firstLineChars="0"/>
        <w:jc w:val="center"/>
        <w:textAlignment w:val="auto"/>
        <w:rPr>
          <w:rFonts w:hint="eastAsia" w:ascii="楷体_GB2312" w:eastAsia="楷体_GB2312"/>
          <w:bCs/>
          <w:color w:val="000000" w:themeColor="text1"/>
          <w:sz w:val="48"/>
          <w:szCs w:val="48"/>
          <w:highlight w:val="none"/>
          <w14:textFill>
            <w14:solidFill>
              <w14:schemeClr w14:val="tx1"/>
            </w14:solidFill>
          </w14:textFill>
        </w:rPr>
      </w:pPr>
      <w:r>
        <w:rPr>
          <w:rFonts w:hint="eastAsia" w:ascii="楷体_GB2312" w:eastAsia="楷体_GB2312"/>
          <w:bCs/>
          <w:color w:val="000000" w:themeColor="text1"/>
          <w:sz w:val="48"/>
          <w:szCs w:val="48"/>
          <w:highlight w:val="none"/>
          <w14:textFill>
            <w14:solidFill>
              <w14:schemeClr w14:val="tx1"/>
            </w14:solidFill>
          </w14:textFill>
        </w:rPr>
        <w:t>（生态影响类）</w:t>
      </w:r>
      <w:bookmarkStart w:id="0" w:name="_Hlk57883728"/>
    </w:p>
    <w:bookmarkEnd w:id="0"/>
    <w:p w14:paraId="79B9FD32">
      <w:pPr>
        <w:jc w:val="center"/>
        <w:rPr>
          <w:rFonts w:eastAsia="仿宋"/>
          <w:color w:val="000000" w:themeColor="text1"/>
          <w:sz w:val="52"/>
          <w:szCs w:val="52"/>
          <w:highlight w:val="none"/>
          <w14:textFill>
            <w14:solidFill>
              <w14:schemeClr w14:val="tx1"/>
            </w14:solidFill>
          </w14:textFill>
        </w:rPr>
      </w:pPr>
    </w:p>
    <w:p w14:paraId="074183BD">
      <w:pPr>
        <w:ind w:firstLine="1040"/>
        <w:rPr>
          <w:rFonts w:eastAsia="仿宋"/>
          <w:color w:val="000000" w:themeColor="text1"/>
          <w:sz w:val="44"/>
          <w:szCs w:val="44"/>
          <w:highlight w:val="none"/>
          <w14:textFill>
            <w14:solidFill>
              <w14:schemeClr w14:val="tx1"/>
            </w14:solidFill>
          </w14:textFill>
        </w:rPr>
      </w:pPr>
    </w:p>
    <w:p w14:paraId="70265ACB">
      <w:pPr>
        <w:ind w:firstLine="1040"/>
        <w:rPr>
          <w:rFonts w:eastAsia="仿宋"/>
          <w:color w:val="000000" w:themeColor="text1"/>
          <w:sz w:val="44"/>
          <w:szCs w:val="44"/>
          <w:highlight w:val="none"/>
          <w14:textFill>
            <w14:solidFill>
              <w14:schemeClr w14:val="tx1"/>
            </w14:solidFill>
          </w14:textFill>
        </w:rPr>
      </w:pPr>
    </w:p>
    <w:p w14:paraId="7F20A3B4">
      <w:pPr>
        <w:ind w:firstLine="1040"/>
        <w:rPr>
          <w:rFonts w:eastAsia="仿宋"/>
          <w:color w:val="000000" w:themeColor="text1"/>
          <w:sz w:val="44"/>
          <w:szCs w:val="44"/>
          <w:highlight w:val="none"/>
          <w14:textFill>
            <w14:solidFill>
              <w14:schemeClr w14:val="tx1"/>
            </w14:solidFill>
          </w14:textFill>
        </w:rPr>
      </w:pPr>
    </w:p>
    <w:p w14:paraId="4FC697A9">
      <w:pPr>
        <w:rPr>
          <w:rFonts w:eastAsia="仿宋"/>
          <w:color w:val="000000" w:themeColor="text1"/>
          <w:sz w:val="44"/>
          <w:szCs w:val="44"/>
          <w:highlight w:val="none"/>
          <w14:textFill>
            <w14:solidFill>
              <w14:schemeClr w14:val="tx1"/>
            </w14:solidFill>
          </w14:textFill>
        </w:rPr>
      </w:pPr>
    </w:p>
    <w:p w14:paraId="22727312">
      <w:pPr>
        <w:spacing w:line="360" w:lineRule="auto"/>
        <w:ind w:firstLine="1040"/>
        <w:rPr>
          <w:rFonts w:eastAsia="仿宋"/>
          <w:color w:val="000000" w:themeColor="text1"/>
          <w:sz w:val="44"/>
          <w:szCs w:val="44"/>
          <w:highlight w:val="none"/>
          <w14:textFill>
            <w14:solidFill>
              <w14:schemeClr w14:val="tx1"/>
            </w14:solidFill>
          </w14:textFill>
        </w:rPr>
      </w:pPr>
    </w:p>
    <w:p w14:paraId="46A5515D">
      <w:pPr>
        <w:adjustRightInd w:val="0"/>
        <w:snapToGrid w:val="0"/>
        <w:spacing w:line="288" w:lineRule="auto"/>
        <w:ind w:left="0" w:leftChars="0" w:firstLine="0" w:firstLineChars="0"/>
        <w:jc w:val="left"/>
        <w:rPr>
          <w:rFonts w:hint="eastAsia" w:eastAsia="仿宋_GB2312"/>
          <w:color w:val="000000" w:themeColor="text1"/>
          <w:sz w:val="36"/>
          <w:szCs w:val="36"/>
          <w:highlight w:val="none"/>
          <w:u w:val="single"/>
          <w:lang w:eastAsia="zh-CN"/>
          <w14:textFill>
            <w14:solidFill>
              <w14:schemeClr w14:val="tx1"/>
            </w14:solidFill>
          </w14:textFill>
        </w:rPr>
      </w:pPr>
      <w:r>
        <w:rPr>
          <w:rFonts w:hint="eastAsia" w:eastAsia="仿宋_GB2312"/>
          <w:color w:val="000000" w:themeColor="text1"/>
          <w:sz w:val="36"/>
          <w:szCs w:val="36"/>
          <w:highlight w:val="none"/>
          <w14:textFill>
            <w14:solidFill>
              <w14:schemeClr w14:val="tx1"/>
            </w14:solidFill>
          </w14:textFill>
        </w:rPr>
        <w:t>项目名称：</w:t>
      </w:r>
      <w:r>
        <w:rPr>
          <w:rFonts w:hint="eastAsia" w:eastAsia="仿宋_GB2312"/>
          <w:color w:val="000000" w:themeColor="text1"/>
          <w:sz w:val="36"/>
          <w:szCs w:val="36"/>
          <w:highlight w:val="none"/>
          <w:u w:val="single"/>
          <w:lang w:eastAsia="zh-CN"/>
          <w14:textFill>
            <w14:solidFill>
              <w14:schemeClr w14:val="tx1"/>
            </w14:solidFill>
          </w14:textFill>
        </w:rPr>
        <w:t>中卫市宣和镇天景山峁圪垯梁灰石矿矿山生</w:t>
      </w:r>
    </w:p>
    <w:p w14:paraId="010FA28A">
      <w:pPr>
        <w:adjustRightInd w:val="0"/>
        <w:snapToGrid w:val="0"/>
        <w:spacing w:line="288" w:lineRule="auto"/>
        <w:ind w:left="0" w:leftChars="0" w:firstLine="1735" w:firstLineChars="500"/>
        <w:jc w:val="both"/>
        <w:rPr>
          <w:rFonts w:hint="default" w:eastAsia="仿宋_GB2312"/>
          <w:color w:val="000000" w:themeColor="text1"/>
          <w:sz w:val="36"/>
          <w:szCs w:val="36"/>
          <w:highlight w:val="none"/>
          <w:u w:val="single"/>
          <w:lang w:val="en-US" w:eastAsia="zh-CN"/>
          <w14:textFill>
            <w14:solidFill>
              <w14:schemeClr w14:val="tx1"/>
            </w14:solidFill>
          </w14:textFill>
        </w:rPr>
      </w:pPr>
      <w:r>
        <w:rPr>
          <w:rFonts w:hint="eastAsia" w:eastAsia="仿宋_GB2312"/>
          <w:color w:val="000000" w:themeColor="text1"/>
          <w:sz w:val="36"/>
          <w:szCs w:val="36"/>
          <w:highlight w:val="none"/>
          <w:u w:val="single"/>
          <w:lang w:val="en-US" w:eastAsia="zh-CN"/>
          <w14:textFill>
            <w14:solidFill>
              <w14:schemeClr w14:val="tx1"/>
            </w14:solidFill>
          </w14:textFill>
        </w:rPr>
        <w:t xml:space="preserve">             态</w:t>
      </w:r>
      <w:r>
        <w:rPr>
          <w:rFonts w:hint="eastAsia" w:eastAsia="仿宋_GB2312"/>
          <w:color w:val="000000" w:themeColor="text1"/>
          <w:sz w:val="36"/>
          <w:szCs w:val="36"/>
          <w:highlight w:val="none"/>
          <w:u w:val="single"/>
          <w:lang w:eastAsia="zh-CN"/>
          <w14:textFill>
            <w14:solidFill>
              <w14:schemeClr w14:val="tx1"/>
            </w14:solidFill>
          </w14:textFill>
        </w:rPr>
        <w:t>修复治理项目</w:t>
      </w:r>
      <w:r>
        <w:rPr>
          <w:rFonts w:hint="eastAsia" w:eastAsia="仿宋_GB2312"/>
          <w:color w:val="000000" w:themeColor="text1"/>
          <w:sz w:val="36"/>
          <w:szCs w:val="36"/>
          <w:highlight w:val="none"/>
          <w:u w:val="single"/>
          <w:lang w:val="en-US" w:eastAsia="zh-CN"/>
          <w14:textFill>
            <w14:solidFill>
              <w14:schemeClr w14:val="tx1"/>
            </w14:solidFill>
          </w14:textFill>
        </w:rPr>
        <w:t xml:space="preserve">           </w:t>
      </w:r>
    </w:p>
    <w:p w14:paraId="08526078">
      <w:pPr>
        <w:adjustRightInd w:val="0"/>
        <w:snapToGrid w:val="0"/>
        <w:spacing w:line="288" w:lineRule="auto"/>
        <w:ind w:left="1884" w:hanging="1735" w:hangingChars="500"/>
        <w:rPr>
          <w:rFonts w:eastAsia="仿宋_GB2312"/>
          <w:color w:val="000000" w:themeColor="text1"/>
          <w:sz w:val="36"/>
          <w:szCs w:val="36"/>
          <w:highlight w:val="none"/>
          <w14:textFill>
            <w14:solidFill>
              <w14:schemeClr w14:val="tx1"/>
            </w14:solidFill>
          </w14:textFill>
        </w:rPr>
      </w:pPr>
      <w:r>
        <w:rPr>
          <w:rFonts w:hint="eastAsia" w:eastAsia="仿宋_GB2312"/>
          <w:color w:val="000000" w:themeColor="text1"/>
          <w:sz w:val="36"/>
          <w:szCs w:val="36"/>
          <w:highlight w:val="none"/>
          <w14:textFill>
            <w14:solidFill>
              <w14:schemeClr w14:val="tx1"/>
            </w14:solidFill>
          </w14:textFill>
        </w:rPr>
        <w:t>建设单位（盖章）：</w:t>
      </w:r>
      <w:r>
        <w:rPr>
          <w:rFonts w:hint="eastAsia" w:eastAsia="仿宋_GB2312"/>
          <w:color w:val="000000" w:themeColor="text1"/>
          <w:sz w:val="36"/>
          <w:szCs w:val="36"/>
          <w:highlight w:val="none"/>
          <w:u w:val="single"/>
          <w14:textFill>
            <w14:solidFill>
              <w14:schemeClr w14:val="tx1"/>
            </w14:solidFill>
          </w14:textFill>
        </w:rPr>
        <w:t xml:space="preserve">   中卫市沙坡头区自然资源局   </w:t>
      </w:r>
    </w:p>
    <w:p w14:paraId="1A535768">
      <w:pPr>
        <w:adjustRightInd w:val="0"/>
        <w:snapToGrid w:val="0"/>
        <w:spacing w:line="288" w:lineRule="auto"/>
        <w:ind w:left="1884" w:hanging="1735" w:hangingChars="500"/>
        <w:rPr>
          <w:rFonts w:hint="eastAsia" w:eastAsia="仿宋_GB2312"/>
          <w:color w:val="000000" w:themeColor="text1"/>
          <w:sz w:val="36"/>
          <w:szCs w:val="36"/>
          <w:highlight w:val="none"/>
          <w:lang w:val="en-US" w:eastAsia="zh-CN"/>
          <w14:textFill>
            <w14:solidFill>
              <w14:schemeClr w14:val="tx1"/>
            </w14:solidFill>
          </w14:textFill>
        </w:rPr>
      </w:pPr>
      <w:r>
        <w:rPr>
          <w:rFonts w:hint="eastAsia" w:eastAsia="仿宋_GB2312"/>
          <w:color w:val="000000" w:themeColor="text1"/>
          <w:sz w:val="36"/>
          <w:szCs w:val="36"/>
          <w:highlight w:val="none"/>
          <w14:textFill>
            <w14:solidFill>
              <w14:schemeClr w14:val="tx1"/>
            </w14:solidFill>
          </w14:textFill>
        </w:rPr>
        <w:t>编制日期：</w:t>
      </w:r>
      <w:r>
        <w:rPr>
          <w:rFonts w:hint="eastAsia" w:eastAsia="仿宋_GB2312"/>
          <w:color w:val="000000" w:themeColor="text1"/>
          <w:sz w:val="36"/>
          <w:szCs w:val="36"/>
          <w:highlight w:val="none"/>
          <w:u w:val="single"/>
          <w14:textFill>
            <w14:solidFill>
              <w14:schemeClr w14:val="tx1"/>
            </w14:solidFill>
          </w14:textFill>
        </w:rPr>
        <w:t xml:space="preserve">            202</w:t>
      </w:r>
      <w:r>
        <w:rPr>
          <w:rFonts w:hint="eastAsia" w:eastAsia="仿宋_GB2312"/>
          <w:color w:val="000000" w:themeColor="text1"/>
          <w:sz w:val="36"/>
          <w:szCs w:val="36"/>
          <w:highlight w:val="none"/>
          <w:u w:val="single"/>
          <w:lang w:val="en-US" w:eastAsia="zh-CN"/>
          <w14:textFill>
            <w14:solidFill>
              <w14:schemeClr w14:val="tx1"/>
            </w14:solidFill>
          </w14:textFill>
        </w:rPr>
        <w:t>6</w:t>
      </w:r>
      <w:r>
        <w:rPr>
          <w:rFonts w:hint="eastAsia" w:eastAsia="仿宋_GB2312"/>
          <w:color w:val="000000" w:themeColor="text1"/>
          <w:sz w:val="36"/>
          <w:szCs w:val="36"/>
          <w:highlight w:val="none"/>
          <w:u w:val="single"/>
          <w14:textFill>
            <w14:solidFill>
              <w14:schemeClr w14:val="tx1"/>
            </w14:solidFill>
          </w14:textFill>
        </w:rPr>
        <w:t>年</w:t>
      </w:r>
      <w:r>
        <w:rPr>
          <w:rFonts w:hint="eastAsia" w:eastAsia="仿宋_GB2312"/>
          <w:color w:val="000000" w:themeColor="text1"/>
          <w:sz w:val="36"/>
          <w:szCs w:val="36"/>
          <w:highlight w:val="none"/>
          <w:u w:val="single"/>
          <w:lang w:val="en-US" w:eastAsia="zh-CN"/>
          <w14:textFill>
            <w14:solidFill>
              <w14:schemeClr w14:val="tx1"/>
            </w14:solidFill>
          </w14:textFill>
        </w:rPr>
        <w:t>3</w:t>
      </w:r>
      <w:r>
        <w:rPr>
          <w:rFonts w:hint="eastAsia" w:eastAsia="仿宋_GB2312"/>
          <w:color w:val="000000" w:themeColor="text1"/>
          <w:sz w:val="36"/>
          <w:szCs w:val="36"/>
          <w:highlight w:val="none"/>
          <w:u w:val="single"/>
          <w14:textFill>
            <w14:solidFill>
              <w14:schemeClr w14:val="tx1"/>
            </w14:solidFill>
          </w14:textFill>
        </w:rPr>
        <w:t xml:space="preserve">月              </w:t>
      </w:r>
      <w:r>
        <w:rPr>
          <w:rFonts w:hint="eastAsia" w:eastAsia="仿宋_GB2312"/>
          <w:color w:val="000000" w:themeColor="text1"/>
          <w:sz w:val="36"/>
          <w:szCs w:val="36"/>
          <w:highlight w:val="none"/>
          <w:u w:val="single"/>
          <w:lang w:val="en-US" w:eastAsia="zh-CN"/>
          <w14:textFill>
            <w14:solidFill>
              <w14:schemeClr w14:val="tx1"/>
            </w14:solidFill>
          </w14:textFill>
        </w:rPr>
        <w:t xml:space="preserve"> </w:t>
      </w:r>
    </w:p>
    <w:p w14:paraId="4C68CADE">
      <w:pPr>
        <w:adjustRightInd w:val="0"/>
        <w:snapToGrid w:val="0"/>
        <w:spacing w:line="288" w:lineRule="auto"/>
        <w:rPr>
          <w:rFonts w:eastAsia="仿宋_GB2312"/>
          <w:color w:val="000000" w:themeColor="text1"/>
          <w:sz w:val="36"/>
          <w:szCs w:val="36"/>
          <w:highlight w:val="none"/>
          <w14:textFill>
            <w14:solidFill>
              <w14:schemeClr w14:val="tx1"/>
            </w14:solidFill>
          </w14:textFill>
        </w:rPr>
      </w:pPr>
    </w:p>
    <w:p w14:paraId="52DC21C0">
      <w:pPr>
        <w:adjustRightInd w:val="0"/>
        <w:snapToGrid w:val="0"/>
        <w:spacing w:line="288" w:lineRule="auto"/>
        <w:rPr>
          <w:rFonts w:eastAsia="仿宋_GB2312"/>
          <w:color w:val="000000" w:themeColor="text1"/>
          <w:sz w:val="36"/>
          <w:szCs w:val="36"/>
          <w:highlight w:val="none"/>
          <w14:textFill>
            <w14:solidFill>
              <w14:schemeClr w14:val="tx1"/>
            </w14:solidFill>
          </w14:textFill>
        </w:rPr>
      </w:pPr>
    </w:p>
    <w:p w14:paraId="04EF30B1">
      <w:pPr>
        <w:adjustRightInd w:val="0"/>
        <w:snapToGrid w:val="0"/>
        <w:spacing w:line="288" w:lineRule="auto"/>
        <w:rPr>
          <w:rFonts w:eastAsia="仿宋_GB2312"/>
          <w:color w:val="000000" w:themeColor="text1"/>
          <w:sz w:val="36"/>
          <w:szCs w:val="36"/>
          <w:highlight w:val="none"/>
          <w14:textFill>
            <w14:solidFill>
              <w14:schemeClr w14:val="tx1"/>
            </w14:solidFill>
          </w14:textFill>
        </w:rPr>
      </w:pPr>
    </w:p>
    <w:p w14:paraId="1A6FB674">
      <w:pPr>
        <w:adjustRightInd w:val="0"/>
        <w:snapToGrid w:val="0"/>
        <w:spacing w:line="288" w:lineRule="auto"/>
        <w:ind w:left="0" w:leftChars="0" w:firstLine="0" w:firstLineChars="0"/>
        <w:jc w:val="center"/>
        <w:rPr>
          <w:rFonts w:eastAsia="楷体_GB2312"/>
          <w:color w:val="000000" w:themeColor="text1"/>
          <w:sz w:val="36"/>
          <w:szCs w:val="36"/>
          <w:highlight w:val="none"/>
          <w14:textFill>
            <w14:solidFill>
              <w14:schemeClr w14:val="tx1"/>
            </w14:solidFill>
          </w14:textFill>
        </w:rPr>
      </w:pPr>
      <w:r>
        <w:rPr>
          <w:rFonts w:eastAsia="楷体_GB2312"/>
          <w:color w:val="000000" w:themeColor="text1"/>
          <w:sz w:val="36"/>
          <w:szCs w:val="36"/>
          <w:highlight w:val="none"/>
          <w14:textFill>
            <w14:solidFill>
              <w14:schemeClr w14:val="tx1"/>
            </w14:solidFill>
          </w14:textFill>
        </w:rPr>
        <w:t>中华人民共和国生态环境部制</w:t>
      </w:r>
    </w:p>
    <w:p w14:paraId="6BAF8AF9">
      <w:pPr>
        <w:adjustRightInd w:val="0"/>
        <w:snapToGrid w:val="0"/>
        <w:spacing w:line="288" w:lineRule="auto"/>
        <w:ind w:firstLine="1040"/>
        <w:rPr>
          <w:rFonts w:eastAsia="仿宋_GB2312"/>
          <w:color w:val="000000" w:themeColor="text1"/>
          <w:sz w:val="36"/>
          <w:szCs w:val="36"/>
          <w:highlight w:val="none"/>
          <w14:textFill>
            <w14:solidFill>
              <w14:schemeClr w14:val="tx1"/>
            </w14:solidFill>
          </w14:textFill>
        </w:rPr>
        <w:sectPr>
          <w:footerReference r:id="rId5" w:type="default"/>
          <w:footerReference r:id="rId6" w:type="even"/>
          <w:pgSz w:w="11905" w:h="16838"/>
          <w:pgMar w:top="1417" w:right="1417" w:bottom="1417" w:left="1417" w:header="851" w:footer="964" w:gutter="0"/>
          <w:pgBorders>
            <w:top w:val="none" w:sz="0" w:space="0"/>
            <w:left w:val="none" w:sz="0" w:space="0"/>
            <w:bottom w:val="none" w:sz="0" w:space="0"/>
            <w:right w:val="none" w:sz="0" w:space="0"/>
          </w:pgBorders>
          <w:pgNumType w:fmt="numberInDash" w:start="21"/>
          <w:cols w:space="720" w:num="1"/>
          <w:rtlGutter w:val="0"/>
          <w:docGrid w:type="linesAndChars" w:linePitch="466" w:charSpace="-2709"/>
        </w:sectPr>
      </w:pPr>
    </w:p>
    <w:p w14:paraId="028584D5">
      <w:pPr>
        <w:pStyle w:val="4"/>
        <w:bidi w:val="0"/>
        <w:jc w:val="left"/>
        <w:rPr>
          <w:color w:val="000000" w:themeColor="text1"/>
          <w:highlight w:val="none"/>
          <w14:textFill>
            <w14:solidFill>
              <w14:schemeClr w14:val="tx1"/>
            </w14:solidFill>
          </w14:textFill>
        </w:rPr>
      </w:pPr>
      <w:bookmarkStart w:id="11" w:name="_GoBack"/>
      <w:bookmarkEnd w:id="11"/>
      <w:r>
        <w:rPr>
          <w:color w:val="000000" w:themeColor="text1"/>
          <w:highlight w:val="none"/>
          <w14:textFill>
            <w14:solidFill>
              <w14:schemeClr w14:val="tx1"/>
            </w14:solidFill>
          </w14:textFill>
        </w:rPr>
        <w:t>一、建设项目基本情况</w:t>
      </w:r>
    </w:p>
    <w:tbl>
      <w:tblPr>
        <w:tblStyle w:val="28"/>
        <w:tblW w:w="93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133"/>
        <w:gridCol w:w="3136"/>
        <w:gridCol w:w="2238"/>
        <w:gridCol w:w="2795"/>
      </w:tblGrid>
      <w:tr w14:paraId="078284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33" w:type="dxa"/>
            <w:noWrap w:val="0"/>
            <w:tcMar>
              <w:top w:w="16" w:type="dxa"/>
              <w:left w:w="16" w:type="dxa"/>
              <w:right w:w="16" w:type="dxa"/>
            </w:tcMar>
            <w:vAlign w:val="center"/>
          </w:tcPr>
          <w:p w14:paraId="4186D9B7">
            <w:pPr>
              <w:keepNext w:val="0"/>
              <w:keepLines w:val="0"/>
              <w:pageBreakBefore w:val="0"/>
              <w:widowControl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建设项目名称</w:t>
            </w:r>
          </w:p>
        </w:tc>
        <w:tc>
          <w:tcPr>
            <w:tcW w:w="8169" w:type="dxa"/>
            <w:gridSpan w:val="3"/>
            <w:noWrap w:val="0"/>
            <w:vAlign w:val="center"/>
          </w:tcPr>
          <w:p w14:paraId="6316702F">
            <w:pPr>
              <w:keepNext w:val="0"/>
              <w:keepLines w:val="0"/>
              <w:pageBreakBefore w:val="0"/>
              <w:kinsoku/>
              <w:wordWrap/>
              <w:overflowPunct/>
              <w:topLinePunct w:val="0"/>
              <w:bidi w:val="0"/>
              <w:adjustRightInd/>
              <w:snapToGrid/>
              <w:ind w:firstLine="0" w:firstLineChars="0"/>
              <w:jc w:val="center"/>
              <w:textAlignment w:val="auto"/>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中卫市宣和镇天景山峁圪垯梁灰石矿矿山生态修复治理项目</w:t>
            </w:r>
          </w:p>
        </w:tc>
      </w:tr>
      <w:tr w14:paraId="5D2035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133" w:type="dxa"/>
            <w:noWrap w:val="0"/>
            <w:tcMar>
              <w:top w:w="16" w:type="dxa"/>
              <w:left w:w="16" w:type="dxa"/>
              <w:right w:w="16" w:type="dxa"/>
            </w:tcMar>
            <w:vAlign w:val="center"/>
          </w:tcPr>
          <w:p w14:paraId="48C29678">
            <w:pPr>
              <w:keepNext w:val="0"/>
              <w:keepLines w:val="0"/>
              <w:pageBreakBefore w:val="0"/>
              <w:widowControl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项目代码</w:t>
            </w:r>
          </w:p>
        </w:tc>
        <w:tc>
          <w:tcPr>
            <w:tcW w:w="8169" w:type="dxa"/>
            <w:gridSpan w:val="3"/>
            <w:noWrap w:val="0"/>
            <w:vAlign w:val="center"/>
          </w:tcPr>
          <w:p w14:paraId="532B6152">
            <w:pPr>
              <w:keepNext w:val="0"/>
              <w:keepLines w:val="0"/>
              <w:pageBreakBefore w:val="0"/>
              <w:kinsoku/>
              <w:wordWrap/>
              <w:overflowPunct/>
              <w:topLinePunct w:val="0"/>
              <w:bidi w:val="0"/>
              <w:adjustRightInd/>
              <w:snapToGrid/>
              <w:ind w:firstLine="0" w:firstLineChars="0"/>
              <w:jc w:val="center"/>
              <w:textAlignment w:val="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2509-640502-15-05-785148</w:t>
            </w:r>
          </w:p>
        </w:tc>
      </w:tr>
      <w:tr w14:paraId="05629E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133" w:type="dxa"/>
            <w:noWrap w:val="0"/>
            <w:tcMar>
              <w:top w:w="16" w:type="dxa"/>
              <w:left w:w="16" w:type="dxa"/>
              <w:right w:w="16" w:type="dxa"/>
            </w:tcMar>
            <w:vAlign w:val="center"/>
          </w:tcPr>
          <w:p w14:paraId="593D61B9">
            <w:pPr>
              <w:keepNext w:val="0"/>
              <w:keepLines w:val="0"/>
              <w:pageBreakBefore w:val="0"/>
              <w:widowControl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建设单位联系人</w:t>
            </w:r>
          </w:p>
        </w:tc>
        <w:tc>
          <w:tcPr>
            <w:tcW w:w="3136" w:type="dxa"/>
            <w:noWrap w:val="0"/>
            <w:vAlign w:val="center"/>
          </w:tcPr>
          <w:p w14:paraId="63799307">
            <w:pPr>
              <w:keepNext w:val="0"/>
              <w:keepLines w:val="0"/>
              <w:pageBreakBefore w:val="0"/>
              <w:kinsoku/>
              <w:wordWrap/>
              <w:overflowPunct/>
              <w:topLinePunct w:val="0"/>
              <w:bidi w:val="0"/>
              <w:adjustRightInd/>
              <w:snapToGrid/>
              <w:ind w:firstLine="0" w:firstLineChars="0"/>
              <w:jc w:val="center"/>
              <w:textAlignment w:val="auto"/>
              <w:rPr>
                <w:color w:val="000000" w:themeColor="text1"/>
                <w:sz w:val="24"/>
                <w:highlight w:val="none"/>
                <w14:textFill>
                  <w14:solidFill>
                    <w14:schemeClr w14:val="tx1"/>
                  </w14:solidFill>
                </w14:textFill>
              </w:rPr>
            </w:pPr>
            <w:r>
              <w:rPr>
                <w:rFonts w:hint="eastAsia" w:cs="Times New Roman"/>
                <w:color w:val="000000" w:themeColor="text1"/>
                <w:sz w:val="24"/>
                <w:highlight w:val="none"/>
                <w14:textFill>
                  <w14:solidFill>
                    <w14:schemeClr w14:val="tx1"/>
                  </w14:solidFill>
                </w14:textFill>
              </w:rPr>
              <w:t>吕亚东</w:t>
            </w:r>
          </w:p>
        </w:tc>
        <w:tc>
          <w:tcPr>
            <w:tcW w:w="2238" w:type="dxa"/>
            <w:noWrap w:val="0"/>
            <w:vAlign w:val="center"/>
          </w:tcPr>
          <w:p w14:paraId="0A0AAB73">
            <w:pPr>
              <w:keepNext w:val="0"/>
              <w:keepLines w:val="0"/>
              <w:pageBreakBefore w:val="0"/>
              <w:kinsoku/>
              <w:wordWrap/>
              <w:overflowPunct/>
              <w:topLinePunct w:val="0"/>
              <w:bidi w:val="0"/>
              <w:adjustRightInd/>
              <w:snapToGrid/>
              <w:ind w:firstLine="0" w:firstLineChars="0"/>
              <w:jc w:val="center"/>
              <w:textAlignment w:val="auto"/>
              <w:rPr>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联系方式</w:t>
            </w:r>
          </w:p>
        </w:tc>
        <w:tc>
          <w:tcPr>
            <w:tcW w:w="2795" w:type="dxa"/>
            <w:noWrap w:val="0"/>
            <w:vAlign w:val="center"/>
          </w:tcPr>
          <w:p w14:paraId="06B1E99D">
            <w:pPr>
              <w:keepNext w:val="0"/>
              <w:keepLines w:val="0"/>
              <w:pageBreakBefore w:val="0"/>
              <w:kinsoku/>
              <w:wordWrap/>
              <w:overflowPunct/>
              <w:topLinePunct w:val="0"/>
              <w:bidi w:val="0"/>
              <w:adjustRightInd/>
              <w:snapToGrid/>
              <w:ind w:firstLine="0" w:firstLineChars="0"/>
              <w:jc w:val="center"/>
              <w:textAlignment w:val="auto"/>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w:t>
            </w:r>
          </w:p>
        </w:tc>
      </w:tr>
      <w:tr w14:paraId="629031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133" w:type="dxa"/>
            <w:noWrap w:val="0"/>
            <w:tcMar>
              <w:top w:w="16" w:type="dxa"/>
              <w:left w:w="16" w:type="dxa"/>
              <w:right w:w="16" w:type="dxa"/>
            </w:tcMar>
            <w:vAlign w:val="center"/>
          </w:tcPr>
          <w:p w14:paraId="1D96FB49">
            <w:pPr>
              <w:keepNext w:val="0"/>
              <w:keepLines w:val="0"/>
              <w:pageBreakBefore w:val="0"/>
              <w:widowControl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建设地点</w:t>
            </w:r>
          </w:p>
        </w:tc>
        <w:tc>
          <w:tcPr>
            <w:tcW w:w="8169" w:type="dxa"/>
            <w:gridSpan w:val="3"/>
            <w:noWrap w:val="0"/>
            <w:vAlign w:val="center"/>
          </w:tcPr>
          <w:p w14:paraId="168286DC">
            <w:pPr>
              <w:keepNext w:val="0"/>
              <w:keepLines w:val="0"/>
              <w:pageBreakBefore w:val="0"/>
              <w:widowControl/>
              <w:kinsoku/>
              <w:wordWrap/>
              <w:overflowPunct/>
              <w:topLinePunct w:val="0"/>
              <w:bidi w:val="0"/>
              <w:adjustRightInd/>
              <w:snapToGrid/>
              <w:ind w:firstLine="0" w:firstLineChars="0"/>
              <w:jc w:val="center"/>
              <w:textAlignment w:val="auto"/>
              <w:rPr>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宁夏</w:t>
            </w:r>
            <w:r>
              <w:rPr>
                <w:rFonts w:hint="eastAsia" w:cs="Times New Roman"/>
                <w:color w:val="000000" w:themeColor="text1"/>
                <w:sz w:val="24"/>
                <w:szCs w:val="24"/>
                <w:highlight w:val="none"/>
                <w:u w:val="none"/>
                <w:lang w:val="en-US" w:eastAsia="zh-CN"/>
                <w14:textFill>
                  <w14:solidFill>
                    <w14:schemeClr w14:val="tx1"/>
                  </w14:solidFill>
                </w14:textFill>
              </w:rPr>
              <w:t>回族自治区</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中卫</w:t>
            </w:r>
            <w:r>
              <w:rPr>
                <w:rFonts w:hint="default" w:ascii="Times New Roman" w:hAnsi="Times New Roman" w:cs="Times New Roman"/>
                <w:color w:val="000000" w:themeColor="text1"/>
                <w:sz w:val="24"/>
                <w:szCs w:val="24"/>
                <w:highlight w:val="none"/>
                <w:u w:val="none"/>
                <w14:textFill>
                  <w14:solidFill>
                    <w14:schemeClr w14:val="tx1"/>
                  </w14:solidFill>
                </w14:textFill>
              </w:rPr>
              <w:t>市</w:t>
            </w:r>
            <w:r>
              <w:rPr>
                <w:rFonts w:hint="default" w:ascii="Times New Roman" w:hAnsi="Times New Roman" w:cs="Times New Roman"/>
                <w:color w:val="000000" w:themeColor="text1"/>
                <w:sz w:val="24"/>
                <w:szCs w:val="24"/>
                <w:highlight w:val="none"/>
                <w:u w:val="none"/>
                <w14:textFill>
                  <w14:solidFill>
                    <w14:schemeClr w14:val="tx1"/>
                  </w14:solidFill>
                </w14:textFill>
              </w:rPr>
              <w:t>沙坡头</w:t>
            </w:r>
            <w:r>
              <w:rPr>
                <w:rFonts w:hint="eastAsia" w:cs="Times New Roman"/>
                <w:color w:val="000000" w:themeColor="text1"/>
                <w:sz w:val="24"/>
                <w:szCs w:val="24"/>
                <w:highlight w:val="none"/>
                <w:u w:val="none"/>
                <w:lang w:val="en-US" w:eastAsia="zh-CN"/>
                <w14:textFill>
                  <w14:solidFill>
                    <w14:schemeClr w14:val="tx1"/>
                  </w14:solidFill>
                </w14:textFill>
              </w:rPr>
              <w:t>宣和</w:t>
            </w:r>
            <w:r>
              <w:rPr>
                <w:rFonts w:hint="default" w:ascii="Times New Roman" w:hAnsi="Times New Roman" w:cs="Times New Roman"/>
                <w:color w:val="000000" w:themeColor="text1"/>
                <w:sz w:val="24"/>
                <w:szCs w:val="24"/>
                <w:highlight w:val="none"/>
                <w:u w:val="none"/>
                <w14:textFill>
                  <w14:solidFill>
                    <w14:schemeClr w14:val="tx1"/>
                  </w14:solidFill>
                </w14:textFill>
              </w:rPr>
              <w:t>镇</w:t>
            </w:r>
          </w:p>
        </w:tc>
      </w:tr>
      <w:tr w14:paraId="0D49D7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133" w:type="dxa"/>
            <w:noWrap w:val="0"/>
            <w:tcMar>
              <w:top w:w="16" w:type="dxa"/>
              <w:left w:w="16" w:type="dxa"/>
              <w:right w:w="16" w:type="dxa"/>
            </w:tcMar>
            <w:vAlign w:val="center"/>
          </w:tcPr>
          <w:p w14:paraId="25F27FDC">
            <w:pPr>
              <w:keepNext w:val="0"/>
              <w:keepLines w:val="0"/>
              <w:pageBreakBefore w:val="0"/>
              <w:widowControl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地理坐标</w:t>
            </w:r>
          </w:p>
        </w:tc>
        <w:tc>
          <w:tcPr>
            <w:tcW w:w="8169" w:type="dxa"/>
            <w:gridSpan w:val="3"/>
            <w:noWrap w:val="0"/>
            <w:vAlign w:val="center"/>
          </w:tcPr>
          <w:p w14:paraId="476A907E">
            <w:pPr>
              <w:keepNext w:val="0"/>
              <w:keepLines w:val="0"/>
              <w:pageBreakBefore w:val="0"/>
              <w:kinsoku/>
              <w:wordWrap/>
              <w:overflowPunct/>
              <w:topLinePunct w:val="0"/>
              <w:bidi w:val="0"/>
              <w:adjustRightInd/>
              <w:snapToGrid/>
              <w:ind w:firstLine="0" w:firstLineChars="0"/>
              <w:jc w:val="center"/>
              <w:textAlignment w:val="auto"/>
              <w:rPr>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u w:val="single"/>
                <w:lang w:val="en-US" w:eastAsia="zh-CN"/>
                <w14:textFill>
                  <w14:solidFill>
                    <w14:schemeClr w14:val="tx1"/>
                  </w14:solidFill>
                </w14:textFill>
              </w:rPr>
              <w:t>105</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度</w:t>
            </w:r>
            <w:r>
              <w:rPr>
                <w:rFonts w:hint="eastAsia" w:cs="Times New Roman"/>
                <w:color w:val="000000" w:themeColor="text1"/>
                <w:sz w:val="24"/>
                <w:szCs w:val="24"/>
                <w:highlight w:val="none"/>
                <w:u w:val="single"/>
                <w:lang w:val="en-US" w:eastAsia="zh-CN"/>
                <w14:textFill>
                  <w14:solidFill>
                    <w14:schemeClr w14:val="tx1"/>
                  </w14:solidFill>
                </w14:textFill>
              </w:rPr>
              <w:t>27</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分</w:t>
            </w:r>
            <w:r>
              <w:rPr>
                <w:rFonts w:hint="eastAsia" w:cs="Times New Roman"/>
                <w:color w:val="000000" w:themeColor="text1"/>
                <w:sz w:val="24"/>
                <w:szCs w:val="24"/>
                <w:highlight w:val="none"/>
                <w:u w:val="single"/>
                <w:lang w:val="en-US" w:eastAsia="zh-CN"/>
                <w14:textFill>
                  <w14:solidFill>
                    <w14:schemeClr w14:val="tx1"/>
                  </w14:solidFill>
                </w14:textFill>
              </w:rPr>
              <w:t>46.018</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秒，</w:t>
            </w:r>
            <w:r>
              <w:rPr>
                <w:rFonts w:hint="eastAsia" w:cs="Times New Roman"/>
                <w:color w:val="000000" w:themeColor="text1"/>
                <w:sz w:val="24"/>
                <w:szCs w:val="24"/>
                <w:highlight w:val="none"/>
                <w:u w:val="single"/>
                <w:lang w:val="en-US" w:eastAsia="zh-CN"/>
                <w14:textFill>
                  <w14:solidFill>
                    <w14:schemeClr w14:val="tx1"/>
                  </w14:solidFill>
                </w14:textFill>
              </w:rPr>
              <w:t>37</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度</w:t>
            </w:r>
            <w:r>
              <w:rPr>
                <w:rFonts w:hint="eastAsia" w:cs="Times New Roman"/>
                <w:color w:val="000000" w:themeColor="text1"/>
                <w:sz w:val="24"/>
                <w:szCs w:val="24"/>
                <w:highlight w:val="none"/>
                <w:u w:val="single"/>
                <w:lang w:val="en-US" w:eastAsia="zh-CN"/>
                <w14:textFill>
                  <w14:solidFill>
                    <w14:schemeClr w14:val="tx1"/>
                  </w14:solidFill>
                </w14:textFill>
              </w:rPr>
              <w:t>17</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分</w:t>
            </w:r>
            <w:r>
              <w:rPr>
                <w:rFonts w:hint="eastAsia" w:cs="Times New Roman"/>
                <w:color w:val="000000" w:themeColor="text1"/>
                <w:sz w:val="24"/>
                <w:szCs w:val="24"/>
                <w:highlight w:val="none"/>
                <w:u w:val="single"/>
                <w:lang w:val="en-US" w:eastAsia="zh-CN"/>
                <w14:textFill>
                  <w14:solidFill>
                    <w14:schemeClr w14:val="tx1"/>
                  </w14:solidFill>
                </w14:textFill>
              </w:rPr>
              <w:t>20.144</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秒</w:t>
            </w:r>
          </w:p>
        </w:tc>
      </w:tr>
      <w:tr w14:paraId="6F1B95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1133" w:type="dxa"/>
            <w:noWrap w:val="0"/>
            <w:tcMar>
              <w:top w:w="16" w:type="dxa"/>
              <w:left w:w="16" w:type="dxa"/>
              <w:right w:w="16" w:type="dxa"/>
            </w:tcMar>
            <w:vAlign w:val="center"/>
          </w:tcPr>
          <w:p w14:paraId="0A4F5D38">
            <w:pPr>
              <w:keepNext w:val="0"/>
              <w:keepLines w:val="0"/>
              <w:pageBreakBefore w:val="0"/>
              <w:widowControl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建设项目</w:t>
            </w:r>
          </w:p>
          <w:p w14:paraId="12DF6AB5">
            <w:pPr>
              <w:keepNext w:val="0"/>
              <w:keepLines w:val="0"/>
              <w:pageBreakBefore w:val="0"/>
              <w:widowControl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行业类别</w:t>
            </w:r>
          </w:p>
        </w:tc>
        <w:tc>
          <w:tcPr>
            <w:tcW w:w="3136" w:type="dxa"/>
            <w:noWrap w:val="0"/>
            <w:vAlign w:val="center"/>
          </w:tcPr>
          <w:p w14:paraId="447419C0">
            <w:pPr>
              <w:pStyle w:val="18"/>
              <w:keepNext w:val="0"/>
              <w:keepLines w:val="0"/>
              <w:pageBreakBefore w:val="0"/>
              <w:kinsoku/>
              <w:wordWrap/>
              <w:overflowPunct/>
              <w:topLinePunct w:val="0"/>
              <w:bidi w:val="0"/>
              <w:adjustRightInd/>
              <w:snapToGrid/>
              <w:ind w:firstLine="0" w:firstLineChars="0"/>
              <w:jc w:val="center"/>
              <w:textAlignment w:val="auto"/>
              <w:rPr>
                <w:rFonts w:hint="default" w:eastAsia="宋体"/>
                <w:color w:val="000000" w:themeColor="text1"/>
                <w:sz w:val="24"/>
                <w:szCs w:val="24"/>
                <w:highlight w:val="none"/>
                <w:lang w:val="en-US" w:eastAsia="zh-CN"/>
                <w14:textFill>
                  <w14:solidFill>
                    <w14:schemeClr w14:val="tx1"/>
                  </w14:solidFill>
                </w14:textFill>
              </w:rPr>
            </w:pPr>
            <w:r>
              <w:rPr>
                <w:rFonts w:hint="default" w:cs="Times New Roman"/>
                <w:color w:val="000000" w:themeColor="text1"/>
                <w:sz w:val="24"/>
                <w:szCs w:val="24"/>
                <w:highlight w:val="none"/>
                <w14:textFill>
                  <w14:solidFill>
                    <w14:schemeClr w14:val="tx1"/>
                  </w14:solidFill>
                </w14:textFill>
              </w:rPr>
              <w:t>八、非金属矿采选业1</w:t>
            </w:r>
            <w:r>
              <w:rPr>
                <w:rFonts w:hint="eastAsia" w:cs="Times New Roman"/>
                <w:color w:val="000000" w:themeColor="text1"/>
                <w:sz w:val="24"/>
                <w:szCs w:val="24"/>
                <w:highlight w:val="none"/>
                <w:lang w:val="en-US" w:eastAsia="zh-CN"/>
                <w14:textFill>
                  <w14:solidFill>
                    <w14:schemeClr w14:val="tx1"/>
                  </w14:solidFill>
                </w14:textFill>
              </w:rPr>
              <w:t>1</w:t>
            </w:r>
            <w:r>
              <w:rPr>
                <w:rFonts w:hint="default" w:cs="Times New Roman"/>
                <w:color w:val="000000" w:themeColor="text1"/>
                <w:sz w:val="24"/>
                <w:szCs w:val="24"/>
                <w:highlight w:val="none"/>
                <w14:textFill>
                  <w14:solidFill>
                    <w14:schemeClr w14:val="tx1"/>
                  </w14:solidFill>
                </w14:textFill>
              </w:rPr>
              <w:t>土砂石开采101(不含河道采砂项目)</w:t>
            </w:r>
          </w:p>
        </w:tc>
        <w:tc>
          <w:tcPr>
            <w:tcW w:w="2238" w:type="dxa"/>
            <w:noWrap w:val="0"/>
            <w:vAlign w:val="center"/>
          </w:tcPr>
          <w:p w14:paraId="72AE880E">
            <w:pPr>
              <w:keepNext w:val="0"/>
              <w:keepLines w:val="0"/>
              <w:pageBreakBefore w:val="0"/>
              <w:kinsoku/>
              <w:wordWrap/>
              <w:overflowPunct/>
              <w:topLinePunct w:val="0"/>
              <w:bidi w:val="0"/>
              <w:adjustRightInd/>
              <w:snapToGrid/>
              <w:ind w:firstLine="0" w:firstLineChars="0"/>
              <w:jc w:val="center"/>
              <w:textAlignment w:val="auto"/>
              <w:rPr>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用地（用海）面积（m</w:t>
            </w:r>
            <w:r>
              <w:rPr>
                <w:b/>
                <w:bCs/>
                <w:color w:val="000000" w:themeColor="text1"/>
                <w:sz w:val="24"/>
                <w:highlight w:val="none"/>
                <w:vertAlign w:val="superscript"/>
                <w14:textFill>
                  <w14:solidFill>
                    <w14:schemeClr w14:val="tx1"/>
                  </w14:solidFill>
                </w14:textFill>
              </w:rPr>
              <w:t>2</w:t>
            </w:r>
            <w:r>
              <w:rPr>
                <w:b/>
                <w:bCs/>
                <w:color w:val="000000" w:themeColor="text1"/>
                <w:sz w:val="24"/>
                <w:highlight w:val="none"/>
                <w14:textFill>
                  <w14:solidFill>
                    <w14:schemeClr w14:val="tx1"/>
                  </w14:solidFill>
                </w14:textFill>
              </w:rPr>
              <w:t>）/长度（km</w:t>
            </w:r>
            <w:r>
              <w:rPr>
                <w:color w:val="000000" w:themeColor="text1"/>
                <w:sz w:val="24"/>
                <w:highlight w:val="none"/>
                <w14:textFill>
                  <w14:solidFill>
                    <w14:schemeClr w14:val="tx1"/>
                  </w14:solidFill>
                </w14:textFill>
              </w:rPr>
              <w:t>）</w:t>
            </w:r>
          </w:p>
        </w:tc>
        <w:tc>
          <w:tcPr>
            <w:tcW w:w="2795" w:type="dxa"/>
            <w:noWrap w:val="0"/>
            <w:vAlign w:val="center"/>
          </w:tcPr>
          <w:p w14:paraId="7BC89A3A">
            <w:pPr>
              <w:keepNext w:val="0"/>
              <w:keepLines w:val="0"/>
              <w:pageBreakBefore w:val="0"/>
              <w:kinsoku/>
              <w:wordWrap/>
              <w:overflowPunct/>
              <w:topLinePunct w:val="0"/>
              <w:bidi w:val="0"/>
              <w:adjustRightInd/>
              <w:snapToGrid/>
              <w:ind w:firstLine="0" w:firstLineChars="0"/>
              <w:jc w:val="center"/>
              <w:textAlignment w:val="auto"/>
              <w:rPr>
                <w:rFonts w:hint="default"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生态修复面积：941700</w:t>
            </w:r>
            <w:r>
              <w:rPr>
                <w:rFonts w:hint="default" w:ascii="Times New Roman" w:hAnsi="Times New Roman" w:cs="Times New Roman"/>
                <w:b w:val="0"/>
                <w:bCs w:val="0"/>
                <w:color w:val="000000" w:themeColor="text1"/>
                <w:sz w:val="24"/>
                <w:szCs w:val="24"/>
                <w:highlight w:val="none"/>
                <w14:textFill>
                  <w14:solidFill>
                    <w14:schemeClr w14:val="tx1"/>
                  </w14:solidFill>
                </w14:textFill>
              </w:rPr>
              <w:t>m</w:t>
            </w:r>
            <w:r>
              <w:rPr>
                <w:rFonts w:hint="default" w:ascii="Times New Roman" w:hAnsi="Times New Roman" w:cs="Times New Roman"/>
                <w:b w:val="0"/>
                <w:bCs w:val="0"/>
                <w:color w:val="000000" w:themeColor="text1"/>
                <w:sz w:val="24"/>
                <w:szCs w:val="24"/>
                <w:highlight w:val="none"/>
                <w:vertAlign w:val="superscript"/>
                <w14:textFill>
                  <w14:solidFill>
                    <w14:schemeClr w14:val="tx1"/>
                  </w14:solidFill>
                </w14:textFill>
              </w:rPr>
              <w:t>2</w:t>
            </w:r>
          </w:p>
        </w:tc>
      </w:tr>
      <w:tr w14:paraId="784C13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1133" w:type="dxa"/>
            <w:noWrap w:val="0"/>
            <w:tcMar>
              <w:top w:w="16" w:type="dxa"/>
              <w:left w:w="16" w:type="dxa"/>
              <w:right w:w="16" w:type="dxa"/>
            </w:tcMar>
            <w:vAlign w:val="center"/>
          </w:tcPr>
          <w:p w14:paraId="5170B902">
            <w:pPr>
              <w:keepNext w:val="0"/>
              <w:keepLines w:val="0"/>
              <w:pageBreakBefore w:val="0"/>
              <w:widowControl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建设性质</w:t>
            </w:r>
          </w:p>
        </w:tc>
        <w:tc>
          <w:tcPr>
            <w:tcW w:w="3136" w:type="dxa"/>
            <w:noWrap w:val="0"/>
            <w:vAlign w:val="center"/>
          </w:tcPr>
          <w:p w14:paraId="281DC94E">
            <w:pPr>
              <w:keepNext w:val="0"/>
              <w:keepLines w:val="0"/>
              <w:pageBreakBefore w:val="0"/>
              <w:kinsoku/>
              <w:wordWrap/>
              <w:overflowPunct/>
              <w:topLinePunct w:val="0"/>
              <w:bidi w:val="0"/>
              <w:adjustRightInd/>
              <w:snapToGrid/>
              <w:ind w:firstLine="0" w:firstLineChars="0"/>
              <w:jc w:val="left"/>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sym w:font="Wingdings 2" w:char="0052"/>
            </w:r>
            <w:r>
              <w:rPr>
                <w:color w:val="000000" w:themeColor="text1"/>
                <w:sz w:val="24"/>
                <w:highlight w:val="none"/>
                <w14:textFill>
                  <w14:solidFill>
                    <w14:schemeClr w14:val="tx1"/>
                  </w14:solidFill>
                </w14:textFill>
              </w:rPr>
              <w:t>新建（迁建）</w:t>
            </w:r>
          </w:p>
          <w:p w14:paraId="79A40EC0">
            <w:pPr>
              <w:keepNext w:val="0"/>
              <w:keepLines w:val="0"/>
              <w:pageBreakBefore w:val="0"/>
              <w:kinsoku/>
              <w:wordWrap/>
              <w:overflowPunct/>
              <w:topLinePunct w:val="0"/>
              <w:bidi w:val="0"/>
              <w:adjustRightInd/>
              <w:snapToGrid/>
              <w:ind w:firstLine="0" w:firstLineChars="0"/>
              <w:jc w:val="left"/>
              <w:textAlignment w:val="auto"/>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改建</w:t>
            </w:r>
          </w:p>
          <w:p w14:paraId="592A9E9A">
            <w:pPr>
              <w:keepNext w:val="0"/>
              <w:keepLines w:val="0"/>
              <w:pageBreakBefore w:val="0"/>
              <w:kinsoku/>
              <w:wordWrap/>
              <w:overflowPunct/>
              <w:topLinePunct w:val="0"/>
              <w:bidi w:val="0"/>
              <w:adjustRightInd/>
              <w:snapToGrid/>
              <w:ind w:firstLine="0" w:firstLineChars="0"/>
              <w:jc w:val="left"/>
              <w:textAlignment w:val="auto"/>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扩建</w:t>
            </w:r>
          </w:p>
          <w:p w14:paraId="2B9CE7E2">
            <w:pPr>
              <w:keepNext w:val="0"/>
              <w:keepLines w:val="0"/>
              <w:pageBreakBefore w:val="0"/>
              <w:kinsoku/>
              <w:wordWrap/>
              <w:overflowPunct/>
              <w:topLinePunct w:val="0"/>
              <w:bidi w:val="0"/>
              <w:adjustRightInd/>
              <w:snapToGrid/>
              <w:ind w:firstLine="0" w:firstLineChars="0"/>
              <w:jc w:val="left"/>
              <w:textAlignment w:val="auto"/>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技术改造</w:t>
            </w:r>
          </w:p>
        </w:tc>
        <w:tc>
          <w:tcPr>
            <w:tcW w:w="2238" w:type="dxa"/>
            <w:noWrap w:val="0"/>
            <w:vAlign w:val="center"/>
          </w:tcPr>
          <w:p w14:paraId="6D1271B7">
            <w:pPr>
              <w:keepNext w:val="0"/>
              <w:keepLines w:val="0"/>
              <w:pageBreakBefore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建设项目</w:t>
            </w:r>
          </w:p>
          <w:p w14:paraId="350C3BF1">
            <w:pPr>
              <w:keepNext w:val="0"/>
              <w:keepLines w:val="0"/>
              <w:pageBreakBefore w:val="0"/>
              <w:kinsoku/>
              <w:wordWrap/>
              <w:overflowPunct/>
              <w:topLinePunct w:val="0"/>
              <w:bidi w:val="0"/>
              <w:adjustRightInd/>
              <w:snapToGrid/>
              <w:ind w:firstLine="0" w:firstLineChars="0"/>
              <w:jc w:val="center"/>
              <w:textAlignment w:val="auto"/>
              <w:rPr>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申报情形</w:t>
            </w:r>
          </w:p>
        </w:tc>
        <w:tc>
          <w:tcPr>
            <w:tcW w:w="2795" w:type="dxa"/>
            <w:noWrap w:val="0"/>
            <w:vAlign w:val="center"/>
          </w:tcPr>
          <w:p w14:paraId="011CD4F5">
            <w:pPr>
              <w:keepNext w:val="0"/>
              <w:keepLines w:val="0"/>
              <w:pageBreakBefore w:val="0"/>
              <w:kinsoku/>
              <w:wordWrap/>
              <w:overflowPunct/>
              <w:topLinePunct w:val="0"/>
              <w:bidi w:val="0"/>
              <w:adjustRightInd/>
              <w:snapToGrid/>
              <w:ind w:firstLine="0" w:firstLineChars="0"/>
              <w:jc w:val="left"/>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sym w:font="Wingdings 2" w:char="0052"/>
            </w:r>
            <w:r>
              <w:rPr>
                <w:color w:val="000000" w:themeColor="text1"/>
                <w:sz w:val="24"/>
                <w:highlight w:val="none"/>
                <w14:textFill>
                  <w14:solidFill>
                    <w14:schemeClr w14:val="tx1"/>
                  </w14:solidFill>
                </w14:textFill>
              </w:rPr>
              <w:t>首次申报项目</w:t>
            </w:r>
          </w:p>
          <w:p w14:paraId="3FC216BC">
            <w:pPr>
              <w:keepNext w:val="0"/>
              <w:keepLines w:val="0"/>
              <w:pageBreakBefore w:val="0"/>
              <w:kinsoku/>
              <w:wordWrap/>
              <w:overflowPunct/>
              <w:topLinePunct w:val="0"/>
              <w:bidi w:val="0"/>
              <w:adjustRightInd/>
              <w:snapToGrid/>
              <w:ind w:firstLine="0" w:firstLineChars="0"/>
              <w:jc w:val="left"/>
              <w:textAlignment w:val="auto"/>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不予批准后再次申报项目</w:t>
            </w:r>
          </w:p>
          <w:p w14:paraId="44E8F9D5">
            <w:pPr>
              <w:keepNext w:val="0"/>
              <w:keepLines w:val="0"/>
              <w:pageBreakBefore w:val="0"/>
              <w:kinsoku/>
              <w:wordWrap/>
              <w:overflowPunct/>
              <w:topLinePunct w:val="0"/>
              <w:bidi w:val="0"/>
              <w:adjustRightInd/>
              <w:snapToGrid/>
              <w:ind w:firstLine="0" w:firstLineChars="0"/>
              <w:jc w:val="left"/>
              <w:textAlignment w:val="auto"/>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超五年重新审核项目</w:t>
            </w:r>
          </w:p>
          <w:p w14:paraId="79BDE42A">
            <w:pPr>
              <w:keepNext w:val="0"/>
              <w:keepLines w:val="0"/>
              <w:pageBreakBefore w:val="0"/>
              <w:kinsoku/>
              <w:wordWrap/>
              <w:overflowPunct/>
              <w:topLinePunct w:val="0"/>
              <w:bidi w:val="0"/>
              <w:adjustRightInd/>
              <w:snapToGrid/>
              <w:ind w:firstLine="0" w:firstLineChars="0"/>
              <w:jc w:val="left"/>
              <w:textAlignment w:val="auto"/>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重大变动重新报批项目</w:t>
            </w:r>
          </w:p>
        </w:tc>
      </w:tr>
      <w:tr w14:paraId="0B420A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62" w:hRule="atLeast"/>
          <w:jc w:val="center"/>
        </w:trPr>
        <w:tc>
          <w:tcPr>
            <w:tcW w:w="1133" w:type="dxa"/>
            <w:noWrap w:val="0"/>
            <w:tcMar>
              <w:top w:w="16" w:type="dxa"/>
              <w:left w:w="16" w:type="dxa"/>
              <w:right w:w="16" w:type="dxa"/>
            </w:tcMar>
            <w:vAlign w:val="center"/>
          </w:tcPr>
          <w:p w14:paraId="5E4CA45D">
            <w:pPr>
              <w:keepNext w:val="0"/>
              <w:keepLines w:val="0"/>
              <w:pageBreakBefore w:val="0"/>
              <w:widowControl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项目审批（核准/</w:t>
            </w:r>
          </w:p>
          <w:p w14:paraId="5C119740">
            <w:pPr>
              <w:keepNext w:val="0"/>
              <w:keepLines w:val="0"/>
              <w:pageBreakBefore w:val="0"/>
              <w:widowControl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备案）部门（选填）</w:t>
            </w:r>
          </w:p>
        </w:tc>
        <w:tc>
          <w:tcPr>
            <w:tcW w:w="3136" w:type="dxa"/>
            <w:noWrap w:val="0"/>
            <w:vAlign w:val="center"/>
          </w:tcPr>
          <w:p w14:paraId="229ABFB6">
            <w:pPr>
              <w:keepNext w:val="0"/>
              <w:keepLines w:val="0"/>
              <w:pageBreakBefore w:val="0"/>
              <w:kinsoku/>
              <w:wordWrap/>
              <w:overflowPunct/>
              <w:topLinePunct w:val="0"/>
              <w:bidi w:val="0"/>
              <w:adjustRightInd/>
              <w:snapToGrid/>
              <w:ind w:firstLine="0" w:firstLineChars="0"/>
              <w:jc w:val="center"/>
              <w:textAlignment w:val="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中卫市沙坡头区发展和改革局</w:t>
            </w:r>
          </w:p>
        </w:tc>
        <w:tc>
          <w:tcPr>
            <w:tcW w:w="2238" w:type="dxa"/>
            <w:noWrap w:val="0"/>
            <w:vAlign w:val="center"/>
          </w:tcPr>
          <w:p w14:paraId="648434E4">
            <w:pPr>
              <w:keepNext w:val="0"/>
              <w:keepLines w:val="0"/>
              <w:pageBreakBefore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项目审批（核准/</w:t>
            </w:r>
          </w:p>
          <w:p w14:paraId="6CB09EE9">
            <w:pPr>
              <w:keepNext w:val="0"/>
              <w:keepLines w:val="0"/>
              <w:pageBreakBefore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备案）文号（选填）</w:t>
            </w:r>
          </w:p>
        </w:tc>
        <w:tc>
          <w:tcPr>
            <w:tcW w:w="2795" w:type="dxa"/>
            <w:noWrap w:val="0"/>
            <w:vAlign w:val="center"/>
          </w:tcPr>
          <w:p w14:paraId="16C88E0C">
            <w:pPr>
              <w:keepNext w:val="0"/>
              <w:keepLines w:val="0"/>
              <w:pageBreakBefore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卫沙发改(审批)发〔202</w:t>
            </w:r>
            <w:r>
              <w:rPr>
                <w:rFonts w:hint="eastAsia"/>
                <w:color w:val="000000" w:themeColor="text1"/>
                <w:sz w:val="24"/>
                <w:highlight w:val="none"/>
                <w:lang w:val="en-US" w:eastAsia="zh-CN"/>
                <w14:textFill>
                  <w14:solidFill>
                    <w14:schemeClr w14:val="tx1"/>
                  </w14:solidFill>
                </w14:textFill>
              </w:rPr>
              <w:t>5</w:t>
            </w:r>
            <w:r>
              <w:rPr>
                <w:rStyle w:val="35"/>
                <w:rFonts w:hint="eastAsia" w:ascii="宋体" w:hAnsi="宋体" w:cs="宋体"/>
                <w:color w:val="000000" w:themeColor="text1"/>
                <w:kern w:val="0"/>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100</w:t>
            </w:r>
            <w:r>
              <w:rPr>
                <w:rFonts w:hint="eastAsia"/>
                <w:color w:val="000000" w:themeColor="text1"/>
                <w:sz w:val="24"/>
                <w:highlight w:val="none"/>
                <w14:textFill>
                  <w14:solidFill>
                    <w14:schemeClr w14:val="tx1"/>
                  </w14:solidFill>
                </w14:textFill>
              </w:rPr>
              <w:t>号</w:t>
            </w:r>
          </w:p>
        </w:tc>
      </w:tr>
      <w:tr w14:paraId="62B123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133" w:type="dxa"/>
            <w:noWrap w:val="0"/>
            <w:tcMar>
              <w:top w:w="16" w:type="dxa"/>
              <w:left w:w="16" w:type="dxa"/>
              <w:right w:w="16" w:type="dxa"/>
            </w:tcMar>
            <w:vAlign w:val="center"/>
          </w:tcPr>
          <w:p w14:paraId="6527D194">
            <w:pPr>
              <w:keepNext w:val="0"/>
              <w:keepLines w:val="0"/>
              <w:pageBreakBefore w:val="0"/>
              <w:widowControl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总投资（万元）</w:t>
            </w:r>
          </w:p>
        </w:tc>
        <w:tc>
          <w:tcPr>
            <w:tcW w:w="3136" w:type="dxa"/>
            <w:noWrap w:val="0"/>
            <w:vAlign w:val="center"/>
          </w:tcPr>
          <w:p w14:paraId="4842C58B">
            <w:pPr>
              <w:keepNext w:val="0"/>
              <w:keepLines w:val="0"/>
              <w:pageBreakBefore w:val="0"/>
              <w:kinsoku/>
              <w:wordWrap/>
              <w:overflowPunct/>
              <w:topLinePunct w:val="0"/>
              <w:bidi w:val="0"/>
              <w:adjustRightInd/>
              <w:snapToGrid/>
              <w:ind w:firstLine="0" w:firstLineChars="0"/>
              <w:jc w:val="center"/>
              <w:textAlignment w:val="auto"/>
              <w:rPr>
                <w:color w:val="000000" w:themeColor="text1"/>
                <w:sz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368.59</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万元</w:t>
            </w:r>
          </w:p>
        </w:tc>
        <w:tc>
          <w:tcPr>
            <w:tcW w:w="2238" w:type="dxa"/>
            <w:noWrap w:val="0"/>
            <w:tcMar>
              <w:top w:w="16" w:type="dxa"/>
              <w:left w:w="16" w:type="dxa"/>
              <w:right w:w="16" w:type="dxa"/>
            </w:tcMar>
            <w:vAlign w:val="center"/>
          </w:tcPr>
          <w:p w14:paraId="4868E9E1">
            <w:pPr>
              <w:keepNext w:val="0"/>
              <w:keepLines w:val="0"/>
              <w:pageBreakBefore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环保投资（万元）</w:t>
            </w:r>
          </w:p>
        </w:tc>
        <w:tc>
          <w:tcPr>
            <w:tcW w:w="2795" w:type="dxa"/>
            <w:noWrap w:val="0"/>
            <w:vAlign w:val="center"/>
          </w:tcPr>
          <w:p w14:paraId="4E3372AE">
            <w:pPr>
              <w:keepNext w:val="0"/>
              <w:keepLines w:val="0"/>
              <w:pageBreakBefore w:val="0"/>
              <w:kinsoku/>
              <w:wordWrap/>
              <w:overflowPunct/>
              <w:topLinePunct w:val="0"/>
              <w:bidi w:val="0"/>
              <w:adjustRightInd/>
              <w:snapToGrid/>
              <w:ind w:firstLine="0" w:firstLineChars="0"/>
              <w:jc w:val="center"/>
              <w:textAlignment w:val="auto"/>
              <w:rPr>
                <w:color w:val="000000" w:themeColor="text1"/>
                <w:sz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368.59</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万元</w:t>
            </w:r>
          </w:p>
        </w:tc>
      </w:tr>
      <w:tr w14:paraId="2551E5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1133" w:type="dxa"/>
            <w:noWrap w:val="0"/>
            <w:tcMar>
              <w:top w:w="16" w:type="dxa"/>
              <w:left w:w="16" w:type="dxa"/>
              <w:right w:w="16" w:type="dxa"/>
            </w:tcMar>
            <w:vAlign w:val="center"/>
          </w:tcPr>
          <w:p w14:paraId="400FFCBA">
            <w:pPr>
              <w:keepNext w:val="0"/>
              <w:keepLines w:val="0"/>
              <w:pageBreakBefore w:val="0"/>
              <w:widowControl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环保投资占比（%）</w:t>
            </w:r>
          </w:p>
        </w:tc>
        <w:tc>
          <w:tcPr>
            <w:tcW w:w="3136" w:type="dxa"/>
            <w:noWrap w:val="0"/>
            <w:vAlign w:val="center"/>
          </w:tcPr>
          <w:p w14:paraId="56701F27">
            <w:pPr>
              <w:keepNext w:val="0"/>
              <w:keepLines w:val="0"/>
              <w:pageBreakBefore w:val="0"/>
              <w:kinsoku/>
              <w:wordWrap/>
              <w:overflowPunct/>
              <w:topLinePunct w:val="0"/>
              <w:bidi w:val="0"/>
              <w:adjustRightInd/>
              <w:snapToGrid/>
              <w:ind w:firstLine="0" w:firstLineChars="0"/>
              <w:jc w:val="center"/>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100%</w:t>
            </w:r>
          </w:p>
        </w:tc>
        <w:tc>
          <w:tcPr>
            <w:tcW w:w="2238" w:type="dxa"/>
            <w:noWrap w:val="0"/>
            <w:tcMar>
              <w:top w:w="16" w:type="dxa"/>
              <w:left w:w="16" w:type="dxa"/>
              <w:right w:w="16" w:type="dxa"/>
            </w:tcMar>
            <w:vAlign w:val="center"/>
          </w:tcPr>
          <w:p w14:paraId="6209F096">
            <w:pPr>
              <w:keepNext w:val="0"/>
              <w:keepLines w:val="0"/>
              <w:pageBreakBefore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施工工期</w:t>
            </w:r>
          </w:p>
          <w:p w14:paraId="05952D38">
            <w:pPr>
              <w:rPr>
                <w:color w:val="000000" w:themeColor="text1"/>
                <w:highlight w:val="none"/>
                <w14:textFill>
                  <w14:solidFill>
                    <w14:schemeClr w14:val="tx1"/>
                  </w14:solidFill>
                </w14:textFill>
              </w:rPr>
            </w:pPr>
          </w:p>
        </w:tc>
        <w:tc>
          <w:tcPr>
            <w:tcW w:w="2795" w:type="dxa"/>
            <w:noWrap w:val="0"/>
            <w:vAlign w:val="center"/>
          </w:tcPr>
          <w:p w14:paraId="122A9609">
            <w:pPr>
              <w:keepNext w:val="0"/>
              <w:keepLines w:val="0"/>
              <w:pageBreakBefore w:val="0"/>
              <w:kinsoku/>
              <w:wordWrap/>
              <w:overflowPunct/>
              <w:topLinePunct w:val="0"/>
              <w:bidi w:val="0"/>
              <w:adjustRightInd/>
              <w:snapToGrid/>
              <w:ind w:firstLine="0" w:firstLineChars="0"/>
              <w:jc w:val="center"/>
              <w:textAlignment w:val="auto"/>
              <w:rPr>
                <w:rFonts w:hint="default"/>
                <w:color w:val="000000" w:themeColor="text1"/>
                <w:sz w:val="24"/>
                <w:highlight w:val="none"/>
                <w:lang w:val="en-US"/>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1个月</w:t>
            </w:r>
          </w:p>
        </w:tc>
      </w:tr>
      <w:tr w14:paraId="62B54E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1" w:hRule="atLeast"/>
          <w:jc w:val="center"/>
        </w:trPr>
        <w:tc>
          <w:tcPr>
            <w:tcW w:w="1133" w:type="dxa"/>
            <w:noWrap w:val="0"/>
            <w:tcMar>
              <w:top w:w="16" w:type="dxa"/>
              <w:left w:w="16" w:type="dxa"/>
              <w:right w:w="16" w:type="dxa"/>
            </w:tcMar>
            <w:vAlign w:val="center"/>
          </w:tcPr>
          <w:p w14:paraId="1B38DD75">
            <w:pPr>
              <w:keepNext w:val="0"/>
              <w:keepLines w:val="0"/>
              <w:pageBreakBefore w:val="0"/>
              <w:widowControl w:val="0"/>
              <w:kinsoku/>
              <w:wordWrap/>
              <w:overflowPunct/>
              <w:topLinePunct w:val="0"/>
              <w:bidi w:val="0"/>
              <w:adjustRightInd/>
              <w:snapToGrid/>
              <w:ind w:firstLine="0" w:firstLineChars="0"/>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是否开工建设</w:t>
            </w:r>
          </w:p>
        </w:tc>
        <w:tc>
          <w:tcPr>
            <w:tcW w:w="8169" w:type="dxa"/>
            <w:gridSpan w:val="3"/>
            <w:noWrap w:val="0"/>
            <w:vAlign w:val="center"/>
          </w:tcPr>
          <w:p w14:paraId="14A38970">
            <w:pPr>
              <w:keepNext w:val="0"/>
              <w:keepLines w:val="0"/>
              <w:pageBreakBefore w:val="0"/>
              <w:kinsoku/>
              <w:wordWrap/>
              <w:overflowPunct/>
              <w:topLinePunct w:val="0"/>
              <w:bidi w:val="0"/>
              <w:adjustRightInd/>
              <w:snapToGrid/>
              <w:ind w:firstLine="0" w:firstLineChars="0"/>
              <w:jc w:val="left"/>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sym w:font="Wingdings 2" w:char="0052"/>
            </w:r>
            <w:r>
              <w:rPr>
                <w:color w:val="000000" w:themeColor="text1"/>
                <w:sz w:val="24"/>
                <w:highlight w:val="none"/>
                <w14:textFill>
                  <w14:solidFill>
                    <w14:schemeClr w14:val="tx1"/>
                  </w14:solidFill>
                </w14:textFill>
              </w:rPr>
              <w:t>否</w:t>
            </w:r>
          </w:p>
          <w:p w14:paraId="745D2448">
            <w:pPr>
              <w:keepNext w:val="0"/>
              <w:keepLines w:val="0"/>
              <w:pageBreakBefore w:val="0"/>
              <w:kinsoku/>
              <w:wordWrap/>
              <w:overflowPunct/>
              <w:topLinePunct w:val="0"/>
              <w:bidi w:val="0"/>
              <w:adjustRightInd/>
              <w:snapToGrid/>
              <w:ind w:firstLine="0" w:firstLineChars="0"/>
              <w:jc w:val="left"/>
              <w:textAlignment w:val="auto"/>
              <w:rPr>
                <w:color w:val="000000" w:themeColor="text1"/>
                <w:sz w:val="24"/>
                <w:highlight w:val="none"/>
                <w14:textFill>
                  <w14:solidFill>
                    <w14:schemeClr w14:val="tx1"/>
                  </w14:solidFill>
                </w14:textFill>
              </w:rPr>
            </w:pPr>
            <w:r>
              <w:rPr>
                <w:color w:val="000000" w:themeColor="text1"/>
                <w:sz w:val="36"/>
                <w:szCs w:val="36"/>
                <w:highlight w:val="none"/>
                <w14:textFill>
                  <w14:solidFill>
                    <w14:schemeClr w14:val="tx1"/>
                  </w14:solidFill>
                </w14:textFill>
              </w:rPr>
              <w:t>□</w:t>
            </w:r>
            <w:r>
              <w:rPr>
                <w:color w:val="000000" w:themeColor="text1"/>
                <w:sz w:val="24"/>
                <w:highlight w:val="none"/>
                <w14:textFill>
                  <w14:solidFill>
                    <w14:schemeClr w14:val="tx1"/>
                  </w14:solidFill>
                </w14:textFill>
              </w:rPr>
              <w:t>是：</w:t>
            </w:r>
            <w:r>
              <w:rPr>
                <w:color w:val="000000" w:themeColor="text1"/>
                <w:sz w:val="24"/>
                <w:highlight w:val="none"/>
                <w:u w:val="single"/>
                <w14:textFill>
                  <w14:solidFill>
                    <w14:schemeClr w14:val="tx1"/>
                  </w14:solidFill>
                </w14:textFill>
              </w:rPr>
              <w:t xml:space="preserve">                             </w:t>
            </w:r>
          </w:p>
        </w:tc>
      </w:tr>
      <w:tr w14:paraId="35E300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4" w:hRule="atLeast"/>
          <w:jc w:val="center"/>
        </w:trPr>
        <w:tc>
          <w:tcPr>
            <w:tcW w:w="1133" w:type="dxa"/>
            <w:noWrap w:val="0"/>
            <w:tcMar>
              <w:top w:w="16" w:type="dxa"/>
              <w:left w:w="16" w:type="dxa"/>
              <w:right w:w="16" w:type="dxa"/>
            </w:tcMar>
            <w:vAlign w:val="center"/>
          </w:tcPr>
          <w:p w14:paraId="23164902">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b/>
                <w:bCs/>
                <w:color w:val="000000" w:themeColor="text1"/>
                <w:kern w:val="0"/>
                <w:sz w:val="24"/>
                <w:highlight w:val="none"/>
                <w14:textFill>
                  <w14:solidFill>
                    <w14:schemeClr w14:val="tx1"/>
                  </w14:solidFill>
                </w14:textFill>
              </w:rPr>
            </w:pPr>
            <w:r>
              <w:rPr>
                <w:b/>
                <w:bCs/>
                <w:color w:val="000000" w:themeColor="text1"/>
                <w:kern w:val="0"/>
                <w:sz w:val="24"/>
                <w:highlight w:val="none"/>
                <w14:textFill>
                  <w14:solidFill>
                    <w14:schemeClr w14:val="tx1"/>
                  </w14:solidFill>
                </w14:textFill>
              </w:rPr>
              <w:t>专项评价设置情况</w:t>
            </w:r>
          </w:p>
        </w:tc>
        <w:tc>
          <w:tcPr>
            <w:tcW w:w="8169" w:type="dxa"/>
            <w:gridSpan w:val="3"/>
            <w:noWrap w:val="0"/>
            <w:tcMar>
              <w:top w:w="16" w:type="dxa"/>
              <w:left w:w="16" w:type="dxa"/>
              <w:right w:w="16" w:type="dxa"/>
            </w:tcMar>
            <w:vAlign w:val="center"/>
          </w:tcPr>
          <w:p w14:paraId="511857B6">
            <w:pPr>
              <w:ind w:left="0" w:leftChars="0" w:firstLine="0" w:firstLineChars="0"/>
              <w:jc w:val="center"/>
              <w:rPr>
                <w:rFonts w:hint="default" w:eastAsia="宋体"/>
                <w:color w:val="000000" w:themeColor="text1"/>
                <w:kern w:val="0"/>
                <w:sz w:val="24"/>
                <w:highlight w:val="none"/>
                <w:lang w:val="en-US" w:eastAsia="zh-CN"/>
                <w14:textFill>
                  <w14:solidFill>
                    <w14:schemeClr w14:val="tx1"/>
                  </w14:solidFill>
                </w14:textFill>
              </w:rPr>
            </w:pPr>
            <w:r>
              <w:rPr>
                <w:rStyle w:val="35"/>
                <w:rFonts w:hint="eastAsia" w:cs="Times New Roman"/>
                <w:color w:val="000000" w:themeColor="text1"/>
                <w:kern w:val="0"/>
                <w:sz w:val="24"/>
                <w:highlight w:val="none"/>
                <w:lang w:val="en-US" w:eastAsia="zh-CN"/>
                <w14:textFill>
                  <w14:solidFill>
                    <w14:schemeClr w14:val="tx1"/>
                  </w14:solidFill>
                </w14:textFill>
              </w:rPr>
              <w:t>无</w:t>
            </w:r>
          </w:p>
        </w:tc>
      </w:tr>
      <w:tr w14:paraId="697192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33" w:type="dxa"/>
            <w:noWrap w:val="0"/>
            <w:tcMar>
              <w:top w:w="16" w:type="dxa"/>
              <w:left w:w="16" w:type="dxa"/>
              <w:right w:w="16" w:type="dxa"/>
            </w:tcMar>
            <w:vAlign w:val="center"/>
          </w:tcPr>
          <w:p w14:paraId="08C43C11">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b/>
                <w:bCs/>
                <w:color w:val="000000" w:themeColor="text1"/>
                <w:kern w:val="0"/>
                <w:sz w:val="24"/>
                <w:highlight w:val="none"/>
                <w14:textFill>
                  <w14:solidFill>
                    <w14:schemeClr w14:val="tx1"/>
                  </w14:solidFill>
                </w14:textFill>
              </w:rPr>
            </w:pPr>
            <w:r>
              <w:rPr>
                <w:b/>
                <w:bCs/>
                <w:color w:val="000000" w:themeColor="text1"/>
                <w:sz w:val="24"/>
                <w:highlight w:val="none"/>
                <w14:textFill>
                  <w14:solidFill>
                    <w14:schemeClr w14:val="tx1"/>
                  </w14:solidFill>
                </w14:textFill>
              </w:rPr>
              <w:t>规划情况</w:t>
            </w:r>
          </w:p>
        </w:tc>
        <w:tc>
          <w:tcPr>
            <w:tcW w:w="8169" w:type="dxa"/>
            <w:gridSpan w:val="3"/>
            <w:noWrap w:val="0"/>
            <w:tcMar>
              <w:top w:w="16" w:type="dxa"/>
              <w:left w:w="16" w:type="dxa"/>
              <w:right w:w="16" w:type="dxa"/>
            </w:tcMar>
            <w:vAlign w:val="center"/>
          </w:tcPr>
          <w:p w14:paraId="4DFC432C">
            <w:pPr>
              <w:pStyle w:val="2"/>
              <w:bidi w:val="0"/>
              <w:jc w:val="left"/>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default"/>
                <w:color w:val="000000" w:themeColor="text1"/>
                <w:highlight w:val="none"/>
                <w14:textFill>
                  <w14:solidFill>
                    <w14:schemeClr w14:val="tx1"/>
                  </w14:solidFill>
                </w14:textFill>
              </w:rPr>
              <w:t>规划名称：</w:t>
            </w:r>
            <w:r>
              <w:rPr>
                <w:rFonts w:hint="eastAsia"/>
                <w:color w:val="000000" w:themeColor="text1"/>
                <w:highlight w:val="none"/>
                <w14:textFill>
                  <w14:solidFill>
                    <w14:schemeClr w14:val="tx1"/>
                  </w14:solidFill>
                </w14:textFill>
              </w:rPr>
              <w:t>《全国重要生态系统保护和修复重大工程总体规划（2021-2035年）》</w:t>
            </w:r>
          </w:p>
          <w:p w14:paraId="3D459AC9">
            <w:pPr>
              <w:keepNext w:val="0"/>
              <w:keepLines w:val="0"/>
              <w:suppressLineNumbers w:val="0"/>
              <w:spacing w:before="0" w:beforeAutospacing="0" w:after="0" w:afterAutospacing="0"/>
              <w:ind w:left="0" w:right="0" w:firstLine="454" w:firstLineChars="200"/>
              <w:jc w:val="left"/>
              <w:rPr>
                <w:rStyle w:val="35"/>
                <w:rFonts w:hint="default" w:cs="Times New Roman"/>
                <w:color w:val="000000" w:themeColor="text1"/>
                <w:kern w:val="0"/>
                <w:sz w:val="24"/>
                <w:highlight w:val="none"/>
                <w14:textFill>
                  <w14:solidFill>
                    <w14:schemeClr w14:val="tx1"/>
                  </w14:solidFill>
                </w14:textFill>
              </w:rPr>
            </w:pPr>
            <w:r>
              <w:rPr>
                <w:rStyle w:val="35"/>
                <w:rFonts w:hint="default" w:cs="Times New Roman"/>
                <w:color w:val="000000" w:themeColor="text1"/>
                <w:kern w:val="0"/>
                <w:sz w:val="24"/>
                <w:highlight w:val="none"/>
                <w14:textFill>
                  <w14:solidFill>
                    <w14:schemeClr w14:val="tx1"/>
                  </w14:solidFill>
                </w14:textFill>
              </w:rPr>
              <w:t>审批单位：发展改革委自然资源部；</w:t>
            </w:r>
          </w:p>
          <w:p w14:paraId="0EFF9085">
            <w:pPr>
              <w:ind w:firstLine="454" w:firstLineChars="200"/>
              <w:jc w:val="left"/>
              <w:rPr>
                <w:rStyle w:val="35"/>
                <w:rFonts w:hint="eastAsia" w:eastAsia="宋体" w:cs="Times New Roman"/>
                <w:color w:val="000000" w:themeColor="text1"/>
                <w:kern w:val="0"/>
                <w:sz w:val="24"/>
                <w:highlight w:val="none"/>
                <w:lang w:eastAsia="zh-CN"/>
                <w14:textFill>
                  <w14:solidFill>
                    <w14:schemeClr w14:val="tx1"/>
                  </w14:solidFill>
                </w14:textFill>
              </w:rPr>
            </w:pPr>
            <w:r>
              <w:rPr>
                <w:rStyle w:val="35"/>
                <w:rFonts w:hint="default" w:cs="Times New Roman"/>
                <w:color w:val="000000" w:themeColor="text1"/>
                <w:kern w:val="0"/>
                <w:sz w:val="24"/>
                <w:highlight w:val="none"/>
                <w14:textFill>
                  <w14:solidFill>
                    <w14:schemeClr w14:val="tx1"/>
                  </w14:solidFill>
                </w14:textFill>
              </w:rPr>
              <w:t>批复文件名称：国家发展改革委自然资源部关于印发《全国重要生态系统保护和修复重大工程总体规划（2021-2035年）》的通知</w:t>
            </w:r>
            <w:r>
              <w:rPr>
                <w:rStyle w:val="35"/>
                <w:rFonts w:hint="eastAsia" w:cs="Times New Roman"/>
                <w:color w:val="000000" w:themeColor="text1"/>
                <w:kern w:val="0"/>
                <w:sz w:val="24"/>
                <w:highlight w:val="none"/>
                <w:lang w:eastAsia="zh-CN"/>
                <w14:textFill>
                  <w14:solidFill>
                    <w14:schemeClr w14:val="tx1"/>
                  </w14:solidFill>
                </w14:textFill>
              </w:rPr>
              <w:t>；</w:t>
            </w:r>
          </w:p>
          <w:p w14:paraId="42381E44">
            <w:pPr>
              <w:ind w:firstLine="454" w:firstLineChars="200"/>
              <w:jc w:val="left"/>
              <w:rPr>
                <w:rStyle w:val="35"/>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Style w:val="35"/>
                <w:rFonts w:hint="default" w:cs="Times New Roman"/>
                <w:color w:val="000000" w:themeColor="text1"/>
                <w:kern w:val="0"/>
                <w:sz w:val="24"/>
                <w:highlight w:val="none"/>
                <w14:textFill>
                  <w14:solidFill>
                    <w14:schemeClr w14:val="tx1"/>
                  </w14:solidFill>
                </w14:textFill>
              </w:rPr>
              <w:t>文号：发改农经〔2020〕837号</w:t>
            </w:r>
            <w:r>
              <w:rPr>
                <w:rStyle w:val="35"/>
                <w:rFonts w:hint="eastAsia" w:cs="Times New Roman"/>
                <w:color w:val="000000" w:themeColor="text1"/>
                <w:kern w:val="0"/>
                <w:sz w:val="24"/>
                <w:highlight w:val="none"/>
                <w:lang w:eastAsia="zh-CN"/>
                <w14:textFill>
                  <w14:solidFill>
                    <w14:schemeClr w14:val="tx1"/>
                  </w14:solidFill>
                </w14:textFill>
              </w:rPr>
              <w:t>。</w:t>
            </w:r>
          </w:p>
        </w:tc>
      </w:tr>
      <w:tr w14:paraId="2F8FF3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1" w:hRule="atLeast"/>
          <w:jc w:val="center"/>
        </w:trPr>
        <w:tc>
          <w:tcPr>
            <w:tcW w:w="1133" w:type="dxa"/>
            <w:noWrap w:val="0"/>
            <w:tcMar>
              <w:top w:w="16" w:type="dxa"/>
              <w:left w:w="16" w:type="dxa"/>
              <w:right w:w="16" w:type="dxa"/>
            </w:tcMar>
            <w:vAlign w:val="center"/>
          </w:tcPr>
          <w:p w14:paraId="602FBA89">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b/>
                <w:bCs/>
                <w:color w:val="000000" w:themeColor="text1"/>
                <w:kern w:val="0"/>
                <w:sz w:val="24"/>
                <w:highlight w:val="none"/>
                <w14:textFill>
                  <w14:solidFill>
                    <w14:schemeClr w14:val="tx1"/>
                  </w14:solidFill>
                </w14:textFill>
              </w:rPr>
            </w:pPr>
            <w:r>
              <w:rPr>
                <w:b/>
                <w:bCs/>
                <w:color w:val="000000" w:themeColor="text1"/>
                <w:sz w:val="24"/>
                <w:highlight w:val="none"/>
                <w14:textFill>
                  <w14:solidFill>
                    <w14:schemeClr w14:val="tx1"/>
                  </w14:solidFill>
                </w14:textFill>
              </w:rPr>
              <w:t>规划环境影响评价情况</w:t>
            </w:r>
          </w:p>
        </w:tc>
        <w:tc>
          <w:tcPr>
            <w:tcW w:w="8169" w:type="dxa"/>
            <w:gridSpan w:val="3"/>
            <w:noWrap w:val="0"/>
            <w:tcMar>
              <w:top w:w="16" w:type="dxa"/>
              <w:left w:w="16" w:type="dxa"/>
              <w:right w:w="16" w:type="dxa"/>
            </w:tcMar>
            <w:vAlign w:val="center"/>
          </w:tcPr>
          <w:p w14:paraId="7EDABC00">
            <w:pPr>
              <w:keepNext w:val="0"/>
              <w:keepLines w:val="0"/>
              <w:suppressLineNumbers w:val="0"/>
              <w:spacing w:before="0" w:beforeAutospacing="0" w:after="0" w:afterAutospacing="0"/>
              <w:ind w:left="0" w:right="0" w:firstLine="454" w:firstLineChars="200"/>
              <w:jc w:val="left"/>
              <w:rPr>
                <w:rFonts w:hint="eastAsia" w:eastAsia="宋体"/>
                <w:color w:val="000000" w:themeColor="text1"/>
                <w:kern w:val="0"/>
                <w:sz w:val="24"/>
                <w:highlight w:val="none"/>
                <w:lang w:val="en-US" w:eastAsia="zh-CN"/>
                <w14:textFill>
                  <w14:solidFill>
                    <w14:schemeClr w14:val="tx1"/>
                  </w14:solidFill>
                </w14:textFill>
              </w:rPr>
            </w:pPr>
            <w:r>
              <w:rPr>
                <w:rFonts w:hint="eastAsia"/>
                <w:color w:val="000000" w:themeColor="text1"/>
                <w:kern w:val="0"/>
                <w:sz w:val="24"/>
                <w:highlight w:val="none"/>
                <w:lang w:val="en-US" w:eastAsia="zh-CN"/>
                <w14:textFill>
                  <w14:solidFill>
                    <w14:schemeClr w14:val="tx1"/>
                  </w14:solidFill>
                </w14:textFill>
              </w:rPr>
              <w:t>/</w:t>
            </w:r>
          </w:p>
        </w:tc>
      </w:tr>
      <w:tr w14:paraId="3F78E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23" w:hRule="atLeast"/>
          <w:jc w:val="center"/>
        </w:trPr>
        <w:tc>
          <w:tcPr>
            <w:tcW w:w="1133" w:type="dxa"/>
            <w:noWrap w:val="0"/>
            <w:tcMar>
              <w:top w:w="16" w:type="dxa"/>
              <w:left w:w="16" w:type="dxa"/>
              <w:right w:w="16" w:type="dxa"/>
            </w:tcMar>
            <w:vAlign w:val="center"/>
          </w:tcPr>
          <w:p w14:paraId="5AE499E2">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b/>
                <w:bCs/>
                <w:color w:val="000000" w:themeColor="text1"/>
                <w:kern w:val="0"/>
                <w:sz w:val="24"/>
                <w:highlight w:val="none"/>
                <w14:textFill>
                  <w14:solidFill>
                    <w14:schemeClr w14:val="tx1"/>
                  </w14:solidFill>
                </w14:textFill>
              </w:rPr>
            </w:pPr>
            <w:r>
              <w:rPr>
                <w:b/>
                <w:bCs/>
                <w:color w:val="000000" w:themeColor="text1"/>
                <w:kern w:val="0"/>
                <w:sz w:val="24"/>
                <w:highlight w:val="none"/>
                <w14:textFill>
                  <w14:solidFill>
                    <w14:schemeClr w14:val="tx1"/>
                  </w14:solidFill>
                </w14:textFill>
              </w:rPr>
              <w:t>规划及</w:t>
            </w:r>
            <w:r>
              <w:rPr>
                <w:b/>
                <w:bCs/>
                <w:color w:val="000000" w:themeColor="text1"/>
                <w:sz w:val="24"/>
                <w:highlight w:val="none"/>
                <w14:textFill>
                  <w14:solidFill>
                    <w14:schemeClr w14:val="tx1"/>
                  </w14:solidFill>
                </w14:textFill>
              </w:rPr>
              <w:t>规划环境影响评价</w:t>
            </w:r>
            <w:r>
              <w:rPr>
                <w:b/>
                <w:bCs/>
                <w:color w:val="000000" w:themeColor="text1"/>
                <w:kern w:val="0"/>
                <w:sz w:val="24"/>
                <w:highlight w:val="none"/>
                <w14:textFill>
                  <w14:solidFill>
                    <w14:schemeClr w14:val="tx1"/>
                  </w14:solidFill>
                </w14:textFill>
              </w:rPr>
              <w:t>符合性分析</w:t>
            </w:r>
          </w:p>
        </w:tc>
        <w:tc>
          <w:tcPr>
            <w:tcW w:w="8169" w:type="dxa"/>
            <w:gridSpan w:val="3"/>
            <w:noWrap w:val="0"/>
            <w:tcMar>
              <w:top w:w="16" w:type="dxa"/>
              <w:left w:w="16" w:type="dxa"/>
              <w:right w:w="16" w:type="dxa"/>
            </w:tcMar>
            <w:vAlign w:val="center"/>
          </w:tcPr>
          <w:p w14:paraId="07109160">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项目与《全国重要生态系统保护和修复重大工程总体规划（2021-2035年）》的符合性分析</w:t>
            </w:r>
          </w:p>
          <w:p w14:paraId="1B3C5D9F">
            <w:pPr>
              <w:keepNext w:val="0"/>
              <w:keepLines w:val="0"/>
              <w:suppressLineNumbers w:val="0"/>
              <w:autoSpaceDE w:val="0"/>
              <w:autoSpaceDN w:val="0"/>
              <w:spacing w:before="0" w:beforeAutospacing="0" w:after="0" w:afterAutospacing="0"/>
              <w:ind w:left="0" w:right="0" w:firstLine="454" w:firstLineChars="200"/>
              <w:rPr>
                <w:rFonts w:hint="eastAsia"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14:textFill>
                  <w14:solidFill>
                    <w14:schemeClr w14:val="tx1"/>
                  </w14:solidFill>
                </w14:textFill>
              </w:rPr>
              <w:t>《全国重要生态系统保护和修复重大工程总体规划（2021-2035年）》（以下简称《规划》）研究提出：到2035年推进森林、草原、荒漠、河流、湖泊、湿地、海洋等自然生态系统保护和修复工作的主要目标，以及统筹山水林田湖草一体化保护和修复的总体布局、重点任务、重大工程和政策举措。《规划》是当前和今后一段时期推进全国重要生态系统保护和修复重大工程的指导性规划，是编制和实施有关重大工程建设规划的主要依据。</w:t>
            </w:r>
          </w:p>
          <w:p w14:paraId="201941E0">
            <w:pPr>
              <w:keepNext w:val="0"/>
              <w:keepLines w:val="0"/>
              <w:suppressLineNumbers w:val="0"/>
              <w:autoSpaceDE w:val="0"/>
              <w:autoSpaceDN w:val="0"/>
              <w:spacing w:before="0" w:beforeAutospacing="0" w:after="0" w:afterAutospacing="0"/>
              <w:ind w:left="0" w:right="0" w:firstLine="454" w:firstLineChars="200"/>
              <w:rPr>
                <w:rFonts w:hint="eastAsia"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14:textFill>
                  <w14:solidFill>
                    <w14:schemeClr w14:val="tx1"/>
                  </w14:solidFill>
                </w14:textFill>
              </w:rPr>
              <w:t>本项目位于宁夏回族自治区中卫市沙坡头区</w:t>
            </w:r>
            <w:r>
              <w:rPr>
                <w:rFonts w:hint="eastAsia" w:cs="Times New Roman"/>
                <w:color w:val="000000" w:themeColor="text1"/>
                <w:sz w:val="24"/>
                <w:szCs w:val="24"/>
                <w:highlight w:val="none"/>
                <w:u w:val="none"/>
                <w:lang w:val="en-US" w:eastAsia="zh-CN"/>
                <w14:textFill>
                  <w14:solidFill>
                    <w14:schemeClr w14:val="tx1"/>
                  </w14:solidFill>
                </w14:textFill>
              </w:rPr>
              <w:t>宣和</w:t>
            </w:r>
            <w:r>
              <w:rPr>
                <w:rFonts w:hint="default" w:ascii="Times New Roman" w:hAnsi="Times New Roman" w:cs="Times New Roman"/>
                <w:color w:val="000000" w:themeColor="text1"/>
                <w:sz w:val="24"/>
                <w:szCs w:val="24"/>
                <w:highlight w:val="none"/>
                <w:u w:val="none"/>
                <w14:textFill>
                  <w14:solidFill>
                    <w14:schemeClr w14:val="tx1"/>
                  </w14:solidFill>
                </w14:textFill>
              </w:rPr>
              <w:t>镇</w:t>
            </w:r>
            <w:r>
              <w:rPr>
                <w:rFonts w:hint="eastAsia" w:cs="Times New Roman"/>
                <w:color w:val="000000" w:themeColor="text1"/>
                <w:sz w:val="24"/>
                <w:highlight w:val="none"/>
                <w14:textFill>
                  <w14:solidFill>
                    <w14:schemeClr w14:val="tx1"/>
                  </w14:solidFill>
                </w14:textFill>
              </w:rPr>
              <w:t>，属于《规划》中黄河重点生态区，该区域主要生态问题有“矿产资源开采对生态系统破坏面大、破坏程度高、治理难度大”</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14:textFill>
                  <w14:solidFill>
                    <w14:schemeClr w14:val="tx1"/>
                  </w14:solidFill>
                </w14:textFill>
              </w:rPr>
              <w:t>并提出主攻方向：加强矿区综合治理和生态修复，使区域内水土流失状况得到有效控制，完善自然保护地体系建设并保护区域内生物多样性。</w:t>
            </w:r>
          </w:p>
          <w:p w14:paraId="061361FC">
            <w:pPr>
              <w:bidi w:val="0"/>
              <w:rPr>
                <w:rFonts w:hint="default"/>
                <w:color w:val="000000" w:themeColor="text1"/>
                <w:highlight w:val="none"/>
                <w:lang w:val="en-US" w:eastAsia="zh-CN"/>
                <w14:textFill>
                  <w14:solidFill>
                    <w14:schemeClr w14:val="tx1"/>
                  </w14:solidFill>
                </w14:textFill>
              </w:rPr>
            </w:pPr>
            <w:r>
              <w:rPr>
                <w:rFonts w:hint="eastAsia" w:cs="Times New Roman"/>
                <w:color w:val="000000" w:themeColor="text1"/>
                <w:sz w:val="24"/>
                <w:highlight w:val="none"/>
                <w14:textFill>
                  <w14:solidFill>
                    <w14:schemeClr w14:val="tx1"/>
                  </w14:solidFill>
                </w14:textFill>
              </w:rPr>
              <w:t>本项目治理矿山面积</w:t>
            </w:r>
            <w:r>
              <w:rPr>
                <w:rFonts w:hint="eastAsia" w:cs="Times New Roman"/>
                <w:color w:val="000000" w:themeColor="text1"/>
                <w:sz w:val="24"/>
                <w:highlight w:val="none"/>
                <w:lang w:val="en-US" w:eastAsia="zh-CN"/>
                <w14:textFill>
                  <w14:solidFill>
                    <w14:schemeClr w14:val="tx1"/>
                  </w14:solidFill>
                </w14:textFill>
              </w:rPr>
              <w:t>94.17</w:t>
            </w:r>
            <w:r>
              <w:rPr>
                <w:rFonts w:hint="eastAsia" w:cs="Times New Roman"/>
                <w:color w:val="000000" w:themeColor="text1"/>
                <w:sz w:val="24"/>
                <w:highlight w:val="none"/>
                <w14:textFill>
                  <w14:solidFill>
                    <w14:schemeClr w14:val="tx1"/>
                  </w14:solidFill>
                </w14:textFill>
              </w:rPr>
              <w:t>hm</w:t>
            </w:r>
            <w:r>
              <w:rPr>
                <w:rFonts w:hint="eastAsia" w:cs="Times New Roman"/>
                <w:color w:val="000000" w:themeColor="text1"/>
                <w:sz w:val="24"/>
                <w:highlight w:val="none"/>
                <w:vertAlign w:val="superscript"/>
                <w14:textFill>
                  <w14:solidFill>
                    <w14:schemeClr w14:val="tx1"/>
                  </w14:solidFill>
                </w14:textFill>
              </w:rPr>
              <w:t>2</w:t>
            </w:r>
            <w:r>
              <w:rPr>
                <w:rFonts w:hint="eastAsia" w:cs="Times New Roman"/>
                <w:color w:val="000000" w:themeColor="text1"/>
                <w:sz w:val="24"/>
                <w:highlight w:val="none"/>
                <w14:textFill>
                  <w14:solidFill>
                    <w14:schemeClr w14:val="tx1"/>
                  </w14:solidFill>
                </w14:textFill>
              </w:rPr>
              <w:t>，本项目</w:t>
            </w:r>
            <w:r>
              <w:rPr>
                <w:rFonts w:hint="eastAsia" w:cs="Times New Roman"/>
                <w:color w:val="000000" w:themeColor="text1"/>
                <w:sz w:val="24"/>
                <w:highlight w:val="none"/>
                <w:lang w:val="en-US" w:eastAsia="zh-CN"/>
                <w14:textFill>
                  <w14:solidFill>
                    <w14:schemeClr w14:val="tx1"/>
                  </w14:solidFill>
                </w14:textFill>
              </w:rPr>
              <w:t>通过</w:t>
            </w:r>
            <w:r>
              <w:rPr>
                <w:rFonts w:hint="eastAsia" w:cs="Times New Roman"/>
                <w:color w:val="000000" w:themeColor="text1"/>
                <w:sz w:val="24"/>
                <w:highlight w:val="none"/>
                <w14:textFill>
                  <w14:solidFill>
                    <w14:schemeClr w14:val="tx1"/>
                  </w14:solidFill>
                </w14:textFill>
              </w:rPr>
              <w:t>实施地形地貌恢复工程</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14:textFill>
                  <w14:solidFill>
                    <w14:schemeClr w14:val="tx1"/>
                  </w14:solidFill>
                </w14:textFill>
              </w:rPr>
              <w:t>截排水工程</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14:textFill>
                  <w14:solidFill>
                    <w14:schemeClr w14:val="tx1"/>
                  </w14:solidFill>
                </w14:textFill>
              </w:rPr>
              <w:t>生态恢复工程</w:t>
            </w:r>
            <w:r>
              <w:rPr>
                <w:rFonts w:hint="eastAsia" w:cs="Times New Roman"/>
                <w:color w:val="000000" w:themeColor="text1"/>
                <w:sz w:val="24"/>
                <w:highlight w:val="none"/>
                <w:lang w:val="en-US" w:eastAsia="zh-CN"/>
                <w14:textFill>
                  <w14:solidFill>
                    <w14:schemeClr w14:val="tx1"/>
                  </w14:solidFill>
                </w14:textFill>
              </w:rPr>
              <w:t>等</w:t>
            </w:r>
            <w:r>
              <w:rPr>
                <w:rFonts w:hint="eastAsia" w:cs="Times New Roman"/>
                <w:color w:val="000000" w:themeColor="text1"/>
                <w:sz w:val="24"/>
                <w:highlight w:val="none"/>
                <w14:textFill>
                  <w14:solidFill>
                    <w14:schemeClr w14:val="tx1"/>
                  </w14:solidFill>
                </w14:textFill>
              </w:rPr>
              <w:t>，可有效提高区域生态环境自我修复能力。因此，本项目符合《全国重要生态系统保护和修复重大工程总体规划（2021-2035年）》中的相关要求。</w:t>
            </w:r>
          </w:p>
        </w:tc>
      </w:tr>
      <w:tr w14:paraId="7B78A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31" w:hRule="atLeast"/>
          <w:jc w:val="center"/>
        </w:trPr>
        <w:tc>
          <w:tcPr>
            <w:tcW w:w="1133" w:type="dxa"/>
            <w:noWrap w:val="0"/>
            <w:tcMar>
              <w:top w:w="16" w:type="dxa"/>
              <w:left w:w="16" w:type="dxa"/>
              <w:right w:w="16" w:type="dxa"/>
            </w:tcMar>
            <w:vAlign w:val="center"/>
          </w:tcPr>
          <w:p w14:paraId="4808664E">
            <w:pPr>
              <w:autoSpaceDE w:val="0"/>
              <w:autoSpaceDN w:val="0"/>
              <w:ind w:left="0" w:leftChars="0" w:firstLine="0" w:firstLineChars="0"/>
              <w:jc w:val="center"/>
              <w:rPr>
                <w:b/>
                <w:bCs/>
                <w:color w:val="000000" w:themeColor="text1"/>
                <w:kern w:val="0"/>
                <w:sz w:val="24"/>
                <w:highlight w:val="none"/>
                <w14:textFill>
                  <w14:solidFill>
                    <w14:schemeClr w14:val="tx1"/>
                  </w14:solidFill>
                </w14:textFill>
              </w:rPr>
            </w:pPr>
            <w:bookmarkStart w:id="1" w:name="_Hlk56690880"/>
            <w:r>
              <w:rPr>
                <w:b/>
                <w:bCs/>
                <w:color w:val="000000" w:themeColor="text1"/>
                <w:kern w:val="0"/>
                <w:sz w:val="24"/>
                <w:highlight w:val="none"/>
                <w14:textFill>
                  <w14:solidFill>
                    <w14:schemeClr w14:val="tx1"/>
                  </w14:solidFill>
                </w14:textFill>
              </w:rPr>
              <w:t>其他符合性分析</w:t>
            </w:r>
            <w:bookmarkEnd w:id="1"/>
          </w:p>
        </w:tc>
        <w:tc>
          <w:tcPr>
            <w:tcW w:w="8169" w:type="dxa"/>
            <w:gridSpan w:val="3"/>
            <w:noWrap w:val="0"/>
            <w:tcMar>
              <w:top w:w="16" w:type="dxa"/>
              <w:left w:w="16" w:type="dxa"/>
              <w:right w:w="16" w:type="dxa"/>
            </w:tcMar>
            <w:vAlign w:val="center"/>
          </w:tcPr>
          <w:p w14:paraId="1F6EDEA1">
            <w:pPr>
              <w:pStyle w:val="2"/>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产业政策符合性分析</w:t>
            </w:r>
          </w:p>
          <w:p w14:paraId="2297980A">
            <w:pPr>
              <w:keepNext w:val="0"/>
              <w:keepLines w:val="0"/>
              <w:widowControl/>
              <w:suppressLineNumbers w:val="0"/>
              <w:spacing w:before="0" w:beforeAutospacing="0" w:after="0" w:afterAutospacing="0"/>
              <w:ind w:left="0" w:right="0"/>
              <w:jc w:val="left"/>
              <w:rPr>
                <w:rFonts w:hint="eastAsia"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kern w:val="0"/>
                <w:sz w:val="24"/>
                <w:highlight w:val="none"/>
                <w14:textFill>
                  <w14:solidFill>
                    <w14:schemeClr w14:val="tx1"/>
                  </w14:solidFill>
                </w14:textFill>
              </w:rPr>
              <w:t>根据中华人民共和国国家发展和改革委员会第7号令《产业结构调整指导目录（</w:t>
            </w:r>
            <w:r>
              <w:rPr>
                <w:rFonts w:hint="default" w:ascii="Times New Roman" w:hAnsi="Times New Roman" w:cs="Times New Roman"/>
                <w:color w:val="000000" w:themeColor="text1"/>
                <w:kern w:val="0"/>
                <w:sz w:val="24"/>
                <w:highlight w:val="none"/>
                <w14:textFill>
                  <w14:solidFill>
                    <w14:schemeClr w14:val="tx1"/>
                  </w14:solidFill>
                </w14:textFill>
              </w:rPr>
              <w:t>20</w:t>
            </w:r>
            <w:r>
              <w:rPr>
                <w:rFonts w:hint="eastAsia" w:ascii="Times New Roman" w:hAnsi="Times New Roman" w:cs="Times New Roman"/>
                <w:color w:val="000000" w:themeColor="text1"/>
                <w:kern w:val="0"/>
                <w:sz w:val="24"/>
                <w:highlight w:val="none"/>
                <w14:textFill>
                  <w14:solidFill>
                    <w14:schemeClr w14:val="tx1"/>
                  </w14:solidFill>
                </w14:textFill>
              </w:rPr>
              <w:t>24年本）》</w:t>
            </w:r>
            <w:r>
              <w:rPr>
                <w:rFonts w:hint="default" w:cs="Times New Roman"/>
                <w:color w:val="000000" w:themeColor="text1"/>
                <w:sz w:val="24"/>
                <w:highlight w:val="none"/>
                <w14:textFill>
                  <w14:solidFill>
                    <w14:schemeClr w14:val="tx1"/>
                  </w14:solidFill>
                </w14:textFill>
              </w:rPr>
              <w:t>，本项目属于鼓励类：四十二、环境保护与资源节约综合利用—2、生态环境修复和资源利用：矿山生态环境恢复工程。</w:t>
            </w:r>
            <w:r>
              <w:rPr>
                <w:rFonts w:hint="eastAsia" w:cs="Times New Roman"/>
                <w:color w:val="000000" w:themeColor="text1"/>
                <w:sz w:val="24"/>
                <w:highlight w:val="none"/>
                <w:lang w:val="en-US" w:eastAsia="zh-CN"/>
                <w14:textFill>
                  <w14:solidFill>
                    <w14:schemeClr w14:val="tx1"/>
                  </w14:solidFill>
                </w14:textFill>
              </w:rPr>
              <w:t>且本项目已取得中卫市沙坡头区发展和改革局“关于中卫市宣和镇天景山山峁圪垯梁灰石矿矿山生态修复治理项目初步设计的批复，批复文号为：</w:t>
            </w:r>
            <w:r>
              <w:rPr>
                <w:rFonts w:hint="eastAsia"/>
                <w:color w:val="000000" w:themeColor="text1"/>
                <w:sz w:val="24"/>
                <w:highlight w:val="none"/>
                <w14:textFill>
                  <w14:solidFill>
                    <w14:schemeClr w14:val="tx1"/>
                  </w14:solidFill>
                </w14:textFill>
              </w:rPr>
              <w:t>卫沙发改(审批)发〔202</w:t>
            </w:r>
            <w:r>
              <w:rPr>
                <w:rFonts w:hint="eastAsia"/>
                <w:color w:val="000000" w:themeColor="text1"/>
                <w:sz w:val="24"/>
                <w:highlight w:val="none"/>
                <w:lang w:val="en-US" w:eastAsia="zh-CN"/>
                <w14:textFill>
                  <w14:solidFill>
                    <w14:schemeClr w14:val="tx1"/>
                  </w14:solidFill>
                </w14:textFill>
              </w:rPr>
              <w:t>5</w:t>
            </w:r>
            <w:r>
              <w:rPr>
                <w:rStyle w:val="35"/>
                <w:rFonts w:hint="eastAsia" w:ascii="宋体" w:hAnsi="宋体" w:cs="宋体"/>
                <w:color w:val="000000" w:themeColor="text1"/>
                <w:kern w:val="0"/>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100</w:t>
            </w:r>
            <w:r>
              <w:rPr>
                <w:rFonts w:hint="eastAsia"/>
                <w:color w:val="000000" w:themeColor="text1"/>
                <w:sz w:val="24"/>
                <w:highlight w:val="none"/>
                <w14:textFill>
                  <w14:solidFill>
                    <w14:schemeClr w14:val="tx1"/>
                  </w14:solidFill>
                </w14:textFill>
              </w:rPr>
              <w:t>号</w:t>
            </w:r>
            <w:r>
              <w:rPr>
                <w:rFonts w:hint="eastAsia" w:cs="Times New Roman"/>
                <w:color w:val="000000" w:themeColor="text1"/>
                <w:sz w:val="24"/>
                <w:highlight w:val="none"/>
                <w:lang w:val="en-US" w:eastAsia="zh-CN"/>
                <w14:textFill>
                  <w14:solidFill>
                    <w14:schemeClr w14:val="tx1"/>
                  </w14:solidFill>
                </w14:textFill>
              </w:rPr>
              <w:t>”。</w:t>
            </w:r>
          </w:p>
          <w:p w14:paraId="25AF2429">
            <w:pPr>
              <w:keepNext w:val="0"/>
              <w:keepLines w:val="0"/>
              <w:widowControl/>
              <w:suppressLineNumbers w:val="0"/>
              <w:spacing w:before="0" w:beforeAutospacing="0" w:after="0" w:afterAutospacing="0"/>
              <w:ind w:left="0" w:right="0"/>
              <w:jc w:val="left"/>
              <w:rPr>
                <w:color w:val="000000" w:themeColor="text1"/>
                <w:sz w:val="24"/>
                <w:highlight w:val="none"/>
                <w14:textFill>
                  <w14:solidFill>
                    <w14:schemeClr w14:val="tx1"/>
                  </w14:solidFill>
                </w14:textFill>
              </w:rPr>
            </w:pPr>
            <w:r>
              <w:rPr>
                <w:rFonts w:hint="eastAsia"/>
                <w:color w:val="000000" w:themeColor="text1"/>
                <w:highlight w:val="none"/>
                <w14:textFill>
                  <w14:solidFill>
                    <w14:schemeClr w14:val="tx1"/>
                  </w14:solidFill>
                </w14:textFill>
              </w:rPr>
              <w:t>因此，本项目的建设符合国家相关产业政策。</w:t>
            </w:r>
          </w:p>
          <w:p w14:paraId="51051575">
            <w:pPr>
              <w:pStyle w:val="2"/>
              <w:bidi w:val="0"/>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14:textFill>
                  <w14:solidFill>
                    <w14:schemeClr w14:val="tx1"/>
                  </w14:solidFill>
                </w14:textFill>
              </w:rPr>
              <w:t>三线一单</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14:textFill>
                  <w14:solidFill>
                    <w14:schemeClr w14:val="tx1"/>
                  </w14:solidFill>
                </w14:textFill>
              </w:rPr>
              <w:t>符合性分析</w:t>
            </w:r>
          </w:p>
          <w:p w14:paraId="2CFDDCAA">
            <w:pPr>
              <w:keepNext w:val="0"/>
              <w:keepLines w:val="0"/>
              <w:suppressLineNumbers w:val="0"/>
              <w:bidi w:val="0"/>
              <w:spacing w:before="0" w:beforeAutospacing="0" w:after="0" w:afterAutospacing="0"/>
              <w:ind w:left="0" w:right="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⑴生态保护红线与生态空间</w:t>
            </w:r>
          </w:p>
          <w:p w14:paraId="066033C3">
            <w:pPr>
              <w:keepNext w:val="0"/>
              <w:keepLines w:val="0"/>
              <w:suppressLineNumbers w:val="0"/>
              <w:bidi w:val="0"/>
              <w:spacing w:before="0" w:beforeAutospacing="0" w:after="0" w:afterAutospacing="0"/>
              <w:ind w:left="0" w:right="0"/>
              <w:rPr>
                <w:rFonts w:hint="default" w:eastAsia="宋体" w:cs="Times New Roman"/>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①生态保护红线</w:t>
            </w:r>
          </w:p>
          <w:p w14:paraId="375088D3">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根据《市人民政府办公室关于发布</w:t>
            </w:r>
            <w:r>
              <w:rPr>
                <w:rFonts w:hint="default" w:cs="Times New Roman"/>
                <w:color w:val="000000" w:themeColor="text1"/>
                <w:highlight w:val="none"/>
                <w:lang w:val="en-US" w:eastAsia="zh-CN"/>
                <w14:textFill>
                  <w14:solidFill>
                    <w14:schemeClr w14:val="tx1"/>
                  </w14:solidFill>
                </w14:textFill>
              </w:rPr>
              <w:t>&lt;</w:t>
            </w:r>
            <w:r>
              <w:rPr>
                <w:rFonts w:hint="eastAsia" w:cs="Times New Roman"/>
                <w:color w:val="000000" w:themeColor="text1"/>
                <w:highlight w:val="none"/>
                <w:lang w:val="en-US" w:eastAsia="zh-CN"/>
                <w14:textFill>
                  <w14:solidFill>
                    <w14:schemeClr w14:val="tx1"/>
                  </w14:solidFill>
                </w14:textFill>
              </w:rPr>
              <w:t>中卫市生态环境分区管控动态更新成果</w:t>
            </w:r>
            <w:r>
              <w:rPr>
                <w:rFonts w:hint="default" w:cs="Times New Roman"/>
                <w:color w:val="000000" w:themeColor="text1"/>
                <w:highlight w:val="none"/>
                <w:lang w:val="en-US" w:eastAsia="zh-CN"/>
                <w14:textFill>
                  <w14:solidFill>
                    <w14:schemeClr w14:val="tx1"/>
                  </w14:solidFill>
                </w14:textFill>
              </w:rPr>
              <w:t>&gt;</w:t>
            </w:r>
            <w:r>
              <w:rPr>
                <w:rFonts w:hint="eastAsia" w:cs="Times New Roman"/>
                <w:color w:val="000000" w:themeColor="text1"/>
                <w:highlight w:val="none"/>
                <w:lang w:val="en-US" w:eastAsia="zh-CN"/>
                <w14:textFill>
                  <w14:solidFill>
                    <w14:schemeClr w14:val="tx1"/>
                  </w14:solidFill>
                </w14:textFill>
              </w:rPr>
              <w:t>的通知》（卫政办发〔</w:t>
            </w:r>
            <w:r>
              <w:rPr>
                <w:rFonts w:hint="default" w:cs="Times New Roman"/>
                <w:color w:val="000000" w:themeColor="text1"/>
                <w:highlight w:val="none"/>
                <w:lang w:val="en-US" w:eastAsia="zh-CN"/>
                <w14:textFill>
                  <w14:solidFill>
                    <w14:schemeClr w14:val="tx1"/>
                  </w14:solidFill>
                </w14:textFill>
              </w:rPr>
              <w:t>2024</w:t>
            </w:r>
            <w:r>
              <w:rPr>
                <w:rFonts w:hint="eastAsia" w:cs="Times New Roman"/>
                <w:color w:val="000000" w:themeColor="text1"/>
                <w:highlight w:val="none"/>
                <w:lang w:val="en-US" w:eastAsia="zh-CN"/>
                <w14:textFill>
                  <w14:solidFill>
                    <w14:schemeClr w14:val="tx1"/>
                  </w14:solidFill>
                </w14:textFill>
              </w:rPr>
              <w:t>〕</w:t>
            </w:r>
            <w:r>
              <w:rPr>
                <w:rFonts w:hint="default" w:cs="Times New Roman"/>
                <w:color w:val="000000" w:themeColor="text1"/>
                <w:highlight w:val="none"/>
                <w:lang w:val="en-US" w:eastAsia="zh-CN"/>
                <w14:textFill>
                  <w14:solidFill>
                    <w14:schemeClr w14:val="tx1"/>
                  </w14:solidFill>
                </w14:textFill>
              </w:rPr>
              <w:t>33</w:t>
            </w:r>
            <w:r>
              <w:rPr>
                <w:rFonts w:hint="eastAsia" w:cs="Times New Roman"/>
                <w:color w:val="000000" w:themeColor="text1"/>
                <w:highlight w:val="none"/>
                <w:lang w:val="en-US" w:eastAsia="zh-CN"/>
                <w14:textFill>
                  <w14:solidFill>
                    <w14:schemeClr w14:val="tx1"/>
                  </w14:solidFill>
                </w14:textFill>
              </w:rPr>
              <w:t>号），本项目不在中卫市生态保护红线范围内，符合生态保护红线相关要求。项目与中卫市生态保护红线位置关系见附图</w:t>
            </w:r>
            <w:r>
              <w:rPr>
                <w:rFonts w:hint="default" w:cs="Times New Roman"/>
                <w:color w:val="000000" w:themeColor="text1"/>
                <w:highlight w:val="none"/>
                <w:lang w:val="en-US" w:eastAsia="zh-CN"/>
                <w14:textFill>
                  <w14:solidFill>
                    <w14:schemeClr w14:val="tx1"/>
                  </w14:solidFill>
                </w14:textFill>
              </w:rPr>
              <w:t>1-</w:t>
            </w:r>
            <w:r>
              <w:rPr>
                <w:rFonts w:hint="eastAsia" w:cs="Times New Roman"/>
                <w:color w:val="000000" w:themeColor="text1"/>
                <w:highlight w:val="none"/>
                <w:lang w:val="en-US" w:eastAsia="zh-CN"/>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w:t>
            </w:r>
          </w:p>
          <w:p w14:paraId="52A6FBC8">
            <w:pPr>
              <w:keepNext w:val="0"/>
              <w:keepLines w:val="0"/>
              <w:suppressLineNumbers w:val="0"/>
              <w:bidi w:val="0"/>
              <w:spacing w:before="0" w:beforeAutospacing="0" w:after="0" w:afterAutospacing="0"/>
              <w:ind w:left="0" w:right="0"/>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②生态空间</w:t>
            </w:r>
          </w:p>
          <w:p w14:paraId="16629034">
            <w:pPr>
              <w:keepNext w:val="0"/>
              <w:keepLines w:val="0"/>
              <w:suppressLineNumbers w:val="0"/>
              <w:bidi w:val="0"/>
              <w:spacing w:before="0" w:beforeAutospacing="0" w:after="0" w:afterAutospacing="0"/>
              <w:ind w:left="0" w:right="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根据《市人民政府办公室关于发布</w:t>
            </w:r>
            <w:r>
              <w:rPr>
                <w:rFonts w:hint="default"/>
                <w:color w:val="000000" w:themeColor="text1"/>
                <w:highlight w:val="none"/>
                <w:lang w:val="en-US" w:eastAsia="zh-CN"/>
                <w14:textFill>
                  <w14:solidFill>
                    <w14:schemeClr w14:val="tx1"/>
                  </w14:solidFill>
                </w14:textFill>
              </w:rPr>
              <w:t>&lt;</w:t>
            </w:r>
            <w:r>
              <w:rPr>
                <w:rFonts w:hint="eastAsia"/>
                <w:color w:val="000000" w:themeColor="text1"/>
                <w:highlight w:val="none"/>
                <w:lang w:val="en-US" w:eastAsia="zh-CN"/>
                <w14:textFill>
                  <w14:solidFill>
                    <w14:schemeClr w14:val="tx1"/>
                  </w14:solidFill>
                </w14:textFill>
              </w:rPr>
              <w:t>中卫市生态环境分区管控动态更新成果</w:t>
            </w:r>
            <w:r>
              <w:rPr>
                <w:rFonts w:hint="default"/>
                <w:color w:val="000000" w:themeColor="text1"/>
                <w:highlight w:val="none"/>
                <w:lang w:val="en-US" w:eastAsia="zh-CN"/>
                <w14:textFill>
                  <w14:solidFill>
                    <w14:schemeClr w14:val="tx1"/>
                  </w14:solidFill>
                </w14:textFill>
              </w:rPr>
              <w:t>&gt;</w:t>
            </w:r>
            <w:r>
              <w:rPr>
                <w:rFonts w:hint="eastAsia"/>
                <w:color w:val="000000" w:themeColor="text1"/>
                <w:highlight w:val="none"/>
                <w:lang w:val="en-US" w:eastAsia="zh-CN"/>
                <w14:textFill>
                  <w14:solidFill>
                    <w14:schemeClr w14:val="tx1"/>
                  </w14:solidFill>
                </w14:textFill>
              </w:rPr>
              <w:t>的通知》（卫政办发〔</w:t>
            </w:r>
            <w:r>
              <w:rPr>
                <w:rFonts w:hint="default"/>
                <w:color w:val="000000" w:themeColor="text1"/>
                <w:highlight w:val="none"/>
                <w:lang w:val="en-US" w:eastAsia="zh-CN"/>
                <w14:textFill>
                  <w14:solidFill>
                    <w14:schemeClr w14:val="tx1"/>
                  </w14:solidFill>
                </w14:textFill>
              </w:rPr>
              <w:t>2024</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33</w:t>
            </w:r>
            <w:r>
              <w:rPr>
                <w:rFonts w:hint="eastAsia"/>
                <w:color w:val="000000" w:themeColor="text1"/>
                <w:highlight w:val="none"/>
                <w:lang w:val="en-US" w:eastAsia="zh-CN"/>
                <w14:textFill>
                  <w14:solidFill>
                    <w14:schemeClr w14:val="tx1"/>
                  </w14:solidFill>
                </w14:textFill>
              </w:rPr>
              <w:t>号），本项目部分治理区位于一般生态空间。一般生态空间管控要求为：</w:t>
            </w:r>
            <w:r>
              <w:rPr>
                <w:rFonts w:hint="default"/>
                <w:color w:val="000000" w:themeColor="text1"/>
                <w:highlight w:val="none"/>
                <w14:textFill>
                  <w14:solidFill>
                    <w14:schemeClr w14:val="tx1"/>
                  </w14:solidFill>
                </w14:textFill>
              </w:rPr>
              <w:t>原则上按照限制开发区域的要求进行管理。严格控制新增建设用地占用一般生态空间。符合区域准入条件的建设项目，涉及占用生态空间中的林地、草原等，按有关法律法规规定办理；涉及占用生态空间中其他未作明确规定的用地，应当加强论证和管理，严格限制农业开发占用生态空间，符合条件的农业开发项目，须依法由县级及以上地方人民政府统筹安排，有序引导生态空间用途之间的相互转换，鼓励向有利于生态功能提升的方向转变，严格限制不符合生态保护要求或有损生态功能的转换</w:t>
            </w:r>
            <w:r>
              <w:rPr>
                <w:rFonts w:hint="eastAsia"/>
                <w:color w:val="000000" w:themeColor="text1"/>
                <w:highlight w:val="none"/>
                <w:lang w:eastAsia="zh-CN"/>
                <w14:textFill>
                  <w14:solidFill>
                    <w14:schemeClr w14:val="tx1"/>
                  </w14:solidFill>
                </w14:textFill>
              </w:rPr>
              <w:t>。</w:t>
            </w:r>
          </w:p>
          <w:p w14:paraId="5B5D9152">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已正式取得《中卫市沙坡头区发展和改革局关于中卫市宣和镇天景山山峁圪垯梁灰石矿矿山生态修复治理项目初步设计的批复》（卫沙发改（审批）发〔2025〕100号），项目代码：2509-640502-15-05-899209。项目主要实施内容为对历史遗留矿山进行系统性生态修复治理，通过地形重塑、植被恢复、水土保持等工程，逐步恢复区域生态功能，提升生态系统稳定性，其建设目标与一般生态空间“鼓励向有利于生态功能提升的方向转变”的管控导向高度契合。本项目属于生态修复类工程，不涉及大规模、高强度的工业化或城镇化开发，符合限制开发区域关于控制建设强度和保护生态功能的基本要求。针对施工期和运营期可能产生的生态影响，项目已制定相应的环境保护与生态修复措施，包括严格控制作业范围、实施表土保护与利用、加强水土流失防治、开展植被恢复与长期管护等，以确保修复过程中生态环境得到有效保护，并逐步实现生态效益的持续发挥。综上所述，本项目以生态修复为核心导向，不仅符合一般生态空间“限制开发”的管控定位，而且有利于推动区域生态功能整体提升，对维护区域生态安全具有积极意义。因此，本项目占用一般生态空间具有充分的可行性、合理性与不可避让性，符合一般生态空间相关管控要求。本项目与中卫市生态空间分布图的位置关系详见附图1-2。</w:t>
            </w:r>
          </w:p>
          <w:p w14:paraId="1A7D6A95">
            <w:pPr>
              <w:bidi w:val="0"/>
              <w:rPr>
                <w:rFonts w:hint="default"/>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⑵环境质量底线及分区管控</w:t>
            </w:r>
          </w:p>
          <w:p w14:paraId="1163DCF6">
            <w:pPr>
              <w:keepNext w:val="0"/>
              <w:keepLines w:val="0"/>
              <w:suppressLineNumbers w:val="0"/>
              <w:bidi w:val="0"/>
              <w:spacing w:before="0" w:beforeAutospacing="0" w:after="0" w:afterAutospacing="0"/>
              <w:ind w:left="0" w:right="0"/>
              <w:rPr>
                <w:rFonts w:hint="eastAsia"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①大气环境质量底线及分区管控</w:t>
            </w:r>
          </w:p>
          <w:p w14:paraId="46F43FEB">
            <w:pPr>
              <w:keepNext w:val="0"/>
              <w:keepLines w:val="0"/>
              <w:suppressLineNumbers w:val="0"/>
              <w:bidi w:val="0"/>
              <w:spacing w:before="0" w:beforeAutospacing="0" w:after="0" w:afterAutospacing="0"/>
              <w:ind w:left="0" w:right="0"/>
              <w:rPr>
                <w:rFonts w:hint="eastAsia"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大气环境质量底线：根据《市人民政府办公室关于发布</w:t>
            </w:r>
            <w:r>
              <w:rPr>
                <w:rFonts w:hint="default" w:cs="Times New Roman"/>
                <w:color w:val="000000" w:themeColor="text1"/>
                <w:highlight w:val="none"/>
                <w:lang w:val="en-US" w:eastAsia="zh-CN"/>
                <w14:textFill>
                  <w14:solidFill>
                    <w14:schemeClr w14:val="tx1"/>
                  </w14:solidFill>
                </w14:textFill>
              </w:rPr>
              <w:t>&lt;</w:t>
            </w:r>
            <w:r>
              <w:rPr>
                <w:rFonts w:hint="eastAsia" w:cs="Times New Roman"/>
                <w:color w:val="000000" w:themeColor="text1"/>
                <w:highlight w:val="none"/>
                <w:lang w:val="en-US" w:eastAsia="zh-CN"/>
                <w14:textFill>
                  <w14:solidFill>
                    <w14:schemeClr w14:val="tx1"/>
                  </w14:solidFill>
                </w14:textFill>
              </w:rPr>
              <w:t>中卫市生态环境分区管控动态更新成果</w:t>
            </w:r>
            <w:r>
              <w:rPr>
                <w:rFonts w:hint="default" w:cs="Times New Roman"/>
                <w:color w:val="000000" w:themeColor="text1"/>
                <w:highlight w:val="none"/>
                <w:lang w:val="en-US" w:eastAsia="zh-CN"/>
                <w14:textFill>
                  <w14:solidFill>
                    <w14:schemeClr w14:val="tx1"/>
                  </w14:solidFill>
                </w14:textFill>
              </w:rPr>
              <w:t>&gt;</w:t>
            </w:r>
            <w:r>
              <w:rPr>
                <w:rFonts w:hint="eastAsia" w:cs="Times New Roman"/>
                <w:color w:val="000000" w:themeColor="text1"/>
                <w:highlight w:val="none"/>
                <w:lang w:val="en-US" w:eastAsia="zh-CN"/>
                <w14:textFill>
                  <w14:solidFill>
                    <w14:schemeClr w14:val="tx1"/>
                  </w14:solidFill>
                </w14:textFill>
              </w:rPr>
              <w:t>的通知》（卫政办发〔</w:t>
            </w:r>
            <w:r>
              <w:rPr>
                <w:rFonts w:hint="default" w:cs="Times New Roman"/>
                <w:color w:val="000000" w:themeColor="text1"/>
                <w:highlight w:val="none"/>
                <w:lang w:val="en-US" w:eastAsia="zh-CN"/>
                <w14:textFill>
                  <w14:solidFill>
                    <w14:schemeClr w14:val="tx1"/>
                  </w14:solidFill>
                </w14:textFill>
              </w:rPr>
              <w:t>2024</w:t>
            </w:r>
            <w:r>
              <w:rPr>
                <w:rFonts w:hint="eastAsia" w:cs="Times New Roman"/>
                <w:color w:val="000000" w:themeColor="text1"/>
                <w:highlight w:val="none"/>
                <w:lang w:val="en-US" w:eastAsia="zh-CN"/>
                <w14:textFill>
                  <w14:solidFill>
                    <w14:schemeClr w14:val="tx1"/>
                  </w14:solidFill>
                </w14:textFill>
              </w:rPr>
              <w:t>〕</w:t>
            </w:r>
            <w:r>
              <w:rPr>
                <w:rFonts w:hint="default" w:cs="Times New Roman"/>
                <w:color w:val="000000" w:themeColor="text1"/>
                <w:highlight w:val="none"/>
                <w:lang w:val="en-US" w:eastAsia="zh-CN"/>
                <w14:textFill>
                  <w14:solidFill>
                    <w14:schemeClr w14:val="tx1"/>
                  </w14:solidFill>
                </w14:textFill>
              </w:rPr>
              <w:t>33</w:t>
            </w:r>
            <w:r>
              <w:rPr>
                <w:rFonts w:hint="eastAsia" w:cs="Times New Roman"/>
                <w:color w:val="000000" w:themeColor="text1"/>
                <w:highlight w:val="none"/>
                <w:lang w:val="en-US" w:eastAsia="zh-CN"/>
                <w14:textFill>
                  <w14:solidFill>
                    <w14:schemeClr w14:val="tx1"/>
                  </w14:solidFill>
                </w14:textFill>
              </w:rPr>
              <w:t>号）中大气环境质量底线，到2025年，沙坡头区细颗粒物（PM</w:t>
            </w:r>
            <w:r>
              <w:rPr>
                <w:rFonts w:hint="eastAsia" w:cs="Times New Roman"/>
                <w:color w:val="000000" w:themeColor="text1"/>
                <w:highlight w:val="none"/>
                <w:vertAlign w:val="subscript"/>
                <w:lang w:val="en-US" w:eastAsia="zh-CN"/>
                <w14:textFill>
                  <w14:solidFill>
                    <w14:schemeClr w14:val="tx1"/>
                  </w14:solidFill>
                </w14:textFill>
              </w:rPr>
              <w:t>2.5</w:t>
            </w:r>
            <w:r>
              <w:rPr>
                <w:rFonts w:hint="eastAsia" w:cs="Times New Roman"/>
                <w:color w:val="000000" w:themeColor="text1"/>
                <w:highlight w:val="none"/>
                <w:lang w:val="en-US" w:eastAsia="zh-CN"/>
                <w14:textFill>
                  <w14:solidFill>
                    <w14:schemeClr w14:val="tx1"/>
                  </w14:solidFill>
                </w14:textFill>
              </w:rPr>
              <w:t>）浓度达到30.0微克/立方米、可吸入颗粒物（PM</w:t>
            </w:r>
            <w:r>
              <w:rPr>
                <w:rFonts w:hint="eastAsia" w:cs="Times New Roman"/>
                <w:color w:val="000000" w:themeColor="text1"/>
                <w:highlight w:val="none"/>
                <w:vertAlign w:val="subscript"/>
                <w:lang w:val="en-US" w:eastAsia="zh-CN"/>
                <w14:textFill>
                  <w14:solidFill>
                    <w14:schemeClr w14:val="tx1"/>
                  </w14:solidFill>
                </w14:textFill>
              </w:rPr>
              <w:t>10</w:t>
            </w:r>
            <w:r>
              <w:rPr>
                <w:rFonts w:hint="eastAsia" w:cs="Times New Roman"/>
                <w:color w:val="000000" w:themeColor="text1"/>
                <w:highlight w:val="none"/>
                <w:lang w:val="en-US" w:eastAsia="zh-CN"/>
                <w14:textFill>
                  <w14:solidFill>
                    <w14:schemeClr w14:val="tx1"/>
                  </w14:solidFill>
                </w14:textFill>
              </w:rPr>
              <w:t>）浓度达到63.5微克/立方米。根据《2024年宁夏生态环境质量状况》评价结论，扣除沙尘天气影响，沙坡头区PM</w:t>
            </w:r>
            <w:r>
              <w:rPr>
                <w:rFonts w:hint="eastAsia" w:cs="Times New Roman"/>
                <w:color w:val="000000" w:themeColor="text1"/>
                <w:highlight w:val="none"/>
                <w:vertAlign w:val="subscript"/>
                <w:lang w:val="en-US" w:eastAsia="zh-CN"/>
                <w14:textFill>
                  <w14:solidFill>
                    <w14:schemeClr w14:val="tx1"/>
                  </w14:solidFill>
                </w14:textFill>
              </w:rPr>
              <w:t>2.5</w:t>
            </w:r>
            <w:r>
              <w:rPr>
                <w:rFonts w:hint="eastAsia" w:cs="Times New Roman"/>
                <w:color w:val="000000" w:themeColor="text1"/>
                <w:highlight w:val="none"/>
                <w:lang w:val="en-US" w:eastAsia="zh-CN"/>
                <w14:textFill>
                  <w14:solidFill>
                    <w14:schemeClr w14:val="tx1"/>
                  </w14:solidFill>
                </w14:textFill>
              </w:rPr>
              <w:t>为31</w:t>
            </w:r>
            <w:r>
              <w:rPr>
                <w:rFonts w:hint="default" w:ascii="Times New Roman" w:hAnsi="Times New Roman" w:eastAsia="宋体" w:cs="Times New Roman"/>
                <w:color w:val="000000" w:themeColor="text1"/>
                <w:highlight w:val="none"/>
                <w:lang w:val="en-US" w:eastAsia="zh-CN"/>
                <w14:textFill>
                  <w14:solidFill>
                    <w14:schemeClr w14:val="tx1"/>
                  </w14:solidFill>
                </w14:textFill>
              </w:rPr>
              <w:t>μ</w:t>
            </w:r>
            <w:r>
              <w:rPr>
                <w:rFonts w:hint="eastAsia" w:cs="Times New Roman"/>
                <w:color w:val="000000" w:themeColor="text1"/>
                <w:highlight w:val="none"/>
                <w:lang w:val="en-US" w:eastAsia="zh-CN"/>
                <w14:textFill>
                  <w14:solidFill>
                    <w14:schemeClr w14:val="tx1"/>
                  </w14:solidFill>
                </w14:textFill>
              </w:rPr>
              <w:t>g/m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cs="Times New Roman"/>
                <w:color w:val="000000" w:themeColor="text1"/>
                <w:highlight w:val="none"/>
                <w:lang w:val="en-US" w:eastAsia="zh-CN"/>
                <w14:textFill>
                  <w14:solidFill>
                    <w14:schemeClr w14:val="tx1"/>
                  </w14:solidFill>
                </w14:textFill>
              </w:rPr>
              <w:t>，PM</w:t>
            </w:r>
            <w:r>
              <w:rPr>
                <w:rFonts w:hint="eastAsia" w:cs="Times New Roman"/>
                <w:color w:val="000000" w:themeColor="text1"/>
                <w:highlight w:val="none"/>
                <w:vertAlign w:val="subscript"/>
                <w:lang w:val="en-US" w:eastAsia="zh-CN"/>
                <w14:textFill>
                  <w14:solidFill>
                    <w14:schemeClr w14:val="tx1"/>
                  </w14:solidFill>
                </w14:textFill>
              </w:rPr>
              <w:t>10</w:t>
            </w:r>
            <w:r>
              <w:rPr>
                <w:rFonts w:hint="eastAsia" w:cs="Times New Roman"/>
                <w:color w:val="000000" w:themeColor="text1"/>
                <w:highlight w:val="none"/>
                <w:lang w:val="en-US" w:eastAsia="zh-CN"/>
                <w14:textFill>
                  <w14:solidFill>
                    <w14:schemeClr w14:val="tx1"/>
                  </w14:solidFill>
                </w14:textFill>
              </w:rPr>
              <w:t>为62</w:t>
            </w:r>
            <w:r>
              <w:rPr>
                <w:rFonts w:hint="default" w:ascii="Times New Roman" w:hAnsi="Times New Roman" w:eastAsia="宋体" w:cs="Times New Roman"/>
                <w:color w:val="000000" w:themeColor="text1"/>
                <w:highlight w:val="none"/>
                <w:lang w:val="en-US" w:eastAsia="zh-CN"/>
                <w14:textFill>
                  <w14:solidFill>
                    <w14:schemeClr w14:val="tx1"/>
                  </w14:solidFill>
                </w14:textFill>
              </w:rPr>
              <w:t>μ</w:t>
            </w:r>
            <w:r>
              <w:rPr>
                <w:rFonts w:hint="eastAsia" w:eastAsia="宋体" w:cs="Times New Roman"/>
                <w:color w:val="000000" w:themeColor="text1"/>
                <w:highlight w:val="none"/>
                <w:lang w:val="en-US" w:eastAsia="zh-CN"/>
                <w14:textFill>
                  <w14:solidFill>
                    <w14:schemeClr w14:val="tx1"/>
                  </w14:solidFill>
                </w14:textFill>
              </w:rPr>
              <w:t>g</w:t>
            </w:r>
            <w:r>
              <w:rPr>
                <w:rFonts w:hint="eastAsia" w:cs="Times New Roman"/>
                <w:color w:val="000000" w:themeColor="text1"/>
                <w:highlight w:val="none"/>
                <w:lang w:val="en-US" w:eastAsia="zh-CN"/>
                <w14:textFill>
                  <w14:solidFill>
                    <w14:schemeClr w14:val="tx1"/>
                  </w14:solidFill>
                </w14:textFill>
              </w:rPr>
              <w:t>/m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cs="Times New Roman"/>
                <w:color w:val="000000" w:themeColor="text1"/>
                <w:highlight w:val="none"/>
                <w:lang w:val="en-US" w:eastAsia="zh-CN"/>
                <w14:textFill>
                  <w14:solidFill>
                    <w14:schemeClr w14:val="tx1"/>
                  </w14:solidFill>
                </w14:textFill>
              </w:rPr>
              <w:t>，属于达标区，PM</w:t>
            </w:r>
            <w:r>
              <w:rPr>
                <w:rFonts w:hint="eastAsia" w:cs="Times New Roman"/>
                <w:color w:val="000000" w:themeColor="text1"/>
                <w:highlight w:val="none"/>
                <w:vertAlign w:val="subscript"/>
                <w:lang w:val="en-US" w:eastAsia="zh-CN"/>
                <w14:textFill>
                  <w14:solidFill>
                    <w14:schemeClr w14:val="tx1"/>
                  </w14:solidFill>
                </w14:textFill>
              </w:rPr>
              <w:t>2.5</w:t>
            </w:r>
            <w:r>
              <w:rPr>
                <w:rFonts w:hint="eastAsia" w:cs="Times New Roman"/>
                <w:color w:val="000000" w:themeColor="text1"/>
                <w:highlight w:val="none"/>
                <w:lang w:val="en-US" w:eastAsia="zh-CN"/>
                <w14:textFill>
                  <w14:solidFill>
                    <w14:schemeClr w14:val="tx1"/>
                  </w14:solidFill>
                </w14:textFill>
              </w:rPr>
              <w:t>未满足目标值要求。本项目运营期不排放废气，不会影响</w:t>
            </w:r>
            <w:r>
              <w:rPr>
                <w:rFonts w:hint="eastAsia" w:cs="Times New Roman"/>
                <w:color w:val="000000" w:themeColor="text1"/>
                <w:highlight w:val="none"/>
                <w14:textFill>
                  <w14:solidFill>
                    <w14:schemeClr w14:val="tx1"/>
                  </w14:solidFill>
                </w14:textFill>
              </w:rPr>
              <w:t>大气环境质量底线</w:t>
            </w:r>
            <w:r>
              <w:rPr>
                <w:rFonts w:hint="eastAsia" w:cs="Times New Roman"/>
                <w:color w:val="000000" w:themeColor="text1"/>
                <w:highlight w:val="none"/>
                <w:lang w:eastAsia="zh-CN"/>
                <w14:textFill>
                  <w14:solidFill>
                    <w14:schemeClr w14:val="tx1"/>
                  </w14:solidFill>
                </w14:textFill>
              </w:rPr>
              <w:t>。</w:t>
            </w:r>
          </w:p>
          <w:p w14:paraId="093AFFC3">
            <w:pPr>
              <w:keepNext w:val="0"/>
              <w:keepLines w:val="0"/>
              <w:suppressLineNumbers w:val="0"/>
              <w:bidi w:val="0"/>
              <w:spacing w:before="0" w:beforeAutospacing="0" w:after="0" w:afterAutospacing="0"/>
              <w:ind w:left="0" w:right="0"/>
              <w:rPr>
                <w:rFonts w:hint="default" w:ascii="黑体" w:hAnsi="宋体" w:eastAsia="黑体" w:cs="黑体"/>
                <w:color w:val="000000" w:themeColor="text1"/>
                <w:kern w:val="0"/>
                <w:sz w:val="24"/>
                <w:szCs w:val="24"/>
                <w:highlight w:val="none"/>
                <w:lang w:val="en-US" w:eastAsia="zh-CN" w:bidi="ar"/>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根据《市人民政府办公室关于发布</w:t>
            </w:r>
            <w:r>
              <w:rPr>
                <w:rFonts w:hint="default" w:cs="Times New Roman"/>
                <w:color w:val="000000" w:themeColor="text1"/>
                <w:highlight w:val="none"/>
                <w:lang w:val="en-US" w:eastAsia="zh-CN"/>
                <w14:textFill>
                  <w14:solidFill>
                    <w14:schemeClr w14:val="tx1"/>
                  </w14:solidFill>
                </w14:textFill>
              </w:rPr>
              <w:t>&lt;</w:t>
            </w:r>
            <w:r>
              <w:rPr>
                <w:rFonts w:hint="eastAsia" w:cs="Times New Roman"/>
                <w:color w:val="000000" w:themeColor="text1"/>
                <w:highlight w:val="none"/>
                <w:lang w:val="en-US" w:eastAsia="zh-CN"/>
                <w14:textFill>
                  <w14:solidFill>
                    <w14:schemeClr w14:val="tx1"/>
                  </w14:solidFill>
                </w14:textFill>
              </w:rPr>
              <w:t>中卫市生态环境分区管控动态更新成果</w:t>
            </w:r>
            <w:r>
              <w:rPr>
                <w:rFonts w:hint="default" w:cs="Times New Roman"/>
                <w:color w:val="000000" w:themeColor="text1"/>
                <w:highlight w:val="none"/>
                <w:lang w:val="en-US" w:eastAsia="zh-CN"/>
                <w14:textFill>
                  <w14:solidFill>
                    <w14:schemeClr w14:val="tx1"/>
                  </w14:solidFill>
                </w14:textFill>
              </w:rPr>
              <w:t>&gt;</w:t>
            </w:r>
            <w:r>
              <w:rPr>
                <w:rFonts w:hint="eastAsia" w:cs="Times New Roman"/>
                <w:color w:val="000000" w:themeColor="text1"/>
                <w:highlight w:val="none"/>
                <w:lang w:val="en-US" w:eastAsia="zh-CN"/>
                <w14:textFill>
                  <w14:solidFill>
                    <w14:schemeClr w14:val="tx1"/>
                  </w14:solidFill>
                </w14:textFill>
              </w:rPr>
              <w:t>的通知》（卫政办发〔</w:t>
            </w:r>
            <w:r>
              <w:rPr>
                <w:rFonts w:hint="default" w:cs="Times New Roman"/>
                <w:color w:val="000000" w:themeColor="text1"/>
                <w:highlight w:val="none"/>
                <w:lang w:val="en-US" w:eastAsia="zh-CN"/>
                <w14:textFill>
                  <w14:solidFill>
                    <w14:schemeClr w14:val="tx1"/>
                  </w14:solidFill>
                </w14:textFill>
              </w:rPr>
              <w:t>2024</w:t>
            </w:r>
            <w:r>
              <w:rPr>
                <w:rFonts w:hint="eastAsia" w:cs="Times New Roman"/>
                <w:color w:val="000000" w:themeColor="text1"/>
                <w:highlight w:val="none"/>
                <w:lang w:val="en-US" w:eastAsia="zh-CN"/>
                <w14:textFill>
                  <w14:solidFill>
                    <w14:schemeClr w14:val="tx1"/>
                  </w14:solidFill>
                </w14:textFill>
              </w:rPr>
              <w:t>〕</w:t>
            </w:r>
            <w:r>
              <w:rPr>
                <w:rFonts w:hint="default" w:cs="Times New Roman"/>
                <w:color w:val="000000" w:themeColor="text1"/>
                <w:highlight w:val="none"/>
                <w:lang w:val="en-US" w:eastAsia="zh-CN"/>
                <w14:textFill>
                  <w14:solidFill>
                    <w14:schemeClr w14:val="tx1"/>
                  </w14:solidFill>
                </w14:textFill>
              </w:rPr>
              <w:t>33</w:t>
            </w:r>
            <w:r>
              <w:rPr>
                <w:rFonts w:hint="eastAsia" w:cs="Times New Roman"/>
                <w:color w:val="000000" w:themeColor="text1"/>
                <w:highlight w:val="none"/>
                <w:lang w:val="en-US" w:eastAsia="zh-CN"/>
                <w14:textFill>
                  <w14:solidFill>
                    <w14:schemeClr w14:val="tx1"/>
                  </w14:solidFill>
                </w14:textFill>
              </w:rPr>
              <w:t>号）中《中卫市生态环境分区管控方案图集》及《中卫市生态环境分区管控方案文本》，基于大气环境脆弱性、敏感性、重要性评价结果，考虑大气污染传输规律和城市用地特征，识别网格单元主导属性，将中卫市划分为大气环境优先保护区、大气环境重点管控区和大气环境一般管控区，本项目建设地点为沙坡头宣和镇天景山北东麓，位于大气环境一般管控区。分区管控符合性分析见表1-1。项目与中卫市大气环境分区管控图位置关系图见附图</w:t>
            </w:r>
            <w:r>
              <w:rPr>
                <w:rFonts w:hint="default" w:cs="Times New Roman"/>
                <w:color w:val="000000" w:themeColor="text1"/>
                <w:highlight w:val="none"/>
                <w:lang w:val="en-US" w:eastAsia="zh-CN"/>
                <w14:textFill>
                  <w14:solidFill>
                    <w14:schemeClr w14:val="tx1"/>
                  </w14:solidFill>
                </w14:textFill>
              </w:rPr>
              <w:t>1-</w:t>
            </w:r>
            <w:r>
              <w:rPr>
                <w:rFonts w:hint="eastAsia" w:cs="Times New Roman"/>
                <w:color w:val="000000" w:themeColor="text1"/>
                <w:highlight w:val="none"/>
                <w:lang w:val="en-US" w:eastAsia="zh-CN"/>
                <w14:textFill>
                  <w14:solidFill>
                    <w14:schemeClr w14:val="tx1"/>
                  </w14:solidFill>
                </w14:textFill>
              </w:rPr>
              <w:t>3。</w:t>
            </w:r>
          </w:p>
          <w:p w14:paraId="1BAEE9DC">
            <w:pPr>
              <w:pStyle w:val="3"/>
              <w:keepNext w:val="0"/>
              <w:keepLines w:val="0"/>
              <w:suppressLineNumbers w:val="0"/>
              <w:bidi w:val="0"/>
              <w:spacing w:before="0" w:beforeAutospacing="0" w:after="0" w:afterAutospacing="0"/>
              <w:ind w:left="0" w:right="0"/>
              <w:rPr>
                <w:rFonts w:hint="default"/>
                <w:color w:val="000000" w:themeColor="text1"/>
                <w:highlight w:val="none"/>
                <w:vertAlign w:val="baseline"/>
                <w14:textFill>
                  <w14:solidFill>
                    <w14:schemeClr w14:val="tx1"/>
                  </w14:solidFill>
                </w14:textFill>
              </w:rPr>
            </w:pPr>
            <w:r>
              <w:rPr>
                <w:rFonts w:hint="default" w:ascii="黑体" w:hAnsi="宋体" w:eastAsia="黑体" w:cs="黑体"/>
                <w:color w:val="000000" w:themeColor="text1"/>
                <w:kern w:val="0"/>
                <w:sz w:val="24"/>
                <w:szCs w:val="24"/>
                <w:highlight w:val="none"/>
                <w:lang w:val="en-US" w:eastAsia="zh-CN" w:bidi="ar"/>
                <w14:textFill>
                  <w14:solidFill>
                    <w14:schemeClr w14:val="tx1"/>
                  </w14:solidFill>
                </w14:textFill>
              </w:rPr>
              <w:t>表</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1-</w:t>
            </w:r>
            <w:r>
              <w:rPr>
                <w:rFonts w:hint="eastAsia" w:eastAsia="宋体" w:cs="Times New Roman"/>
                <w:color w:val="000000" w:themeColor="text1"/>
                <w:kern w:val="0"/>
                <w:sz w:val="24"/>
                <w:szCs w:val="24"/>
                <w:highlight w:val="none"/>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 xml:space="preserve"> </w:t>
            </w:r>
            <w:r>
              <w:rPr>
                <w:rFonts w:hint="eastAsia" w:cs="Times New Roman"/>
                <w:color w:val="000000" w:themeColor="text1"/>
                <w:kern w:val="0"/>
                <w:sz w:val="24"/>
                <w:szCs w:val="24"/>
                <w:highlight w:val="none"/>
                <w:lang w:val="en-US" w:eastAsia="zh-CN" w:bidi="ar"/>
                <w14:textFill>
                  <w14:solidFill>
                    <w14:schemeClr w14:val="tx1"/>
                  </w14:solidFill>
                </w14:textFill>
              </w:rPr>
              <w:t xml:space="preserve"> </w:t>
            </w:r>
            <w:r>
              <w:rPr>
                <w:rFonts w:hint="eastAsia" w:ascii="黑体" w:hAnsi="宋体" w:eastAsia="黑体" w:cs="黑体"/>
                <w:color w:val="000000" w:themeColor="text1"/>
                <w:kern w:val="0"/>
                <w:sz w:val="24"/>
                <w:szCs w:val="24"/>
                <w:highlight w:val="none"/>
                <w:lang w:val="en-US" w:eastAsia="zh-CN" w:bidi="ar"/>
                <w14:textFill>
                  <w14:solidFill>
                    <w14:schemeClr w14:val="tx1"/>
                  </w14:solidFill>
                </w14:textFill>
              </w:rPr>
              <w:t>大气环境分区管控符合性分析</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6"/>
              <w:gridCol w:w="4373"/>
              <w:gridCol w:w="2526"/>
              <w:gridCol w:w="692"/>
            </w:tblGrid>
            <w:tr w14:paraId="646907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noWrap w:val="0"/>
                  <w:vAlign w:val="center"/>
                </w:tcPr>
                <w:p w14:paraId="287D25B9">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类</w:t>
                  </w:r>
                </w:p>
                <w:p w14:paraId="6723C31C">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别</w:t>
                  </w:r>
                </w:p>
              </w:tc>
              <w:tc>
                <w:tcPr>
                  <w:tcW w:w="4357" w:type="dxa"/>
                  <w:tcBorders>
                    <w:tl2br w:val="nil"/>
                    <w:tr2bl w:val="nil"/>
                  </w:tcBorders>
                  <w:noWrap w:val="0"/>
                  <w:vAlign w:val="center"/>
                </w:tcPr>
                <w:p w14:paraId="23E848F8">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分区管控要求</w:t>
                  </w:r>
                </w:p>
              </w:tc>
              <w:tc>
                <w:tcPr>
                  <w:tcW w:w="2517" w:type="dxa"/>
                  <w:tcBorders>
                    <w:tl2br w:val="nil"/>
                    <w:tr2bl w:val="nil"/>
                  </w:tcBorders>
                  <w:noWrap w:val="0"/>
                  <w:vAlign w:val="center"/>
                </w:tcPr>
                <w:p w14:paraId="0B5CA09E">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本项目情况</w:t>
                  </w:r>
                </w:p>
              </w:tc>
              <w:tc>
                <w:tcPr>
                  <w:tcW w:w="689" w:type="dxa"/>
                  <w:tcBorders>
                    <w:tl2br w:val="nil"/>
                    <w:tr2bl w:val="nil"/>
                  </w:tcBorders>
                  <w:noWrap w:val="0"/>
                  <w:vAlign w:val="center"/>
                </w:tcPr>
                <w:p w14:paraId="575CC31C">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符合</w:t>
                  </w:r>
                </w:p>
                <w:p w14:paraId="7AE1284C">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情况</w:t>
                  </w:r>
                </w:p>
              </w:tc>
            </w:tr>
            <w:tr w14:paraId="53794C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noWrap w:val="0"/>
                  <w:vAlign w:val="center"/>
                </w:tcPr>
                <w:p w14:paraId="1A9BF4F6">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一般管控区</w:t>
                  </w:r>
                </w:p>
              </w:tc>
              <w:tc>
                <w:tcPr>
                  <w:tcW w:w="4357" w:type="dxa"/>
                  <w:tcBorders>
                    <w:tl2br w:val="nil"/>
                    <w:tr2bl w:val="nil"/>
                  </w:tcBorders>
                  <w:noWrap w:val="0"/>
                  <w:vAlign w:val="center"/>
                </w:tcPr>
                <w:p w14:paraId="3C461C39">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落实《中华人民共和国大气污染防治法》等相关法律法规的一般要求，在满足区域基本的污染物排放标准和污染防治要求基础上，进一步采用更清洁的生产方式和更有效的污染治理措施，推动区域环境空气质量持续改善。毗邻大气环境优先保护区的新建项目，还应特别注意污染物排放对优先保护区的影响，应优化选址方案或采取有效的污染防治措施，避免对一类区空气质量造成不利影响</w:t>
                  </w:r>
                </w:p>
              </w:tc>
              <w:tc>
                <w:tcPr>
                  <w:tcW w:w="2517" w:type="dxa"/>
                  <w:tcBorders>
                    <w:tl2br w:val="nil"/>
                    <w:tr2bl w:val="nil"/>
                  </w:tcBorders>
                  <w:noWrap w:val="0"/>
                  <w:vAlign w:val="center"/>
                </w:tcPr>
                <w:p w14:paraId="49C67A7E">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主要对矿山进行生态修复治理。营运期无废气产生，项目废气主要为施工期废气，其中施工扬尘采取措施为施工场地设置施工围挡、定期洒水降尘、运输车辆加盖篷布；临时堆土场采取措施为施工期临时堆土堆放在治理区内，并采用纤维网苫盖，定期洒水保湿；机械废气采取措施为加强机械设备管理和保养维修</w:t>
                  </w:r>
                  <w:r>
                    <w:rPr>
                      <w:rFonts w:hint="eastAsia" w:cs="Times New Roman"/>
                      <w:color w:val="000000" w:themeColor="text1"/>
                      <w:highlight w:val="none"/>
                      <w:lang w:val="en-US" w:eastAsia="zh-CN"/>
                      <w14:textFill>
                        <w14:solidFill>
                          <w14:schemeClr w14:val="tx1"/>
                        </w14:solidFill>
                      </w14:textFill>
                    </w:rPr>
                    <w:t>。随着施工期结束后，施工期废气影响也会消失。因此，可满足一般管控区管控要求。</w:t>
                  </w:r>
                </w:p>
              </w:tc>
              <w:tc>
                <w:tcPr>
                  <w:tcW w:w="689" w:type="dxa"/>
                  <w:tcBorders>
                    <w:tl2br w:val="nil"/>
                    <w:tr2bl w:val="nil"/>
                  </w:tcBorders>
                  <w:noWrap w:val="0"/>
                  <w:vAlign w:val="center"/>
                </w:tcPr>
                <w:p w14:paraId="60AFAA6D">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符合</w:t>
                  </w:r>
                </w:p>
              </w:tc>
            </w:tr>
          </w:tbl>
          <w:p w14:paraId="43396E99">
            <w:pPr>
              <w:keepNext w:val="0"/>
              <w:keepLines w:val="0"/>
              <w:suppressLineNumbers w:val="0"/>
              <w:bidi w:val="0"/>
              <w:spacing w:before="0" w:beforeAutospacing="0" w:after="0" w:afterAutospacing="0"/>
              <w:ind w:left="0" w:right="0"/>
              <w:rPr>
                <w:rFonts w:hint="default"/>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②水环境质量底线及分区管控</w:t>
            </w:r>
          </w:p>
          <w:p w14:paraId="7E61EFF6">
            <w:pPr>
              <w:keepNext w:val="0"/>
              <w:keepLines w:val="0"/>
              <w:widowControl w:val="0"/>
              <w:suppressLineNumbers w:val="0"/>
              <w:adjustRightInd w:val="0"/>
              <w:snapToGrid w:val="0"/>
              <w:spacing w:before="0" w:beforeAutospacing="0" w:after="0" w:afterAutospacing="0" w:line="360" w:lineRule="auto"/>
              <w:ind w:left="0" w:right="0" w:firstLine="454" w:firstLineChars="200"/>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水环境质量底线：根据《市人民政府办公室关于发布</w:t>
            </w:r>
            <w:r>
              <w:rPr>
                <w:rFonts w:hint="default" w:cs="Times New Roman"/>
                <w:color w:val="000000" w:themeColor="text1"/>
                <w:highlight w:val="none"/>
                <w:lang w:val="en-US" w:eastAsia="zh-CN"/>
                <w14:textFill>
                  <w14:solidFill>
                    <w14:schemeClr w14:val="tx1"/>
                  </w14:solidFill>
                </w14:textFill>
              </w:rPr>
              <w:t>&lt;</w:t>
            </w:r>
            <w:r>
              <w:rPr>
                <w:rFonts w:hint="eastAsia" w:cs="Times New Roman"/>
                <w:color w:val="000000" w:themeColor="text1"/>
                <w:highlight w:val="none"/>
                <w:lang w:val="en-US" w:eastAsia="zh-CN"/>
                <w14:textFill>
                  <w14:solidFill>
                    <w14:schemeClr w14:val="tx1"/>
                  </w14:solidFill>
                </w14:textFill>
              </w:rPr>
              <w:t>中卫市生态环境分区管控动态更新成果</w:t>
            </w:r>
            <w:r>
              <w:rPr>
                <w:rFonts w:hint="default" w:cs="Times New Roman"/>
                <w:color w:val="000000" w:themeColor="text1"/>
                <w:highlight w:val="none"/>
                <w:lang w:val="en-US" w:eastAsia="zh-CN"/>
                <w14:textFill>
                  <w14:solidFill>
                    <w14:schemeClr w14:val="tx1"/>
                  </w14:solidFill>
                </w14:textFill>
              </w:rPr>
              <w:t>&gt;</w:t>
            </w:r>
            <w:r>
              <w:rPr>
                <w:rFonts w:hint="eastAsia" w:cs="Times New Roman"/>
                <w:color w:val="000000" w:themeColor="text1"/>
                <w:highlight w:val="none"/>
                <w:lang w:val="en-US" w:eastAsia="zh-CN"/>
                <w14:textFill>
                  <w14:solidFill>
                    <w14:schemeClr w14:val="tx1"/>
                  </w14:solidFill>
                </w14:textFill>
              </w:rPr>
              <w:t>的通知》（卫政办发〔</w:t>
            </w:r>
            <w:r>
              <w:rPr>
                <w:rFonts w:hint="default" w:cs="Times New Roman"/>
                <w:color w:val="000000" w:themeColor="text1"/>
                <w:highlight w:val="none"/>
                <w:lang w:val="en-US" w:eastAsia="zh-CN"/>
                <w14:textFill>
                  <w14:solidFill>
                    <w14:schemeClr w14:val="tx1"/>
                  </w14:solidFill>
                </w14:textFill>
              </w:rPr>
              <w:t>2024</w:t>
            </w:r>
            <w:r>
              <w:rPr>
                <w:rFonts w:hint="eastAsia" w:cs="Times New Roman"/>
                <w:color w:val="000000" w:themeColor="text1"/>
                <w:highlight w:val="none"/>
                <w:lang w:val="en-US" w:eastAsia="zh-CN"/>
                <w14:textFill>
                  <w14:solidFill>
                    <w14:schemeClr w14:val="tx1"/>
                  </w14:solidFill>
                </w14:textFill>
              </w:rPr>
              <w:t>〕</w:t>
            </w:r>
            <w:r>
              <w:rPr>
                <w:rFonts w:hint="default" w:cs="Times New Roman"/>
                <w:color w:val="000000" w:themeColor="text1"/>
                <w:highlight w:val="none"/>
                <w:lang w:val="en-US" w:eastAsia="zh-CN"/>
                <w14:textFill>
                  <w14:solidFill>
                    <w14:schemeClr w14:val="tx1"/>
                  </w14:solidFill>
                </w14:textFill>
              </w:rPr>
              <w:t>33</w:t>
            </w:r>
            <w:r>
              <w:rPr>
                <w:rFonts w:hint="eastAsia" w:cs="Times New Roman"/>
                <w:color w:val="000000" w:themeColor="text1"/>
                <w:highlight w:val="none"/>
                <w:lang w:val="en-US" w:eastAsia="zh-CN"/>
                <w14:textFill>
                  <w14:solidFill>
                    <w14:schemeClr w14:val="tx1"/>
                  </w14:solidFill>
                </w14:textFill>
              </w:rPr>
              <w:t>号）中水环境质量底线要求，</w:t>
            </w:r>
            <w:r>
              <w:rPr>
                <w:rFonts w:hint="default" w:cs="Times New Roman"/>
                <w:color w:val="000000" w:themeColor="text1"/>
                <w:sz w:val="24"/>
                <w:highlight w:val="none"/>
                <w14:textFill>
                  <w14:solidFill>
                    <w14:schemeClr w14:val="tx1"/>
                  </w14:solidFill>
                </w14:textFill>
              </w:rPr>
              <w:t>本项目所在</w:t>
            </w:r>
            <w:r>
              <w:rPr>
                <w:rFonts w:hint="eastAsia" w:cs="Times New Roman"/>
                <w:color w:val="000000" w:themeColor="text1"/>
                <w:sz w:val="24"/>
                <w:highlight w:val="none"/>
                <w:lang w:val="en-US" w:eastAsia="zh-CN"/>
                <w14:textFill>
                  <w14:solidFill>
                    <w14:schemeClr w14:val="tx1"/>
                  </w14:solidFill>
                </w14:textFill>
              </w:rPr>
              <w:t>区域</w:t>
            </w:r>
            <w:r>
              <w:rPr>
                <w:rFonts w:hint="default" w:cs="Times New Roman"/>
                <w:color w:val="000000" w:themeColor="text1"/>
                <w:sz w:val="24"/>
                <w:highlight w:val="none"/>
                <w14:textFill>
                  <w14:solidFill>
                    <w14:schemeClr w14:val="tx1"/>
                  </w14:solidFill>
                </w14:textFill>
              </w:rPr>
              <w:t>最近的地表水体为沙沟，</w:t>
            </w:r>
            <w:r>
              <w:rPr>
                <w:rFonts w:hint="eastAsia" w:cs="Times New Roman"/>
                <w:color w:val="000000" w:themeColor="text1"/>
                <w:sz w:val="24"/>
                <w:highlight w:val="none"/>
                <w:lang w:val="en-US" w:eastAsia="zh-CN"/>
                <w14:textFill>
                  <w14:solidFill>
                    <w14:schemeClr w14:val="tx1"/>
                  </w14:solidFill>
                </w14:textFill>
              </w:rPr>
              <w:t>沙沟位于项目区东南侧4.5km，</w:t>
            </w:r>
            <w:r>
              <w:rPr>
                <w:rFonts w:hint="default" w:cs="Times New Roman"/>
                <w:color w:val="000000" w:themeColor="text1"/>
                <w:sz w:val="24"/>
                <w:highlight w:val="none"/>
                <w14:textFill>
                  <w14:solidFill>
                    <w14:schemeClr w14:val="tx1"/>
                  </w14:solidFill>
                </w14:textFill>
              </w:rPr>
              <w:t>为季节性沟道，无长流水</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周边无常年径流地表水体</w:t>
            </w:r>
            <w:r>
              <w:rPr>
                <w:rFonts w:hint="default" w:cs="Times New Roman"/>
                <w:color w:val="000000" w:themeColor="text1"/>
                <w:sz w:val="24"/>
                <w:highlight w:val="none"/>
                <w14:textFill>
                  <w14:solidFill>
                    <w14:schemeClr w14:val="tx1"/>
                  </w14:solidFill>
                </w14:textFill>
              </w:rPr>
              <w:t>。</w:t>
            </w:r>
            <w:r>
              <w:rPr>
                <w:rFonts w:hint="eastAsia"/>
                <w:color w:val="000000" w:themeColor="text1"/>
                <w:highlight w:val="none"/>
                <w14:textFill>
                  <w14:solidFill>
                    <w14:schemeClr w14:val="tx1"/>
                  </w14:solidFill>
                </w14:textFill>
              </w:rPr>
              <w:t>本项目运营期仅使用少量草地养护用水，无废水排放，不会影响水环境质量底线。</w:t>
            </w:r>
          </w:p>
          <w:p w14:paraId="4C6D37CC">
            <w:pPr>
              <w:keepNext w:val="0"/>
              <w:keepLines w:val="0"/>
              <w:widowControl w:val="0"/>
              <w:suppressLineNumbers w:val="0"/>
              <w:adjustRightInd w:val="0"/>
              <w:snapToGrid w:val="0"/>
              <w:spacing w:before="0" w:beforeAutospacing="0" w:after="0" w:afterAutospacing="0" w:line="360" w:lineRule="auto"/>
              <w:ind w:left="0" w:right="0" w:firstLine="454" w:firstLineChars="200"/>
              <w:jc w:val="both"/>
              <w:rPr>
                <w:rFonts w:hint="eastAsia"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根据《市人民政府办公室关于发布</w:t>
            </w:r>
            <w:r>
              <w:rPr>
                <w:rFonts w:hint="default" w:ascii="Times New Roman" w:hAnsi="Times New Roman" w:eastAsia="宋体" w:cs="Times New Roman"/>
                <w:color w:val="000000" w:themeColor="text1"/>
                <w:highlight w:val="none"/>
                <w:lang w:val="en-US" w:eastAsia="zh-CN"/>
                <w14:textFill>
                  <w14:solidFill>
                    <w14:schemeClr w14:val="tx1"/>
                  </w14:solidFill>
                </w14:textFill>
              </w:rPr>
              <w:t>&lt;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中卫市生态环境分区管控动态更新成果</w:t>
            </w:r>
            <w:r>
              <w:rPr>
                <w:rFonts w:hint="default" w:ascii="Times New Roman" w:hAnsi="Times New Roman" w:eastAsia="宋体" w:cs="Times New Roman"/>
                <w:color w:val="000000" w:themeColor="text1"/>
                <w:highlight w:val="none"/>
                <w:lang w:val="en-US" w:eastAsia="zh-CN"/>
                <w14:textFill>
                  <w14:solidFill>
                    <w14:schemeClr w14:val="tx1"/>
                  </w14:solidFill>
                </w14:textFill>
              </w:rPr>
              <w:t>&gt;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的通知》（卫政办发〔</w:t>
            </w:r>
            <w:r>
              <w:rPr>
                <w:rFonts w:hint="default" w:ascii="Times New Roman" w:hAnsi="Times New Roman" w:eastAsia="宋体" w:cs="Times New Roman"/>
                <w:color w:val="000000" w:themeColor="text1"/>
                <w:highlight w:val="none"/>
                <w:lang w:val="en-US" w:eastAsia="zh-CN"/>
                <w14:textFill>
                  <w14:solidFill>
                    <w14:schemeClr w14:val="tx1"/>
                  </w14:solidFill>
                </w14:textFill>
              </w:rPr>
              <w:t>202</w:t>
            </w:r>
            <w:r>
              <w:rPr>
                <w:rFonts w:hint="default" w:cs="Times New Roman"/>
                <w:color w:val="000000" w:themeColor="text1"/>
                <w:highlight w:val="none"/>
                <w:lang w:val="en-US" w:eastAsia="zh-CN"/>
                <w14:textFill>
                  <w14:solidFill>
                    <w14:schemeClr w14:val="tx1"/>
                  </w14:solidFill>
                </w14:textFill>
              </w:rPr>
              <w:t>4</w:t>
            </w:r>
            <w:r>
              <w:rPr>
                <w:rFonts w:hint="eastAsia" w:cs="Times New Roman"/>
                <w:color w:val="000000" w:themeColor="text1"/>
                <w:highlight w:val="none"/>
                <w:lang w:val="en-US" w:eastAsia="zh-CN"/>
                <w14:textFill>
                  <w14:solidFill>
                    <w14:schemeClr w14:val="tx1"/>
                  </w14:solidFill>
                </w14:textFill>
              </w:rPr>
              <w:t>〕</w:t>
            </w:r>
            <w:r>
              <w:rPr>
                <w:rFonts w:hint="default" w:cs="Times New Roman"/>
                <w:color w:val="000000" w:themeColor="text1"/>
                <w:highlight w:val="none"/>
                <w:lang w:val="en-US" w:eastAsia="zh-CN"/>
                <w14:textFill>
                  <w14:solidFill>
                    <w14:schemeClr w14:val="tx1"/>
                  </w14:solidFill>
                </w14:textFill>
              </w:rPr>
              <w:t>33</w:t>
            </w:r>
            <w:r>
              <w:rPr>
                <w:rFonts w:hint="eastAsia" w:cs="Times New Roman"/>
                <w:color w:val="000000" w:themeColor="text1"/>
                <w:highlight w:val="none"/>
                <w:lang w:val="en-US" w:eastAsia="zh-CN"/>
                <w14:textFill>
                  <w14:solidFill>
                    <w14:schemeClr w14:val="tx1"/>
                  </w14:solidFill>
                </w14:textFill>
              </w:rPr>
              <w:t>号）中《中卫市生态环境分区管控方案图集》及《中卫市生态环境分区管控方案文本》</w:t>
            </w:r>
            <w:r>
              <w:rPr>
                <w:rFonts w:hint="eastAsia" w:cs="Times New Roman"/>
                <w:color w:val="000000" w:themeColor="text1"/>
                <w:highlight w:val="none"/>
                <w:lang w:eastAsia="zh-CN"/>
                <w14:textFill>
                  <w14:solidFill>
                    <w14:schemeClr w14:val="tx1"/>
                  </w14:solidFill>
                </w14:textFill>
              </w:rPr>
              <w:t>，中卫市水环境管控分区共分为三大类：水环境优先保护区、水环境重点管控区（含水环境工业污染源重点管控区、水环境农业污染源重点管控区、水环境城镇生活污染源重点管控区）和水环境一般管控区。</w:t>
            </w:r>
            <w:r>
              <w:rPr>
                <w:rFonts w:hint="eastAsia" w:cs="Times New Roman"/>
                <w:color w:val="000000" w:themeColor="text1"/>
                <w:sz w:val="24"/>
                <w:highlight w:val="none"/>
                <w:lang w:val="en-US" w:eastAsia="zh-CN"/>
                <w14:textFill>
                  <w14:solidFill>
                    <w14:schemeClr w14:val="tx1"/>
                  </w14:solidFill>
                </w14:textFill>
              </w:rPr>
              <w:t>本</w:t>
            </w:r>
            <w:r>
              <w:rPr>
                <w:rFonts w:hint="eastAsia" w:cs="Times New Roman"/>
                <w:color w:val="000000" w:themeColor="text1"/>
                <w:highlight w:val="none"/>
                <w:lang w:val="en-US" w:eastAsia="zh-CN"/>
                <w14:textFill>
                  <w14:solidFill>
                    <w14:schemeClr w14:val="tx1"/>
                  </w14:solidFill>
                </w14:textFill>
              </w:rPr>
              <w:t>项目位于水环境一般管控区。分区管控符合性分析见表1-2。项目与中卫市水环境分区管控图位置关系图见附图</w:t>
            </w:r>
            <w:r>
              <w:rPr>
                <w:rFonts w:hint="default" w:cs="Times New Roman"/>
                <w:color w:val="000000" w:themeColor="text1"/>
                <w:highlight w:val="none"/>
                <w:lang w:val="en-US" w:eastAsia="zh-CN"/>
                <w14:textFill>
                  <w14:solidFill>
                    <w14:schemeClr w14:val="tx1"/>
                  </w14:solidFill>
                </w14:textFill>
              </w:rPr>
              <w:t>1-</w:t>
            </w:r>
            <w:r>
              <w:rPr>
                <w:rFonts w:hint="eastAsia" w:cs="Times New Roman"/>
                <w:color w:val="000000" w:themeColor="text1"/>
                <w:highlight w:val="none"/>
                <w:lang w:val="en-US" w:eastAsia="zh-CN"/>
                <w14:textFill>
                  <w14:solidFill>
                    <w14:schemeClr w14:val="tx1"/>
                  </w14:solidFill>
                </w14:textFill>
              </w:rPr>
              <w:t>4。</w:t>
            </w:r>
          </w:p>
          <w:p w14:paraId="0DA71D8D">
            <w:pPr>
              <w:pStyle w:val="3"/>
              <w:bidi w:val="0"/>
              <w:rPr>
                <w:rFonts w:hint="default"/>
                <w:color w:val="000000" w:themeColor="text1"/>
                <w:highlight w:val="none"/>
                <w:vertAlign w:val="baseline"/>
                <w14:textFill>
                  <w14:solidFill>
                    <w14:schemeClr w14:val="tx1"/>
                  </w14:solidFill>
                </w14:textFill>
              </w:rPr>
            </w:pPr>
            <w:r>
              <w:rPr>
                <w:rFonts w:hint="default"/>
                <w:color w:val="000000" w:themeColor="text1"/>
                <w:highlight w:val="none"/>
                <w:lang w:val="en-US" w:eastAsia="zh-CN"/>
                <w14:textFill>
                  <w14:solidFill>
                    <w14:schemeClr w14:val="tx1"/>
                  </w14:solidFill>
                </w14:textFill>
              </w:rPr>
              <w:t>表1-</w:t>
            </w:r>
            <w:r>
              <w:rPr>
                <w:rFonts w:hint="eastAsia"/>
                <w:color w:val="000000" w:themeColor="text1"/>
                <w:highlight w:val="none"/>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 xml:space="preserve"> 水环境分区管符合性分析</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6"/>
              <w:gridCol w:w="5460"/>
              <w:gridCol w:w="1439"/>
              <w:gridCol w:w="692"/>
            </w:tblGrid>
            <w:tr w14:paraId="4A07B7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noWrap w:val="0"/>
                  <w:vAlign w:val="center"/>
                </w:tcPr>
                <w:p w14:paraId="117144D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类</w:t>
                  </w:r>
                </w:p>
                <w:p w14:paraId="0FF1673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别</w:t>
                  </w:r>
                </w:p>
              </w:tc>
              <w:tc>
                <w:tcPr>
                  <w:tcW w:w="5440" w:type="dxa"/>
                  <w:tcBorders>
                    <w:tl2br w:val="nil"/>
                    <w:tr2bl w:val="nil"/>
                  </w:tcBorders>
                  <w:noWrap w:val="0"/>
                  <w:vAlign w:val="center"/>
                </w:tcPr>
                <w:p w14:paraId="68968D4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分区管控要求</w:t>
                  </w:r>
                </w:p>
              </w:tc>
              <w:tc>
                <w:tcPr>
                  <w:tcW w:w="1434" w:type="dxa"/>
                  <w:tcBorders>
                    <w:tl2br w:val="nil"/>
                    <w:tr2bl w:val="nil"/>
                  </w:tcBorders>
                  <w:noWrap w:val="0"/>
                  <w:vAlign w:val="center"/>
                </w:tcPr>
                <w:p w14:paraId="3CDB5538">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本项目情况</w:t>
                  </w:r>
                </w:p>
              </w:tc>
              <w:tc>
                <w:tcPr>
                  <w:tcW w:w="689" w:type="dxa"/>
                  <w:tcBorders>
                    <w:tl2br w:val="nil"/>
                    <w:tr2bl w:val="nil"/>
                  </w:tcBorders>
                  <w:noWrap w:val="0"/>
                  <w:vAlign w:val="center"/>
                </w:tcPr>
                <w:p w14:paraId="5B4F1C1F">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符合</w:t>
                  </w:r>
                </w:p>
                <w:p w14:paraId="3FDCAC76">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情况</w:t>
                  </w:r>
                </w:p>
              </w:tc>
            </w:tr>
            <w:tr w14:paraId="334BE4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514" w:type="dxa"/>
                  <w:tcBorders>
                    <w:tl2br w:val="nil"/>
                    <w:tr2bl w:val="nil"/>
                  </w:tcBorders>
                  <w:noWrap w:val="0"/>
                  <w:vAlign w:val="center"/>
                </w:tcPr>
                <w:p w14:paraId="23BD5AFA">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一般管控区</w:t>
                  </w:r>
                </w:p>
              </w:tc>
              <w:tc>
                <w:tcPr>
                  <w:tcW w:w="5440" w:type="dxa"/>
                  <w:tcBorders>
                    <w:tl2br w:val="nil"/>
                    <w:tr2bl w:val="nil"/>
                  </w:tcBorders>
                  <w:noWrap w:val="0"/>
                  <w:vAlign w:val="center"/>
                </w:tcPr>
                <w:p w14:paraId="7BB9081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对于水环境优先保护区、重点管控区以外，现状水质达标的控制断面所对应的一般管控区，应落实《中华人民共和国水污染防治法》等相关法律法规的总体要求，加强水资源节约和保护，积极推动水生态修复治理，持续深入推进水污染防治，改善水环境质量</w:t>
                  </w:r>
                </w:p>
              </w:tc>
              <w:tc>
                <w:tcPr>
                  <w:tcW w:w="1434" w:type="dxa"/>
                  <w:tcBorders>
                    <w:tl2br w:val="nil"/>
                    <w:tr2bl w:val="nil"/>
                  </w:tcBorders>
                  <w:noWrap w:val="0"/>
                  <w:vAlign w:val="center"/>
                </w:tcPr>
                <w:p w14:paraId="3C8753F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本项目运营期仅使用少量养护用水，无废水排放</w:t>
                  </w:r>
                </w:p>
              </w:tc>
              <w:tc>
                <w:tcPr>
                  <w:tcW w:w="689" w:type="dxa"/>
                  <w:tcBorders>
                    <w:tl2br w:val="nil"/>
                    <w:tr2bl w:val="nil"/>
                  </w:tcBorders>
                  <w:noWrap w:val="0"/>
                  <w:vAlign w:val="center"/>
                </w:tcPr>
                <w:p w14:paraId="7C1C0148">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符合</w:t>
                  </w:r>
                </w:p>
              </w:tc>
            </w:tr>
          </w:tbl>
          <w:p w14:paraId="3E4E66FA">
            <w:pPr>
              <w:keepNext w:val="0"/>
              <w:keepLines w:val="0"/>
              <w:suppressLineNumbers w:val="0"/>
              <w:bidi w:val="0"/>
              <w:spacing w:before="0" w:beforeAutospacing="0" w:after="0" w:afterAutospacing="0"/>
              <w:ind w:left="0" w:right="0"/>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③土壤环境风险管控底线及分区管控</w:t>
            </w:r>
          </w:p>
          <w:p w14:paraId="664F9119">
            <w:pPr>
              <w:keepNext w:val="0"/>
              <w:keepLines w:val="0"/>
              <w:suppressLineNumbers w:val="0"/>
              <w:bidi w:val="0"/>
              <w:spacing w:before="0" w:beforeAutospacing="0" w:after="0" w:afterAutospacing="0"/>
              <w:ind w:left="0" w:right="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zh-CN"/>
                <w14:textFill>
                  <w14:solidFill>
                    <w14:schemeClr w14:val="tx1"/>
                  </w14:solidFill>
                </w14:textFill>
              </w:rPr>
              <w:t>土壤环境质量底线：</w:t>
            </w:r>
            <w:r>
              <w:rPr>
                <w:rFonts w:hint="eastAsia" w:cs="Times New Roman"/>
                <w:color w:val="000000" w:themeColor="text1"/>
                <w:highlight w:val="none"/>
                <w:lang w:val="en-US" w:eastAsia="zh-CN"/>
                <w14:textFill>
                  <w14:solidFill>
                    <w14:schemeClr w14:val="tx1"/>
                  </w14:solidFill>
                </w14:textFill>
              </w:rPr>
              <w:t>根据《市人民政府办公室关于发布</w:t>
            </w:r>
            <w:r>
              <w:rPr>
                <w:rFonts w:hint="default" w:cs="Times New Roman"/>
                <w:color w:val="000000" w:themeColor="text1"/>
                <w:highlight w:val="none"/>
                <w:lang w:val="en-US" w:eastAsia="zh-CN"/>
                <w14:textFill>
                  <w14:solidFill>
                    <w14:schemeClr w14:val="tx1"/>
                  </w14:solidFill>
                </w14:textFill>
              </w:rPr>
              <w:t>&lt;</w:t>
            </w:r>
            <w:r>
              <w:rPr>
                <w:rFonts w:hint="eastAsia" w:cs="Times New Roman"/>
                <w:color w:val="000000" w:themeColor="text1"/>
                <w:highlight w:val="none"/>
                <w:lang w:val="en-US" w:eastAsia="zh-CN"/>
                <w14:textFill>
                  <w14:solidFill>
                    <w14:schemeClr w14:val="tx1"/>
                  </w14:solidFill>
                </w14:textFill>
              </w:rPr>
              <w:t>中卫市生态环境分区管控动态更新成果</w:t>
            </w:r>
            <w:r>
              <w:rPr>
                <w:rFonts w:hint="default" w:cs="Times New Roman"/>
                <w:color w:val="000000" w:themeColor="text1"/>
                <w:highlight w:val="none"/>
                <w:lang w:val="en-US" w:eastAsia="zh-CN"/>
                <w14:textFill>
                  <w14:solidFill>
                    <w14:schemeClr w14:val="tx1"/>
                  </w14:solidFill>
                </w14:textFill>
              </w:rPr>
              <w:t>&gt;</w:t>
            </w:r>
            <w:r>
              <w:rPr>
                <w:rFonts w:hint="eastAsia" w:cs="Times New Roman"/>
                <w:color w:val="000000" w:themeColor="text1"/>
                <w:highlight w:val="none"/>
                <w:lang w:val="en-US" w:eastAsia="zh-CN"/>
                <w14:textFill>
                  <w14:solidFill>
                    <w14:schemeClr w14:val="tx1"/>
                  </w14:solidFill>
                </w14:textFill>
              </w:rPr>
              <w:t>的通知》（卫政办发〔</w:t>
            </w:r>
            <w:r>
              <w:rPr>
                <w:rFonts w:hint="default" w:cs="Times New Roman"/>
                <w:color w:val="000000" w:themeColor="text1"/>
                <w:highlight w:val="none"/>
                <w:lang w:val="en-US" w:eastAsia="zh-CN"/>
                <w14:textFill>
                  <w14:solidFill>
                    <w14:schemeClr w14:val="tx1"/>
                  </w14:solidFill>
                </w14:textFill>
              </w:rPr>
              <w:t>2024</w:t>
            </w:r>
            <w:r>
              <w:rPr>
                <w:rFonts w:hint="eastAsia" w:cs="Times New Roman"/>
                <w:color w:val="000000" w:themeColor="text1"/>
                <w:highlight w:val="none"/>
                <w:lang w:val="en-US" w:eastAsia="zh-CN"/>
                <w14:textFill>
                  <w14:solidFill>
                    <w14:schemeClr w14:val="tx1"/>
                  </w14:solidFill>
                </w14:textFill>
              </w:rPr>
              <w:t>〕</w:t>
            </w:r>
            <w:r>
              <w:rPr>
                <w:rFonts w:hint="default" w:cs="Times New Roman"/>
                <w:color w:val="000000" w:themeColor="text1"/>
                <w:highlight w:val="none"/>
                <w:lang w:val="en-US" w:eastAsia="zh-CN"/>
                <w14:textFill>
                  <w14:solidFill>
                    <w14:schemeClr w14:val="tx1"/>
                  </w14:solidFill>
                </w14:textFill>
              </w:rPr>
              <w:t>33</w:t>
            </w:r>
            <w:r>
              <w:rPr>
                <w:rFonts w:hint="eastAsia" w:cs="Times New Roman"/>
                <w:color w:val="000000" w:themeColor="text1"/>
                <w:highlight w:val="none"/>
                <w:lang w:val="en-US" w:eastAsia="zh-CN"/>
                <w14:textFill>
                  <w14:solidFill>
                    <w14:schemeClr w14:val="tx1"/>
                  </w14:solidFill>
                </w14:textFill>
              </w:rPr>
              <w:t>号）中</w:t>
            </w:r>
            <w:r>
              <w:rPr>
                <w:rFonts w:hint="eastAsia" w:cs="Times New Roman"/>
                <w:color w:val="000000" w:themeColor="text1"/>
                <w:highlight w:val="none"/>
                <w:lang w:val="zh-CN"/>
                <w14:textFill>
                  <w14:solidFill>
                    <w14:schemeClr w14:val="tx1"/>
                  </w14:solidFill>
                </w14:textFill>
              </w:rPr>
              <w:t>土壤</w:t>
            </w:r>
            <w:r>
              <w:rPr>
                <w:rFonts w:hint="eastAsia" w:cs="Times New Roman"/>
                <w:color w:val="000000" w:themeColor="text1"/>
                <w:highlight w:val="none"/>
                <w:lang w:val="en-US" w:eastAsia="zh-CN"/>
                <w14:textFill>
                  <w14:solidFill>
                    <w14:schemeClr w14:val="tx1"/>
                  </w14:solidFill>
                </w14:textFill>
              </w:rPr>
              <w:t>环境质量底线，</w:t>
            </w:r>
            <w:r>
              <w:rPr>
                <w:rFonts w:hint="eastAsia" w:cs="Times New Roman"/>
                <w:color w:val="000000" w:themeColor="text1"/>
                <w:highlight w:val="none"/>
                <w:lang w:val="zh-CN"/>
                <w14:textFill>
                  <w14:solidFill>
                    <w14:schemeClr w14:val="tx1"/>
                  </w14:solidFill>
                </w14:textFill>
              </w:rPr>
              <w:t>到2025年，全市土壤环境质量总体持续稳中向好，重点建设用地安全利用得到有效保障，受污染耕地和污染地块安全利用率完成自治区“十四五”考核目标。</w:t>
            </w:r>
          </w:p>
          <w:p w14:paraId="63799A53">
            <w:pPr>
              <w:keepNext w:val="0"/>
              <w:keepLines w:val="0"/>
              <w:suppressLineNumbers w:val="0"/>
              <w:bidi w:val="0"/>
              <w:spacing w:before="0" w:beforeAutospacing="0" w:after="0" w:afterAutospacing="0"/>
              <w:ind w:left="0" w:right="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根据《市人民政府办公室关于发布</w:t>
            </w:r>
            <w:r>
              <w:rPr>
                <w:rFonts w:hint="default" w:cs="Times New Roman"/>
                <w:color w:val="000000" w:themeColor="text1"/>
                <w:highlight w:val="none"/>
                <w:lang w:val="en-US" w:eastAsia="zh-CN"/>
                <w14:textFill>
                  <w14:solidFill>
                    <w14:schemeClr w14:val="tx1"/>
                  </w14:solidFill>
                </w14:textFill>
              </w:rPr>
              <w:t>&lt;</w:t>
            </w:r>
            <w:r>
              <w:rPr>
                <w:rFonts w:hint="eastAsia" w:cs="Times New Roman"/>
                <w:color w:val="000000" w:themeColor="text1"/>
                <w:highlight w:val="none"/>
                <w:lang w:val="en-US" w:eastAsia="zh-CN"/>
                <w14:textFill>
                  <w14:solidFill>
                    <w14:schemeClr w14:val="tx1"/>
                  </w14:solidFill>
                </w14:textFill>
              </w:rPr>
              <w:t>中卫市生态环境分区管控动态更新成果</w:t>
            </w:r>
            <w:r>
              <w:rPr>
                <w:rFonts w:hint="default" w:cs="Times New Roman"/>
                <w:color w:val="000000" w:themeColor="text1"/>
                <w:highlight w:val="none"/>
                <w:lang w:val="en-US" w:eastAsia="zh-CN"/>
                <w14:textFill>
                  <w14:solidFill>
                    <w14:schemeClr w14:val="tx1"/>
                  </w14:solidFill>
                </w14:textFill>
              </w:rPr>
              <w:t>&gt;</w:t>
            </w:r>
            <w:r>
              <w:rPr>
                <w:rFonts w:hint="eastAsia" w:cs="Times New Roman"/>
                <w:color w:val="000000" w:themeColor="text1"/>
                <w:highlight w:val="none"/>
                <w:lang w:val="en-US" w:eastAsia="zh-CN"/>
                <w14:textFill>
                  <w14:solidFill>
                    <w14:schemeClr w14:val="tx1"/>
                  </w14:solidFill>
                </w14:textFill>
              </w:rPr>
              <w:t>的通知》（卫政办发〔</w:t>
            </w:r>
            <w:r>
              <w:rPr>
                <w:rFonts w:hint="default" w:cs="Times New Roman"/>
                <w:color w:val="000000" w:themeColor="text1"/>
                <w:highlight w:val="none"/>
                <w:lang w:val="en-US" w:eastAsia="zh-CN"/>
                <w14:textFill>
                  <w14:solidFill>
                    <w14:schemeClr w14:val="tx1"/>
                  </w14:solidFill>
                </w14:textFill>
              </w:rPr>
              <w:t>2024</w:t>
            </w:r>
            <w:r>
              <w:rPr>
                <w:rFonts w:hint="eastAsia" w:cs="Times New Roman"/>
                <w:color w:val="000000" w:themeColor="text1"/>
                <w:highlight w:val="none"/>
                <w:lang w:val="en-US" w:eastAsia="zh-CN"/>
                <w14:textFill>
                  <w14:solidFill>
                    <w14:schemeClr w14:val="tx1"/>
                  </w14:solidFill>
                </w14:textFill>
              </w:rPr>
              <w:t>〕</w:t>
            </w:r>
            <w:r>
              <w:rPr>
                <w:rFonts w:hint="default" w:cs="Times New Roman"/>
                <w:color w:val="000000" w:themeColor="text1"/>
                <w:highlight w:val="none"/>
                <w:lang w:val="en-US" w:eastAsia="zh-CN"/>
                <w14:textFill>
                  <w14:solidFill>
                    <w14:schemeClr w14:val="tx1"/>
                  </w14:solidFill>
                </w14:textFill>
              </w:rPr>
              <w:t>33</w:t>
            </w:r>
            <w:r>
              <w:rPr>
                <w:rFonts w:hint="eastAsia" w:cs="Times New Roman"/>
                <w:color w:val="000000" w:themeColor="text1"/>
                <w:highlight w:val="none"/>
                <w:lang w:val="en-US" w:eastAsia="zh-CN"/>
                <w14:textFill>
                  <w14:solidFill>
                    <w14:schemeClr w14:val="tx1"/>
                  </w14:solidFill>
                </w14:textFill>
              </w:rPr>
              <w:t>号）中《中卫市生态环境分区管控方案图集》及《中卫市生态环境分区管控方案文本》，根据土壤环境质量现状、土地利用现状，综合考虑全市农用地土壤污染状况详查和重点行业企业用地详查结果，衔接现有污染地块名录、土壤环境重点监管企业清单等，将全市划分为农用地优先保护区、建设用地污染风险重点管控区和土壤环境一般管控区。</w:t>
            </w:r>
            <w:r>
              <w:rPr>
                <w:rFonts w:hint="eastAsia" w:cs="Times New Roman"/>
                <w:color w:val="000000" w:themeColor="text1"/>
                <w:sz w:val="24"/>
                <w:highlight w:val="none"/>
                <w:lang w:val="en-US" w:eastAsia="zh-CN"/>
                <w14:textFill>
                  <w14:solidFill>
                    <w14:schemeClr w14:val="tx1"/>
                  </w14:solidFill>
                </w14:textFill>
              </w:rPr>
              <w:t>本</w:t>
            </w:r>
            <w:r>
              <w:rPr>
                <w:rFonts w:hint="eastAsia" w:cs="Times New Roman"/>
                <w:color w:val="000000" w:themeColor="text1"/>
                <w:highlight w:val="none"/>
                <w:lang w:val="en-US" w:eastAsia="zh-CN"/>
                <w14:textFill>
                  <w14:solidFill>
                    <w14:schemeClr w14:val="tx1"/>
                  </w14:solidFill>
                </w14:textFill>
              </w:rPr>
              <w:t>项目位于</w:t>
            </w:r>
            <w:r>
              <w:rPr>
                <w:rFonts w:hint="eastAsia" w:cs="Times New Roman"/>
                <w:color w:val="000000" w:themeColor="text1"/>
                <w:highlight w:val="none"/>
                <w:lang w:eastAsia="zh-CN"/>
                <w14:textFill>
                  <w14:solidFill>
                    <w14:schemeClr w14:val="tx1"/>
                  </w14:solidFill>
                </w14:textFill>
              </w:rPr>
              <w:t>土壤污染风险</w:t>
            </w:r>
            <w:r>
              <w:rPr>
                <w:rFonts w:hint="eastAsia" w:cs="Times New Roman"/>
                <w:color w:val="000000" w:themeColor="text1"/>
                <w:highlight w:val="none"/>
                <w:lang w:val="en-US" w:eastAsia="zh-CN"/>
                <w14:textFill>
                  <w14:solidFill>
                    <w14:schemeClr w14:val="tx1"/>
                  </w14:solidFill>
                </w14:textFill>
              </w:rPr>
              <w:t>一般管控单元。分区管控符合性分析见表1-3。项目与中卫市</w:t>
            </w:r>
            <w:r>
              <w:rPr>
                <w:rFonts w:hint="eastAsia" w:cs="Times New Roman"/>
                <w:color w:val="000000" w:themeColor="text1"/>
                <w:highlight w:val="none"/>
                <w:lang w:eastAsia="zh-CN"/>
                <w14:textFill>
                  <w14:solidFill>
                    <w14:schemeClr w14:val="tx1"/>
                  </w14:solidFill>
                </w14:textFill>
              </w:rPr>
              <w:t>土壤污染风险</w:t>
            </w:r>
            <w:r>
              <w:rPr>
                <w:rFonts w:hint="eastAsia" w:cs="Times New Roman"/>
                <w:color w:val="000000" w:themeColor="text1"/>
                <w:highlight w:val="none"/>
                <w:lang w:val="en-US" w:eastAsia="zh-CN"/>
                <w14:textFill>
                  <w14:solidFill>
                    <w14:schemeClr w14:val="tx1"/>
                  </w14:solidFill>
                </w14:textFill>
              </w:rPr>
              <w:t>分区管控图位置关系图见附图</w:t>
            </w:r>
            <w:r>
              <w:rPr>
                <w:rFonts w:hint="default" w:cs="Times New Roman"/>
                <w:color w:val="000000" w:themeColor="text1"/>
                <w:highlight w:val="none"/>
                <w:lang w:val="en-US" w:eastAsia="zh-CN"/>
                <w14:textFill>
                  <w14:solidFill>
                    <w14:schemeClr w14:val="tx1"/>
                  </w14:solidFill>
                </w14:textFill>
              </w:rPr>
              <w:t>1-</w:t>
            </w:r>
            <w:r>
              <w:rPr>
                <w:rFonts w:hint="eastAsia" w:cs="Times New Roman"/>
                <w:color w:val="000000" w:themeColor="text1"/>
                <w:highlight w:val="none"/>
                <w:lang w:val="en-US" w:eastAsia="zh-CN"/>
                <w14:textFill>
                  <w14:solidFill>
                    <w14:schemeClr w14:val="tx1"/>
                  </w14:solidFill>
                </w14:textFill>
              </w:rPr>
              <w:t>5。</w:t>
            </w:r>
          </w:p>
          <w:p w14:paraId="22B85C43">
            <w:pPr>
              <w:pStyle w:val="3"/>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表1-3  </w:t>
            </w:r>
            <w:r>
              <w:rPr>
                <w:rFonts w:hint="eastAsia"/>
                <w:color w:val="000000" w:themeColor="text1"/>
                <w:highlight w:val="none"/>
                <w:lang w:eastAsia="zh-CN"/>
                <w14:textFill>
                  <w14:solidFill>
                    <w14:schemeClr w14:val="tx1"/>
                  </w14:solidFill>
                </w14:textFill>
              </w:rPr>
              <w:t>土壤污染风险</w:t>
            </w:r>
            <w:r>
              <w:rPr>
                <w:rFonts w:hint="eastAsia"/>
                <w:color w:val="000000" w:themeColor="text1"/>
                <w:highlight w:val="none"/>
                <w:lang w:val="en-US" w:eastAsia="zh-CN"/>
                <w14:textFill>
                  <w14:solidFill>
                    <w14:schemeClr w14:val="tx1"/>
                  </w14:solidFill>
                </w14:textFill>
              </w:rPr>
              <w:t>分区管控符合性分析</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5"/>
              <w:gridCol w:w="5351"/>
              <w:gridCol w:w="1549"/>
              <w:gridCol w:w="692"/>
            </w:tblGrid>
            <w:tr w14:paraId="32C0A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noWrap w:val="0"/>
                  <w:vAlign w:val="center"/>
                </w:tcPr>
                <w:p w14:paraId="459DCD0E">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类</w:t>
                  </w:r>
                </w:p>
                <w:p w14:paraId="2BAFC1E6">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别</w:t>
                  </w:r>
                </w:p>
              </w:tc>
              <w:tc>
                <w:tcPr>
                  <w:tcW w:w="5331" w:type="dxa"/>
                  <w:tcBorders>
                    <w:tl2br w:val="nil"/>
                    <w:tr2bl w:val="nil"/>
                  </w:tcBorders>
                  <w:noWrap w:val="0"/>
                  <w:vAlign w:val="center"/>
                </w:tcPr>
                <w:p w14:paraId="1BB31676">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分区管控要求</w:t>
                  </w:r>
                </w:p>
              </w:tc>
              <w:tc>
                <w:tcPr>
                  <w:tcW w:w="1543" w:type="dxa"/>
                  <w:tcBorders>
                    <w:tl2br w:val="nil"/>
                    <w:tr2bl w:val="nil"/>
                  </w:tcBorders>
                  <w:noWrap w:val="0"/>
                  <w:vAlign w:val="center"/>
                </w:tcPr>
                <w:p w14:paraId="2C30DA2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本项目情况</w:t>
                  </w:r>
                </w:p>
              </w:tc>
              <w:tc>
                <w:tcPr>
                  <w:tcW w:w="689" w:type="dxa"/>
                  <w:tcBorders>
                    <w:tl2br w:val="nil"/>
                    <w:tr2bl w:val="nil"/>
                  </w:tcBorders>
                  <w:noWrap w:val="0"/>
                  <w:vAlign w:val="center"/>
                </w:tcPr>
                <w:p w14:paraId="0AA640B8">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符合</w:t>
                  </w:r>
                </w:p>
                <w:p w14:paraId="2880054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情况</w:t>
                  </w:r>
                </w:p>
              </w:tc>
            </w:tr>
            <w:tr w14:paraId="500FBC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noWrap w:val="0"/>
                  <w:vAlign w:val="center"/>
                </w:tcPr>
                <w:p w14:paraId="4D8812B3">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一般管控单元</w:t>
                  </w:r>
                </w:p>
              </w:tc>
              <w:tc>
                <w:tcPr>
                  <w:tcW w:w="5331" w:type="dxa"/>
                  <w:tcBorders>
                    <w:tl2br w:val="nil"/>
                    <w:tr2bl w:val="nil"/>
                  </w:tcBorders>
                  <w:noWrap w:val="0"/>
                  <w:vAlign w:val="center"/>
                </w:tcPr>
                <w:p w14:paraId="695FF9A6">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在编制国土空间规划等相关规划时，应充分考虑污染地块的环境风险，合理确定土地用途。禁止在居民区、学校、医疗和养老机构等周边新建有色金属冶炼、焦化等行业企业。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1543" w:type="dxa"/>
                  <w:tcBorders>
                    <w:tl2br w:val="nil"/>
                    <w:tr2bl w:val="nil"/>
                  </w:tcBorders>
                  <w:noWrap w:val="0"/>
                  <w:vAlign w:val="center"/>
                </w:tcPr>
                <w:p w14:paraId="68BD6558">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本项目不涉及</w:t>
                  </w:r>
                  <w:r>
                    <w:rPr>
                      <w:rFonts w:hint="default" w:cs="Times New Roman"/>
                      <w:color w:val="000000" w:themeColor="text1"/>
                      <w:highlight w:val="none"/>
                      <w14:textFill>
                        <w14:solidFill>
                          <w14:schemeClr w14:val="tx1"/>
                        </w14:solidFill>
                      </w14:textFill>
                    </w:rPr>
                    <w:t>有色金属冶炼、焦化等行业企业</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不排放</w:t>
                  </w:r>
                  <w:r>
                    <w:rPr>
                      <w:rFonts w:hint="default" w:cs="Times New Roman"/>
                      <w:color w:val="000000" w:themeColor="text1"/>
                      <w:highlight w:val="none"/>
                      <w14:textFill>
                        <w14:solidFill>
                          <w14:schemeClr w14:val="tx1"/>
                        </w14:solidFill>
                      </w14:textFill>
                    </w:rPr>
                    <w:t>重点污染物</w:t>
                  </w:r>
                </w:p>
              </w:tc>
              <w:tc>
                <w:tcPr>
                  <w:tcW w:w="689" w:type="dxa"/>
                  <w:tcBorders>
                    <w:tl2br w:val="nil"/>
                    <w:tr2bl w:val="nil"/>
                  </w:tcBorders>
                  <w:noWrap w:val="0"/>
                  <w:vAlign w:val="center"/>
                </w:tcPr>
                <w:p w14:paraId="0B9640E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符合</w:t>
                  </w:r>
                </w:p>
              </w:tc>
            </w:tr>
          </w:tbl>
          <w:p w14:paraId="13679E04">
            <w:pPr>
              <w:bidi w:val="0"/>
              <w:rPr>
                <w:rFonts w:hint="default"/>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⑶资源利用上线及分区管控</w:t>
            </w:r>
          </w:p>
          <w:p w14:paraId="03E2BD39">
            <w:pPr>
              <w:keepNext w:val="0"/>
              <w:keepLines w:val="0"/>
              <w:suppressLineNumbers w:val="0"/>
              <w:bidi w:val="0"/>
              <w:spacing w:before="0" w:beforeAutospacing="0" w:after="0" w:afterAutospacing="0"/>
              <w:ind w:left="0" w:right="0"/>
              <w:rPr>
                <w:rFonts w:hint="eastAsia"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①能源（煤炭）资源利用上线及分区管控</w:t>
            </w:r>
          </w:p>
          <w:p w14:paraId="7E0C0807">
            <w:pPr>
              <w:keepNext w:val="0"/>
              <w:keepLines w:val="0"/>
              <w:suppressLineNumbers w:val="0"/>
              <w:bidi w:val="0"/>
              <w:spacing w:before="0" w:beforeAutospacing="0" w:after="0" w:afterAutospacing="0"/>
              <w:ind w:left="0" w:right="0"/>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本项目运营期不涉及煤炭能源消耗。因此，项目的建设符合能源（煤炭）资源利用上线及分区管控要求</w:t>
            </w:r>
            <w:r>
              <w:rPr>
                <w:rFonts w:hint="eastAsia" w:cs="Times New Roman"/>
                <w:color w:val="000000" w:themeColor="text1"/>
                <w:highlight w:val="none"/>
                <w14:textFill>
                  <w14:solidFill>
                    <w14:schemeClr w14:val="tx1"/>
                  </w14:solidFill>
                </w14:textFill>
              </w:rPr>
              <w:t>。</w:t>
            </w:r>
          </w:p>
          <w:p w14:paraId="34A38F12">
            <w:pPr>
              <w:keepNext w:val="0"/>
              <w:keepLines w:val="0"/>
              <w:suppressLineNumbers w:val="0"/>
              <w:bidi w:val="0"/>
              <w:spacing w:before="0" w:beforeAutospacing="0" w:after="0" w:afterAutospacing="0"/>
              <w:ind w:left="0" w:right="0"/>
              <w:rPr>
                <w:rFonts w:hint="eastAsia"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②</w:t>
            </w:r>
            <w:r>
              <w:rPr>
                <w:rFonts w:hint="eastAsia" w:cs="Times New Roman"/>
                <w:b/>
                <w:bCs/>
                <w:color w:val="000000" w:themeColor="text1"/>
                <w:highlight w:val="none"/>
                <w:lang w:val="en-US" w:eastAsia="zh-CN"/>
                <w14:textFill>
                  <w14:solidFill>
                    <w14:schemeClr w14:val="tx1"/>
                  </w14:solidFill>
                </w14:textFill>
              </w:rPr>
              <w:t>水资源利用上线及分区管控</w:t>
            </w:r>
          </w:p>
          <w:p w14:paraId="338AACDB">
            <w:pPr>
              <w:keepNext w:val="0"/>
              <w:keepLines w:val="0"/>
              <w:suppressLineNumbers w:val="0"/>
              <w:bidi w:val="0"/>
              <w:spacing w:before="0" w:beforeAutospacing="0" w:after="0" w:afterAutospacing="0"/>
              <w:ind w:left="0" w:right="0"/>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本项目施工期使用生活用水，用水量较少；运营期仅使用少量养护用水，无废水排放</w:t>
            </w:r>
            <w:r>
              <w:rPr>
                <w:rFonts w:hint="eastAsia"/>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不会对区域水资源利用造成影响，因此，本项目符合水资源利用上线及分区管控要求。</w:t>
            </w:r>
          </w:p>
          <w:p w14:paraId="01F1FF8B">
            <w:pPr>
              <w:keepNext w:val="0"/>
              <w:keepLines w:val="0"/>
              <w:suppressLineNumbers w:val="0"/>
              <w:bidi w:val="0"/>
              <w:spacing w:before="0" w:beforeAutospacing="0" w:after="0" w:afterAutospacing="0"/>
              <w:ind w:left="0" w:right="0"/>
              <w:rPr>
                <w:rFonts w:hint="eastAsia"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③土地资源利用上线及分区管控</w:t>
            </w:r>
          </w:p>
          <w:p w14:paraId="52636C16">
            <w:pPr>
              <w:keepNext w:val="0"/>
              <w:keepLines w:val="0"/>
              <w:suppressLineNumbers w:val="0"/>
              <w:bidi w:val="0"/>
              <w:spacing w:before="0" w:beforeAutospacing="0" w:after="0" w:afterAutospacing="0"/>
              <w:ind w:left="0" w:right="0"/>
              <w:rPr>
                <w:rFonts w:hint="default"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w:t>
            </w:r>
            <w:r>
              <w:rPr>
                <w:rFonts w:hint="eastAsia" w:cs="Times New Roman"/>
                <w:color w:val="000000" w:themeColor="text1"/>
                <w:highlight w:val="none"/>
                <w:lang w:val="en-US" w:eastAsia="zh-CN"/>
                <w14:textFill>
                  <w14:solidFill>
                    <w14:schemeClr w14:val="tx1"/>
                  </w14:solidFill>
                </w14:textFill>
              </w:rPr>
              <w:t>《市人民政府办公室关于发布</w:t>
            </w:r>
            <w:r>
              <w:rPr>
                <w:rFonts w:hint="default" w:cs="Times New Roman"/>
                <w:color w:val="000000" w:themeColor="text1"/>
                <w:highlight w:val="none"/>
                <w:lang w:val="en-US" w:eastAsia="zh-CN"/>
                <w14:textFill>
                  <w14:solidFill>
                    <w14:schemeClr w14:val="tx1"/>
                  </w14:solidFill>
                </w14:textFill>
              </w:rPr>
              <w:t>&lt;</w:t>
            </w:r>
            <w:r>
              <w:rPr>
                <w:rFonts w:hint="eastAsia" w:cs="Times New Roman"/>
                <w:color w:val="000000" w:themeColor="text1"/>
                <w:highlight w:val="none"/>
                <w:lang w:val="en-US" w:eastAsia="zh-CN"/>
                <w14:textFill>
                  <w14:solidFill>
                    <w14:schemeClr w14:val="tx1"/>
                  </w14:solidFill>
                </w14:textFill>
              </w:rPr>
              <w:t>中卫市生态环境分区管控动态更新成果</w:t>
            </w:r>
            <w:r>
              <w:rPr>
                <w:rFonts w:hint="default" w:cs="Times New Roman"/>
                <w:color w:val="000000" w:themeColor="text1"/>
                <w:highlight w:val="none"/>
                <w:lang w:val="en-US" w:eastAsia="zh-CN"/>
                <w14:textFill>
                  <w14:solidFill>
                    <w14:schemeClr w14:val="tx1"/>
                  </w14:solidFill>
                </w14:textFill>
              </w:rPr>
              <w:t>&gt;</w:t>
            </w:r>
            <w:r>
              <w:rPr>
                <w:rFonts w:hint="eastAsia" w:cs="Times New Roman"/>
                <w:color w:val="000000" w:themeColor="text1"/>
                <w:highlight w:val="none"/>
                <w:lang w:val="en-US" w:eastAsia="zh-CN"/>
                <w14:textFill>
                  <w14:solidFill>
                    <w14:schemeClr w14:val="tx1"/>
                  </w14:solidFill>
                </w14:textFill>
              </w:rPr>
              <w:t>的通知》（卫政办发〔</w:t>
            </w:r>
            <w:r>
              <w:rPr>
                <w:rFonts w:hint="default" w:cs="Times New Roman"/>
                <w:color w:val="000000" w:themeColor="text1"/>
                <w:highlight w:val="none"/>
                <w:lang w:val="en-US" w:eastAsia="zh-CN"/>
                <w14:textFill>
                  <w14:solidFill>
                    <w14:schemeClr w14:val="tx1"/>
                  </w14:solidFill>
                </w14:textFill>
              </w:rPr>
              <w:t>2024</w:t>
            </w:r>
            <w:r>
              <w:rPr>
                <w:rFonts w:hint="eastAsia" w:cs="Times New Roman"/>
                <w:color w:val="000000" w:themeColor="text1"/>
                <w:highlight w:val="none"/>
                <w:lang w:val="en-US" w:eastAsia="zh-CN"/>
                <w14:textFill>
                  <w14:solidFill>
                    <w14:schemeClr w14:val="tx1"/>
                  </w14:solidFill>
                </w14:textFill>
              </w:rPr>
              <w:t>〕</w:t>
            </w:r>
            <w:r>
              <w:rPr>
                <w:rFonts w:hint="default" w:cs="Times New Roman"/>
                <w:color w:val="000000" w:themeColor="text1"/>
                <w:highlight w:val="none"/>
                <w:lang w:val="en-US" w:eastAsia="zh-CN"/>
                <w14:textFill>
                  <w14:solidFill>
                    <w14:schemeClr w14:val="tx1"/>
                  </w14:solidFill>
                </w14:textFill>
              </w:rPr>
              <w:t>33</w:t>
            </w:r>
            <w:r>
              <w:rPr>
                <w:rFonts w:hint="eastAsia" w:cs="Times New Roman"/>
                <w:color w:val="000000" w:themeColor="text1"/>
                <w:highlight w:val="none"/>
                <w:lang w:val="en-US" w:eastAsia="zh-CN"/>
                <w14:textFill>
                  <w14:solidFill>
                    <w14:schemeClr w14:val="tx1"/>
                  </w14:solidFill>
                </w14:textFill>
              </w:rPr>
              <w:t>号）中《中卫市生态环境分区管控方案图集》及《中卫市生态环境分区管控方案文本》</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，中卫市无土地资源重点管控区，本项目不新增永久占地，临时占地面积</w:t>
            </w:r>
            <w:r>
              <w:rPr>
                <w:rFonts w:hint="eastAsia" w:cs="Times New Roman"/>
                <w:color w:val="000000" w:themeColor="text1"/>
                <w:sz w:val="24"/>
                <w:highlight w:val="none"/>
                <w:lang w:val="en-US" w:eastAsia="zh-CN"/>
                <w14:textFill>
                  <w14:solidFill>
                    <w14:schemeClr w14:val="tx1"/>
                  </w14:solidFill>
                </w14:textFill>
              </w:rPr>
              <w:t>94.17</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hm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，占地类型主要为</w:t>
            </w:r>
            <w:r>
              <w:rPr>
                <w:rFonts w:hint="eastAsia" w:cs="Times New Roman"/>
                <w:color w:val="000000" w:themeColor="text1"/>
                <w:sz w:val="24"/>
                <w:highlight w:val="none"/>
                <w:lang w:val="en-US" w:eastAsia="zh-CN"/>
                <w14:textFill>
                  <w14:solidFill>
                    <w14:schemeClr w14:val="tx1"/>
                  </w14:solidFill>
                </w14:textFill>
              </w:rPr>
              <w:t>草地及工矿用地</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，通过土地翻松、撒播草籽等生态恢复措施对临时用地进行生态恢复，符合土地资源利用上线及分区管控要求。</w:t>
            </w:r>
          </w:p>
          <w:p w14:paraId="6971C1D6">
            <w:pPr>
              <w:keepNext w:val="0"/>
              <w:keepLines w:val="0"/>
              <w:suppressLineNumbers w:val="0"/>
              <w:bidi w:val="0"/>
              <w:spacing w:before="0" w:beforeAutospacing="0" w:after="0" w:afterAutospacing="0"/>
              <w:ind w:left="0" w:right="0"/>
              <w:rPr>
                <w:rFonts w:hint="default"/>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⑷环境管控单元与准入清单</w:t>
            </w:r>
          </w:p>
          <w:p w14:paraId="2F9EA51A">
            <w:pPr>
              <w:keepNext w:val="0"/>
              <w:keepLines w:val="0"/>
              <w:suppressLineNumbers w:val="0"/>
              <w:bidi w:val="0"/>
              <w:spacing w:before="0" w:beforeAutospacing="0" w:after="0" w:afterAutospacing="0"/>
              <w:ind w:left="0" w:right="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根据《市人民政府办公室关于发布</w:t>
            </w:r>
            <w:r>
              <w:rPr>
                <w:rFonts w:hint="default" w:cs="Times New Roman"/>
                <w:color w:val="000000" w:themeColor="text1"/>
                <w:highlight w:val="none"/>
                <w:lang w:val="en-US" w:eastAsia="zh-CN"/>
                <w14:textFill>
                  <w14:solidFill>
                    <w14:schemeClr w14:val="tx1"/>
                  </w14:solidFill>
                </w14:textFill>
              </w:rPr>
              <w:t>&lt;</w:t>
            </w:r>
            <w:r>
              <w:rPr>
                <w:rFonts w:hint="eastAsia" w:cs="Times New Roman"/>
                <w:color w:val="000000" w:themeColor="text1"/>
                <w:highlight w:val="none"/>
                <w:lang w:val="en-US" w:eastAsia="zh-CN"/>
                <w14:textFill>
                  <w14:solidFill>
                    <w14:schemeClr w14:val="tx1"/>
                  </w14:solidFill>
                </w14:textFill>
              </w:rPr>
              <w:t>中卫市生态环境分区管控动态更新成果</w:t>
            </w:r>
            <w:r>
              <w:rPr>
                <w:rFonts w:hint="default" w:cs="Times New Roman"/>
                <w:color w:val="000000" w:themeColor="text1"/>
                <w:highlight w:val="none"/>
                <w:lang w:val="en-US" w:eastAsia="zh-CN"/>
                <w14:textFill>
                  <w14:solidFill>
                    <w14:schemeClr w14:val="tx1"/>
                  </w14:solidFill>
                </w14:textFill>
              </w:rPr>
              <w:t>&gt;</w:t>
            </w:r>
            <w:r>
              <w:rPr>
                <w:rFonts w:hint="eastAsia" w:cs="Times New Roman"/>
                <w:color w:val="000000" w:themeColor="text1"/>
                <w:highlight w:val="none"/>
                <w:lang w:val="en-US" w:eastAsia="zh-CN"/>
                <w14:textFill>
                  <w14:solidFill>
                    <w14:schemeClr w14:val="tx1"/>
                  </w14:solidFill>
                </w14:textFill>
              </w:rPr>
              <w:t>的通知》（卫政办发〔</w:t>
            </w:r>
            <w:r>
              <w:rPr>
                <w:rFonts w:hint="default" w:cs="Times New Roman"/>
                <w:color w:val="000000" w:themeColor="text1"/>
                <w:highlight w:val="none"/>
                <w:lang w:val="en-US" w:eastAsia="zh-CN"/>
                <w14:textFill>
                  <w14:solidFill>
                    <w14:schemeClr w14:val="tx1"/>
                  </w14:solidFill>
                </w14:textFill>
              </w:rPr>
              <w:t>2024</w:t>
            </w:r>
            <w:r>
              <w:rPr>
                <w:rFonts w:hint="eastAsia" w:cs="Times New Roman"/>
                <w:color w:val="000000" w:themeColor="text1"/>
                <w:highlight w:val="none"/>
                <w:lang w:val="en-US" w:eastAsia="zh-CN"/>
                <w14:textFill>
                  <w14:solidFill>
                    <w14:schemeClr w14:val="tx1"/>
                  </w14:solidFill>
                </w14:textFill>
              </w:rPr>
              <w:t>〕</w:t>
            </w:r>
            <w:r>
              <w:rPr>
                <w:rFonts w:hint="default" w:cs="Times New Roman"/>
                <w:color w:val="000000" w:themeColor="text1"/>
                <w:highlight w:val="none"/>
                <w:lang w:val="en-US" w:eastAsia="zh-CN"/>
                <w14:textFill>
                  <w14:solidFill>
                    <w14:schemeClr w14:val="tx1"/>
                  </w14:solidFill>
                </w14:textFill>
              </w:rPr>
              <w:t>33</w:t>
            </w:r>
            <w:r>
              <w:rPr>
                <w:rFonts w:hint="eastAsia" w:cs="Times New Roman"/>
                <w:color w:val="000000" w:themeColor="text1"/>
                <w:highlight w:val="none"/>
                <w:lang w:val="en-US" w:eastAsia="zh-CN"/>
                <w14:textFill>
                  <w14:solidFill>
                    <w14:schemeClr w14:val="tx1"/>
                  </w14:solidFill>
                </w14:textFill>
              </w:rPr>
              <w:t>号）中《中卫市生态环境分区管控方案图集》及《中卫市生态环境分区管控方案文本》可知，本项目位于沙坡头区优先保护单元2。项目与中卫市生态环境分区管控图位置关系图见附图</w:t>
            </w:r>
            <w:r>
              <w:rPr>
                <w:rFonts w:hint="default" w:cs="Times New Roman"/>
                <w:color w:val="000000" w:themeColor="text1"/>
                <w:highlight w:val="none"/>
                <w:lang w:val="en-US" w:eastAsia="zh-CN"/>
                <w14:textFill>
                  <w14:solidFill>
                    <w14:schemeClr w14:val="tx1"/>
                  </w14:solidFill>
                </w14:textFill>
              </w:rPr>
              <w:t>1-</w:t>
            </w:r>
            <w:r>
              <w:rPr>
                <w:rFonts w:hint="eastAsia" w:cs="Times New Roman"/>
                <w:color w:val="000000" w:themeColor="text1"/>
                <w:highlight w:val="none"/>
                <w:lang w:val="en-US" w:eastAsia="zh-CN"/>
                <w14:textFill>
                  <w14:solidFill>
                    <w14:schemeClr w14:val="tx1"/>
                  </w14:solidFill>
                </w14:textFill>
              </w:rPr>
              <w:t>6。</w:t>
            </w:r>
          </w:p>
          <w:p w14:paraId="6A6BD04C">
            <w:pPr>
              <w:keepNext w:val="0"/>
              <w:keepLines w:val="0"/>
              <w:suppressLineNumbers w:val="0"/>
              <w:bidi w:val="0"/>
              <w:spacing w:before="0" w:beforeAutospacing="0" w:after="0" w:afterAutospacing="0"/>
              <w:ind w:left="0" w:right="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14:textFill>
                  <w14:solidFill>
                    <w14:schemeClr w14:val="tx1"/>
                  </w14:solidFill>
                </w14:textFill>
              </w:rPr>
              <w:t>项目与</w:t>
            </w:r>
            <w:r>
              <w:rPr>
                <w:rFonts w:hint="eastAsia" w:cs="Times New Roman"/>
                <w:color w:val="000000" w:themeColor="text1"/>
                <w:highlight w:val="none"/>
                <w:lang w:val="en-US" w:eastAsia="zh-CN"/>
                <w14:textFill>
                  <w14:solidFill>
                    <w14:schemeClr w14:val="tx1"/>
                  </w14:solidFill>
                </w14:textFill>
              </w:rPr>
              <w:t>中卫</w:t>
            </w:r>
            <w:r>
              <w:rPr>
                <w:rFonts w:hint="eastAsia" w:cs="Times New Roman"/>
                <w:color w:val="000000" w:themeColor="text1"/>
                <w:highlight w:val="none"/>
                <w14:textFill>
                  <w14:solidFill>
                    <w14:schemeClr w14:val="tx1"/>
                  </w14:solidFill>
                </w14:textFill>
              </w:rPr>
              <w:t>市市级生态环境准入清单符合性分析见表1-</w:t>
            </w:r>
            <w:r>
              <w:rPr>
                <w:rFonts w:hint="eastAsia" w:cs="Times New Roman"/>
                <w:color w:val="000000" w:themeColor="text1"/>
                <w:highlight w:val="none"/>
                <w:lang w:val="en-US" w:eastAsia="zh-CN"/>
                <w14:textFill>
                  <w14:solidFill>
                    <w14:schemeClr w14:val="tx1"/>
                  </w14:solidFill>
                </w14:textFill>
              </w:rPr>
              <w:t>4</w:t>
            </w:r>
            <w:r>
              <w:rPr>
                <w:rFonts w:hint="eastAsia" w:cs="Times New Roman"/>
                <w:color w:val="000000" w:themeColor="text1"/>
                <w:highlight w:val="none"/>
                <w14:textFill>
                  <w14:solidFill>
                    <w14:schemeClr w14:val="tx1"/>
                  </w14:solidFill>
                </w14:textFill>
              </w:rPr>
              <w:t>，与</w:t>
            </w:r>
            <w:r>
              <w:rPr>
                <w:rFonts w:hint="eastAsia" w:cs="Times New Roman"/>
                <w:color w:val="000000" w:themeColor="text1"/>
                <w:highlight w:val="none"/>
                <w:lang w:val="en-US" w:eastAsia="zh-CN"/>
                <w14:textFill>
                  <w14:solidFill>
                    <w14:schemeClr w14:val="tx1"/>
                  </w14:solidFill>
                </w14:textFill>
              </w:rPr>
              <w:t>沙坡头区环境管控单元生态环境准入清单符合性</w:t>
            </w:r>
            <w:r>
              <w:rPr>
                <w:rFonts w:hint="eastAsia" w:cs="Times New Roman"/>
                <w:color w:val="000000" w:themeColor="text1"/>
                <w:highlight w:val="none"/>
                <w14:textFill>
                  <w14:solidFill>
                    <w14:schemeClr w14:val="tx1"/>
                  </w14:solidFill>
                </w14:textFill>
              </w:rPr>
              <w:t>分析见表1-</w:t>
            </w:r>
            <w:r>
              <w:rPr>
                <w:rFonts w:hint="eastAsia" w:cs="Times New Roman"/>
                <w:color w:val="000000" w:themeColor="text1"/>
                <w:highlight w:val="none"/>
                <w:lang w:val="en-US" w:eastAsia="zh-CN"/>
                <w14:textFill>
                  <w14:solidFill>
                    <w14:schemeClr w14:val="tx1"/>
                  </w14:solidFill>
                </w14:textFill>
              </w:rPr>
              <w:t>5</w:t>
            </w:r>
            <w:r>
              <w:rPr>
                <w:rFonts w:hint="eastAsia" w:cs="Times New Roman"/>
                <w:color w:val="000000" w:themeColor="text1"/>
                <w:highlight w:val="none"/>
                <w14:textFill>
                  <w14:solidFill>
                    <w14:schemeClr w14:val="tx1"/>
                  </w14:solidFill>
                </w14:textFill>
              </w:rPr>
              <w:t>。</w:t>
            </w:r>
          </w:p>
          <w:p w14:paraId="4538CF40">
            <w:pPr>
              <w:pStyle w:val="3"/>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表1-4  </w:t>
            </w:r>
            <w:r>
              <w:rPr>
                <w:rFonts w:hint="default"/>
                <w:color w:val="000000" w:themeColor="text1"/>
                <w:highlight w:val="none"/>
                <w14:textFill>
                  <w14:solidFill>
                    <w14:schemeClr w14:val="tx1"/>
                  </w14:solidFill>
                </w14:textFill>
              </w:rPr>
              <w:t>本项目与</w:t>
            </w:r>
            <w:r>
              <w:rPr>
                <w:rFonts w:hint="eastAsia"/>
                <w:color w:val="000000" w:themeColor="text1"/>
                <w:highlight w:val="none"/>
                <w:lang w:val="en-US" w:eastAsia="zh-CN"/>
                <w14:textFill>
                  <w14:solidFill>
                    <w14:schemeClr w14:val="tx1"/>
                  </w14:solidFill>
                </w14:textFill>
              </w:rPr>
              <w:t>中卫</w:t>
            </w:r>
            <w:r>
              <w:rPr>
                <w:rFonts w:hint="eastAsia"/>
                <w:color w:val="000000" w:themeColor="text1"/>
                <w:highlight w:val="none"/>
                <w14:textFill>
                  <w14:solidFill>
                    <w14:schemeClr w14:val="tx1"/>
                  </w14:solidFill>
                </w14:textFill>
              </w:rPr>
              <w:t>市市级生态环境准入清单</w:t>
            </w:r>
            <w:r>
              <w:rPr>
                <w:rFonts w:hint="default"/>
                <w:color w:val="000000" w:themeColor="text1"/>
                <w:highlight w:val="none"/>
                <w14:textFill>
                  <w14:solidFill>
                    <w14:schemeClr w14:val="tx1"/>
                  </w14:solidFill>
                </w14:textFill>
              </w:rPr>
              <w:t>符合性分析表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4"/>
              <w:gridCol w:w="712"/>
              <w:gridCol w:w="3672"/>
              <w:gridCol w:w="2503"/>
              <w:gridCol w:w="706"/>
            </w:tblGrid>
            <w:tr w14:paraId="7084D2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3" w:type="dxa"/>
                  <w:gridSpan w:val="2"/>
                  <w:noWrap w:val="0"/>
                  <w:vAlign w:val="center"/>
                </w:tcPr>
                <w:p w14:paraId="60A91B4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14:textFill>
                        <w14:solidFill>
                          <w14:schemeClr w14:val="tx1"/>
                        </w14:solidFill>
                      </w14:textFill>
                    </w:rPr>
                  </w:pPr>
                  <w:r>
                    <w:rPr>
                      <w:rFonts w:hint="default" w:cs="Times New Roman"/>
                      <w:b/>
                      <w:bCs/>
                      <w:color w:val="000000" w:themeColor="text1"/>
                      <w:highlight w:val="none"/>
                      <w14:textFill>
                        <w14:solidFill>
                          <w14:schemeClr w14:val="tx1"/>
                        </w14:solidFill>
                      </w14:textFill>
                    </w:rPr>
                    <w:t>管控维度</w:t>
                  </w:r>
                </w:p>
              </w:tc>
              <w:tc>
                <w:tcPr>
                  <w:tcW w:w="3632" w:type="dxa"/>
                  <w:noWrap w:val="0"/>
                  <w:vAlign w:val="center"/>
                </w:tcPr>
                <w:p w14:paraId="65359AF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14:textFill>
                        <w14:solidFill>
                          <w14:schemeClr w14:val="tx1"/>
                        </w14:solidFill>
                      </w14:textFill>
                    </w:rPr>
                  </w:pPr>
                  <w:r>
                    <w:rPr>
                      <w:rFonts w:hint="default" w:cs="Times New Roman"/>
                      <w:b/>
                      <w:bCs/>
                      <w:color w:val="000000" w:themeColor="text1"/>
                      <w:highlight w:val="none"/>
                      <w14:textFill>
                        <w14:solidFill>
                          <w14:schemeClr w14:val="tx1"/>
                        </w14:solidFill>
                      </w14:textFill>
                    </w:rPr>
                    <w:t>准入要求</w:t>
                  </w:r>
                </w:p>
              </w:tc>
              <w:tc>
                <w:tcPr>
                  <w:tcW w:w="2476" w:type="dxa"/>
                  <w:noWrap w:val="0"/>
                  <w:vAlign w:val="center"/>
                </w:tcPr>
                <w:p w14:paraId="64A77E5E">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本项目情况</w:t>
                  </w:r>
                </w:p>
              </w:tc>
              <w:tc>
                <w:tcPr>
                  <w:tcW w:w="698" w:type="dxa"/>
                  <w:noWrap w:val="0"/>
                  <w:vAlign w:val="center"/>
                </w:tcPr>
                <w:p w14:paraId="1BA9D4DF">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符合性</w:t>
                  </w:r>
                </w:p>
              </w:tc>
            </w:tr>
            <w:tr w14:paraId="5587F0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restart"/>
                  <w:noWrap w:val="0"/>
                  <w:vAlign w:val="center"/>
                </w:tcPr>
                <w:p w14:paraId="080D09E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A1空间布局约束</w:t>
                  </w:r>
                </w:p>
              </w:tc>
              <w:tc>
                <w:tcPr>
                  <w:tcW w:w="704" w:type="dxa"/>
                  <w:vMerge w:val="restart"/>
                  <w:noWrap w:val="0"/>
                  <w:vAlign w:val="center"/>
                </w:tcPr>
                <w:p w14:paraId="43CBA90D">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A1.1禁止开发建设活动的要求</w:t>
                  </w:r>
                </w:p>
              </w:tc>
              <w:tc>
                <w:tcPr>
                  <w:tcW w:w="3632" w:type="dxa"/>
                  <w:noWrap w:val="0"/>
                  <w:vAlign w:val="center"/>
                </w:tcPr>
                <w:p w14:paraId="7F2F967C">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严禁在黄河干流及主要支流临岸1公里范围内新建</w:t>
                  </w:r>
                  <w:r>
                    <w:rPr>
                      <w:rFonts w:hint="eastAsia" w:cs="Times New Roman"/>
                      <w:color w:val="000000" w:themeColor="text1"/>
                      <w:highlight w:val="none"/>
                      <w14:textFill>
                        <w14:solidFill>
                          <w14:schemeClr w14:val="tx1"/>
                        </w14:solidFill>
                      </w14:textFill>
                    </w:rPr>
                    <w:t>“两高一资”</w:t>
                  </w:r>
                  <w:r>
                    <w:rPr>
                      <w:rFonts w:hint="default" w:cs="Times New Roman"/>
                      <w:color w:val="000000" w:themeColor="text1"/>
                      <w:highlight w:val="none"/>
                      <w14:textFill>
                        <w14:solidFill>
                          <w14:schemeClr w14:val="tx1"/>
                        </w14:solidFill>
                      </w14:textFill>
                    </w:rPr>
                    <w:t>项目及相关产业园区</w:t>
                  </w:r>
                </w:p>
              </w:tc>
              <w:tc>
                <w:tcPr>
                  <w:tcW w:w="2476" w:type="dxa"/>
                  <w:noWrap w:val="0"/>
                  <w:vAlign w:val="center"/>
                </w:tcPr>
                <w:p w14:paraId="768FBB3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本项目不在黄河干流及主要支流临岸一定范围内建设，项目周边无黄河主要支流，与黄河最近距离大于5km，且不属于“两高一资”项目和产业园区。</w:t>
                  </w:r>
                </w:p>
              </w:tc>
              <w:tc>
                <w:tcPr>
                  <w:tcW w:w="698" w:type="dxa"/>
                  <w:noWrap w:val="0"/>
                  <w:vAlign w:val="center"/>
                </w:tcPr>
                <w:p w14:paraId="71241B46">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145295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0001BAB9">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continue"/>
                  <w:noWrap w:val="0"/>
                  <w:vAlign w:val="center"/>
                </w:tcPr>
                <w:p w14:paraId="7C4084F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3632" w:type="dxa"/>
                  <w:noWrap w:val="0"/>
                  <w:vAlign w:val="center"/>
                </w:tcPr>
                <w:p w14:paraId="073D25BD">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黄河沿线两岸3公里范围内不再新建养殖场</w:t>
                  </w:r>
                </w:p>
              </w:tc>
              <w:tc>
                <w:tcPr>
                  <w:tcW w:w="2476" w:type="dxa"/>
                  <w:noWrap w:val="0"/>
                  <w:vAlign w:val="center"/>
                </w:tcPr>
                <w:p w14:paraId="6395526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w:t>
                  </w:r>
                  <w:r>
                    <w:rPr>
                      <w:rFonts w:hint="eastAsia" w:cs="Times New Roman"/>
                      <w:color w:val="000000" w:themeColor="text1"/>
                      <w:highlight w:val="none"/>
                      <w:lang w:val="en-US" w:eastAsia="zh-CN"/>
                      <w14:textFill>
                        <w14:solidFill>
                          <w14:schemeClr w14:val="tx1"/>
                        </w14:solidFill>
                      </w14:textFill>
                    </w:rPr>
                    <w:t>不属于养殖项目</w:t>
                  </w:r>
                </w:p>
              </w:tc>
              <w:tc>
                <w:tcPr>
                  <w:tcW w:w="698" w:type="dxa"/>
                  <w:noWrap w:val="0"/>
                  <w:vAlign w:val="center"/>
                </w:tcPr>
                <w:p w14:paraId="052ED49D">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48CA36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073EDD7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continue"/>
                  <w:noWrap w:val="0"/>
                  <w:vAlign w:val="center"/>
                </w:tcPr>
                <w:p w14:paraId="198DFDCE">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3632" w:type="dxa"/>
                  <w:noWrap w:val="0"/>
                  <w:vAlign w:val="center"/>
                </w:tcPr>
                <w:p w14:paraId="2B7532F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所有工业企业原则上一律入园，工业园区及产业集聚区外不再建设工业项目</w:t>
                  </w:r>
                </w:p>
              </w:tc>
              <w:tc>
                <w:tcPr>
                  <w:tcW w:w="2476" w:type="dxa"/>
                  <w:noWrap w:val="0"/>
                  <w:vAlign w:val="center"/>
                </w:tcPr>
                <w:p w14:paraId="01882E2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14:textFill>
                        <w14:solidFill>
                          <w14:schemeClr w14:val="tx1"/>
                        </w14:solidFill>
                      </w14:textFill>
                    </w:rPr>
                  </w:pPr>
                  <w:r>
                    <w:rPr>
                      <w:rFonts w:hint="eastAsia" w:cs="Times New Roman"/>
                      <w:color w:val="000000" w:themeColor="text1"/>
                      <w:highlight w:val="none"/>
                      <w14:textFill>
                        <w14:solidFill>
                          <w14:schemeClr w14:val="tx1"/>
                        </w14:solidFill>
                      </w14:textFill>
                    </w:rPr>
                    <w:t>本项目</w:t>
                  </w:r>
                  <w:r>
                    <w:rPr>
                      <w:rFonts w:hint="eastAsia" w:cs="Times New Roman"/>
                      <w:color w:val="000000" w:themeColor="text1"/>
                      <w:highlight w:val="none"/>
                      <w:lang w:val="en-US" w:eastAsia="zh-CN"/>
                      <w14:textFill>
                        <w14:solidFill>
                          <w14:schemeClr w14:val="tx1"/>
                        </w14:solidFill>
                      </w14:textFill>
                    </w:rPr>
                    <w:t>不属于工业项目</w:t>
                  </w:r>
                </w:p>
              </w:tc>
              <w:tc>
                <w:tcPr>
                  <w:tcW w:w="698" w:type="dxa"/>
                  <w:noWrap w:val="0"/>
                  <w:vAlign w:val="center"/>
                </w:tcPr>
                <w:p w14:paraId="02A3F7F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288CCB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78E0DF5E">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continue"/>
                  <w:noWrap w:val="0"/>
                  <w:vAlign w:val="center"/>
                </w:tcPr>
                <w:p w14:paraId="1D00744A">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3632" w:type="dxa"/>
                  <w:noWrap w:val="0"/>
                  <w:vAlign w:val="center"/>
                </w:tcPr>
                <w:p w14:paraId="2635F98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禁止露天焚烧产生有毒有害烟尘和恶臭气体的物质或将其用作燃料</w:t>
                  </w:r>
                </w:p>
              </w:tc>
              <w:tc>
                <w:tcPr>
                  <w:tcW w:w="2476" w:type="dxa"/>
                  <w:noWrap w:val="0"/>
                  <w:vAlign w:val="center"/>
                </w:tcPr>
                <w:p w14:paraId="7D398498">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w:t>
                  </w:r>
                  <w:r>
                    <w:rPr>
                      <w:rFonts w:hint="eastAsia" w:cs="Times New Roman"/>
                      <w:color w:val="000000" w:themeColor="text1"/>
                      <w:highlight w:val="none"/>
                      <w:lang w:val="en-US" w:eastAsia="zh-CN"/>
                      <w14:textFill>
                        <w14:solidFill>
                          <w14:schemeClr w14:val="tx1"/>
                        </w14:solidFill>
                      </w14:textFill>
                    </w:rPr>
                    <w:t>不涉及</w:t>
                  </w:r>
                </w:p>
              </w:tc>
              <w:tc>
                <w:tcPr>
                  <w:tcW w:w="698" w:type="dxa"/>
                  <w:noWrap w:val="0"/>
                  <w:vAlign w:val="center"/>
                </w:tcPr>
                <w:p w14:paraId="5400DFB3">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19D95F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7D66E09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continue"/>
                  <w:noWrap w:val="0"/>
                  <w:vAlign w:val="center"/>
                </w:tcPr>
                <w:p w14:paraId="2911FE0F">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3632" w:type="dxa"/>
                  <w:noWrap w:val="0"/>
                  <w:vAlign w:val="center"/>
                </w:tcPr>
                <w:p w14:paraId="5CF51B1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除已列入计划内项目，“十四五”期间不再新增燃煤自备电厂（区域背压式供热机组除外）</w:t>
                  </w:r>
                </w:p>
              </w:tc>
              <w:tc>
                <w:tcPr>
                  <w:tcW w:w="2476" w:type="dxa"/>
                  <w:noWrap w:val="0"/>
                  <w:vAlign w:val="center"/>
                </w:tcPr>
                <w:p w14:paraId="38A57F49">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w:t>
                  </w:r>
                  <w:r>
                    <w:rPr>
                      <w:rFonts w:hint="eastAsia" w:cs="Times New Roman"/>
                      <w:color w:val="000000" w:themeColor="text1"/>
                      <w:highlight w:val="none"/>
                      <w:lang w:val="en-US" w:eastAsia="zh-CN"/>
                      <w14:textFill>
                        <w14:solidFill>
                          <w14:schemeClr w14:val="tx1"/>
                        </w14:solidFill>
                      </w14:textFill>
                    </w:rPr>
                    <w:t>不涉及</w:t>
                  </w:r>
                </w:p>
              </w:tc>
              <w:tc>
                <w:tcPr>
                  <w:tcW w:w="698" w:type="dxa"/>
                  <w:noWrap w:val="0"/>
                  <w:vAlign w:val="center"/>
                </w:tcPr>
                <w:p w14:paraId="7394391E">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295714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27D21366">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continue"/>
                  <w:noWrap w:val="0"/>
                  <w:vAlign w:val="center"/>
                </w:tcPr>
                <w:p w14:paraId="32E8820E">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3632" w:type="dxa"/>
                  <w:noWrap w:val="0"/>
                  <w:vAlign w:val="center"/>
                </w:tcPr>
                <w:p w14:paraId="1312BFA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严禁在优先保护类耕地集中区域新建污染土壤的行业企业</w:t>
                  </w:r>
                </w:p>
              </w:tc>
              <w:tc>
                <w:tcPr>
                  <w:tcW w:w="2476" w:type="dxa"/>
                  <w:noWrap w:val="0"/>
                  <w:vAlign w:val="center"/>
                </w:tcPr>
                <w:p w14:paraId="5553EEF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w:t>
                  </w:r>
                  <w:r>
                    <w:rPr>
                      <w:rFonts w:hint="eastAsia" w:cs="Times New Roman"/>
                      <w:color w:val="000000" w:themeColor="text1"/>
                      <w:highlight w:val="none"/>
                      <w:lang w:val="en-US" w:eastAsia="zh-CN"/>
                      <w14:textFill>
                        <w14:solidFill>
                          <w14:schemeClr w14:val="tx1"/>
                        </w14:solidFill>
                      </w14:textFill>
                    </w:rPr>
                    <w:t>为矿山生态修复项目，不属于污染土壤的行业企业</w:t>
                  </w:r>
                </w:p>
              </w:tc>
              <w:tc>
                <w:tcPr>
                  <w:tcW w:w="698" w:type="dxa"/>
                  <w:noWrap w:val="0"/>
                  <w:vAlign w:val="center"/>
                </w:tcPr>
                <w:p w14:paraId="7BBA100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0E8A45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23D68B73">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noWrap w:val="0"/>
                  <w:vAlign w:val="center"/>
                </w:tcPr>
                <w:p w14:paraId="39BA43D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A1.2限制开发建设活动的要求</w:t>
                  </w:r>
                </w:p>
              </w:tc>
              <w:tc>
                <w:tcPr>
                  <w:tcW w:w="3632" w:type="dxa"/>
                  <w:noWrap w:val="0"/>
                  <w:vAlign w:val="center"/>
                </w:tcPr>
                <w:p w14:paraId="5E07E9F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严格产业准入标准，建立联合审查机制，对新建项目进行综合评价，对不符合产业规划、产业政策、“三线一单”、规划环评、产能置换、污染物排放区域削减等要求的项目不予办理相关审批手续。严格“两高”项目节能审查，对纳入目录的落后产能过剩行业原则上不再新增产能，对经过评估论证确有必要建设的“两高”项目，必须符合国家、自治区产业政策和产能及能耗等量减量置换要求</w:t>
                  </w:r>
                </w:p>
              </w:tc>
              <w:tc>
                <w:tcPr>
                  <w:tcW w:w="2476" w:type="dxa"/>
                  <w:noWrap w:val="0"/>
                  <w:vAlign w:val="center"/>
                </w:tcPr>
                <w:p w14:paraId="5487352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14:textFill>
                        <w14:solidFill>
                          <w14:schemeClr w14:val="tx1"/>
                        </w14:solidFill>
                      </w14:textFill>
                    </w:rPr>
                    <w:t>项目属于《产业结构调整指导名录（2024年本）》中鼓励类，不属于“两高”项目，不属于产能落后项目。</w:t>
                  </w:r>
                </w:p>
              </w:tc>
              <w:tc>
                <w:tcPr>
                  <w:tcW w:w="698" w:type="dxa"/>
                  <w:noWrap w:val="0"/>
                  <w:vAlign w:val="center"/>
                </w:tcPr>
                <w:p w14:paraId="7AF38C1E">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08A70B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6037D5B9">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restart"/>
                  <w:noWrap w:val="0"/>
                  <w:vAlign w:val="center"/>
                </w:tcPr>
                <w:p w14:paraId="6061FC2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A1.3不符合空间布局要求活动的退出要求</w:t>
                  </w:r>
                </w:p>
              </w:tc>
              <w:tc>
                <w:tcPr>
                  <w:tcW w:w="3632" w:type="dxa"/>
                  <w:noWrap w:val="0"/>
                  <w:vAlign w:val="center"/>
                </w:tcPr>
                <w:p w14:paraId="1DC813B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对列入建设用地土壤污染风险管控和修复名录需要实施修复的地块，土壤污染责任人应当按照规定编制修复方案，报所在地生态环境主管部门备案并实施</w:t>
                  </w:r>
                </w:p>
              </w:tc>
              <w:tc>
                <w:tcPr>
                  <w:tcW w:w="2476" w:type="dxa"/>
                  <w:noWrap w:val="0"/>
                  <w:vAlign w:val="center"/>
                </w:tcPr>
                <w:p w14:paraId="1D7CBF5F">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本项目不</w:t>
                  </w:r>
                  <w:r>
                    <w:rPr>
                      <w:rFonts w:hint="eastAsia" w:cs="Times New Roman"/>
                      <w:color w:val="000000" w:themeColor="text1"/>
                      <w:highlight w:val="none"/>
                      <w:lang w:val="en-US" w:eastAsia="zh-CN"/>
                      <w14:textFill>
                        <w14:solidFill>
                          <w14:schemeClr w14:val="tx1"/>
                        </w14:solidFill>
                      </w14:textFill>
                    </w:rPr>
                    <w:t>涉及</w:t>
                  </w:r>
                  <w:r>
                    <w:rPr>
                      <w:rFonts w:hint="eastAsia" w:cs="Times New Roman"/>
                      <w:color w:val="000000" w:themeColor="text1"/>
                      <w:highlight w:val="none"/>
                      <w14:textFill>
                        <w14:solidFill>
                          <w14:schemeClr w14:val="tx1"/>
                        </w14:solidFill>
                      </w14:textFill>
                    </w:rPr>
                    <w:t>建设用地土壤污染风险管控和修复名录需要实施修复的地块</w:t>
                  </w:r>
                </w:p>
              </w:tc>
              <w:tc>
                <w:tcPr>
                  <w:tcW w:w="698" w:type="dxa"/>
                  <w:noWrap w:val="0"/>
                  <w:vAlign w:val="center"/>
                </w:tcPr>
                <w:p w14:paraId="6D9EA1B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69CED1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57A21BA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continue"/>
                  <w:noWrap w:val="0"/>
                  <w:vAlign w:val="center"/>
                </w:tcPr>
                <w:p w14:paraId="36738FAF">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3632" w:type="dxa"/>
                  <w:noWrap w:val="0"/>
                  <w:vAlign w:val="center"/>
                </w:tcPr>
                <w:p w14:paraId="3988901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严格管控自然保护地范围内非生态活动，稳妥推进核心区内居民、耕地、矿权有序退出</w:t>
                  </w:r>
                </w:p>
              </w:tc>
              <w:tc>
                <w:tcPr>
                  <w:tcW w:w="2476" w:type="dxa"/>
                  <w:noWrap w:val="0"/>
                  <w:vAlign w:val="center"/>
                </w:tcPr>
                <w:p w14:paraId="7FB60B19">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w:t>
                  </w:r>
                  <w:r>
                    <w:rPr>
                      <w:rFonts w:hint="eastAsia" w:cs="Times New Roman"/>
                      <w:color w:val="000000" w:themeColor="text1"/>
                      <w:highlight w:val="none"/>
                      <w:lang w:val="en-US" w:eastAsia="zh-CN"/>
                      <w14:textFill>
                        <w14:solidFill>
                          <w14:schemeClr w14:val="tx1"/>
                        </w14:solidFill>
                      </w14:textFill>
                    </w:rPr>
                    <w:t>不涉及</w:t>
                  </w:r>
                </w:p>
              </w:tc>
              <w:tc>
                <w:tcPr>
                  <w:tcW w:w="698" w:type="dxa"/>
                  <w:noWrap w:val="0"/>
                  <w:vAlign w:val="center"/>
                </w:tcPr>
                <w:p w14:paraId="2D749096">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321F75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47BC258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continue"/>
                  <w:noWrap w:val="0"/>
                  <w:vAlign w:val="center"/>
                </w:tcPr>
                <w:p w14:paraId="1717174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3632" w:type="dxa"/>
                  <w:noWrap w:val="0"/>
                  <w:vAlign w:val="center"/>
                </w:tcPr>
                <w:p w14:paraId="5442C688">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对所有现状不达标的养殖场，明确治理时限和治理措施，在规定时间内不能完成污染治理的养殖场，要按照有关规定实施严肃处罚</w:t>
                  </w:r>
                </w:p>
              </w:tc>
              <w:tc>
                <w:tcPr>
                  <w:tcW w:w="2476" w:type="dxa"/>
                  <w:noWrap w:val="0"/>
                  <w:vAlign w:val="center"/>
                </w:tcPr>
                <w:p w14:paraId="5AA53376">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w:t>
                  </w:r>
                  <w:r>
                    <w:rPr>
                      <w:rFonts w:hint="eastAsia" w:cs="Times New Roman"/>
                      <w:color w:val="000000" w:themeColor="text1"/>
                      <w:highlight w:val="none"/>
                      <w:lang w:val="en-US" w:eastAsia="zh-CN"/>
                      <w14:textFill>
                        <w14:solidFill>
                          <w14:schemeClr w14:val="tx1"/>
                        </w14:solidFill>
                      </w14:textFill>
                    </w:rPr>
                    <w:t>不涉及</w:t>
                  </w:r>
                </w:p>
              </w:tc>
              <w:tc>
                <w:tcPr>
                  <w:tcW w:w="698" w:type="dxa"/>
                  <w:noWrap w:val="0"/>
                  <w:vAlign w:val="center"/>
                </w:tcPr>
                <w:p w14:paraId="56610CC6">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1D3F81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675BA71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continue"/>
                  <w:noWrap w:val="0"/>
                  <w:vAlign w:val="center"/>
                </w:tcPr>
                <w:p w14:paraId="1A969D7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3632" w:type="dxa"/>
                  <w:noWrap w:val="0"/>
                  <w:vAlign w:val="center"/>
                </w:tcPr>
                <w:p w14:paraId="5ED31AAE">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按照“一园区一热源”原则，全面淘汰工业园区(产业集聚区)内35蒸吨/小时及以下燃煤锅炉。城市建成区、集中供热覆盖区及天然气管网覆盖区一律禁止新建燃煤锅炉，逐步淘汰35蒸吨/小时及以下燃煤锅炉，保留及新建锅炉需达到特别排放限值要求</w:t>
                  </w:r>
                </w:p>
              </w:tc>
              <w:tc>
                <w:tcPr>
                  <w:tcW w:w="2476" w:type="dxa"/>
                  <w:noWrap w:val="0"/>
                  <w:vAlign w:val="center"/>
                </w:tcPr>
                <w:p w14:paraId="012EDD1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w:t>
                  </w:r>
                  <w:r>
                    <w:rPr>
                      <w:rFonts w:hint="eastAsia" w:cs="Times New Roman"/>
                      <w:color w:val="000000" w:themeColor="text1"/>
                      <w:highlight w:val="none"/>
                      <w:lang w:val="en-US" w:eastAsia="zh-CN"/>
                      <w14:textFill>
                        <w14:solidFill>
                          <w14:schemeClr w14:val="tx1"/>
                        </w14:solidFill>
                      </w14:textFill>
                    </w:rPr>
                    <w:t>不涉及</w:t>
                  </w:r>
                </w:p>
              </w:tc>
              <w:tc>
                <w:tcPr>
                  <w:tcW w:w="698" w:type="dxa"/>
                  <w:noWrap w:val="0"/>
                  <w:vAlign w:val="center"/>
                </w:tcPr>
                <w:p w14:paraId="0D0723B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4C4BED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restart"/>
                  <w:noWrap w:val="0"/>
                  <w:vAlign w:val="center"/>
                </w:tcPr>
                <w:p w14:paraId="2A3E1ECD">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A2污染物排放管控</w:t>
                  </w:r>
                </w:p>
              </w:tc>
              <w:tc>
                <w:tcPr>
                  <w:tcW w:w="704" w:type="dxa"/>
                  <w:vMerge w:val="restart"/>
                  <w:noWrap w:val="0"/>
                  <w:vAlign w:val="center"/>
                </w:tcPr>
                <w:p w14:paraId="1F3D937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A2.1允许排放量要求</w:t>
                  </w:r>
                </w:p>
              </w:tc>
              <w:tc>
                <w:tcPr>
                  <w:tcW w:w="3632" w:type="dxa"/>
                  <w:noWrap w:val="0"/>
                  <w:vAlign w:val="center"/>
                </w:tcPr>
                <w:p w14:paraId="012BFE3A">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化学需氧量、氨氮、氮氧化物和挥发性有机物排放总量完成自治区下达任务</w:t>
                  </w:r>
                </w:p>
              </w:tc>
              <w:tc>
                <w:tcPr>
                  <w:tcW w:w="2476" w:type="dxa"/>
                  <w:noWrap w:val="0"/>
                  <w:vAlign w:val="center"/>
                </w:tcPr>
                <w:p w14:paraId="6DB4A2A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w:t>
                  </w:r>
                  <w:r>
                    <w:rPr>
                      <w:rFonts w:hint="eastAsia" w:cs="Times New Roman"/>
                      <w:color w:val="000000" w:themeColor="text1"/>
                      <w:highlight w:val="none"/>
                      <w:lang w:val="en-US" w:eastAsia="zh-CN"/>
                      <w14:textFill>
                        <w14:solidFill>
                          <w14:schemeClr w14:val="tx1"/>
                        </w14:solidFill>
                      </w14:textFill>
                    </w:rPr>
                    <w:t>不涉及</w:t>
                  </w:r>
                </w:p>
              </w:tc>
              <w:tc>
                <w:tcPr>
                  <w:tcW w:w="698" w:type="dxa"/>
                  <w:noWrap w:val="0"/>
                  <w:vAlign w:val="center"/>
                </w:tcPr>
                <w:p w14:paraId="45DBC3E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4EA013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09" w:type="dxa"/>
                  <w:vMerge w:val="continue"/>
                  <w:noWrap w:val="0"/>
                  <w:vAlign w:val="center"/>
                </w:tcPr>
                <w:p w14:paraId="4B47D29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continue"/>
                  <w:noWrap w:val="0"/>
                  <w:vAlign w:val="center"/>
                </w:tcPr>
                <w:p w14:paraId="3C05ED2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3632" w:type="dxa"/>
                  <w:noWrap w:val="0"/>
                  <w:vAlign w:val="center"/>
                </w:tcPr>
                <w:p w14:paraId="06EC9A3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PM</w:t>
                  </w:r>
                  <w:r>
                    <w:rPr>
                      <w:rFonts w:hint="eastAsia" w:cs="Times New Roman"/>
                      <w:color w:val="000000" w:themeColor="text1"/>
                      <w:highlight w:val="none"/>
                      <w:vertAlign w:val="subscript"/>
                      <w:lang w:val="en-US" w:eastAsia="zh-CN"/>
                      <w14:textFill>
                        <w14:solidFill>
                          <w14:schemeClr w14:val="tx1"/>
                        </w14:solidFill>
                      </w14:textFill>
                    </w:rPr>
                    <w:t>2.5</w:t>
                  </w:r>
                  <w:r>
                    <w:rPr>
                      <w:rFonts w:hint="eastAsia" w:cs="Times New Roman"/>
                      <w:color w:val="000000" w:themeColor="text1"/>
                      <w:highlight w:val="none"/>
                      <w14:textFill>
                        <w14:solidFill>
                          <w14:schemeClr w14:val="tx1"/>
                        </w14:solidFill>
                      </w14:textFill>
                    </w:rPr>
                    <w:t>和</w:t>
                  </w:r>
                  <w:r>
                    <w:rPr>
                      <w:rFonts w:hint="eastAsia" w:cs="Times New Roman"/>
                      <w:color w:val="000000" w:themeColor="text1"/>
                      <w:highlight w:val="none"/>
                      <w:lang w:val="en-US" w:eastAsia="zh-CN"/>
                      <w14:textFill>
                        <w14:solidFill>
                          <w14:schemeClr w14:val="tx1"/>
                        </w14:solidFill>
                      </w14:textFill>
                    </w:rPr>
                    <w:t>O</w:t>
                  </w:r>
                  <w:r>
                    <w:rPr>
                      <w:rFonts w:hint="eastAsia" w:cs="Times New Roman"/>
                      <w:color w:val="000000" w:themeColor="text1"/>
                      <w:highlight w:val="none"/>
                      <w:vertAlign w:val="subscript"/>
                      <w:lang w:val="en-US" w:eastAsia="zh-CN"/>
                      <w14:textFill>
                        <w14:solidFill>
                          <w14:schemeClr w14:val="tx1"/>
                        </w14:solidFill>
                      </w14:textFill>
                    </w:rPr>
                    <w:t>3</w:t>
                  </w:r>
                  <w:r>
                    <w:rPr>
                      <w:rFonts w:hint="eastAsia" w:cs="Times New Roman"/>
                      <w:color w:val="000000" w:themeColor="text1"/>
                      <w:highlight w:val="none"/>
                      <w14:textFill>
                        <w14:solidFill>
                          <w14:schemeClr w14:val="tx1"/>
                        </w14:solidFill>
                      </w14:textFill>
                    </w:rPr>
                    <w:t>未达标城市，新、改、扩建项目实施更严格的污染物排放总量控制要求，所需二氧化硫、NOx、VO</w:t>
                  </w:r>
                  <w:r>
                    <w:rPr>
                      <w:rFonts w:hint="eastAsia" w:cs="Times New Roman"/>
                      <w:color w:val="000000" w:themeColor="text1"/>
                      <w:highlight w:val="none"/>
                      <w:lang w:val="en-US" w:eastAsia="zh-CN"/>
                      <w14:textFill>
                        <w14:solidFill>
                          <w14:schemeClr w14:val="tx1"/>
                        </w14:solidFill>
                      </w14:textFill>
                    </w:rPr>
                    <w:t>C</w:t>
                  </w:r>
                  <w:r>
                    <w:rPr>
                      <w:rFonts w:hint="eastAsia" w:cs="Times New Roman"/>
                      <w:color w:val="000000" w:themeColor="text1"/>
                      <w:highlight w:val="none"/>
                      <w14:textFill>
                        <w14:solidFill>
                          <w14:schemeClr w14:val="tx1"/>
                        </w14:solidFill>
                      </w14:textFill>
                    </w:rPr>
                    <w:t>s排放量指标要进行减量替代</w:t>
                  </w:r>
                </w:p>
              </w:tc>
              <w:tc>
                <w:tcPr>
                  <w:tcW w:w="2476" w:type="dxa"/>
                  <w:noWrap w:val="0"/>
                  <w:vAlign w:val="center"/>
                </w:tcPr>
                <w:p w14:paraId="2D5757E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14:textFill>
                        <w14:solidFill>
                          <w14:schemeClr w14:val="tx1"/>
                        </w14:solidFill>
                      </w14:textFill>
                    </w:rPr>
                    <w:t>本项目所在区域PM</w:t>
                  </w:r>
                  <w:r>
                    <w:rPr>
                      <w:rFonts w:hint="eastAsia" w:cs="Times New Roman"/>
                      <w:color w:val="000000" w:themeColor="text1"/>
                      <w:highlight w:val="none"/>
                      <w:vertAlign w:val="subscript"/>
                      <w14:textFill>
                        <w14:solidFill>
                          <w14:schemeClr w14:val="tx1"/>
                        </w14:solidFill>
                      </w14:textFill>
                    </w:rPr>
                    <w:t>2.5</w:t>
                  </w:r>
                  <w:r>
                    <w:rPr>
                      <w:rFonts w:hint="eastAsia" w:cs="Times New Roman"/>
                      <w:color w:val="000000" w:themeColor="text1"/>
                      <w:highlight w:val="none"/>
                      <w14:textFill>
                        <w14:solidFill>
                          <w14:schemeClr w14:val="tx1"/>
                        </w14:solidFill>
                      </w14:textFill>
                    </w:rPr>
                    <w:t>和O</w:t>
                  </w:r>
                  <w:r>
                    <w:rPr>
                      <w:rFonts w:hint="eastAsia" w:cs="Times New Roman"/>
                      <w:color w:val="000000" w:themeColor="text1"/>
                      <w:highlight w:val="none"/>
                      <w:vertAlign w:val="subscript"/>
                      <w14:textFill>
                        <w14:solidFill>
                          <w14:schemeClr w14:val="tx1"/>
                        </w14:solidFill>
                      </w14:textFill>
                    </w:rPr>
                    <w:t>3</w:t>
                  </w:r>
                  <w:r>
                    <w:rPr>
                      <w:rFonts w:hint="eastAsia" w:cs="Times New Roman"/>
                      <w:color w:val="000000" w:themeColor="text1"/>
                      <w:highlight w:val="none"/>
                      <w14:textFill>
                        <w14:solidFill>
                          <w14:schemeClr w14:val="tx1"/>
                        </w14:solidFill>
                      </w14:textFill>
                    </w:rPr>
                    <w:t>达标，且本项目不涉及二氧化硫、NOx、VOCs排放</w:t>
                  </w:r>
                </w:p>
              </w:tc>
              <w:tc>
                <w:tcPr>
                  <w:tcW w:w="698" w:type="dxa"/>
                  <w:noWrap w:val="0"/>
                  <w:vAlign w:val="center"/>
                </w:tcPr>
                <w:p w14:paraId="08E6A0E8">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6BFCAC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2292C37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continue"/>
                  <w:noWrap w:val="0"/>
                  <w:vAlign w:val="center"/>
                </w:tcPr>
                <w:p w14:paraId="39638FE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3632" w:type="dxa"/>
                  <w:noWrap w:val="0"/>
                  <w:vAlign w:val="center"/>
                </w:tcPr>
                <w:p w14:paraId="2B901833">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新、改、扩建重点行业建设项目按照《宁夏回族自治区建设项目重金属污染物排放指标核定办法》要求，遵循重点重金属污染物排放“等量替代”原则，各地级市可自行确定重点区域，重点区域遵循“减量替代”原则，减量替代比例不低于 1.2</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14:textFill>
                        <w14:solidFill>
                          <w14:schemeClr w14:val="tx1"/>
                        </w14:solidFill>
                      </w14:textFill>
                    </w:rPr>
                    <w:t>1</w:t>
                  </w:r>
                </w:p>
              </w:tc>
              <w:tc>
                <w:tcPr>
                  <w:tcW w:w="2476" w:type="dxa"/>
                  <w:noWrap w:val="0"/>
                  <w:vAlign w:val="center"/>
                </w:tcPr>
                <w:p w14:paraId="5CECFE0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本项目不属于</w:t>
                  </w:r>
                  <w:r>
                    <w:rPr>
                      <w:rFonts w:hint="default" w:cs="Times New Roman"/>
                      <w:color w:val="000000" w:themeColor="text1"/>
                      <w:highlight w:val="none"/>
                      <w14:textFill>
                        <w14:solidFill>
                          <w14:schemeClr w14:val="tx1"/>
                        </w14:solidFill>
                      </w14:textFill>
                    </w:rPr>
                    <w:t>重金属重点行业建设项目</w:t>
                  </w:r>
                </w:p>
              </w:tc>
              <w:tc>
                <w:tcPr>
                  <w:tcW w:w="698" w:type="dxa"/>
                  <w:noWrap w:val="0"/>
                  <w:vAlign w:val="center"/>
                </w:tcPr>
                <w:p w14:paraId="6FA921DD">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3414D5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037C003E">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continue"/>
                  <w:noWrap w:val="0"/>
                  <w:vAlign w:val="center"/>
                </w:tcPr>
                <w:p w14:paraId="2AE07B8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3632" w:type="dxa"/>
                  <w:noWrap w:val="0"/>
                  <w:vAlign w:val="center"/>
                </w:tcPr>
                <w:p w14:paraId="23D6B30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到2025年，中卫市畜禽养殖废物综合利用率达到95%，规模养殖场粪污处理设施装备配套率达到100%</w:t>
                  </w:r>
                </w:p>
              </w:tc>
              <w:tc>
                <w:tcPr>
                  <w:tcW w:w="2476" w:type="dxa"/>
                  <w:noWrap w:val="0"/>
                  <w:vAlign w:val="center"/>
                </w:tcPr>
                <w:p w14:paraId="1FA9540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本项目不涉及</w:t>
                  </w:r>
                </w:p>
              </w:tc>
              <w:tc>
                <w:tcPr>
                  <w:tcW w:w="698" w:type="dxa"/>
                  <w:noWrap w:val="0"/>
                  <w:vAlign w:val="center"/>
                </w:tcPr>
                <w:p w14:paraId="579D22CC">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1A53CE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120AD2D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restart"/>
                  <w:noWrap w:val="0"/>
                  <w:vAlign w:val="center"/>
                </w:tcPr>
                <w:p w14:paraId="5B85C73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A2.2现有源提标升级改造</w:t>
                  </w:r>
                </w:p>
              </w:tc>
              <w:tc>
                <w:tcPr>
                  <w:tcW w:w="3632" w:type="dxa"/>
                  <w:noWrap w:val="0"/>
                  <w:vAlign w:val="center"/>
                </w:tcPr>
                <w:p w14:paraId="5502DC4C">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力争到2024年底，所有钢铁企业主要大气污染物基本达到超低排放指标限值</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14:textFill>
                        <w14:solidFill>
                          <w14:schemeClr w14:val="tx1"/>
                        </w14:solidFill>
                      </w14:textFill>
                    </w:rPr>
                    <w:t>有序推进水泥行业超低排放改造计划，水泥熟料窑改造后氮氧化物排放浓度不高于100毫克/立方米</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14:textFill>
                        <w14:solidFill>
                          <w14:schemeClr w14:val="tx1"/>
                        </w14:solidFill>
                      </w14:textFill>
                    </w:rPr>
                    <w:t>焦化企业参照《关于推进实施钢铁行业超低排放的意见》要求实施升级改造，改造后氮氧化物排放浓度不高于150毫克/立方米</w:t>
                  </w:r>
                </w:p>
              </w:tc>
              <w:tc>
                <w:tcPr>
                  <w:tcW w:w="2476" w:type="dxa"/>
                  <w:noWrap w:val="0"/>
                  <w:vAlign w:val="center"/>
                </w:tcPr>
                <w:p w14:paraId="3DB0CB5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本项目不涉及</w:t>
                  </w:r>
                  <w:r>
                    <w:rPr>
                      <w:rFonts w:hint="eastAsia" w:cs="Times New Roman"/>
                      <w:color w:val="000000" w:themeColor="text1"/>
                      <w:highlight w:val="none"/>
                      <w:lang w:val="en-US" w:eastAsia="zh-CN"/>
                      <w14:textFill>
                        <w14:solidFill>
                          <w14:schemeClr w14:val="tx1"/>
                        </w14:solidFill>
                      </w14:textFill>
                    </w:rPr>
                    <w:t>相关企业</w:t>
                  </w:r>
                </w:p>
              </w:tc>
              <w:tc>
                <w:tcPr>
                  <w:tcW w:w="698" w:type="dxa"/>
                  <w:noWrap w:val="0"/>
                  <w:vAlign w:val="center"/>
                </w:tcPr>
                <w:p w14:paraId="2BD6E4F6">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378A30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60C9269D">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continue"/>
                  <w:noWrap w:val="0"/>
                  <w:vAlign w:val="center"/>
                </w:tcPr>
                <w:p w14:paraId="024AF53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3632" w:type="dxa"/>
                  <w:noWrap w:val="0"/>
                  <w:vAlign w:val="center"/>
                </w:tcPr>
                <w:p w14:paraId="13A34E08">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2024年底前，烧结、炼铁、炼钢轧钢、自备电厂等有组织排放污染物实行超低排放限值</w:t>
                  </w:r>
                </w:p>
              </w:tc>
              <w:tc>
                <w:tcPr>
                  <w:tcW w:w="2476" w:type="dxa"/>
                  <w:noWrap w:val="0"/>
                  <w:vAlign w:val="center"/>
                </w:tcPr>
                <w:p w14:paraId="5A7565B6">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本项目不涉及</w:t>
                  </w:r>
                </w:p>
              </w:tc>
              <w:tc>
                <w:tcPr>
                  <w:tcW w:w="698" w:type="dxa"/>
                  <w:noWrap w:val="0"/>
                  <w:vAlign w:val="center"/>
                </w:tcPr>
                <w:p w14:paraId="651CD30C">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符合</w:t>
                  </w:r>
                </w:p>
              </w:tc>
            </w:tr>
            <w:tr w14:paraId="166322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restart"/>
                  <w:noWrap w:val="0"/>
                  <w:vAlign w:val="center"/>
                </w:tcPr>
                <w:p w14:paraId="45A8939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A3环境风险防控</w:t>
                  </w:r>
                </w:p>
              </w:tc>
              <w:tc>
                <w:tcPr>
                  <w:tcW w:w="704" w:type="dxa"/>
                  <w:vMerge w:val="restart"/>
                  <w:noWrap w:val="0"/>
                  <w:vAlign w:val="center"/>
                </w:tcPr>
                <w:p w14:paraId="384B47C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A3.1联防联控要求</w:t>
                  </w:r>
                </w:p>
              </w:tc>
              <w:tc>
                <w:tcPr>
                  <w:tcW w:w="3632" w:type="dxa"/>
                  <w:noWrap w:val="0"/>
                  <w:vAlign w:val="center"/>
                </w:tcPr>
                <w:p w14:paraId="2706A31E">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健全市生态环境局与公安、交通、应急、气象、水务等部门联动机制，细化落实各相关部门之间联防联控责任与任务分工，联合开展突发环境污染事件处置应急演练，提高联防联控实战能力</w:t>
                  </w:r>
                </w:p>
              </w:tc>
              <w:tc>
                <w:tcPr>
                  <w:tcW w:w="2476" w:type="dxa"/>
                  <w:noWrap w:val="0"/>
                  <w:vAlign w:val="center"/>
                </w:tcPr>
                <w:p w14:paraId="64E11DC3">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本项目不涉及</w:t>
                  </w:r>
                </w:p>
              </w:tc>
              <w:tc>
                <w:tcPr>
                  <w:tcW w:w="698" w:type="dxa"/>
                  <w:noWrap w:val="0"/>
                  <w:vAlign w:val="center"/>
                </w:tcPr>
                <w:p w14:paraId="78CB473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3D4E57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497B67F8">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continue"/>
                  <w:noWrap w:val="0"/>
                  <w:vAlign w:val="center"/>
                </w:tcPr>
                <w:p w14:paraId="7004C6A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3632" w:type="dxa"/>
                  <w:noWrap w:val="0"/>
                  <w:vAlign w:val="center"/>
                </w:tcPr>
                <w:p w14:paraId="5E851A6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以黄河干流和主要支流为重点，严控石化、化工、有色金属、印染、原料药制造等行业企业环境风险，加强油气管道环境风险防范，开展新污染物环境调</w:t>
                  </w:r>
                  <w:r>
                    <w:rPr>
                      <w:rFonts w:hint="eastAsia" w:cs="Times New Roman"/>
                      <w:color w:val="000000" w:themeColor="text1"/>
                      <w:highlight w:val="none"/>
                      <w:lang w:eastAsia="zh-CN"/>
                      <w14:textFill>
                        <w14:solidFill>
                          <w14:schemeClr w14:val="tx1"/>
                        </w14:solidFill>
                      </w14:textFill>
                    </w:rPr>
                    <w:t>查</w:t>
                  </w:r>
                  <w:r>
                    <w:rPr>
                      <w:rFonts w:hint="eastAsia" w:cs="Times New Roman"/>
                      <w:color w:val="000000" w:themeColor="text1"/>
                      <w:highlight w:val="none"/>
                      <w14:textFill>
                        <w14:solidFill>
                          <w14:schemeClr w14:val="tx1"/>
                        </w14:solidFill>
                      </w14:textFill>
                    </w:rPr>
                    <w:t>监测和环境风险评估，推进流域突发环境风险调</w:t>
                  </w:r>
                  <w:r>
                    <w:rPr>
                      <w:rFonts w:hint="eastAsia" w:cs="Times New Roman"/>
                      <w:color w:val="000000" w:themeColor="text1"/>
                      <w:highlight w:val="none"/>
                      <w:lang w:eastAsia="zh-CN"/>
                      <w14:textFill>
                        <w14:solidFill>
                          <w14:schemeClr w14:val="tx1"/>
                        </w14:solidFill>
                      </w14:textFill>
                    </w:rPr>
                    <w:t>查</w:t>
                  </w:r>
                  <w:r>
                    <w:rPr>
                      <w:rFonts w:hint="eastAsia" w:cs="Times New Roman"/>
                      <w:color w:val="000000" w:themeColor="text1"/>
                      <w:highlight w:val="none"/>
                      <w14:textFill>
                        <w14:solidFill>
                          <w14:schemeClr w14:val="tx1"/>
                        </w14:solidFill>
                      </w14:textFill>
                    </w:rPr>
                    <w:t>与监控预警体系建设，构建市-县(区)-区城-企业四级应急物资储备网络</w:t>
                  </w:r>
                </w:p>
              </w:tc>
              <w:tc>
                <w:tcPr>
                  <w:tcW w:w="2476" w:type="dxa"/>
                  <w:noWrap w:val="0"/>
                  <w:vAlign w:val="center"/>
                </w:tcPr>
                <w:p w14:paraId="4245913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14:textFill>
                        <w14:solidFill>
                          <w14:schemeClr w14:val="tx1"/>
                        </w14:solidFill>
                      </w14:textFill>
                    </w:rPr>
                    <w:t>本项目不涉及</w:t>
                  </w:r>
                </w:p>
              </w:tc>
              <w:tc>
                <w:tcPr>
                  <w:tcW w:w="698" w:type="dxa"/>
                  <w:noWrap w:val="0"/>
                  <w:vAlign w:val="center"/>
                </w:tcPr>
                <w:p w14:paraId="342A348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5DEE2D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0AE78A4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noWrap w:val="0"/>
                  <w:vAlign w:val="center"/>
                </w:tcPr>
                <w:p w14:paraId="46B21EAE">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A3.2企业环境风险防控要求</w:t>
                  </w:r>
                </w:p>
              </w:tc>
              <w:tc>
                <w:tcPr>
                  <w:tcW w:w="3632" w:type="dxa"/>
                  <w:noWrap w:val="0"/>
                  <w:vAlign w:val="center"/>
                </w:tcPr>
                <w:p w14:paraId="433A21B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紧盯涉危险废物涉重金属企业、化工园区、水源地，强化环境应急三级防控体系建设，落实企业环境安全主体责任，推行企业突发环境事件应急预案电子备案</w:t>
                  </w:r>
                </w:p>
              </w:tc>
              <w:tc>
                <w:tcPr>
                  <w:tcW w:w="2476" w:type="dxa"/>
                  <w:noWrap w:val="0"/>
                  <w:vAlign w:val="center"/>
                </w:tcPr>
                <w:p w14:paraId="5CC5007E">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本项目不涉及</w:t>
                  </w:r>
                </w:p>
              </w:tc>
              <w:tc>
                <w:tcPr>
                  <w:tcW w:w="698" w:type="dxa"/>
                  <w:noWrap w:val="0"/>
                  <w:vAlign w:val="center"/>
                </w:tcPr>
                <w:p w14:paraId="26BFD38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09F460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restart"/>
                  <w:noWrap w:val="0"/>
                  <w:vAlign w:val="center"/>
                </w:tcPr>
                <w:p w14:paraId="5B9C281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A4资源利用效率要求</w:t>
                  </w:r>
                </w:p>
              </w:tc>
              <w:tc>
                <w:tcPr>
                  <w:tcW w:w="704" w:type="dxa"/>
                  <w:vMerge w:val="restart"/>
                  <w:noWrap w:val="0"/>
                  <w:vAlign w:val="center"/>
                </w:tcPr>
                <w:p w14:paraId="73E8D2CD">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A4.1能源利用总量及效率要求</w:t>
                  </w:r>
                </w:p>
              </w:tc>
              <w:tc>
                <w:tcPr>
                  <w:tcW w:w="3632" w:type="dxa"/>
                  <w:noWrap w:val="0"/>
                  <w:vAlign w:val="center"/>
                </w:tcPr>
                <w:p w14:paraId="5E60770F">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全面贯彻落实国家和自治区下达煤炭消费总量目标，严格控制耗煤行业煤炭新增量，优先保障民生供暖新增用煤需求</w:t>
                  </w:r>
                </w:p>
              </w:tc>
              <w:tc>
                <w:tcPr>
                  <w:tcW w:w="2476" w:type="dxa"/>
                  <w:noWrap w:val="0"/>
                  <w:vAlign w:val="center"/>
                </w:tcPr>
                <w:p w14:paraId="6A422C7C">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本项目不涉及</w:t>
                  </w:r>
                </w:p>
              </w:tc>
              <w:tc>
                <w:tcPr>
                  <w:tcW w:w="698" w:type="dxa"/>
                  <w:noWrap w:val="0"/>
                  <w:vAlign w:val="center"/>
                </w:tcPr>
                <w:p w14:paraId="2E5D445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6A2C75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50C2871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continue"/>
                  <w:noWrap w:val="0"/>
                  <w:vAlign w:val="center"/>
                </w:tcPr>
                <w:p w14:paraId="72E5862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3632" w:type="dxa"/>
                  <w:noWrap w:val="0"/>
                  <w:vAlign w:val="center"/>
                </w:tcPr>
                <w:p w14:paraId="04DE4B0D">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新增产能必须符合国内先进能效标准</w:t>
                  </w:r>
                </w:p>
              </w:tc>
              <w:tc>
                <w:tcPr>
                  <w:tcW w:w="2476" w:type="dxa"/>
                  <w:noWrap w:val="0"/>
                  <w:vAlign w:val="center"/>
                </w:tcPr>
                <w:p w14:paraId="17DF602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本项目不涉及</w:t>
                  </w:r>
                </w:p>
              </w:tc>
              <w:tc>
                <w:tcPr>
                  <w:tcW w:w="698" w:type="dxa"/>
                  <w:noWrap w:val="0"/>
                  <w:vAlign w:val="center"/>
                </w:tcPr>
                <w:p w14:paraId="691FC20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0A3A93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12352A1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vMerge w:val="continue"/>
                  <w:noWrap w:val="0"/>
                  <w:vAlign w:val="center"/>
                </w:tcPr>
                <w:p w14:paraId="3945C2B9">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3632" w:type="dxa"/>
                  <w:noWrap w:val="0"/>
                  <w:vAlign w:val="center"/>
                </w:tcPr>
                <w:p w14:paraId="098231DA">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国家大气污染防治重点区域内新建耗煤项目应严格按规定采取煤炭消费减量</w:t>
                  </w:r>
                  <w:r>
                    <w:rPr>
                      <w:rFonts w:hint="eastAsia" w:cs="Times New Roman"/>
                      <w:color w:val="000000" w:themeColor="text1"/>
                      <w:highlight w:val="none"/>
                      <w:lang w:eastAsia="zh-CN"/>
                      <w14:textFill>
                        <w14:solidFill>
                          <w14:schemeClr w14:val="tx1"/>
                        </w14:solidFill>
                      </w14:textFill>
                    </w:rPr>
                    <w:t>替代</w:t>
                  </w:r>
                  <w:r>
                    <w:rPr>
                      <w:rFonts w:hint="eastAsia" w:cs="Times New Roman"/>
                      <w:color w:val="000000" w:themeColor="text1"/>
                      <w:highlight w:val="none"/>
                      <w14:textFill>
                        <w14:solidFill>
                          <w14:schemeClr w14:val="tx1"/>
                        </w14:solidFill>
                      </w14:textFill>
                    </w:rPr>
                    <w:t>措施，不得使用高污染燃料作为煤炭减量替代措施</w:t>
                  </w:r>
                </w:p>
              </w:tc>
              <w:tc>
                <w:tcPr>
                  <w:tcW w:w="2476" w:type="dxa"/>
                  <w:noWrap w:val="0"/>
                  <w:vAlign w:val="center"/>
                </w:tcPr>
                <w:p w14:paraId="79A5E8B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本项目不涉及</w:t>
                  </w:r>
                </w:p>
              </w:tc>
              <w:tc>
                <w:tcPr>
                  <w:tcW w:w="698" w:type="dxa"/>
                  <w:noWrap w:val="0"/>
                  <w:vAlign w:val="center"/>
                </w:tcPr>
                <w:p w14:paraId="54898F4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283776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0BD1BAFE">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p>
              </w:tc>
              <w:tc>
                <w:tcPr>
                  <w:tcW w:w="704" w:type="dxa"/>
                  <w:noWrap w:val="0"/>
                  <w:vAlign w:val="center"/>
                </w:tcPr>
                <w:p w14:paraId="283DDF03">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A4.2水资源利用总量及效率要求</w:t>
                  </w:r>
                </w:p>
              </w:tc>
              <w:tc>
                <w:tcPr>
                  <w:tcW w:w="3632" w:type="dxa"/>
                  <w:noWrap w:val="0"/>
                  <w:vAlign w:val="center"/>
                </w:tcPr>
                <w:p w14:paraId="4C85E6DD">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建立水资源刚性约束制度，严格准入条件，按照地区取水总量限值审核新、改、扩建项目，取水总量不得超过地区水资源取用上限或承载能力</w:t>
                  </w:r>
                </w:p>
              </w:tc>
              <w:tc>
                <w:tcPr>
                  <w:tcW w:w="2476" w:type="dxa"/>
                  <w:noWrap w:val="0"/>
                  <w:vAlign w:val="center"/>
                </w:tcPr>
                <w:p w14:paraId="11D847D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运营期仅使用少量养护用水，无废水排放。不会对区域水资源利用造成影响。</w:t>
                  </w:r>
                </w:p>
              </w:tc>
              <w:tc>
                <w:tcPr>
                  <w:tcW w:w="698" w:type="dxa"/>
                  <w:noWrap w:val="0"/>
                  <w:vAlign w:val="center"/>
                </w:tcPr>
                <w:p w14:paraId="07B9C64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bl>
          <w:p w14:paraId="1CAEC2D7">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表1-5  本项目</w:t>
            </w:r>
            <w:r>
              <w:rPr>
                <w:rFonts w:hint="eastAsia"/>
                <w:color w:val="000000" w:themeColor="text1"/>
                <w:highlight w:val="none"/>
                <w14:textFill>
                  <w14:solidFill>
                    <w14:schemeClr w14:val="tx1"/>
                  </w14:solidFill>
                </w14:textFill>
              </w:rPr>
              <w:t>与</w:t>
            </w:r>
            <w:r>
              <w:rPr>
                <w:rFonts w:hint="eastAsia"/>
                <w:color w:val="000000" w:themeColor="text1"/>
                <w:highlight w:val="none"/>
                <w:lang w:val="en-US" w:eastAsia="zh-CN"/>
                <w14:textFill>
                  <w14:solidFill>
                    <w14:schemeClr w14:val="tx1"/>
                  </w14:solidFill>
                </w14:textFill>
              </w:rPr>
              <w:t>沙坡头环境管控单元生态环境准入清单符合性</w:t>
            </w:r>
            <w:r>
              <w:rPr>
                <w:rFonts w:hint="eastAsia"/>
                <w:color w:val="000000" w:themeColor="text1"/>
                <w:highlight w:val="none"/>
                <w14:textFill>
                  <w14:solidFill>
                    <w14:schemeClr w14:val="tx1"/>
                  </w14:solidFill>
                </w14:textFill>
              </w:rPr>
              <w:t>分析</w:t>
            </w:r>
          </w:p>
          <w:tbl>
            <w:tblPr>
              <w:tblStyle w:val="28"/>
              <w:tblpPr w:leftFromText="180" w:rightFromText="180" w:vertAnchor="text" w:tblpX="1" w:tblpY="1"/>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927"/>
              <w:gridCol w:w="708"/>
              <w:gridCol w:w="813"/>
              <w:gridCol w:w="3066"/>
              <w:gridCol w:w="1943"/>
              <w:gridCol w:w="650"/>
            </w:tblGrid>
            <w:tr w14:paraId="1F2048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27" w:type="dxa"/>
                  <w:tcBorders>
                    <w:tl2br w:val="nil"/>
                    <w:tr2bl w:val="nil"/>
                  </w:tcBorders>
                  <w:noWrap w:val="0"/>
                  <w:vAlign w:val="center"/>
                </w:tcPr>
                <w:p w14:paraId="0B2AD589">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环境管控单元名称</w:t>
                  </w:r>
                </w:p>
              </w:tc>
              <w:tc>
                <w:tcPr>
                  <w:tcW w:w="708" w:type="dxa"/>
                  <w:tcBorders>
                    <w:tl2br w:val="nil"/>
                    <w:tr2bl w:val="nil"/>
                  </w:tcBorders>
                  <w:noWrap w:val="0"/>
                  <w:vAlign w:val="center"/>
                </w:tcPr>
                <w:p w14:paraId="24CFD2A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要素属性</w:t>
                  </w:r>
                </w:p>
              </w:tc>
              <w:tc>
                <w:tcPr>
                  <w:tcW w:w="3879" w:type="dxa"/>
                  <w:gridSpan w:val="2"/>
                  <w:tcBorders>
                    <w:tl2br w:val="nil"/>
                    <w:tr2bl w:val="nil"/>
                  </w:tcBorders>
                  <w:noWrap w:val="0"/>
                  <w:vAlign w:val="center"/>
                </w:tcPr>
                <w:p w14:paraId="0BB9E2A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管控要求</w:t>
                  </w:r>
                </w:p>
              </w:tc>
              <w:tc>
                <w:tcPr>
                  <w:tcW w:w="1943" w:type="dxa"/>
                  <w:tcBorders>
                    <w:tl2br w:val="nil"/>
                    <w:tr2bl w:val="nil"/>
                  </w:tcBorders>
                  <w:noWrap w:val="0"/>
                  <w:vAlign w:val="center"/>
                </w:tcPr>
                <w:p w14:paraId="186DC3E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本项目情况</w:t>
                  </w:r>
                </w:p>
              </w:tc>
              <w:tc>
                <w:tcPr>
                  <w:tcW w:w="650" w:type="dxa"/>
                  <w:tcBorders>
                    <w:tl2br w:val="nil"/>
                    <w:tr2bl w:val="nil"/>
                  </w:tcBorders>
                  <w:noWrap w:val="0"/>
                  <w:vAlign w:val="center"/>
                </w:tcPr>
                <w:p w14:paraId="7075894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是否符合</w:t>
                  </w:r>
                </w:p>
              </w:tc>
            </w:tr>
            <w:tr w14:paraId="68AD2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27" w:type="dxa"/>
                  <w:vMerge w:val="restart"/>
                  <w:tcBorders>
                    <w:tl2br w:val="nil"/>
                    <w:tr2bl w:val="nil"/>
                  </w:tcBorders>
                  <w:noWrap w:val="0"/>
                  <w:vAlign w:val="center"/>
                </w:tcPr>
                <w:p w14:paraId="52E7EEF9">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eastAsia="宋体"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14:textFill>
                        <w14:solidFill>
                          <w14:schemeClr w14:val="tx1"/>
                        </w14:solidFill>
                      </w14:textFill>
                    </w:rPr>
                    <w:t>ZH6405021000</w:t>
                  </w:r>
                  <w:r>
                    <w:rPr>
                      <w:rFonts w:hint="eastAsia" w:cs="Times New Roman"/>
                      <w:color w:val="000000" w:themeColor="text1"/>
                      <w:highlight w:val="none"/>
                      <w:lang w:val="en-US" w:eastAsia="zh-CN"/>
                      <w14:textFill>
                        <w14:solidFill>
                          <w14:schemeClr w14:val="tx1"/>
                        </w14:solidFill>
                      </w14:textFill>
                    </w:rPr>
                    <w:t>4</w:t>
                  </w:r>
                  <w:r>
                    <w:rPr>
                      <w:rFonts w:hint="default" w:cs="Times New Roman"/>
                      <w:color w:val="000000" w:themeColor="text1"/>
                      <w:highlight w:val="none"/>
                      <w14:textFill>
                        <w14:solidFill>
                          <w14:schemeClr w14:val="tx1"/>
                        </w14:solidFill>
                      </w14:textFill>
                    </w:rPr>
                    <w:t>沙坡头区优先保护单元</w:t>
                  </w:r>
                  <w:r>
                    <w:rPr>
                      <w:rFonts w:hint="eastAsia" w:cs="Times New Roman"/>
                      <w:color w:val="000000" w:themeColor="text1"/>
                      <w:highlight w:val="none"/>
                      <w:lang w:val="en-US" w:eastAsia="zh-CN"/>
                      <w14:textFill>
                        <w14:solidFill>
                          <w14:schemeClr w14:val="tx1"/>
                        </w14:solidFill>
                      </w14:textFill>
                    </w:rPr>
                    <w:t>2</w:t>
                  </w:r>
                </w:p>
              </w:tc>
              <w:tc>
                <w:tcPr>
                  <w:tcW w:w="708" w:type="dxa"/>
                  <w:vMerge w:val="restart"/>
                  <w:tcBorders>
                    <w:tl2br w:val="nil"/>
                    <w:tr2bl w:val="nil"/>
                  </w:tcBorders>
                  <w:noWrap w:val="0"/>
                  <w:vAlign w:val="center"/>
                </w:tcPr>
                <w:p w14:paraId="3159F9AA">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生态保护红线</w:t>
                  </w:r>
                </w:p>
                <w:p w14:paraId="340DF8C9">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14:textFill>
                        <w14:solidFill>
                          <w14:schemeClr w14:val="tx1"/>
                        </w14:solidFill>
                      </w14:textFill>
                    </w:rPr>
                    <w:t>+生态空间</w:t>
                  </w:r>
                </w:p>
              </w:tc>
              <w:tc>
                <w:tcPr>
                  <w:tcW w:w="813" w:type="dxa"/>
                  <w:tcBorders>
                    <w:tl2br w:val="nil"/>
                    <w:tr2bl w:val="nil"/>
                  </w:tcBorders>
                  <w:noWrap w:val="0"/>
                  <w:vAlign w:val="center"/>
                </w:tcPr>
                <w:p w14:paraId="4817596C">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空间布局约束</w:t>
                  </w:r>
                </w:p>
              </w:tc>
              <w:tc>
                <w:tcPr>
                  <w:tcW w:w="3066" w:type="dxa"/>
                  <w:tcBorders>
                    <w:tl2br w:val="nil"/>
                    <w:tr2bl w:val="nil"/>
                  </w:tcBorders>
                  <w:noWrap w:val="0"/>
                  <w:vAlign w:val="center"/>
                </w:tcPr>
                <w:p w14:paraId="6368AC5D">
                  <w:pPr>
                    <w:pStyle w:val="3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ind w:leftChars="0" w:right="0" w:rightChar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1.禁止新建项目乱征滥占草地、破坏沙生植被，严格限制在区域内采砂取土。</w:t>
                  </w:r>
                </w:p>
                <w:p w14:paraId="3CFB8F51">
                  <w:pPr>
                    <w:pStyle w:val="3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ind w:leftChars="0" w:right="0" w:rightChar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生态保护红线内自然保护地核心保护区外，禁止开发性、生产性建设活动，在符合法律法规的前提下，仅允许十类对生态功能不造成破坏的有限人为活动。一般生态空间内，在生态保护红线正面清单的基础上，仅允许开展生态修复等对生态环境扰动较小、不损害或有利于提升生态功能的开发项目。</w:t>
                  </w:r>
                </w:p>
                <w:p w14:paraId="3B670A05">
                  <w:pPr>
                    <w:pStyle w:val="3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ind w:leftChars="0" w:right="0" w:rightChars="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3.对区域内“散乱污”企业根据实际情况采取关停或搬迁入园措施。禁养区内现有的畜禽养殖场（小区）污染物的排放要符合《畜禽养殖污染物排放标准》的要求，并限期实现关停、转产或搬迁。</w:t>
                  </w:r>
                </w:p>
              </w:tc>
              <w:tc>
                <w:tcPr>
                  <w:tcW w:w="1943" w:type="dxa"/>
                  <w:tcBorders>
                    <w:tl2br w:val="nil"/>
                    <w:tr2bl w:val="nil"/>
                  </w:tcBorders>
                  <w:noWrap w:val="0"/>
                  <w:vAlign w:val="center"/>
                </w:tcPr>
                <w:p w14:paraId="350B0F81">
                  <w:pPr>
                    <w:pStyle w:val="3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ind w:leftChars="0" w:right="0" w:rightChars="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1.本项目属于矿山生态修复项目，不涉及矿山开采，项目的实施有利于植被的恢复及地貌景观的协调</w:t>
                  </w:r>
                </w:p>
                <w:p w14:paraId="6A11BC10">
                  <w:pPr>
                    <w:pStyle w:val="3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ind w:leftChars="0" w:right="0" w:rightChars="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2.本项目不占用生态红线，主要对矿山进行生态修复治理，属于十类</w:t>
                  </w:r>
                  <w:r>
                    <w:rPr>
                      <w:rFonts w:hint="default" w:cs="Times New Roman"/>
                      <w:color w:val="000000" w:themeColor="text1"/>
                      <w:highlight w:val="none"/>
                      <w:lang w:val="en-US" w:eastAsia="zh-CN"/>
                      <w14:textFill>
                        <w14:solidFill>
                          <w14:schemeClr w14:val="tx1"/>
                        </w14:solidFill>
                      </w14:textFill>
                    </w:rPr>
                    <w:t>对生态功能不造成破坏的有限人为活动</w:t>
                  </w:r>
                  <w:r>
                    <w:rPr>
                      <w:rFonts w:hint="eastAsia" w:cs="Times New Roman"/>
                      <w:color w:val="000000" w:themeColor="text1"/>
                      <w:highlight w:val="none"/>
                      <w:lang w:val="en-US" w:eastAsia="zh-CN"/>
                      <w14:textFill>
                        <w14:solidFill>
                          <w14:schemeClr w14:val="tx1"/>
                        </w14:solidFill>
                      </w14:textFill>
                    </w:rPr>
                    <w:t>之一，项目的开展有利于生态功能的恢复</w:t>
                  </w:r>
                </w:p>
                <w:p w14:paraId="49B9456A">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2.本项目不属于“散乱污”行业与企业</w:t>
                  </w:r>
                </w:p>
              </w:tc>
              <w:tc>
                <w:tcPr>
                  <w:tcW w:w="650" w:type="dxa"/>
                  <w:tcBorders>
                    <w:tl2br w:val="nil"/>
                    <w:tr2bl w:val="nil"/>
                  </w:tcBorders>
                  <w:noWrap w:val="0"/>
                  <w:vAlign w:val="center"/>
                </w:tcPr>
                <w:p w14:paraId="1079FAF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符合</w:t>
                  </w:r>
                </w:p>
              </w:tc>
            </w:tr>
            <w:tr w14:paraId="3ADB28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27" w:type="dxa"/>
                  <w:vMerge w:val="continue"/>
                  <w:tcBorders>
                    <w:tl2br w:val="nil"/>
                    <w:tr2bl w:val="nil"/>
                  </w:tcBorders>
                  <w:noWrap w:val="0"/>
                  <w:vAlign w:val="center"/>
                </w:tcPr>
                <w:p w14:paraId="3F360B3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p>
              </w:tc>
              <w:tc>
                <w:tcPr>
                  <w:tcW w:w="708" w:type="dxa"/>
                  <w:vMerge w:val="continue"/>
                  <w:tcBorders>
                    <w:tl2br w:val="nil"/>
                    <w:tr2bl w:val="nil"/>
                  </w:tcBorders>
                  <w:noWrap w:val="0"/>
                  <w:vAlign w:val="center"/>
                </w:tcPr>
                <w:p w14:paraId="659F7A8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p>
              </w:tc>
              <w:tc>
                <w:tcPr>
                  <w:tcW w:w="813" w:type="dxa"/>
                  <w:tcBorders>
                    <w:tl2br w:val="nil"/>
                    <w:tr2bl w:val="nil"/>
                  </w:tcBorders>
                  <w:noWrap w:val="0"/>
                  <w:vAlign w:val="center"/>
                </w:tcPr>
                <w:p w14:paraId="784D2AE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污染物排放管控</w:t>
                  </w:r>
                </w:p>
              </w:tc>
              <w:tc>
                <w:tcPr>
                  <w:tcW w:w="3066" w:type="dxa"/>
                  <w:tcBorders>
                    <w:tl2br w:val="nil"/>
                    <w:tr2bl w:val="nil"/>
                  </w:tcBorders>
                  <w:noWrap w:val="0"/>
                  <w:vAlign w:val="center"/>
                </w:tcPr>
                <w:p w14:paraId="227B06D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1943" w:type="dxa"/>
                  <w:tcBorders>
                    <w:tl2br w:val="nil"/>
                    <w:tr2bl w:val="nil"/>
                  </w:tcBorders>
                  <w:noWrap w:val="0"/>
                  <w:vAlign w:val="center"/>
                </w:tcPr>
                <w:p w14:paraId="3CD7FDE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50" w:type="dxa"/>
                  <w:tcBorders>
                    <w:tl2br w:val="nil"/>
                    <w:tr2bl w:val="nil"/>
                  </w:tcBorders>
                  <w:noWrap w:val="0"/>
                  <w:vAlign w:val="center"/>
                </w:tcPr>
                <w:p w14:paraId="44317F13">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符合</w:t>
                  </w:r>
                </w:p>
              </w:tc>
            </w:tr>
            <w:tr w14:paraId="4F922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27" w:type="dxa"/>
                  <w:vMerge w:val="continue"/>
                  <w:tcBorders>
                    <w:tl2br w:val="nil"/>
                    <w:tr2bl w:val="nil"/>
                  </w:tcBorders>
                  <w:noWrap w:val="0"/>
                  <w:vAlign w:val="center"/>
                </w:tcPr>
                <w:p w14:paraId="1BEA2789">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p>
              </w:tc>
              <w:tc>
                <w:tcPr>
                  <w:tcW w:w="708" w:type="dxa"/>
                  <w:vMerge w:val="continue"/>
                  <w:tcBorders>
                    <w:tl2br w:val="nil"/>
                    <w:tr2bl w:val="nil"/>
                  </w:tcBorders>
                  <w:noWrap w:val="0"/>
                  <w:vAlign w:val="center"/>
                </w:tcPr>
                <w:p w14:paraId="0B9B790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p>
              </w:tc>
              <w:tc>
                <w:tcPr>
                  <w:tcW w:w="813" w:type="dxa"/>
                  <w:tcBorders>
                    <w:tl2br w:val="nil"/>
                    <w:tr2bl w:val="nil"/>
                  </w:tcBorders>
                  <w:noWrap w:val="0"/>
                  <w:vAlign w:val="center"/>
                </w:tcPr>
                <w:p w14:paraId="7C332FB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环境风险防控</w:t>
                  </w:r>
                </w:p>
              </w:tc>
              <w:tc>
                <w:tcPr>
                  <w:tcW w:w="3066" w:type="dxa"/>
                  <w:tcBorders>
                    <w:tl2br w:val="nil"/>
                    <w:tr2bl w:val="nil"/>
                  </w:tcBorders>
                  <w:noWrap w:val="0"/>
                  <w:vAlign w:val="center"/>
                </w:tcPr>
                <w:p w14:paraId="7517BD2C">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1943" w:type="dxa"/>
                  <w:tcBorders>
                    <w:tl2br w:val="nil"/>
                    <w:tr2bl w:val="nil"/>
                  </w:tcBorders>
                  <w:noWrap w:val="0"/>
                  <w:vAlign w:val="center"/>
                </w:tcPr>
                <w:p w14:paraId="30DB7EA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50" w:type="dxa"/>
                  <w:tcBorders>
                    <w:tl2br w:val="nil"/>
                    <w:tr2bl w:val="nil"/>
                  </w:tcBorders>
                  <w:noWrap w:val="0"/>
                  <w:vAlign w:val="center"/>
                </w:tcPr>
                <w:p w14:paraId="45DA39D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符合</w:t>
                  </w:r>
                </w:p>
              </w:tc>
            </w:tr>
            <w:tr w14:paraId="7278ED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27" w:type="dxa"/>
                  <w:vMerge w:val="continue"/>
                  <w:tcBorders>
                    <w:tl2br w:val="nil"/>
                    <w:tr2bl w:val="nil"/>
                  </w:tcBorders>
                  <w:noWrap w:val="0"/>
                  <w:vAlign w:val="center"/>
                </w:tcPr>
                <w:p w14:paraId="4EA4110D">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p>
              </w:tc>
              <w:tc>
                <w:tcPr>
                  <w:tcW w:w="708" w:type="dxa"/>
                  <w:vMerge w:val="continue"/>
                  <w:tcBorders>
                    <w:tl2br w:val="nil"/>
                    <w:tr2bl w:val="nil"/>
                  </w:tcBorders>
                  <w:noWrap w:val="0"/>
                  <w:vAlign w:val="center"/>
                </w:tcPr>
                <w:p w14:paraId="560EF06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p>
              </w:tc>
              <w:tc>
                <w:tcPr>
                  <w:tcW w:w="813" w:type="dxa"/>
                  <w:tcBorders>
                    <w:tl2br w:val="nil"/>
                    <w:tr2bl w:val="nil"/>
                  </w:tcBorders>
                  <w:noWrap w:val="0"/>
                  <w:vAlign w:val="center"/>
                </w:tcPr>
                <w:p w14:paraId="3CEB9F58">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资源开发效率</w:t>
                  </w:r>
                </w:p>
              </w:tc>
              <w:tc>
                <w:tcPr>
                  <w:tcW w:w="3066" w:type="dxa"/>
                  <w:tcBorders>
                    <w:tl2br w:val="nil"/>
                    <w:tr2bl w:val="nil"/>
                  </w:tcBorders>
                  <w:noWrap w:val="0"/>
                  <w:vAlign w:val="center"/>
                </w:tcPr>
                <w:p w14:paraId="1622B92F">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1943" w:type="dxa"/>
                  <w:tcBorders>
                    <w:tl2br w:val="nil"/>
                    <w:tr2bl w:val="nil"/>
                  </w:tcBorders>
                  <w:noWrap w:val="0"/>
                  <w:vAlign w:val="center"/>
                </w:tcPr>
                <w:p w14:paraId="3D85A2D6">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50" w:type="dxa"/>
                  <w:tcBorders>
                    <w:tl2br w:val="nil"/>
                    <w:tr2bl w:val="nil"/>
                  </w:tcBorders>
                  <w:noWrap w:val="0"/>
                  <w:vAlign w:val="center"/>
                </w:tcPr>
                <w:p w14:paraId="5AF7F5F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符合</w:t>
                  </w:r>
                </w:p>
              </w:tc>
            </w:tr>
          </w:tbl>
          <w:p w14:paraId="497C10F4">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项目与《矿山生态环境保护与恢复治理技术规范（试行）》（HJ651-2013）相符性分析</w:t>
            </w:r>
          </w:p>
          <w:p w14:paraId="4C56EC48">
            <w:pPr>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本项目与</w:t>
            </w:r>
            <w:r>
              <w:rPr>
                <w:rFonts w:hint="eastAsia"/>
                <w:color w:val="000000" w:themeColor="text1"/>
                <w:highlight w:val="none"/>
                <w14:textFill>
                  <w14:solidFill>
                    <w14:schemeClr w14:val="tx1"/>
                  </w14:solidFill>
                </w14:textFill>
              </w:rPr>
              <w:t>《矿山生态环境保护与恢复治理技术规范（试行）》（HJ651-2013）相符性分析</w:t>
            </w:r>
            <w:r>
              <w:rPr>
                <w:rFonts w:hint="eastAsia"/>
                <w:color w:val="000000" w:themeColor="text1"/>
                <w:highlight w:val="none"/>
                <w:lang w:val="en-US" w:eastAsia="zh-CN"/>
                <w14:textFill>
                  <w14:solidFill>
                    <w14:schemeClr w14:val="tx1"/>
                  </w14:solidFill>
                </w14:textFill>
              </w:rPr>
              <w:t>见表1-6。</w:t>
            </w:r>
          </w:p>
          <w:p w14:paraId="1FD4F416">
            <w:pPr>
              <w:keepNext w:val="0"/>
              <w:keepLines w:val="0"/>
              <w:suppressLineNumbers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p>
          <w:p w14:paraId="206F52B3">
            <w:pPr>
              <w:keepNext w:val="0"/>
              <w:keepLines w:val="0"/>
              <w:suppressLineNumbers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p>
          <w:p w14:paraId="01A75B0B">
            <w:pPr>
              <w:pStyle w:val="3"/>
              <w:bidi w:val="0"/>
              <w:ind w:left="0" w:leftChars="0" w:firstLine="0" w:firstLineChars="0"/>
              <w:jc w:val="both"/>
              <w:rPr>
                <w:rFonts w:hint="eastAsia"/>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表1-</w:t>
            </w:r>
            <w:r>
              <w:rPr>
                <w:rFonts w:hint="eastAsia"/>
                <w:color w:val="000000" w:themeColor="text1"/>
                <w:highlight w:val="none"/>
                <w:lang w:val="en-US" w:eastAsia="zh-CN"/>
                <w14:textFill>
                  <w14:solidFill>
                    <w14:schemeClr w14:val="tx1"/>
                  </w14:solidFill>
                </w14:textFill>
              </w:rPr>
              <w:t>6</w:t>
            </w:r>
            <w:r>
              <w:rPr>
                <w:rFonts w:hint="default"/>
                <w:color w:val="000000" w:themeColor="text1"/>
                <w:highlight w:val="none"/>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 xml:space="preserve"> </w:t>
            </w:r>
            <w:r>
              <w:rPr>
                <w:rFonts w:hint="default"/>
                <w:color w:val="000000" w:themeColor="text1"/>
                <w:highlight w:val="none"/>
                <w14:textFill>
                  <w14:solidFill>
                    <w14:schemeClr w14:val="tx1"/>
                  </w14:solidFill>
                </w14:textFill>
              </w:rPr>
              <w:t>本项目与《矿山生态环境保护与恢复治理技术规范（试行）》相符性分析</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98"/>
              <w:gridCol w:w="2903"/>
              <w:gridCol w:w="806"/>
            </w:tblGrid>
            <w:tr w14:paraId="54D5A1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4350" w:type="dxa"/>
                  <w:noWrap w:val="0"/>
                  <w:vAlign w:val="center"/>
                </w:tcPr>
                <w:p w14:paraId="159A4AC4">
                  <w:pPr>
                    <w:pStyle w:val="39"/>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矿山生态环境保护与恢复治理的一般要求</w:t>
                  </w:r>
                </w:p>
              </w:tc>
              <w:tc>
                <w:tcPr>
                  <w:tcW w:w="2871" w:type="dxa"/>
                  <w:noWrap w:val="0"/>
                  <w:vAlign w:val="center"/>
                </w:tcPr>
                <w:p w14:paraId="68E6E811">
                  <w:pPr>
                    <w:pStyle w:val="39"/>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本项目</w:t>
                  </w:r>
                </w:p>
              </w:tc>
              <w:tc>
                <w:tcPr>
                  <w:tcW w:w="797" w:type="dxa"/>
                  <w:noWrap w:val="0"/>
                  <w:vAlign w:val="center"/>
                </w:tcPr>
                <w:p w14:paraId="10B80380">
                  <w:pPr>
                    <w:pStyle w:val="39"/>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是否符合</w:t>
                  </w:r>
                </w:p>
              </w:tc>
            </w:tr>
            <w:tr w14:paraId="5C8F8F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50" w:type="dxa"/>
                  <w:noWrap w:val="0"/>
                  <w:vAlign w:val="center"/>
                </w:tcPr>
                <w:p w14:paraId="15BD2527">
                  <w:pPr>
                    <w:pStyle w:val="39"/>
                    <w:keepNext w:val="0"/>
                    <w:keepLines w:val="0"/>
                    <w:pageBreakBefore w:val="0"/>
                    <w:widowControl w:val="0"/>
                    <w:suppressLineNumbers w:val="0"/>
                    <w:kinsoku/>
                    <w:wordWrap w:val="0"/>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禁止在依法划定的自然保护区、风景名胜区、森林公园、饮用水水源保护区、文物古迹所在地、地质遗迹保护区、基本农田保护区等重要生态保护地以及其他法律法规规定的禁采区域内采矿。禁止在重要道路、航道两侧及重要生态环境敏感目标可视范围内进行对景观破坏明显的露天开采</w:t>
                  </w:r>
                </w:p>
              </w:tc>
              <w:tc>
                <w:tcPr>
                  <w:tcW w:w="2871" w:type="dxa"/>
                  <w:noWrap w:val="0"/>
                  <w:vAlign w:val="center"/>
                </w:tcPr>
                <w:p w14:paraId="4BCF2204">
                  <w:pPr>
                    <w:pStyle w:val="39"/>
                    <w:keepNext w:val="0"/>
                    <w:keepLines w:val="0"/>
                    <w:pageBreakBefore w:val="0"/>
                    <w:widowControl w:val="0"/>
                    <w:suppressLineNumbers w:val="0"/>
                    <w:kinsoku/>
                    <w:wordWrap w:val="0"/>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本项目不属于采矿项目，属于</w:t>
                  </w:r>
                  <w:r>
                    <w:rPr>
                      <w:rFonts w:hint="default" w:cs="Times New Roman"/>
                      <w:color w:val="000000" w:themeColor="text1"/>
                      <w:highlight w:val="none"/>
                      <w14:textFill>
                        <w14:solidFill>
                          <w14:schemeClr w14:val="tx1"/>
                        </w14:solidFill>
                      </w14:textFill>
                    </w:rPr>
                    <w:t>矿山生态</w:t>
                  </w:r>
                  <w:r>
                    <w:rPr>
                      <w:rFonts w:hint="eastAsia" w:cs="Times New Roman"/>
                      <w:color w:val="000000" w:themeColor="text1"/>
                      <w:highlight w:val="none"/>
                      <w:lang w:val="en-US" w:eastAsia="zh-CN"/>
                      <w14:textFill>
                        <w14:solidFill>
                          <w14:schemeClr w14:val="tx1"/>
                        </w14:solidFill>
                      </w14:textFill>
                    </w:rPr>
                    <w:t>修复</w:t>
                  </w:r>
                  <w:r>
                    <w:rPr>
                      <w:rFonts w:hint="eastAsia" w:cs="Times New Roman"/>
                      <w:color w:val="000000" w:themeColor="text1"/>
                      <w:highlight w:val="none"/>
                      <w14:textFill>
                        <w14:solidFill>
                          <w14:schemeClr w14:val="tx1"/>
                        </w14:solidFill>
                      </w14:textFill>
                    </w:rPr>
                    <w:t>项目</w:t>
                  </w:r>
                </w:p>
              </w:tc>
              <w:tc>
                <w:tcPr>
                  <w:tcW w:w="797" w:type="dxa"/>
                  <w:noWrap w:val="0"/>
                  <w:vAlign w:val="center"/>
                </w:tcPr>
                <w:p w14:paraId="2BF527FE">
                  <w:pPr>
                    <w:pStyle w:val="39"/>
                    <w:keepNext w:val="0"/>
                    <w:keepLines w:val="0"/>
                    <w:pageBreakBefore w:val="0"/>
                    <w:widowControl w:val="0"/>
                    <w:suppressLineNumbers w:val="0"/>
                    <w:kinsoku/>
                    <w:wordWrap w:val="0"/>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486FB2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50" w:type="dxa"/>
                  <w:noWrap w:val="0"/>
                  <w:vAlign w:val="center"/>
                </w:tcPr>
                <w:p w14:paraId="31FCEE20">
                  <w:pPr>
                    <w:pStyle w:val="39"/>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矿产资源开发活动应符合国家和区域主体功能区规划、生态功能区划、生态环境保护规划的要求，采取有效预防和保护措施，避免或减轻矿产资源开发活动造成的生态破坏和环境污染</w:t>
                  </w:r>
                </w:p>
              </w:tc>
              <w:tc>
                <w:tcPr>
                  <w:tcW w:w="2871" w:type="dxa"/>
                  <w:noWrap w:val="0"/>
                  <w:vAlign w:val="center"/>
                </w:tcPr>
                <w:p w14:paraId="6E49F745">
                  <w:pPr>
                    <w:pStyle w:val="39"/>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本项目不涉及矿产资源开发活动</w:t>
                  </w:r>
                </w:p>
              </w:tc>
              <w:tc>
                <w:tcPr>
                  <w:tcW w:w="797" w:type="dxa"/>
                  <w:noWrap w:val="0"/>
                  <w:vAlign w:val="center"/>
                </w:tcPr>
                <w:p w14:paraId="3FB3DDEC">
                  <w:pPr>
                    <w:pStyle w:val="39"/>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331D54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50" w:type="dxa"/>
                  <w:noWrap w:val="0"/>
                  <w:vAlign w:val="center"/>
                </w:tcPr>
                <w:p w14:paraId="7C4C7A1E">
                  <w:pPr>
                    <w:pStyle w:val="39"/>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坚持“预防为主、防治结合、过程控制”的原则，将矿山生态环境保护与恢复治理贯穿矿产资源开采的全过程。根据矿山生态环境保护与恢复治理的重点任务，合理确定矿山生态保护与恢复治理分区优化矿区生产与生活空间格局。采用新技术、新方法、新工艺提高矿山生态环境保护和恢复治理水平</w:t>
                  </w:r>
                </w:p>
              </w:tc>
              <w:tc>
                <w:tcPr>
                  <w:tcW w:w="2871" w:type="dxa"/>
                  <w:noWrap w:val="0"/>
                  <w:vAlign w:val="center"/>
                </w:tcPr>
                <w:p w14:paraId="20477468">
                  <w:pPr>
                    <w:pStyle w:val="39"/>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w:t>
                  </w:r>
                  <w:r>
                    <w:rPr>
                      <w:rFonts w:hint="default" w:cs="Times New Roman"/>
                      <w:color w:val="000000" w:themeColor="text1"/>
                      <w:highlight w:val="none"/>
                      <w14:textFill>
                        <w14:solidFill>
                          <w14:schemeClr w14:val="tx1"/>
                        </w14:solidFill>
                      </w14:textFill>
                    </w:rPr>
                    <w:t>项目通过</w:t>
                  </w:r>
                  <w:r>
                    <w:rPr>
                      <w:rFonts w:hint="eastAsia" w:cs="Times New Roman"/>
                      <w:color w:val="000000" w:themeColor="text1"/>
                      <w:highlight w:val="none"/>
                      <w:lang w:val="en-US" w:eastAsia="zh-CN"/>
                      <w14:textFill>
                        <w14:solidFill>
                          <w14:schemeClr w14:val="tx1"/>
                        </w14:solidFill>
                      </w14:textFill>
                    </w:rPr>
                    <w:t>地形地貌恢复工程、截排水工程、生态恢复工程等</w:t>
                  </w:r>
                  <w:r>
                    <w:rPr>
                      <w:rFonts w:hint="eastAsia" w:cs="Times New Roman"/>
                      <w:color w:val="000000" w:themeColor="text1"/>
                      <w:highlight w:val="none"/>
                      <w14:textFill>
                        <w14:solidFill>
                          <w14:schemeClr w14:val="tx1"/>
                        </w14:solidFill>
                      </w14:textFill>
                    </w:rPr>
                    <w:t>，恢复区域内的地形地貌，防止水土流失，减轻地质灾害，消除生态环境问题及隐患</w:t>
                  </w:r>
                </w:p>
              </w:tc>
              <w:tc>
                <w:tcPr>
                  <w:tcW w:w="797" w:type="dxa"/>
                  <w:noWrap w:val="0"/>
                  <w:vAlign w:val="center"/>
                </w:tcPr>
                <w:p w14:paraId="3EF42551">
                  <w:pPr>
                    <w:pStyle w:val="39"/>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r w14:paraId="4A856B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50" w:type="dxa"/>
                  <w:noWrap w:val="0"/>
                  <w:vAlign w:val="center"/>
                </w:tcPr>
                <w:p w14:paraId="61F70F81">
                  <w:pPr>
                    <w:pStyle w:val="39"/>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恢复治理后的各类场地应实现，安全稳定，对人类和动植物不造成威胁；对周边环境不产生污染，与周边自然环境和景观相协调；恢复土地基本功能，因地制宜实现</w:t>
                  </w:r>
                  <w:r>
                    <w:rPr>
                      <w:rFonts w:hint="eastAsia" w:cs="Times New Roman"/>
                      <w:color w:val="000000" w:themeColor="text1"/>
                      <w:highlight w:val="none"/>
                      <w:lang w:eastAsia="zh-CN"/>
                      <w14:textFill>
                        <w14:solidFill>
                          <w14:schemeClr w14:val="tx1"/>
                        </w14:solidFill>
                      </w14:textFill>
                    </w:rPr>
                    <w:t>土地</w:t>
                  </w:r>
                  <w:r>
                    <w:rPr>
                      <w:rFonts w:hint="eastAsia" w:cs="Times New Roman"/>
                      <w:color w:val="000000" w:themeColor="text1"/>
                      <w:highlight w:val="none"/>
                      <w14:textFill>
                        <w14:solidFill>
                          <w14:schemeClr w14:val="tx1"/>
                        </w14:solidFill>
                      </w14:textFill>
                    </w:rPr>
                    <w:t>可持续利用；区域整体生态功能得到保护和恢复</w:t>
                  </w:r>
                </w:p>
              </w:tc>
              <w:tc>
                <w:tcPr>
                  <w:tcW w:w="2871" w:type="dxa"/>
                  <w:noWrap w:val="0"/>
                  <w:vAlign w:val="center"/>
                </w:tcPr>
                <w:p w14:paraId="38E7FDC2">
                  <w:pPr>
                    <w:pStyle w:val="39"/>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恢复治理后的各类场地对周边环境不会产生污染，区域整体生态功能得到保护和恢复</w:t>
                  </w:r>
                </w:p>
              </w:tc>
              <w:tc>
                <w:tcPr>
                  <w:tcW w:w="797" w:type="dxa"/>
                  <w:noWrap w:val="0"/>
                  <w:vAlign w:val="center"/>
                </w:tcPr>
                <w:p w14:paraId="7BD8FF33">
                  <w:pPr>
                    <w:pStyle w:val="39"/>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符合</w:t>
                  </w:r>
                </w:p>
              </w:tc>
            </w:tr>
          </w:tbl>
          <w:p w14:paraId="7D6E9E5B">
            <w:pPr>
              <w:pStyle w:val="56"/>
              <w:keepNext w:val="0"/>
              <w:keepLines w:val="0"/>
              <w:suppressLineNumbers w:val="0"/>
              <w:spacing w:before="0" w:beforeAutospacing="0" w:after="0" w:afterAutospacing="0"/>
              <w:ind w:left="0" w:right="0" w:firstLine="454" w:firstLineChars="200"/>
              <w:rPr>
                <w:rFonts w:hint="eastAsia" w:cs="Times New Roman"/>
                <w:color w:val="000000" w:themeColor="text1"/>
                <w:kern w:val="0"/>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综上，本项目符合《矿山生态环境保护与恢复治理技术规范（试行）》（HJ651-2013）中的相关要求。</w:t>
            </w:r>
          </w:p>
          <w:p w14:paraId="5523D3BF">
            <w:pPr>
              <w:pStyle w:val="2"/>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r>
              <w:rPr>
                <w:rFonts w:hint="default"/>
                <w:color w:val="000000" w:themeColor="text1"/>
                <w:highlight w:val="none"/>
                <w14:textFill>
                  <w14:solidFill>
                    <w14:schemeClr w14:val="tx1"/>
                  </w14:solidFill>
                </w14:textFill>
              </w:rPr>
              <w:t>与《宁夏回族自治区建设黄河流域生态保护和高质量发展先行区促进条例》符合性分析</w:t>
            </w:r>
          </w:p>
          <w:p w14:paraId="0CBD00E9">
            <w:pPr>
              <w:keepNext w:val="0"/>
              <w:keepLines w:val="0"/>
              <w:suppressLineNumbers w:val="0"/>
              <w:bidi w:val="0"/>
              <w:spacing w:before="0" w:beforeAutospacing="0" w:after="0" w:afterAutospacing="0"/>
              <w:ind w:left="0" w:right="0"/>
              <w:rPr>
                <w:rFonts w:hint="default" w:ascii="宋体" w:hAnsi="宋体" w:eastAsia="宋体" w:cs="宋体"/>
                <w:b w:val="0"/>
                <w:bCs w:val="0"/>
                <w:color w:val="000000" w:themeColor="text1"/>
                <w:sz w:val="24"/>
                <w:szCs w:val="24"/>
                <w:highlight w:val="none"/>
                <w14:textFill>
                  <w14:solidFill>
                    <w14:schemeClr w14:val="tx1"/>
                  </w14:solidFill>
                </w14:textFill>
              </w:rPr>
            </w:pPr>
            <w:r>
              <w:rPr>
                <w:rFonts w:hint="default" w:ascii="宋体" w:hAnsi="宋体" w:eastAsia="宋体" w:cs="宋体"/>
                <w:b w:val="0"/>
                <w:bCs w:val="0"/>
                <w:color w:val="000000" w:themeColor="text1"/>
                <w:sz w:val="24"/>
                <w:szCs w:val="24"/>
                <w:highlight w:val="none"/>
                <w14:textFill>
                  <w14:solidFill>
                    <w14:schemeClr w14:val="tx1"/>
                  </w14:solidFill>
                </w14:textFill>
              </w:rPr>
              <w:t>根据《</w:t>
            </w:r>
            <w:r>
              <w:rPr>
                <w:rFonts w:hint="eastAsia" w:ascii="宋体" w:hAnsi="宋体" w:cs="宋体"/>
                <w:b w:val="0"/>
                <w:bCs w:val="0"/>
                <w:color w:val="000000" w:themeColor="text1"/>
                <w:sz w:val="24"/>
                <w:szCs w:val="24"/>
                <w:highlight w:val="none"/>
                <w:lang w:eastAsia="zh-CN"/>
                <w14:textFill>
                  <w14:solidFill>
                    <w14:schemeClr w14:val="tx1"/>
                  </w14:solidFill>
                </w14:textFill>
              </w:rPr>
              <w:t>宁夏回族自治区建设黄河流域生态保护和高质量发展先行区促进条例</w:t>
            </w:r>
            <w:r>
              <w:rPr>
                <w:rFonts w:hint="default" w:ascii="宋体" w:hAnsi="宋体" w:eastAsia="宋体" w:cs="宋体"/>
                <w:b w:val="0"/>
                <w:bCs w:val="0"/>
                <w:color w:val="000000" w:themeColor="text1"/>
                <w:sz w:val="24"/>
                <w:szCs w:val="24"/>
                <w:highlight w:val="none"/>
                <w14:textFill>
                  <w14:solidFill>
                    <w14:schemeClr w14:val="tx1"/>
                  </w14:solidFill>
                </w14:textFill>
              </w:rPr>
              <w:t>》第三章生态环境保护和治理、第十八条</w:t>
            </w:r>
            <w:r>
              <w:rPr>
                <w:rFonts w:hint="eastAsia" w:ascii="TimesNewRomanPSMT" w:hAnsi="TimesNewRomanPSMT" w:eastAsia="宋体" w:cs="TimesNewRomanPSMT"/>
                <w:b w:val="0"/>
                <w:bCs w:val="0"/>
                <w:color w:val="000000" w:themeColor="text1"/>
                <w:sz w:val="24"/>
                <w:szCs w:val="24"/>
                <w:highlight w:val="none"/>
                <w:lang w:eastAsia="zh-CN"/>
                <w14:textFill>
                  <w14:solidFill>
                    <w14:schemeClr w14:val="tx1"/>
                  </w14:solidFill>
                </w14:textFill>
              </w:rPr>
              <w:t>：</w:t>
            </w:r>
            <w:r>
              <w:rPr>
                <w:rFonts w:hint="eastAsia" w:ascii="TimesNewRomanPSMT" w:hAnsi="TimesNewRomanPSMT" w:cs="TimesNewRomanPSMT"/>
                <w:b w:val="0"/>
                <w:bCs w:val="0"/>
                <w:color w:val="000000" w:themeColor="text1"/>
                <w:sz w:val="24"/>
                <w:szCs w:val="24"/>
                <w:highlight w:val="none"/>
                <w:lang w:eastAsia="zh-CN"/>
                <w14:textFill>
                  <w14:solidFill>
                    <w14:schemeClr w14:val="tx1"/>
                  </w14:solidFill>
                </w14:textFill>
              </w:rPr>
              <w:t>“</w:t>
            </w:r>
            <w:r>
              <w:rPr>
                <w:rFonts w:hint="default" w:ascii="宋体" w:hAnsi="宋体" w:eastAsia="宋体" w:cs="宋体"/>
                <w:b w:val="0"/>
                <w:bCs w:val="0"/>
                <w:color w:val="000000" w:themeColor="text1"/>
                <w:sz w:val="24"/>
                <w:szCs w:val="24"/>
                <w:highlight w:val="none"/>
                <w14:textFill>
                  <w14:solidFill>
                    <w14:schemeClr w14:val="tx1"/>
                  </w14:solidFill>
                </w14:textFill>
              </w:rPr>
              <w:t>县级以上人民政府应当因地制宜采取消除地质灾害隐患、土地复垦、恢复植被防治污染等措施，加快开展历史遗留矿山生态环境治理和恢复，加强对在建和生产矿山的监督管理，督促采矿权人履行矿山污染防治和生态修复责任。”</w:t>
            </w:r>
          </w:p>
          <w:p w14:paraId="06A738DA">
            <w:pPr>
              <w:pStyle w:val="56"/>
              <w:ind w:firstLine="454" w:firstLineChars="200"/>
              <w:rPr>
                <w:rFonts w:hint="default"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lang w:eastAsia="zh-CN"/>
                <w14:textFill>
                  <w14:solidFill>
                    <w14:schemeClr w14:val="tx1"/>
                  </w14:solidFill>
                </w14:textFill>
              </w:rPr>
              <w:t>本项目</w:t>
            </w:r>
            <w:r>
              <w:rPr>
                <w:rFonts w:hint="default" w:ascii="宋体" w:hAnsi="宋体" w:eastAsia="宋体" w:cs="宋体"/>
                <w:b w:val="0"/>
                <w:bCs w:val="0"/>
                <w:color w:val="000000" w:themeColor="text1"/>
                <w:sz w:val="24"/>
                <w:szCs w:val="24"/>
                <w:highlight w:val="none"/>
                <w14:textFill>
                  <w14:solidFill>
                    <w14:schemeClr w14:val="tx1"/>
                  </w14:solidFill>
                </w14:textFill>
              </w:rPr>
              <w:t>建设地点</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位于</w:t>
            </w:r>
            <w:r>
              <w:rPr>
                <w:rFonts w:hint="default" w:ascii="宋体" w:hAnsi="宋体" w:eastAsia="宋体" w:cs="宋体"/>
                <w:b w:val="0"/>
                <w:bCs w:val="0"/>
                <w:color w:val="000000" w:themeColor="text1"/>
                <w:sz w:val="24"/>
                <w:szCs w:val="24"/>
                <w:highlight w:val="none"/>
                <w14:textFill>
                  <w14:solidFill>
                    <w14:schemeClr w14:val="tx1"/>
                  </w14:solidFill>
                </w14:textFill>
              </w:rPr>
              <w:t>沙坡头宣和镇天景山</w:t>
            </w:r>
            <w:r>
              <w:rPr>
                <w:rFonts w:hint="eastAsia" w:ascii="宋体" w:hAnsi="宋体" w:cs="宋体"/>
                <w:b w:val="0"/>
                <w:bCs w:val="0"/>
                <w:color w:val="000000" w:themeColor="text1"/>
                <w:sz w:val="24"/>
                <w:szCs w:val="24"/>
                <w:highlight w:val="none"/>
                <w:lang w:eastAsia="zh-CN"/>
                <w14:textFill>
                  <w14:solidFill>
                    <w14:schemeClr w14:val="tx1"/>
                  </w14:solidFill>
                </w14:textFill>
              </w:rPr>
              <w:t>北麓</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，拟对天景山山峁圪垯梁灰石</w:t>
            </w:r>
            <w:r>
              <w:rPr>
                <w:rFonts w:hint="eastAsia"/>
                <w:color w:val="000000" w:themeColor="text1"/>
                <w:sz w:val="24"/>
                <w:highlight w:val="none"/>
                <w:lang w:val="en-US" w:eastAsia="zh-CN"/>
                <w14:textFill>
                  <w14:solidFill>
                    <w14:schemeClr w14:val="tx1"/>
                  </w14:solidFill>
                </w14:textFill>
              </w:rPr>
              <w:t>矿山实施地形地貌恢复工程、截排水工程、生态恢复工程</w:t>
            </w:r>
            <w:r>
              <w:rPr>
                <w:rFonts w:hint="eastAsia" w:cs="Times New Roman"/>
                <w:color w:val="000000" w:themeColor="text1"/>
                <w:highlight w:val="none"/>
                <w:lang w:val="en-US" w:eastAsia="zh-CN"/>
                <w14:textFill>
                  <w14:solidFill>
                    <w14:schemeClr w14:val="tx1"/>
                  </w14:solidFill>
                </w14:textFill>
              </w:rPr>
              <w:t>，</w:t>
            </w:r>
            <w:r>
              <w:rPr>
                <w:rFonts w:hint="default" w:ascii="宋体" w:hAnsi="宋体" w:eastAsia="宋体" w:cs="宋体"/>
                <w:b w:val="0"/>
                <w:bCs w:val="0"/>
                <w:color w:val="000000" w:themeColor="text1"/>
                <w:sz w:val="24"/>
                <w:szCs w:val="24"/>
                <w:highlight w:val="none"/>
                <w14:textFill>
                  <w14:solidFill>
                    <w14:schemeClr w14:val="tx1"/>
                  </w14:solidFill>
                </w14:textFill>
              </w:rPr>
              <w:t>建设完成后可消除滑坡</w:t>
            </w:r>
            <w:r>
              <w:rPr>
                <w:rFonts w:hint="eastAsia" w:ascii="宋体" w:hAnsi="宋体" w:cs="宋体"/>
                <w:b w:val="0"/>
                <w:bCs w:val="0"/>
                <w:color w:val="000000" w:themeColor="text1"/>
                <w:sz w:val="24"/>
                <w:szCs w:val="24"/>
                <w:highlight w:val="none"/>
                <w:lang w:eastAsia="zh-CN"/>
                <w14:textFill>
                  <w14:solidFill>
                    <w14:schemeClr w14:val="tx1"/>
                  </w14:solidFill>
                </w14:textFill>
              </w:rPr>
              <w:t>、</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冲沟</w:t>
            </w:r>
            <w:r>
              <w:rPr>
                <w:rFonts w:hint="default" w:ascii="宋体" w:hAnsi="宋体" w:eastAsia="宋体" w:cs="宋体"/>
                <w:b w:val="0"/>
                <w:bCs w:val="0"/>
                <w:color w:val="000000" w:themeColor="text1"/>
                <w:sz w:val="24"/>
                <w:szCs w:val="24"/>
                <w:highlight w:val="none"/>
                <w14:textFill>
                  <w14:solidFill>
                    <w14:schemeClr w14:val="tx1"/>
                  </w14:solidFill>
                </w14:textFill>
              </w:rPr>
              <w:t>等地质灾害影响，使地貌与周边环境相协调。符合《宁夏回族自治区建设黄河流域生态保护和高质量发展先行区促进条例》相关要求。</w:t>
            </w:r>
          </w:p>
          <w:p w14:paraId="62E46B8E">
            <w:pPr>
              <w:pStyle w:val="2"/>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5、与《中卫市生态环境保护“十四五”规划》符合性分析</w:t>
            </w:r>
          </w:p>
          <w:p w14:paraId="7307008D">
            <w:pPr>
              <w:keepNext w:val="0"/>
              <w:keepLines w:val="0"/>
              <w:suppressLineNumbers w:val="0"/>
              <w:bidi w:val="0"/>
              <w:spacing w:before="0" w:beforeAutospacing="0" w:after="0" w:afterAutospacing="0"/>
              <w:ind w:left="0" w:right="0"/>
              <w:rPr>
                <w:rFonts w:hint="default" w:ascii="宋体" w:hAnsi="宋体" w:cs="宋体"/>
                <w:b w:val="0"/>
                <w:bCs w:val="0"/>
                <w:color w:val="000000" w:themeColor="text1"/>
                <w:sz w:val="24"/>
                <w:szCs w:val="24"/>
                <w:highlight w:val="none"/>
                <w:lang w:val="en-US" w:eastAsia="zh-CN"/>
                <w14:textFill>
                  <w14:solidFill>
                    <w14:schemeClr w14:val="tx1"/>
                  </w14:solidFill>
                </w14:textFill>
              </w:rPr>
            </w:pPr>
            <w:r>
              <w:rPr>
                <w:rFonts w:hint="default" w:ascii="宋体" w:hAnsi="宋体" w:cs="宋体"/>
                <w:b w:val="0"/>
                <w:bCs w:val="0"/>
                <w:color w:val="000000" w:themeColor="text1"/>
                <w:sz w:val="24"/>
                <w:szCs w:val="24"/>
                <w:highlight w:val="none"/>
                <w:lang w:val="en-US" w:eastAsia="zh-CN"/>
                <w14:textFill>
                  <w14:solidFill>
                    <w14:schemeClr w14:val="tx1"/>
                  </w14:solidFill>
                </w14:textFill>
              </w:rPr>
              <w:t>《中卫市生态环境保护“十四五”规划》第七章第二节要求</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w:t>
            </w:r>
            <w:r>
              <w:rPr>
                <w:rFonts w:hint="default" w:ascii="宋体" w:hAnsi="宋体" w:cs="宋体"/>
                <w:b w:val="0"/>
                <w:bCs w:val="0"/>
                <w:color w:val="000000" w:themeColor="text1"/>
                <w:sz w:val="24"/>
                <w:szCs w:val="24"/>
                <w:highlight w:val="none"/>
                <w:lang w:val="en-US" w:eastAsia="zh-CN"/>
                <w14:textFill>
                  <w14:solidFill>
                    <w14:schemeClr w14:val="tx1"/>
                  </w14:solidFill>
                </w14:textFill>
              </w:rPr>
              <w:t>加强矿山地质环境保护与生态恢复，推进绿色矿山建设，督促矿山企业依法依规编制矿山地质环境保护与土地复垦方案，制定落实露天矿山生态修复计划</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w:t>
            </w:r>
          </w:p>
          <w:p w14:paraId="63C6BFF8">
            <w:pPr>
              <w:keepNext w:val="0"/>
              <w:keepLines w:val="0"/>
              <w:suppressLineNumbers w:val="0"/>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本项目通过地貌恢复工程、截排水工程、生态恢复工程等对项目区</w:t>
            </w:r>
            <w:r>
              <w:rPr>
                <w:rFonts w:hint="eastAsia" w:cs="Times New Roman"/>
                <w:color w:val="000000" w:themeColor="text1"/>
                <w:sz w:val="24"/>
                <w:highlight w:val="none"/>
                <w:lang w:eastAsia="zh-CN"/>
                <w14:textFill>
                  <w14:solidFill>
                    <w14:schemeClr w14:val="tx1"/>
                  </w14:solidFill>
                </w14:textFill>
              </w:rPr>
              <w:t>历史遗留废弃矿山</w:t>
            </w:r>
            <w:r>
              <w:rPr>
                <w:rFonts w:hint="eastAsia" w:cs="Times New Roman"/>
                <w:color w:val="000000" w:themeColor="text1"/>
                <w:sz w:val="24"/>
                <w:highlight w:val="none"/>
                <w:lang w:val="en-US" w:eastAsia="zh-CN"/>
                <w14:textFill>
                  <w14:solidFill>
                    <w14:schemeClr w14:val="tx1"/>
                  </w14:solidFill>
                </w14:textFill>
              </w:rPr>
              <w:t>进行</w:t>
            </w:r>
            <w:r>
              <w:rPr>
                <w:rFonts w:hint="eastAsia" w:cs="Times New Roman"/>
                <w:color w:val="000000" w:themeColor="text1"/>
                <w:sz w:val="24"/>
                <w:highlight w:val="none"/>
                <w:lang w:eastAsia="zh-CN"/>
                <w14:textFill>
                  <w14:solidFill>
                    <w14:schemeClr w14:val="tx1"/>
                  </w14:solidFill>
                </w14:textFill>
              </w:rPr>
              <w:t>恢复治理，</w:t>
            </w:r>
            <w:r>
              <w:rPr>
                <w:rFonts w:hint="eastAsia" w:cs="Times New Roman"/>
                <w:b w:val="0"/>
                <w:bCs w:val="0"/>
                <w:snapToGrid w:val="0"/>
                <w:color w:val="000000" w:themeColor="text1"/>
                <w:kern w:val="0"/>
                <w:sz w:val="24"/>
                <w:szCs w:val="22"/>
                <w:highlight w:val="none"/>
                <w:lang w:val="en-US" w:eastAsia="zh-CN"/>
                <w14:textFill>
                  <w14:solidFill>
                    <w14:schemeClr w14:val="tx1"/>
                  </w14:solidFill>
                </w14:textFill>
              </w:rPr>
              <w:t>有利于</w:t>
            </w:r>
            <w:r>
              <w:rPr>
                <w:rFonts w:hint="default" w:ascii="宋体" w:hAnsi="宋体" w:cs="宋体"/>
                <w:b w:val="0"/>
                <w:bCs w:val="0"/>
                <w:color w:val="000000" w:themeColor="text1"/>
                <w:sz w:val="24"/>
                <w:szCs w:val="24"/>
                <w:highlight w:val="none"/>
                <w:lang w:val="en-US" w:eastAsia="zh-CN"/>
                <w14:textFill>
                  <w14:solidFill>
                    <w14:schemeClr w14:val="tx1"/>
                  </w14:solidFill>
                </w14:textFill>
              </w:rPr>
              <w:t>加强</w:t>
            </w:r>
            <w:r>
              <w:rPr>
                <w:rFonts w:hint="eastAsia" w:cs="Times New Roman"/>
                <w:b w:val="0"/>
                <w:bCs w:val="0"/>
                <w:snapToGrid w:val="0"/>
                <w:color w:val="000000" w:themeColor="text1"/>
                <w:kern w:val="0"/>
                <w:sz w:val="24"/>
                <w:szCs w:val="22"/>
                <w:highlight w:val="none"/>
                <w14:textFill>
                  <w14:solidFill>
                    <w14:schemeClr w14:val="tx1"/>
                  </w14:solidFill>
                </w14:textFill>
              </w:rPr>
              <w:t>中卫市沙坡头区</w:t>
            </w:r>
            <w:r>
              <w:rPr>
                <w:rFonts w:hint="default" w:ascii="宋体" w:hAnsi="宋体" w:cs="宋体"/>
                <w:b w:val="0"/>
                <w:bCs w:val="0"/>
                <w:color w:val="000000" w:themeColor="text1"/>
                <w:sz w:val="24"/>
                <w:szCs w:val="24"/>
                <w:highlight w:val="none"/>
                <w:lang w:val="en-US" w:eastAsia="zh-CN"/>
                <w14:textFill>
                  <w14:solidFill>
                    <w14:schemeClr w14:val="tx1"/>
                  </w14:solidFill>
                </w14:textFill>
              </w:rPr>
              <w:t>矿山地质环境保护与生态恢复</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项目符合《规划》要求。</w:t>
            </w:r>
          </w:p>
          <w:p w14:paraId="4662B9AB">
            <w:pPr>
              <w:pStyle w:val="2"/>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6、与《中卫市沙坡头区生态环境保护“十四五”规划》符合性分析</w:t>
            </w:r>
          </w:p>
          <w:p w14:paraId="75535A1C">
            <w:pPr>
              <w:keepNext w:val="0"/>
              <w:keepLines w:val="0"/>
              <w:suppressLineNumbers w:val="0"/>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《中卫市沙坡头区生态环境保护“十四五”规划》</w:t>
            </w:r>
            <w:r>
              <w:rPr>
                <w:rFonts w:hint="eastAsia"/>
                <w:color w:val="000000" w:themeColor="text1"/>
                <w:highlight w:val="none"/>
                <w:lang w:val="en-US" w:eastAsia="zh-CN"/>
                <w14:textFill>
                  <w14:solidFill>
                    <w14:schemeClr w14:val="tx1"/>
                  </w14:solidFill>
                </w14:textFill>
              </w:rPr>
              <w:t>第三章 “十四五”生态环境保护主要任务的</w:t>
            </w:r>
            <w:r>
              <w:rPr>
                <w:rFonts w:hint="default"/>
                <w:color w:val="000000" w:themeColor="text1"/>
                <w:highlight w:val="none"/>
                <w:lang w:val="en-US" w:eastAsia="zh-CN"/>
                <w14:textFill>
                  <w14:solidFill>
                    <w14:schemeClr w14:val="tx1"/>
                  </w14:solidFill>
                </w14:textFill>
              </w:rPr>
              <w:t>第</w:t>
            </w:r>
            <w:r>
              <w:rPr>
                <w:rFonts w:hint="eastAsia"/>
                <w:color w:val="000000" w:themeColor="text1"/>
                <w:highlight w:val="none"/>
                <w:lang w:val="en-US" w:eastAsia="zh-CN"/>
                <w14:textFill>
                  <w14:solidFill>
                    <w14:schemeClr w14:val="tx1"/>
                  </w14:solidFill>
                </w14:textFill>
              </w:rPr>
              <w:t xml:space="preserve">八节 </w:t>
            </w:r>
            <w:r>
              <w:rPr>
                <w:rFonts w:hint="default"/>
                <w:color w:val="000000" w:themeColor="text1"/>
                <w:highlight w:val="none"/>
                <w:lang w:val="en-US" w:eastAsia="zh-CN"/>
                <w14:textFill>
                  <w14:solidFill>
                    <w14:schemeClr w14:val="tx1"/>
                  </w14:solidFill>
                </w14:textFill>
              </w:rPr>
              <w:t>系统修复，筑牢生态安全屏障</w:t>
            </w:r>
            <w:r>
              <w:rPr>
                <w:rFonts w:hint="eastAsia"/>
                <w:color w:val="000000" w:themeColor="text1"/>
                <w:highlight w:val="none"/>
                <w:lang w:val="en-US" w:eastAsia="zh-CN"/>
                <w14:textFill>
                  <w14:solidFill>
                    <w14:schemeClr w14:val="tx1"/>
                  </w14:solidFill>
                </w14:textFill>
              </w:rPr>
              <w:t>中“</w:t>
            </w:r>
            <w:r>
              <w:rPr>
                <w:rFonts w:hint="default"/>
                <w:color w:val="000000" w:themeColor="text1"/>
                <w:highlight w:val="none"/>
                <w:lang w:val="en-US" w:eastAsia="zh-CN"/>
                <w14:textFill>
                  <w14:solidFill>
                    <w14:schemeClr w14:val="tx1"/>
                  </w14:solidFill>
                </w14:textFill>
              </w:rPr>
              <w:t>三、推进矿山综合治理</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。在沙坡头区东园北山铁矿区、东园郑口水铁矿区、镇罗镇涩井沟铁矿区、迎水桥镇甘塘石膏矿区、东园镇北山二人山膨润土铁矿区、</w:t>
            </w:r>
            <w:r>
              <w:rPr>
                <w:rFonts w:hint="default"/>
                <w:b/>
                <w:bCs/>
                <w:color w:val="000000" w:themeColor="text1"/>
                <w:highlight w:val="none"/>
                <w:lang w:val="en-US" w:eastAsia="zh-CN"/>
                <w14:textFill>
                  <w14:solidFill>
                    <w14:schemeClr w14:val="tx1"/>
                  </w14:solidFill>
                </w14:textFill>
              </w:rPr>
              <w:t>宣和镇寺口子天景山矿区、</w:t>
            </w:r>
            <w:r>
              <w:rPr>
                <w:rFonts w:hint="default"/>
                <w:color w:val="000000" w:themeColor="text1"/>
                <w:highlight w:val="none"/>
                <w:lang w:val="en-US" w:eastAsia="zh-CN"/>
                <w14:textFill>
                  <w14:solidFill>
                    <w14:schemeClr w14:val="tx1"/>
                  </w14:solidFill>
                </w14:textFill>
              </w:rPr>
              <w:t>永康镇校育川煤矿区实施矿山生态环境保护，防治过度开采，改善采矿区生态环境，对废水、废渣、粉尘等污染物进行综合防治，加强矿山生态环境保护修复制度建设和监督管理工作，进一步规范采矿活动，减少矿业生产对环境的影响，以矿山资源整合为契机，使矿山企业走经营规模化、集约化和清洁化的道路。</w:t>
            </w:r>
          </w:p>
          <w:p w14:paraId="5009EE00">
            <w:pPr>
              <w:keepNext w:val="0"/>
              <w:keepLines w:val="0"/>
              <w:suppressLineNumbers w:val="0"/>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本项目位于宣和镇寺口子天景山矿区，通过</w:t>
            </w:r>
            <w:r>
              <w:rPr>
                <w:rFonts w:hint="eastAsia"/>
                <w:color w:val="000000" w:themeColor="text1"/>
                <w:sz w:val="24"/>
                <w:highlight w:val="none"/>
                <w:lang w:val="en-US" w:eastAsia="zh-CN"/>
                <w14:textFill>
                  <w14:solidFill>
                    <w14:schemeClr w14:val="tx1"/>
                  </w14:solidFill>
                </w14:textFill>
              </w:rPr>
              <w:t>地形地貌恢复工程、截排水工程、生态恢复工程</w:t>
            </w:r>
            <w:r>
              <w:rPr>
                <w:rFonts w:hint="eastAsia" w:cs="Times New Roman"/>
                <w:color w:val="000000" w:themeColor="text1"/>
                <w:highlight w:val="none"/>
                <w:lang w:val="en-US" w:eastAsia="zh-CN"/>
                <w14:textFill>
                  <w14:solidFill>
                    <w14:schemeClr w14:val="tx1"/>
                  </w14:solidFill>
                </w14:textFill>
              </w:rPr>
              <w:t>等对项目区</w:t>
            </w:r>
            <w:r>
              <w:rPr>
                <w:rFonts w:hint="eastAsia" w:cs="Times New Roman"/>
                <w:color w:val="000000" w:themeColor="text1"/>
                <w:sz w:val="24"/>
                <w:highlight w:val="none"/>
                <w:lang w:val="en-US" w:eastAsia="zh-CN"/>
                <w14:textFill>
                  <w14:solidFill>
                    <w14:schemeClr w14:val="tx1"/>
                  </w14:solidFill>
                </w14:textFill>
              </w:rPr>
              <w:t>灰石</w:t>
            </w:r>
            <w:r>
              <w:rPr>
                <w:rFonts w:hint="eastAsia" w:cs="Times New Roman"/>
                <w:color w:val="000000" w:themeColor="text1"/>
                <w:sz w:val="24"/>
                <w:highlight w:val="none"/>
                <w:lang w:eastAsia="zh-CN"/>
                <w14:textFill>
                  <w14:solidFill>
                    <w14:schemeClr w14:val="tx1"/>
                  </w14:solidFill>
                </w14:textFill>
              </w:rPr>
              <w:t>矿山</w:t>
            </w:r>
            <w:r>
              <w:rPr>
                <w:rFonts w:hint="eastAsia" w:cs="Times New Roman"/>
                <w:color w:val="000000" w:themeColor="text1"/>
                <w:sz w:val="24"/>
                <w:highlight w:val="none"/>
                <w:lang w:val="en-US" w:eastAsia="zh-CN"/>
                <w14:textFill>
                  <w14:solidFill>
                    <w14:schemeClr w14:val="tx1"/>
                  </w14:solidFill>
                </w14:textFill>
              </w:rPr>
              <w:t>进行生态</w:t>
            </w:r>
            <w:r>
              <w:rPr>
                <w:rFonts w:hint="eastAsia" w:cs="Times New Roman"/>
                <w:color w:val="000000" w:themeColor="text1"/>
                <w:sz w:val="24"/>
                <w:highlight w:val="none"/>
                <w:lang w:eastAsia="zh-CN"/>
                <w14:textFill>
                  <w14:solidFill>
                    <w14:schemeClr w14:val="tx1"/>
                  </w14:solidFill>
                </w14:textFill>
              </w:rPr>
              <w:t>恢复治理</w:t>
            </w:r>
            <w:r>
              <w:rPr>
                <w:rFonts w:hint="eastAsia"/>
                <w:color w:val="000000" w:themeColor="text1"/>
                <w:highlight w:val="none"/>
                <w:lang w:val="en-US" w:eastAsia="zh-CN"/>
                <w14:textFill>
                  <w14:solidFill>
                    <w14:schemeClr w14:val="tx1"/>
                  </w14:solidFill>
                </w14:textFill>
              </w:rPr>
              <w:t>，解决本项目矿山占地堆放废渣土，对天然植被造成破坏等问题，项目的实施有利于矿区植被的恢复，有利于实现与周边自然环境地形地貌景观的协调。因此，本</w:t>
            </w:r>
            <w:r>
              <w:rPr>
                <w:rFonts w:hint="default"/>
                <w:color w:val="000000" w:themeColor="text1"/>
                <w:highlight w:val="none"/>
                <w:lang w:val="en-US" w:eastAsia="zh-CN"/>
                <w14:textFill>
                  <w14:solidFill>
                    <w14:schemeClr w14:val="tx1"/>
                  </w14:solidFill>
                </w14:textFill>
              </w:rPr>
              <w:t>项目符合《中卫市沙坡头区生态环境保护“十四五”规划》要求。</w:t>
            </w:r>
          </w:p>
          <w:p w14:paraId="32D46455">
            <w:pPr>
              <w:pStyle w:val="2"/>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7、与</w:t>
            </w:r>
            <w:r>
              <w:rPr>
                <w:rFonts w:hint="eastAsia"/>
                <w:color w:val="000000" w:themeColor="text1"/>
                <w:highlight w:val="none"/>
                <w14:textFill>
                  <w14:solidFill>
                    <w14:schemeClr w14:val="tx1"/>
                  </w14:solidFill>
                </w14:textFill>
              </w:rPr>
              <w:t>《宁夏非金属矿绿色矿山建设规范》（DB64/T1751-2020）</w:t>
            </w:r>
            <w:r>
              <w:rPr>
                <w:rFonts w:hint="eastAsia"/>
                <w:color w:val="000000" w:themeColor="text1"/>
                <w:highlight w:val="none"/>
                <w:lang w:val="en-US" w:eastAsia="zh-CN"/>
                <w14:textFill>
                  <w14:solidFill>
                    <w14:schemeClr w14:val="tx1"/>
                  </w14:solidFill>
                </w14:textFill>
              </w:rPr>
              <w:t>符合性分析</w:t>
            </w:r>
          </w:p>
          <w:p w14:paraId="7FF283AC">
            <w:pPr>
              <w:bidi w:val="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w:t>
            </w:r>
            <w:r>
              <w:rPr>
                <w:rFonts w:hint="eastAsia"/>
                <w:color w:val="000000" w:themeColor="text1"/>
                <w:highlight w:val="none"/>
                <w14:textFill>
                  <w14:solidFill>
                    <w14:schemeClr w14:val="tx1"/>
                  </w14:solidFill>
                </w14:textFill>
              </w:rPr>
              <w:t>宁夏非金属矿绿色矿山建设规范》（DB64/T1751-2020）</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 xml:space="preserve">8.1.1 </w:t>
            </w:r>
            <w:r>
              <w:rPr>
                <w:rFonts w:hint="eastAsia"/>
                <w:color w:val="000000" w:themeColor="text1"/>
                <w:highlight w:val="none"/>
                <w:lang w:val="en-US" w:eastAsia="zh-CN"/>
                <w14:textFill>
                  <w14:solidFill>
                    <w14:schemeClr w14:val="tx1"/>
                  </w14:solidFill>
                </w14:textFill>
              </w:rPr>
              <w:t>矿山应根据矿产资源勘查开采活动造成的矿区地面崩塌、滑坡、地形地貌景观破坏、地表植被损毁、预防和修复治理以及矿山地质环境监测等方面的实际情况，因矿制宜编制矿山地质环境保护与土地复垦方案，并严格实施，做到资源开发利用方案、矿山地质环境保护与土地复垦方案同时设计、同时施工、同时管理。</w:t>
            </w:r>
            <w:r>
              <w:rPr>
                <w:rFonts w:hint="default"/>
                <w:color w:val="000000" w:themeColor="text1"/>
                <w:highlight w:val="none"/>
                <w:lang w:val="en-US" w:eastAsia="zh-CN"/>
                <w14:textFill>
                  <w14:solidFill>
                    <w14:schemeClr w14:val="tx1"/>
                  </w14:solidFill>
                </w14:textFill>
              </w:rPr>
              <w:t xml:space="preserve">8.1.2 </w:t>
            </w:r>
            <w:r>
              <w:rPr>
                <w:rFonts w:hint="eastAsia"/>
                <w:color w:val="000000" w:themeColor="text1"/>
                <w:highlight w:val="none"/>
                <w:lang w:val="en-US" w:eastAsia="zh-CN"/>
                <w14:textFill>
                  <w14:solidFill>
                    <w14:schemeClr w14:val="tx1"/>
                  </w14:solidFill>
                </w14:textFill>
              </w:rPr>
              <w:t>矿山企业应按照满足实际需求的原则，根据矿山地质环境保护与土地复垦方案制定完善的治理措施和年度计划，切实履行矿山地质环境保护与土地复垦义务。</w:t>
            </w:r>
          </w:p>
          <w:p w14:paraId="3D20A0EB">
            <w:pPr>
              <w:pStyle w:val="56"/>
              <w:ind w:firstLine="454"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通过地形地貌恢复工程、截排水工程、生态恢复工程等</w:t>
            </w:r>
            <w:r>
              <w:rPr>
                <w:rFonts w:hint="eastAsia"/>
                <w:color w:val="000000" w:themeColor="text1"/>
                <w:highlight w:val="none"/>
                <w14:textFill>
                  <w14:solidFill>
                    <w14:schemeClr w14:val="tx1"/>
                  </w14:solidFill>
                </w14:textFill>
              </w:rPr>
              <w:t>对</w:t>
            </w:r>
            <w:r>
              <w:rPr>
                <w:rFonts w:hint="eastAsia"/>
                <w:color w:val="000000" w:themeColor="text1"/>
                <w:highlight w:val="none"/>
                <w:lang w:val="en-US" w:eastAsia="zh-CN"/>
                <w14:textFill>
                  <w14:solidFill>
                    <w14:schemeClr w14:val="tx1"/>
                  </w14:solidFill>
                </w14:textFill>
              </w:rPr>
              <w:t>天景山山峁圪垯梁灰石</w:t>
            </w:r>
            <w:r>
              <w:rPr>
                <w:rFonts w:hint="eastAsia"/>
                <w:color w:val="000000" w:themeColor="text1"/>
                <w:highlight w:val="none"/>
                <w14:textFill>
                  <w14:solidFill>
                    <w14:schemeClr w14:val="tx1"/>
                  </w14:solidFill>
                </w14:textFill>
              </w:rPr>
              <w:t>矿山进行生态修复治理</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工程设计与实施规范符合本项目所在矿区《</w:t>
            </w:r>
            <w:r>
              <w:rPr>
                <w:rFonts w:hint="eastAsia"/>
                <w:color w:val="000000" w:themeColor="text1"/>
                <w:highlight w:val="none"/>
                <w:lang w:eastAsia="zh-CN"/>
                <w14:textFill>
                  <w14:solidFill>
                    <w14:schemeClr w14:val="tx1"/>
                  </w14:solidFill>
                </w14:textFill>
              </w:rPr>
              <w:t>矿山地质环境保护与土地复垦方案》。</w:t>
            </w:r>
            <w:r>
              <w:rPr>
                <w:rFonts w:hint="eastAsia"/>
                <w:color w:val="000000" w:themeColor="text1"/>
                <w:highlight w:val="none"/>
                <w:lang w:val="en-US" w:eastAsia="zh-CN"/>
                <w14:textFill>
                  <w14:solidFill>
                    <w14:schemeClr w14:val="tx1"/>
                  </w14:solidFill>
                </w14:textFill>
              </w:rPr>
              <w:t>综上所述，本项目符合《</w:t>
            </w:r>
            <w:r>
              <w:rPr>
                <w:rFonts w:hint="eastAsia"/>
                <w:color w:val="000000" w:themeColor="text1"/>
                <w:highlight w:val="none"/>
                <w14:textFill>
                  <w14:solidFill>
                    <w14:schemeClr w14:val="tx1"/>
                  </w14:solidFill>
                </w14:textFill>
              </w:rPr>
              <w:t>宁夏非金属矿绿色矿山建设规范》（DB64/T1751-2020）</w:t>
            </w:r>
            <w:r>
              <w:rPr>
                <w:rFonts w:hint="eastAsia"/>
                <w:color w:val="000000" w:themeColor="text1"/>
                <w:highlight w:val="none"/>
                <w:lang w:val="en-US" w:eastAsia="zh-CN"/>
                <w14:textFill>
                  <w14:solidFill>
                    <w14:schemeClr w14:val="tx1"/>
                  </w14:solidFill>
                </w14:textFill>
              </w:rPr>
              <w:t>要求。</w:t>
            </w:r>
          </w:p>
          <w:p w14:paraId="2B9B9862">
            <w:pPr>
              <w:pStyle w:val="56"/>
              <w:ind w:firstLine="454" w:firstLineChars="200"/>
              <w:rPr>
                <w:rFonts w:hint="default"/>
                <w:color w:val="000000" w:themeColor="text1"/>
                <w:highlight w:val="none"/>
                <w14:textFill>
                  <w14:solidFill>
                    <w14:schemeClr w14:val="tx1"/>
                  </w14:solidFill>
                </w14:textFill>
              </w:rPr>
            </w:pPr>
          </w:p>
          <w:p w14:paraId="642F6DE7">
            <w:pPr>
              <w:pStyle w:val="56"/>
              <w:ind w:firstLine="454" w:firstLineChars="200"/>
              <w:rPr>
                <w:rFonts w:hint="default"/>
                <w:color w:val="000000" w:themeColor="text1"/>
                <w:highlight w:val="none"/>
                <w14:textFill>
                  <w14:solidFill>
                    <w14:schemeClr w14:val="tx1"/>
                  </w14:solidFill>
                </w14:textFill>
              </w:rPr>
            </w:pPr>
          </w:p>
          <w:p w14:paraId="5457E039">
            <w:pPr>
              <w:pStyle w:val="56"/>
              <w:ind w:firstLine="454" w:firstLineChars="200"/>
              <w:rPr>
                <w:rFonts w:hint="default"/>
                <w:color w:val="000000" w:themeColor="text1"/>
                <w:highlight w:val="none"/>
                <w14:textFill>
                  <w14:solidFill>
                    <w14:schemeClr w14:val="tx1"/>
                  </w14:solidFill>
                </w14:textFill>
              </w:rPr>
            </w:pPr>
          </w:p>
          <w:p w14:paraId="1FF6F37A">
            <w:pPr>
              <w:pStyle w:val="56"/>
              <w:ind w:firstLine="454" w:firstLineChars="200"/>
              <w:rPr>
                <w:rFonts w:hint="default"/>
                <w:color w:val="000000" w:themeColor="text1"/>
                <w:highlight w:val="none"/>
                <w14:textFill>
                  <w14:solidFill>
                    <w14:schemeClr w14:val="tx1"/>
                  </w14:solidFill>
                </w14:textFill>
              </w:rPr>
            </w:pPr>
          </w:p>
          <w:p w14:paraId="5E5E7F82">
            <w:pPr>
              <w:pStyle w:val="56"/>
              <w:ind w:firstLine="454" w:firstLineChars="200"/>
              <w:rPr>
                <w:rFonts w:hint="default"/>
                <w:color w:val="000000" w:themeColor="text1"/>
                <w:highlight w:val="none"/>
                <w14:textFill>
                  <w14:solidFill>
                    <w14:schemeClr w14:val="tx1"/>
                  </w14:solidFill>
                </w14:textFill>
              </w:rPr>
            </w:pPr>
          </w:p>
          <w:p w14:paraId="2203B33B">
            <w:pPr>
              <w:pStyle w:val="56"/>
              <w:ind w:firstLine="454" w:firstLineChars="200"/>
              <w:rPr>
                <w:rFonts w:hint="default"/>
                <w:color w:val="000000" w:themeColor="text1"/>
                <w:highlight w:val="none"/>
                <w14:textFill>
                  <w14:solidFill>
                    <w14:schemeClr w14:val="tx1"/>
                  </w14:solidFill>
                </w14:textFill>
              </w:rPr>
            </w:pPr>
          </w:p>
          <w:p w14:paraId="2117BF86">
            <w:pPr>
              <w:pStyle w:val="56"/>
              <w:ind w:firstLine="454" w:firstLineChars="200"/>
              <w:rPr>
                <w:rFonts w:hint="default"/>
                <w:color w:val="000000" w:themeColor="text1"/>
                <w:highlight w:val="none"/>
                <w14:textFill>
                  <w14:solidFill>
                    <w14:schemeClr w14:val="tx1"/>
                  </w14:solidFill>
                </w14:textFill>
              </w:rPr>
            </w:pPr>
          </w:p>
          <w:p w14:paraId="11EC1AA4">
            <w:pPr>
              <w:pStyle w:val="56"/>
              <w:ind w:firstLine="454" w:firstLineChars="200"/>
              <w:rPr>
                <w:rFonts w:hint="default"/>
                <w:color w:val="000000" w:themeColor="text1"/>
                <w:highlight w:val="none"/>
                <w14:textFill>
                  <w14:solidFill>
                    <w14:schemeClr w14:val="tx1"/>
                  </w14:solidFill>
                </w14:textFill>
              </w:rPr>
            </w:pPr>
          </w:p>
          <w:p w14:paraId="7A3F996C">
            <w:pPr>
              <w:pStyle w:val="56"/>
              <w:ind w:firstLine="454" w:firstLineChars="200"/>
              <w:rPr>
                <w:rFonts w:hint="default"/>
                <w:color w:val="000000" w:themeColor="text1"/>
                <w:highlight w:val="none"/>
                <w14:textFill>
                  <w14:solidFill>
                    <w14:schemeClr w14:val="tx1"/>
                  </w14:solidFill>
                </w14:textFill>
              </w:rPr>
            </w:pPr>
          </w:p>
          <w:p w14:paraId="77951D9D">
            <w:pPr>
              <w:pStyle w:val="56"/>
              <w:ind w:firstLine="454" w:firstLineChars="200"/>
              <w:rPr>
                <w:rFonts w:hint="default"/>
                <w:color w:val="000000" w:themeColor="text1"/>
                <w:highlight w:val="none"/>
                <w14:textFill>
                  <w14:solidFill>
                    <w14:schemeClr w14:val="tx1"/>
                  </w14:solidFill>
                </w14:textFill>
              </w:rPr>
            </w:pPr>
          </w:p>
          <w:p w14:paraId="4A086F5D">
            <w:pPr>
              <w:pStyle w:val="56"/>
              <w:ind w:firstLine="454" w:firstLineChars="200"/>
              <w:rPr>
                <w:rFonts w:hint="default"/>
                <w:color w:val="000000" w:themeColor="text1"/>
                <w:highlight w:val="none"/>
                <w14:textFill>
                  <w14:solidFill>
                    <w14:schemeClr w14:val="tx1"/>
                  </w14:solidFill>
                </w14:textFill>
              </w:rPr>
            </w:pPr>
          </w:p>
          <w:p w14:paraId="3F86CA47">
            <w:pPr>
              <w:pStyle w:val="56"/>
              <w:ind w:firstLine="454" w:firstLineChars="200"/>
              <w:rPr>
                <w:rFonts w:hint="default"/>
                <w:color w:val="000000" w:themeColor="text1"/>
                <w:highlight w:val="none"/>
                <w14:textFill>
                  <w14:solidFill>
                    <w14:schemeClr w14:val="tx1"/>
                  </w14:solidFill>
                </w14:textFill>
              </w:rPr>
            </w:pPr>
          </w:p>
          <w:p w14:paraId="71F3E4F9">
            <w:pPr>
              <w:pStyle w:val="56"/>
              <w:ind w:firstLine="454" w:firstLineChars="200"/>
              <w:rPr>
                <w:rFonts w:hint="default"/>
                <w:color w:val="000000" w:themeColor="text1"/>
                <w:highlight w:val="none"/>
                <w14:textFill>
                  <w14:solidFill>
                    <w14:schemeClr w14:val="tx1"/>
                  </w14:solidFill>
                </w14:textFill>
              </w:rPr>
            </w:pPr>
          </w:p>
          <w:p w14:paraId="64ACAC6B">
            <w:pPr>
              <w:pStyle w:val="56"/>
              <w:ind w:firstLine="454" w:firstLineChars="200"/>
              <w:rPr>
                <w:rFonts w:hint="default"/>
                <w:color w:val="000000" w:themeColor="text1"/>
                <w:highlight w:val="none"/>
                <w14:textFill>
                  <w14:solidFill>
                    <w14:schemeClr w14:val="tx1"/>
                  </w14:solidFill>
                </w14:textFill>
              </w:rPr>
            </w:pPr>
          </w:p>
          <w:p w14:paraId="523A2D13">
            <w:pPr>
              <w:pStyle w:val="56"/>
              <w:ind w:firstLine="454" w:firstLineChars="200"/>
              <w:rPr>
                <w:rFonts w:hint="default"/>
                <w:color w:val="000000" w:themeColor="text1"/>
                <w:highlight w:val="none"/>
                <w14:textFill>
                  <w14:solidFill>
                    <w14:schemeClr w14:val="tx1"/>
                  </w14:solidFill>
                </w14:textFill>
              </w:rPr>
            </w:pPr>
          </w:p>
          <w:p w14:paraId="09127DBB">
            <w:pPr>
              <w:pStyle w:val="56"/>
              <w:ind w:firstLine="454" w:firstLineChars="200"/>
              <w:rPr>
                <w:rFonts w:hint="default"/>
                <w:color w:val="000000" w:themeColor="text1"/>
                <w:highlight w:val="none"/>
                <w14:textFill>
                  <w14:solidFill>
                    <w14:schemeClr w14:val="tx1"/>
                  </w14:solidFill>
                </w14:textFill>
              </w:rPr>
            </w:pPr>
          </w:p>
          <w:p w14:paraId="58E908C9">
            <w:pPr>
              <w:pStyle w:val="56"/>
              <w:ind w:firstLine="454" w:firstLineChars="200"/>
              <w:rPr>
                <w:rFonts w:hint="default"/>
                <w:color w:val="000000" w:themeColor="text1"/>
                <w:highlight w:val="none"/>
                <w14:textFill>
                  <w14:solidFill>
                    <w14:schemeClr w14:val="tx1"/>
                  </w14:solidFill>
                </w14:textFill>
              </w:rPr>
            </w:pPr>
          </w:p>
          <w:p w14:paraId="05444508">
            <w:pPr>
              <w:pStyle w:val="56"/>
              <w:ind w:firstLine="454" w:firstLineChars="200"/>
              <w:rPr>
                <w:rFonts w:hint="default"/>
                <w:color w:val="000000" w:themeColor="text1"/>
                <w:highlight w:val="none"/>
                <w14:textFill>
                  <w14:solidFill>
                    <w14:schemeClr w14:val="tx1"/>
                  </w14:solidFill>
                </w14:textFill>
              </w:rPr>
            </w:pPr>
          </w:p>
          <w:p w14:paraId="105AF6BB">
            <w:pPr>
              <w:pStyle w:val="56"/>
              <w:ind w:firstLine="454" w:firstLineChars="200"/>
              <w:rPr>
                <w:rFonts w:hint="default"/>
                <w:color w:val="000000" w:themeColor="text1"/>
                <w:highlight w:val="none"/>
                <w14:textFill>
                  <w14:solidFill>
                    <w14:schemeClr w14:val="tx1"/>
                  </w14:solidFill>
                </w14:textFill>
              </w:rPr>
            </w:pPr>
          </w:p>
          <w:p w14:paraId="26DD40BD">
            <w:pPr>
              <w:pStyle w:val="56"/>
              <w:ind w:firstLine="454" w:firstLineChars="200"/>
              <w:rPr>
                <w:rFonts w:hint="default"/>
                <w:color w:val="000000" w:themeColor="text1"/>
                <w:highlight w:val="none"/>
                <w14:textFill>
                  <w14:solidFill>
                    <w14:schemeClr w14:val="tx1"/>
                  </w14:solidFill>
                </w14:textFill>
              </w:rPr>
            </w:pPr>
          </w:p>
          <w:p w14:paraId="0C7B643F">
            <w:pPr>
              <w:pStyle w:val="56"/>
              <w:ind w:firstLine="454" w:firstLineChars="200"/>
              <w:rPr>
                <w:rFonts w:hint="default"/>
                <w:color w:val="000000" w:themeColor="text1"/>
                <w:highlight w:val="none"/>
                <w14:textFill>
                  <w14:solidFill>
                    <w14:schemeClr w14:val="tx1"/>
                  </w14:solidFill>
                </w14:textFill>
              </w:rPr>
            </w:pPr>
          </w:p>
          <w:p w14:paraId="0435C479">
            <w:pPr>
              <w:pStyle w:val="56"/>
              <w:ind w:firstLine="454" w:firstLineChars="200"/>
              <w:rPr>
                <w:rFonts w:hint="default"/>
                <w:color w:val="000000" w:themeColor="text1"/>
                <w:highlight w:val="none"/>
                <w14:textFill>
                  <w14:solidFill>
                    <w14:schemeClr w14:val="tx1"/>
                  </w14:solidFill>
                </w14:textFill>
              </w:rPr>
            </w:pPr>
          </w:p>
          <w:p w14:paraId="72D1AE34">
            <w:pPr>
              <w:pStyle w:val="56"/>
              <w:ind w:left="0" w:leftChars="0" w:firstLine="0" w:firstLineChars="0"/>
              <w:rPr>
                <w:rFonts w:hint="default" w:ascii="宋体" w:hAnsi="宋体" w:eastAsia="宋体" w:cs="宋体"/>
                <w:b w:val="0"/>
                <w:bCs w:val="0"/>
                <w:color w:val="000000" w:themeColor="text1"/>
                <w:sz w:val="24"/>
                <w:szCs w:val="24"/>
                <w:highlight w:val="none"/>
                <w14:textFill>
                  <w14:solidFill>
                    <w14:schemeClr w14:val="tx1"/>
                  </w14:solidFill>
                </w14:textFill>
              </w:rPr>
            </w:pPr>
          </w:p>
        </w:tc>
      </w:tr>
    </w:tbl>
    <w:p w14:paraId="4B220857">
      <w:pPr>
        <w:spacing w:line="360" w:lineRule="auto"/>
        <w:outlineLvl w:val="0"/>
        <w:rPr>
          <w:rFonts w:eastAsia="黑体"/>
          <w:color w:val="000000" w:themeColor="text1"/>
          <w:sz w:val="30"/>
          <w:highlight w:val="none"/>
          <w14:textFill>
            <w14:solidFill>
              <w14:schemeClr w14:val="tx1"/>
            </w14:solidFill>
          </w14:textFill>
        </w:rPr>
        <w:sectPr>
          <w:footerReference r:id="rId7" w:type="default"/>
          <w:pgSz w:w="11905" w:h="16838"/>
          <w:pgMar w:top="1417" w:right="1417" w:bottom="1417" w:left="1417" w:header="851" w:footer="964" w:gutter="0"/>
          <w:pgBorders>
            <w:top w:val="none" w:sz="0" w:space="0"/>
            <w:left w:val="none" w:sz="0" w:space="0"/>
            <w:bottom w:val="none" w:sz="0" w:space="0"/>
            <w:right w:val="none" w:sz="0" w:space="0"/>
          </w:pgBorders>
          <w:pgNumType w:fmt="numberInDash" w:start="1"/>
          <w:cols w:space="720" w:num="1"/>
          <w:rtlGutter w:val="0"/>
          <w:docGrid w:type="linesAndChars" w:linePitch="466" w:charSpace="-2709"/>
        </w:sectPr>
      </w:pPr>
    </w:p>
    <w:p w14:paraId="470EB881">
      <w:pPr>
        <w:pStyle w:val="4"/>
        <w:bidi w:val="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二、建设内容</w:t>
      </w:r>
    </w:p>
    <w:tbl>
      <w:tblPr>
        <w:tblStyle w:val="28"/>
        <w:tblW w:w="90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6"/>
        <w:gridCol w:w="8444"/>
      </w:tblGrid>
      <w:tr w14:paraId="3C7980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646" w:type="dxa"/>
            <w:noWrap w:val="0"/>
            <w:vAlign w:val="center"/>
          </w:tcPr>
          <w:p w14:paraId="146C88FB">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color w:val="000000" w:themeColor="text1"/>
                <w:kern w:val="0"/>
                <w:sz w:val="24"/>
                <w:highlight w:val="none"/>
                <w14:textFill>
                  <w14:solidFill>
                    <w14:schemeClr w14:val="tx1"/>
                  </w14:solidFill>
                </w14:textFill>
              </w:rPr>
            </w:pPr>
            <w:r>
              <w:rPr>
                <w:b/>
                <w:bCs/>
                <w:color w:val="000000" w:themeColor="text1"/>
                <w:kern w:val="0"/>
                <w:sz w:val="24"/>
                <w:highlight w:val="none"/>
                <w14:textFill>
                  <w14:solidFill>
                    <w14:schemeClr w14:val="tx1"/>
                  </w14:solidFill>
                </w14:textFill>
              </w:rPr>
              <w:t>地理位置</w:t>
            </w:r>
          </w:p>
        </w:tc>
        <w:tc>
          <w:tcPr>
            <w:tcW w:w="8444" w:type="dxa"/>
            <w:noWrap w:val="0"/>
            <w:vAlign w:val="center"/>
          </w:tcPr>
          <w:p w14:paraId="584620E1">
            <w:pPr>
              <w:ind w:firstLine="454" w:firstLineChars="200"/>
              <w:rPr>
                <w:rFonts w:hint="default" w:eastAsia="宋体"/>
                <w:color w:val="000000" w:themeColor="text1"/>
                <w:kern w:val="0"/>
                <w:sz w:val="24"/>
                <w:highlight w:val="none"/>
                <w:lang w:val="en-US" w:eastAsia="zh-CN"/>
                <w14:textFill>
                  <w14:solidFill>
                    <w14:schemeClr w14:val="tx1"/>
                  </w14:solidFill>
                </w14:textFill>
              </w:rPr>
            </w:pPr>
            <w:r>
              <w:rPr>
                <w:rFonts w:hint="eastAsia"/>
                <w:color w:val="000000" w:themeColor="text1"/>
                <w:kern w:val="0"/>
                <w:sz w:val="24"/>
                <w:highlight w:val="none"/>
                <w:lang w:val="en-US" w:eastAsia="zh-CN"/>
                <w14:textFill>
                  <w14:solidFill>
                    <w14:schemeClr w14:val="tx1"/>
                  </w14:solidFill>
                </w14:textFill>
              </w:rPr>
              <w:t>本项目生态恢复天景山山峁圪垯梁灰石矿山位于中卫市天景山北麓，属中卫市沙坡头区宣和镇管辖，处于汪园村界内。距中卫市30.5km，宣和镇18.3km。矿山生态修复治理区总面积94.17hm</w:t>
            </w:r>
            <w:r>
              <w:rPr>
                <w:rFonts w:hint="eastAsia"/>
                <w:color w:val="000000" w:themeColor="text1"/>
                <w:kern w:val="0"/>
                <w:sz w:val="24"/>
                <w:highlight w:val="none"/>
                <w:vertAlign w:val="superscript"/>
                <w:lang w:val="en-US" w:eastAsia="zh-CN"/>
                <w14:textFill>
                  <w14:solidFill>
                    <w14:schemeClr w14:val="tx1"/>
                  </w14:solidFill>
                </w14:textFill>
              </w:rPr>
              <w:t>2</w:t>
            </w:r>
            <w:r>
              <w:rPr>
                <w:rFonts w:hint="eastAsia"/>
                <w:color w:val="000000" w:themeColor="text1"/>
                <w:kern w:val="0"/>
                <w:sz w:val="24"/>
                <w:highlight w:val="none"/>
                <w:lang w:val="en-US" w:eastAsia="zh-CN"/>
                <w14:textFill>
                  <w14:solidFill>
                    <w14:schemeClr w14:val="tx1"/>
                  </w14:solidFill>
                </w14:textFill>
              </w:rPr>
              <w:t>。</w:t>
            </w:r>
            <w:r>
              <w:rPr>
                <w:rFonts w:hint="eastAsia" w:cs="Times New Roman"/>
                <w:color w:val="000000" w:themeColor="text1"/>
                <w:kern w:val="0"/>
                <w:sz w:val="24"/>
                <w:highlight w:val="none"/>
                <w:lang w:val="en-US" w:eastAsia="zh-CN"/>
                <w14:textFill>
                  <w14:solidFill>
                    <w14:schemeClr w14:val="tx1"/>
                  </w14:solidFill>
                </w14:textFill>
              </w:rPr>
              <w:t>治理区拐点坐标见表2-1，地理位置图见附图2-1</w:t>
            </w:r>
            <w:r>
              <w:rPr>
                <w:rFonts w:hint="eastAsia"/>
                <w:color w:val="000000" w:themeColor="text1"/>
                <w:kern w:val="0"/>
                <w:sz w:val="24"/>
                <w:highlight w:val="none"/>
                <w:lang w:val="en-US" w:eastAsia="zh-CN"/>
                <w14:textFill>
                  <w14:solidFill>
                    <w14:schemeClr w14:val="tx1"/>
                  </w14:solidFill>
                </w14:textFill>
              </w:rPr>
              <w:t>。</w:t>
            </w:r>
          </w:p>
          <w:p w14:paraId="1B53471C">
            <w:pPr>
              <w:pStyle w:val="3"/>
              <w:bidi w:val="0"/>
              <w:rPr>
                <w:rFonts w:hint="eastAsia" w:ascii="Times New Roman" w:hAnsi="Times New Roman" w:cs="宋体"/>
                <w:color w:val="000000" w:themeColor="text1"/>
                <w:highlight w:val="none"/>
                <w:lang w:val="en-US" w:eastAsia="zh-CN"/>
                <w14:textFill>
                  <w14:solidFill>
                    <w14:schemeClr w14:val="tx1"/>
                  </w14:solidFill>
                </w14:textFill>
              </w:rPr>
            </w:pPr>
            <w:r>
              <w:rPr>
                <w:rFonts w:hint="eastAsia" w:ascii="Times New Roman" w:hAnsi="Times New Roman" w:cs="宋体"/>
                <w:color w:val="000000" w:themeColor="text1"/>
                <w:highlight w:val="none"/>
                <w:lang w:val="en-US" w:eastAsia="zh-CN"/>
                <w14:textFill>
                  <w14:solidFill>
                    <w14:schemeClr w14:val="tx1"/>
                  </w14:solidFill>
                </w14:textFill>
              </w:rPr>
              <w:t>表2-1  项目区拐点坐标表</w:t>
            </w:r>
          </w:p>
          <w:tbl>
            <w:tblPr>
              <w:tblStyle w:val="28"/>
              <w:tblW w:w="4996"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58"/>
              <w:gridCol w:w="1606"/>
              <w:gridCol w:w="1737"/>
              <w:gridCol w:w="759"/>
              <w:gridCol w:w="1606"/>
              <w:gridCol w:w="1737"/>
            </w:tblGrid>
            <w:tr w14:paraId="2351D9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blHeader/>
              </w:trPr>
              <w:tc>
                <w:tcPr>
                  <w:tcW w:w="462" w:type="pct"/>
                  <w:tcBorders>
                    <w:tl2br w:val="nil"/>
                    <w:tr2bl w:val="nil"/>
                  </w:tcBorders>
                  <w:shd w:val="clear" w:color="auto" w:fill="FFFFFF"/>
                  <w:noWrap/>
                  <w:vAlign w:val="center"/>
                </w:tcPr>
                <w:p w14:paraId="149B87E2">
                  <w:pPr>
                    <w:pStyle w:val="39"/>
                    <w:bidi w:val="0"/>
                    <w:rPr>
                      <w:rFonts w:hint="eastAsia"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点号</w:t>
                  </w:r>
                </w:p>
              </w:tc>
              <w:tc>
                <w:tcPr>
                  <w:tcW w:w="978" w:type="pct"/>
                  <w:tcBorders>
                    <w:tl2br w:val="nil"/>
                    <w:tr2bl w:val="nil"/>
                  </w:tcBorders>
                  <w:shd w:val="clear" w:color="auto" w:fill="FFFFFF"/>
                  <w:noWrap/>
                  <w:vAlign w:val="center"/>
                </w:tcPr>
                <w:p w14:paraId="28B3C043">
                  <w:pPr>
                    <w:pStyle w:val="39"/>
                    <w:bidi w:val="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X坐标</w:t>
                  </w:r>
                </w:p>
              </w:tc>
              <w:tc>
                <w:tcPr>
                  <w:tcW w:w="1058" w:type="pct"/>
                  <w:tcBorders>
                    <w:tl2br w:val="nil"/>
                    <w:tr2bl w:val="nil"/>
                  </w:tcBorders>
                  <w:shd w:val="clear" w:color="auto" w:fill="FFFFFF"/>
                  <w:noWrap/>
                  <w:vAlign w:val="center"/>
                </w:tcPr>
                <w:p w14:paraId="28F79D00">
                  <w:pPr>
                    <w:pStyle w:val="39"/>
                    <w:bidi w:val="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Y坐标</w:t>
                  </w:r>
                </w:p>
              </w:tc>
              <w:tc>
                <w:tcPr>
                  <w:tcW w:w="462" w:type="pct"/>
                  <w:tcBorders>
                    <w:tl2br w:val="nil"/>
                    <w:tr2bl w:val="nil"/>
                  </w:tcBorders>
                  <w:shd w:val="clear" w:color="auto" w:fill="FFFFFF"/>
                  <w:noWrap/>
                  <w:vAlign w:val="center"/>
                </w:tcPr>
                <w:p w14:paraId="4DF45F98">
                  <w:pPr>
                    <w:pStyle w:val="39"/>
                    <w:bidi w:val="0"/>
                    <w:rPr>
                      <w:rFonts w:hint="eastAsia"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点号</w:t>
                  </w:r>
                </w:p>
              </w:tc>
              <w:tc>
                <w:tcPr>
                  <w:tcW w:w="978" w:type="pct"/>
                  <w:tcBorders>
                    <w:tl2br w:val="nil"/>
                    <w:tr2bl w:val="nil"/>
                  </w:tcBorders>
                  <w:shd w:val="clear" w:color="auto" w:fill="FFFFFF"/>
                  <w:noWrap/>
                  <w:vAlign w:val="center"/>
                </w:tcPr>
                <w:p w14:paraId="3001C3BA">
                  <w:pPr>
                    <w:pStyle w:val="39"/>
                    <w:bidi w:val="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Y</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坐标</w:t>
                  </w:r>
                </w:p>
              </w:tc>
              <w:tc>
                <w:tcPr>
                  <w:tcW w:w="1058" w:type="pct"/>
                  <w:tcBorders>
                    <w:tl2br w:val="nil"/>
                    <w:tr2bl w:val="nil"/>
                  </w:tcBorders>
                  <w:shd w:val="clear" w:color="auto" w:fill="FFFFFF"/>
                  <w:noWrap/>
                  <w:vAlign w:val="center"/>
                </w:tcPr>
                <w:p w14:paraId="03B7CBA7">
                  <w:pPr>
                    <w:pStyle w:val="39"/>
                    <w:bidi w:val="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X</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坐标</w:t>
                  </w:r>
                </w:p>
              </w:tc>
            </w:tr>
            <w:tr w14:paraId="409D7A7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050D869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w:t>
                  </w:r>
                </w:p>
              </w:tc>
              <w:tc>
                <w:tcPr>
                  <w:tcW w:w="978" w:type="pct"/>
                  <w:tcBorders>
                    <w:tl2br w:val="nil"/>
                    <w:tr2bl w:val="nil"/>
                  </w:tcBorders>
                  <w:shd w:val="clear" w:color="auto" w:fill="auto"/>
                  <w:noWrap/>
                  <w:vAlign w:val="center"/>
                </w:tcPr>
                <w:p w14:paraId="3E274F54">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4129823.779</w:t>
                  </w:r>
                </w:p>
              </w:tc>
              <w:tc>
                <w:tcPr>
                  <w:tcW w:w="1058" w:type="pct"/>
                  <w:tcBorders>
                    <w:tl2br w:val="nil"/>
                    <w:tr2bl w:val="nil"/>
                  </w:tcBorders>
                  <w:shd w:val="clear" w:color="auto" w:fill="auto"/>
                  <w:noWrap/>
                  <w:vAlign w:val="center"/>
                </w:tcPr>
                <w:p w14:paraId="2A428693">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35540821.061</w:t>
                  </w:r>
                </w:p>
              </w:tc>
              <w:tc>
                <w:tcPr>
                  <w:tcW w:w="462" w:type="pct"/>
                  <w:tcBorders>
                    <w:tl2br w:val="nil"/>
                    <w:tr2bl w:val="nil"/>
                  </w:tcBorders>
                  <w:shd w:val="clear" w:color="auto" w:fill="auto"/>
                  <w:noWrap/>
                  <w:vAlign w:val="center"/>
                </w:tcPr>
                <w:p w14:paraId="57B9D711">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J89</w:t>
                  </w:r>
                </w:p>
              </w:tc>
              <w:tc>
                <w:tcPr>
                  <w:tcW w:w="978" w:type="pct"/>
                  <w:tcBorders>
                    <w:tl2br w:val="nil"/>
                    <w:tr2bl w:val="nil"/>
                  </w:tcBorders>
                  <w:shd w:val="clear" w:color="auto" w:fill="auto"/>
                  <w:noWrap/>
                  <w:vAlign w:val="center"/>
                </w:tcPr>
                <w:p w14:paraId="1BC35D8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4128342.435</w:t>
                  </w:r>
                </w:p>
              </w:tc>
              <w:tc>
                <w:tcPr>
                  <w:tcW w:w="1058" w:type="pct"/>
                  <w:tcBorders>
                    <w:tl2br w:val="nil"/>
                    <w:tr2bl w:val="nil"/>
                  </w:tcBorders>
                  <w:shd w:val="clear" w:color="auto" w:fill="auto"/>
                  <w:noWrap/>
                  <w:vAlign w:val="center"/>
                </w:tcPr>
                <w:p w14:paraId="0604247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35540583.290</w:t>
                  </w:r>
                </w:p>
              </w:tc>
            </w:tr>
            <w:tr w14:paraId="65DB93E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70385D9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J2</w:t>
                  </w:r>
                </w:p>
              </w:tc>
              <w:tc>
                <w:tcPr>
                  <w:tcW w:w="978" w:type="pct"/>
                  <w:tcBorders>
                    <w:tl2br w:val="nil"/>
                    <w:tr2bl w:val="nil"/>
                  </w:tcBorders>
                  <w:shd w:val="clear" w:color="auto" w:fill="auto"/>
                  <w:noWrap/>
                  <w:vAlign w:val="center"/>
                </w:tcPr>
                <w:p w14:paraId="03C738E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4129804.415</w:t>
                  </w:r>
                </w:p>
              </w:tc>
              <w:tc>
                <w:tcPr>
                  <w:tcW w:w="1058" w:type="pct"/>
                  <w:tcBorders>
                    <w:tl2br w:val="nil"/>
                    <w:tr2bl w:val="nil"/>
                  </w:tcBorders>
                  <w:shd w:val="clear" w:color="auto" w:fill="auto"/>
                  <w:noWrap/>
                  <w:vAlign w:val="center"/>
                </w:tcPr>
                <w:p w14:paraId="60522D26">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35540830.649</w:t>
                  </w:r>
                </w:p>
              </w:tc>
              <w:tc>
                <w:tcPr>
                  <w:tcW w:w="462" w:type="pct"/>
                  <w:tcBorders>
                    <w:tl2br w:val="nil"/>
                    <w:tr2bl w:val="nil"/>
                  </w:tcBorders>
                  <w:shd w:val="clear" w:color="auto" w:fill="auto"/>
                  <w:noWrap/>
                  <w:vAlign w:val="center"/>
                </w:tcPr>
                <w:p w14:paraId="2AFF402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J90</w:t>
                  </w:r>
                </w:p>
              </w:tc>
              <w:tc>
                <w:tcPr>
                  <w:tcW w:w="978" w:type="pct"/>
                  <w:tcBorders>
                    <w:tl2br w:val="nil"/>
                    <w:tr2bl w:val="nil"/>
                  </w:tcBorders>
                  <w:shd w:val="clear" w:color="auto" w:fill="auto"/>
                  <w:noWrap/>
                  <w:vAlign w:val="center"/>
                </w:tcPr>
                <w:p w14:paraId="37D5036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4128348.767</w:t>
                  </w:r>
                </w:p>
              </w:tc>
              <w:tc>
                <w:tcPr>
                  <w:tcW w:w="1058" w:type="pct"/>
                  <w:tcBorders>
                    <w:tl2br w:val="nil"/>
                    <w:tr2bl w:val="nil"/>
                  </w:tcBorders>
                  <w:shd w:val="clear" w:color="auto" w:fill="auto"/>
                  <w:noWrap/>
                  <w:vAlign w:val="center"/>
                </w:tcPr>
                <w:p w14:paraId="50B03253">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35540581.993</w:t>
                  </w:r>
                </w:p>
              </w:tc>
            </w:tr>
            <w:tr w14:paraId="4A700B8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6DA9D566">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J3</w:t>
                  </w:r>
                </w:p>
              </w:tc>
              <w:tc>
                <w:tcPr>
                  <w:tcW w:w="978" w:type="pct"/>
                  <w:tcBorders>
                    <w:tl2br w:val="nil"/>
                    <w:tr2bl w:val="nil"/>
                  </w:tcBorders>
                  <w:shd w:val="clear" w:color="auto" w:fill="auto"/>
                  <w:noWrap/>
                  <w:vAlign w:val="center"/>
                </w:tcPr>
                <w:p w14:paraId="100D841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4129776.373</w:t>
                  </w:r>
                </w:p>
              </w:tc>
              <w:tc>
                <w:tcPr>
                  <w:tcW w:w="1058" w:type="pct"/>
                  <w:tcBorders>
                    <w:tl2br w:val="nil"/>
                    <w:tr2bl w:val="nil"/>
                  </w:tcBorders>
                  <w:shd w:val="clear" w:color="auto" w:fill="auto"/>
                  <w:noWrap/>
                  <w:vAlign w:val="center"/>
                </w:tcPr>
                <w:p w14:paraId="39F588B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35540847.874</w:t>
                  </w:r>
                </w:p>
              </w:tc>
              <w:tc>
                <w:tcPr>
                  <w:tcW w:w="462" w:type="pct"/>
                  <w:tcBorders>
                    <w:tl2br w:val="nil"/>
                    <w:tr2bl w:val="nil"/>
                  </w:tcBorders>
                  <w:shd w:val="clear" w:color="auto" w:fill="auto"/>
                  <w:noWrap/>
                  <w:vAlign w:val="center"/>
                </w:tcPr>
                <w:p w14:paraId="518C304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J91</w:t>
                  </w:r>
                </w:p>
              </w:tc>
              <w:tc>
                <w:tcPr>
                  <w:tcW w:w="978" w:type="pct"/>
                  <w:tcBorders>
                    <w:tl2br w:val="nil"/>
                    <w:tr2bl w:val="nil"/>
                  </w:tcBorders>
                  <w:shd w:val="clear" w:color="auto" w:fill="auto"/>
                  <w:noWrap/>
                  <w:vAlign w:val="center"/>
                </w:tcPr>
                <w:p w14:paraId="4449CF92">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4128357.209</w:t>
                  </w:r>
                </w:p>
              </w:tc>
              <w:tc>
                <w:tcPr>
                  <w:tcW w:w="1058" w:type="pct"/>
                  <w:tcBorders>
                    <w:tl2br w:val="nil"/>
                    <w:tr2bl w:val="nil"/>
                  </w:tcBorders>
                  <w:shd w:val="clear" w:color="auto" w:fill="auto"/>
                  <w:noWrap/>
                  <w:vAlign w:val="center"/>
                </w:tcPr>
                <w:p w14:paraId="3F46A9DA">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35540580.264</w:t>
                  </w:r>
                </w:p>
              </w:tc>
            </w:tr>
            <w:tr w14:paraId="642D7DB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4B4579E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J4</w:t>
                  </w:r>
                </w:p>
              </w:tc>
              <w:tc>
                <w:tcPr>
                  <w:tcW w:w="978" w:type="pct"/>
                  <w:tcBorders>
                    <w:tl2br w:val="nil"/>
                    <w:tr2bl w:val="nil"/>
                  </w:tcBorders>
                  <w:shd w:val="clear" w:color="auto" w:fill="auto"/>
                  <w:noWrap/>
                  <w:vAlign w:val="center"/>
                </w:tcPr>
                <w:p w14:paraId="40CD99D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4129741.596</w:t>
                  </w:r>
                </w:p>
              </w:tc>
              <w:tc>
                <w:tcPr>
                  <w:tcW w:w="1058" w:type="pct"/>
                  <w:tcBorders>
                    <w:tl2br w:val="nil"/>
                    <w:tr2bl w:val="nil"/>
                  </w:tcBorders>
                  <w:shd w:val="clear" w:color="auto" w:fill="auto"/>
                  <w:noWrap/>
                  <w:vAlign w:val="center"/>
                </w:tcPr>
                <w:p w14:paraId="6707DC1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35540864.816</w:t>
                  </w:r>
                </w:p>
              </w:tc>
              <w:tc>
                <w:tcPr>
                  <w:tcW w:w="462" w:type="pct"/>
                  <w:tcBorders>
                    <w:tl2br w:val="nil"/>
                    <w:tr2bl w:val="nil"/>
                  </w:tcBorders>
                  <w:shd w:val="clear" w:color="auto" w:fill="auto"/>
                  <w:noWrap/>
                  <w:vAlign w:val="center"/>
                </w:tcPr>
                <w:p w14:paraId="63AF759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J92</w:t>
                  </w:r>
                </w:p>
              </w:tc>
              <w:tc>
                <w:tcPr>
                  <w:tcW w:w="978" w:type="pct"/>
                  <w:tcBorders>
                    <w:tl2br w:val="nil"/>
                    <w:tr2bl w:val="nil"/>
                  </w:tcBorders>
                  <w:shd w:val="clear" w:color="auto" w:fill="auto"/>
                  <w:noWrap/>
                  <w:vAlign w:val="center"/>
                </w:tcPr>
                <w:p w14:paraId="3DE0E73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4128361.018</w:t>
                  </w:r>
                </w:p>
              </w:tc>
              <w:tc>
                <w:tcPr>
                  <w:tcW w:w="1058" w:type="pct"/>
                  <w:tcBorders>
                    <w:tl2br w:val="nil"/>
                    <w:tr2bl w:val="nil"/>
                  </w:tcBorders>
                  <w:shd w:val="clear" w:color="auto" w:fill="auto"/>
                  <w:noWrap/>
                  <w:vAlign w:val="center"/>
                </w:tcPr>
                <w:p w14:paraId="104DB26F">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35540575.248</w:t>
                  </w:r>
                </w:p>
              </w:tc>
            </w:tr>
            <w:tr w14:paraId="0152A26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190642A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J5</w:t>
                  </w:r>
                </w:p>
              </w:tc>
              <w:tc>
                <w:tcPr>
                  <w:tcW w:w="978" w:type="pct"/>
                  <w:tcBorders>
                    <w:tl2br w:val="nil"/>
                    <w:tr2bl w:val="nil"/>
                  </w:tcBorders>
                  <w:shd w:val="clear" w:color="auto" w:fill="auto"/>
                  <w:noWrap/>
                  <w:vAlign w:val="center"/>
                </w:tcPr>
                <w:p w14:paraId="56027AFA">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4129708.701</w:t>
                  </w:r>
                </w:p>
              </w:tc>
              <w:tc>
                <w:tcPr>
                  <w:tcW w:w="1058" w:type="pct"/>
                  <w:tcBorders>
                    <w:tl2br w:val="nil"/>
                    <w:tr2bl w:val="nil"/>
                  </w:tcBorders>
                  <w:shd w:val="clear" w:color="auto" w:fill="auto"/>
                  <w:noWrap/>
                  <w:vAlign w:val="center"/>
                </w:tcPr>
                <w:p w14:paraId="2512432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35540861.496</w:t>
                  </w:r>
                </w:p>
              </w:tc>
              <w:tc>
                <w:tcPr>
                  <w:tcW w:w="462" w:type="pct"/>
                  <w:tcBorders>
                    <w:tl2br w:val="nil"/>
                    <w:tr2bl w:val="nil"/>
                  </w:tcBorders>
                  <w:shd w:val="clear" w:color="auto" w:fill="auto"/>
                  <w:noWrap/>
                  <w:vAlign w:val="center"/>
                </w:tcPr>
                <w:p w14:paraId="691B5CA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J93</w:t>
                  </w:r>
                </w:p>
              </w:tc>
              <w:tc>
                <w:tcPr>
                  <w:tcW w:w="978" w:type="pct"/>
                  <w:tcBorders>
                    <w:tl2br w:val="nil"/>
                    <w:tr2bl w:val="nil"/>
                  </w:tcBorders>
                  <w:shd w:val="clear" w:color="auto" w:fill="auto"/>
                  <w:noWrap/>
                  <w:vAlign w:val="center"/>
                </w:tcPr>
                <w:p w14:paraId="1D4EA6BA">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4128367.181</w:t>
                  </w:r>
                </w:p>
              </w:tc>
              <w:tc>
                <w:tcPr>
                  <w:tcW w:w="1058" w:type="pct"/>
                  <w:tcBorders>
                    <w:tl2br w:val="nil"/>
                    <w:tr2bl w:val="nil"/>
                  </w:tcBorders>
                  <w:shd w:val="clear" w:color="auto" w:fill="auto"/>
                  <w:noWrap/>
                  <w:vAlign w:val="center"/>
                </w:tcPr>
                <w:p w14:paraId="5A2193F6">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35540567.133</w:t>
                  </w:r>
                </w:p>
              </w:tc>
            </w:tr>
            <w:tr w14:paraId="0084CE4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05C2A938">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J6</w:t>
                  </w:r>
                </w:p>
              </w:tc>
              <w:tc>
                <w:tcPr>
                  <w:tcW w:w="978" w:type="pct"/>
                  <w:tcBorders>
                    <w:tl2br w:val="nil"/>
                    <w:tr2bl w:val="nil"/>
                  </w:tcBorders>
                  <w:shd w:val="clear" w:color="auto" w:fill="auto"/>
                  <w:noWrap/>
                  <w:vAlign w:val="center"/>
                </w:tcPr>
                <w:p w14:paraId="29B1A4E6">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4129664.391</w:t>
                  </w:r>
                </w:p>
              </w:tc>
              <w:tc>
                <w:tcPr>
                  <w:tcW w:w="1058" w:type="pct"/>
                  <w:tcBorders>
                    <w:tl2br w:val="nil"/>
                    <w:tr2bl w:val="nil"/>
                  </w:tcBorders>
                  <w:shd w:val="clear" w:color="auto" w:fill="auto"/>
                  <w:noWrap/>
                  <w:vAlign w:val="center"/>
                </w:tcPr>
                <w:p w14:paraId="0414A9E4">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35540857.443</w:t>
                  </w:r>
                </w:p>
              </w:tc>
              <w:tc>
                <w:tcPr>
                  <w:tcW w:w="462" w:type="pct"/>
                  <w:tcBorders>
                    <w:tl2br w:val="nil"/>
                    <w:tr2bl w:val="nil"/>
                  </w:tcBorders>
                  <w:shd w:val="clear" w:color="auto" w:fill="auto"/>
                  <w:noWrap/>
                  <w:vAlign w:val="center"/>
                </w:tcPr>
                <w:p w14:paraId="1BF13694">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J94</w:t>
                  </w:r>
                </w:p>
              </w:tc>
              <w:tc>
                <w:tcPr>
                  <w:tcW w:w="978" w:type="pct"/>
                  <w:tcBorders>
                    <w:tl2br w:val="nil"/>
                    <w:tr2bl w:val="nil"/>
                  </w:tcBorders>
                  <w:shd w:val="clear" w:color="auto" w:fill="auto"/>
                  <w:noWrap/>
                  <w:vAlign w:val="center"/>
                </w:tcPr>
                <w:p w14:paraId="7478EE6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4128367.146</w:t>
                  </w:r>
                </w:p>
              </w:tc>
              <w:tc>
                <w:tcPr>
                  <w:tcW w:w="1058" w:type="pct"/>
                  <w:tcBorders>
                    <w:tl2br w:val="nil"/>
                    <w:tr2bl w:val="nil"/>
                  </w:tcBorders>
                  <w:shd w:val="clear" w:color="auto" w:fill="auto"/>
                  <w:noWrap/>
                  <w:vAlign w:val="center"/>
                </w:tcPr>
                <w:p w14:paraId="6F264506">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35540559.959</w:t>
                  </w:r>
                </w:p>
              </w:tc>
            </w:tr>
            <w:tr w14:paraId="2AE9FD8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77F6CD5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J7</w:t>
                  </w:r>
                </w:p>
              </w:tc>
              <w:tc>
                <w:tcPr>
                  <w:tcW w:w="978" w:type="pct"/>
                  <w:tcBorders>
                    <w:tl2br w:val="nil"/>
                    <w:tr2bl w:val="nil"/>
                  </w:tcBorders>
                  <w:shd w:val="clear" w:color="auto" w:fill="auto"/>
                  <w:noWrap/>
                  <w:vAlign w:val="center"/>
                </w:tcPr>
                <w:p w14:paraId="7E6A544A">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4129623.917</w:t>
                  </w:r>
                </w:p>
              </w:tc>
              <w:tc>
                <w:tcPr>
                  <w:tcW w:w="1058" w:type="pct"/>
                  <w:tcBorders>
                    <w:tl2br w:val="nil"/>
                    <w:tr2bl w:val="nil"/>
                  </w:tcBorders>
                  <w:shd w:val="clear" w:color="auto" w:fill="auto"/>
                  <w:noWrap/>
                  <w:vAlign w:val="center"/>
                </w:tcPr>
                <w:p w14:paraId="558C3FB3">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35540859.061</w:t>
                  </w:r>
                </w:p>
              </w:tc>
              <w:tc>
                <w:tcPr>
                  <w:tcW w:w="462" w:type="pct"/>
                  <w:tcBorders>
                    <w:tl2br w:val="nil"/>
                    <w:tr2bl w:val="nil"/>
                  </w:tcBorders>
                  <w:shd w:val="clear" w:color="auto" w:fill="auto"/>
                  <w:noWrap/>
                  <w:vAlign w:val="center"/>
                </w:tcPr>
                <w:p w14:paraId="77B7DB8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J95</w:t>
                  </w:r>
                </w:p>
              </w:tc>
              <w:tc>
                <w:tcPr>
                  <w:tcW w:w="978" w:type="pct"/>
                  <w:tcBorders>
                    <w:tl2br w:val="nil"/>
                    <w:tr2bl w:val="nil"/>
                  </w:tcBorders>
                  <w:shd w:val="clear" w:color="auto" w:fill="auto"/>
                  <w:noWrap/>
                  <w:vAlign w:val="center"/>
                </w:tcPr>
                <w:p w14:paraId="5B3B1EF2">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4128365.470</w:t>
                  </w:r>
                </w:p>
              </w:tc>
              <w:tc>
                <w:tcPr>
                  <w:tcW w:w="1058" w:type="pct"/>
                  <w:tcBorders>
                    <w:tl2br w:val="nil"/>
                    <w:tr2bl w:val="nil"/>
                  </w:tcBorders>
                  <w:shd w:val="clear" w:color="auto" w:fill="auto"/>
                  <w:noWrap/>
                  <w:vAlign w:val="center"/>
                </w:tcPr>
                <w:p w14:paraId="32DE410A">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35540540.976</w:t>
                  </w:r>
                </w:p>
              </w:tc>
            </w:tr>
            <w:tr w14:paraId="101E92F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67D4631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J8</w:t>
                  </w:r>
                </w:p>
              </w:tc>
              <w:tc>
                <w:tcPr>
                  <w:tcW w:w="978" w:type="pct"/>
                  <w:tcBorders>
                    <w:tl2br w:val="nil"/>
                    <w:tr2bl w:val="nil"/>
                  </w:tcBorders>
                  <w:shd w:val="clear" w:color="auto" w:fill="auto"/>
                  <w:noWrap/>
                  <w:vAlign w:val="center"/>
                </w:tcPr>
                <w:p w14:paraId="1A2A3E5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4129584.133</w:t>
                  </w:r>
                </w:p>
              </w:tc>
              <w:tc>
                <w:tcPr>
                  <w:tcW w:w="1058" w:type="pct"/>
                  <w:tcBorders>
                    <w:tl2br w:val="nil"/>
                    <w:tr2bl w:val="nil"/>
                  </w:tcBorders>
                  <w:shd w:val="clear" w:color="auto" w:fill="auto"/>
                  <w:noWrap/>
                  <w:vAlign w:val="center"/>
                </w:tcPr>
                <w:p w14:paraId="1FB367F2">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35540872.680</w:t>
                  </w:r>
                </w:p>
              </w:tc>
              <w:tc>
                <w:tcPr>
                  <w:tcW w:w="462" w:type="pct"/>
                  <w:tcBorders>
                    <w:tl2br w:val="nil"/>
                    <w:tr2bl w:val="nil"/>
                  </w:tcBorders>
                  <w:shd w:val="clear" w:color="auto" w:fill="auto"/>
                  <w:noWrap/>
                  <w:vAlign w:val="center"/>
                </w:tcPr>
                <w:p w14:paraId="48DAAC63">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J96</w:t>
                  </w:r>
                </w:p>
              </w:tc>
              <w:tc>
                <w:tcPr>
                  <w:tcW w:w="978" w:type="pct"/>
                  <w:tcBorders>
                    <w:tl2br w:val="nil"/>
                    <w:tr2bl w:val="nil"/>
                  </w:tcBorders>
                  <w:shd w:val="clear" w:color="auto" w:fill="auto"/>
                  <w:noWrap/>
                  <w:vAlign w:val="center"/>
                </w:tcPr>
                <w:p w14:paraId="3B762BB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4128357.994</w:t>
                  </w:r>
                </w:p>
              </w:tc>
              <w:tc>
                <w:tcPr>
                  <w:tcW w:w="1058" w:type="pct"/>
                  <w:tcBorders>
                    <w:tl2br w:val="nil"/>
                    <w:tr2bl w:val="nil"/>
                  </w:tcBorders>
                  <w:shd w:val="clear" w:color="auto" w:fill="auto"/>
                  <w:noWrap/>
                  <w:vAlign w:val="center"/>
                </w:tcPr>
                <w:p w14:paraId="27B60523">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35540524.131</w:t>
                  </w:r>
                </w:p>
              </w:tc>
            </w:tr>
            <w:tr w14:paraId="6122EE4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5E93454C">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J9</w:t>
                  </w:r>
                </w:p>
              </w:tc>
              <w:tc>
                <w:tcPr>
                  <w:tcW w:w="978" w:type="pct"/>
                  <w:tcBorders>
                    <w:tl2br w:val="nil"/>
                    <w:tr2bl w:val="nil"/>
                  </w:tcBorders>
                  <w:shd w:val="clear" w:color="auto" w:fill="auto"/>
                  <w:noWrap/>
                  <w:vAlign w:val="center"/>
                </w:tcPr>
                <w:p w14:paraId="6398C41C">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4129568.912</w:t>
                  </w:r>
                </w:p>
              </w:tc>
              <w:tc>
                <w:tcPr>
                  <w:tcW w:w="1058" w:type="pct"/>
                  <w:tcBorders>
                    <w:tl2br w:val="nil"/>
                    <w:tr2bl w:val="nil"/>
                  </w:tcBorders>
                  <w:shd w:val="clear" w:color="auto" w:fill="auto"/>
                  <w:noWrap/>
                  <w:vAlign w:val="center"/>
                </w:tcPr>
                <w:p w14:paraId="1440850C">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35540887.707</w:t>
                  </w:r>
                </w:p>
              </w:tc>
              <w:tc>
                <w:tcPr>
                  <w:tcW w:w="462" w:type="pct"/>
                  <w:tcBorders>
                    <w:tl2br w:val="nil"/>
                    <w:tr2bl w:val="nil"/>
                  </w:tcBorders>
                  <w:shd w:val="clear" w:color="auto" w:fill="auto"/>
                  <w:noWrap/>
                  <w:vAlign w:val="center"/>
                </w:tcPr>
                <w:p w14:paraId="7CD342F1">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J97</w:t>
                  </w:r>
                </w:p>
              </w:tc>
              <w:tc>
                <w:tcPr>
                  <w:tcW w:w="978" w:type="pct"/>
                  <w:tcBorders>
                    <w:tl2br w:val="nil"/>
                    <w:tr2bl w:val="nil"/>
                  </w:tcBorders>
                  <w:shd w:val="clear" w:color="auto" w:fill="auto"/>
                  <w:noWrap/>
                  <w:vAlign w:val="center"/>
                </w:tcPr>
                <w:p w14:paraId="7E181AFF">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4128361.976</w:t>
                  </w:r>
                </w:p>
              </w:tc>
              <w:tc>
                <w:tcPr>
                  <w:tcW w:w="1058" w:type="pct"/>
                  <w:tcBorders>
                    <w:tl2br w:val="nil"/>
                    <w:tr2bl w:val="nil"/>
                  </w:tcBorders>
                  <w:shd w:val="clear" w:color="auto" w:fill="auto"/>
                  <w:noWrap/>
                  <w:vAlign w:val="center"/>
                </w:tcPr>
                <w:p w14:paraId="5A2643F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35540496.976</w:t>
                  </w:r>
                </w:p>
              </w:tc>
            </w:tr>
            <w:tr w14:paraId="122FCC4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7312C196">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J10</w:t>
                  </w:r>
                </w:p>
              </w:tc>
              <w:tc>
                <w:tcPr>
                  <w:tcW w:w="978" w:type="pct"/>
                  <w:tcBorders>
                    <w:tl2br w:val="nil"/>
                    <w:tr2bl w:val="nil"/>
                  </w:tcBorders>
                  <w:shd w:val="clear" w:color="auto" w:fill="auto"/>
                  <w:noWrap/>
                  <w:vAlign w:val="center"/>
                </w:tcPr>
                <w:p w14:paraId="2B14B114">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4129562.686</w:t>
                  </w:r>
                </w:p>
              </w:tc>
              <w:tc>
                <w:tcPr>
                  <w:tcW w:w="1058" w:type="pct"/>
                  <w:tcBorders>
                    <w:tl2br w:val="nil"/>
                    <w:tr2bl w:val="nil"/>
                  </w:tcBorders>
                  <w:shd w:val="clear" w:color="auto" w:fill="auto"/>
                  <w:noWrap/>
                  <w:vAlign w:val="center"/>
                </w:tcPr>
                <w:p w14:paraId="30AC11CA">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35540893.854</w:t>
                  </w:r>
                </w:p>
              </w:tc>
              <w:tc>
                <w:tcPr>
                  <w:tcW w:w="462" w:type="pct"/>
                  <w:tcBorders>
                    <w:tl2br w:val="nil"/>
                    <w:tr2bl w:val="nil"/>
                  </w:tcBorders>
                  <w:shd w:val="clear" w:color="auto" w:fill="auto"/>
                  <w:noWrap/>
                  <w:vAlign w:val="center"/>
                </w:tcPr>
                <w:p w14:paraId="5C2AD1F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J98</w:t>
                  </w:r>
                </w:p>
              </w:tc>
              <w:tc>
                <w:tcPr>
                  <w:tcW w:w="978" w:type="pct"/>
                  <w:tcBorders>
                    <w:tl2br w:val="nil"/>
                    <w:tr2bl w:val="nil"/>
                  </w:tcBorders>
                  <w:shd w:val="clear" w:color="auto" w:fill="auto"/>
                  <w:noWrap/>
                  <w:vAlign w:val="center"/>
                </w:tcPr>
                <w:p w14:paraId="5CAD443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4128366.930</w:t>
                  </w:r>
                </w:p>
              </w:tc>
              <w:tc>
                <w:tcPr>
                  <w:tcW w:w="1058" w:type="pct"/>
                  <w:tcBorders>
                    <w:tl2br w:val="nil"/>
                    <w:tr2bl w:val="nil"/>
                  </w:tcBorders>
                  <w:shd w:val="clear" w:color="auto" w:fill="auto"/>
                  <w:noWrap/>
                  <w:vAlign w:val="center"/>
                </w:tcPr>
                <w:p w14:paraId="7800DE56">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35540487.900</w:t>
                  </w:r>
                </w:p>
              </w:tc>
            </w:tr>
            <w:tr w14:paraId="18AA225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5455334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J11</w:t>
                  </w:r>
                </w:p>
              </w:tc>
              <w:tc>
                <w:tcPr>
                  <w:tcW w:w="978" w:type="pct"/>
                  <w:tcBorders>
                    <w:tl2br w:val="nil"/>
                    <w:tr2bl w:val="nil"/>
                  </w:tcBorders>
                  <w:shd w:val="clear" w:color="auto" w:fill="auto"/>
                  <w:noWrap/>
                  <w:vAlign w:val="center"/>
                </w:tcPr>
                <w:p w14:paraId="0383FB02">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4129574.671</w:t>
                  </w:r>
                </w:p>
              </w:tc>
              <w:tc>
                <w:tcPr>
                  <w:tcW w:w="1058" w:type="pct"/>
                  <w:tcBorders>
                    <w:tl2br w:val="nil"/>
                    <w:tr2bl w:val="nil"/>
                  </w:tcBorders>
                  <w:shd w:val="clear" w:color="auto" w:fill="auto"/>
                  <w:noWrap/>
                  <w:vAlign w:val="center"/>
                </w:tcPr>
                <w:p w14:paraId="267C56D8">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35540914.683</w:t>
                  </w:r>
                </w:p>
              </w:tc>
              <w:tc>
                <w:tcPr>
                  <w:tcW w:w="462" w:type="pct"/>
                  <w:tcBorders>
                    <w:tl2br w:val="nil"/>
                    <w:tr2bl w:val="nil"/>
                  </w:tcBorders>
                  <w:shd w:val="clear" w:color="auto" w:fill="auto"/>
                  <w:noWrap/>
                  <w:vAlign w:val="center"/>
                </w:tcPr>
                <w:p w14:paraId="116BD4A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J99</w:t>
                  </w:r>
                </w:p>
              </w:tc>
              <w:tc>
                <w:tcPr>
                  <w:tcW w:w="978" w:type="pct"/>
                  <w:tcBorders>
                    <w:tl2br w:val="nil"/>
                    <w:tr2bl w:val="nil"/>
                  </w:tcBorders>
                  <w:shd w:val="clear" w:color="auto" w:fill="auto"/>
                  <w:noWrap/>
                  <w:vAlign w:val="center"/>
                </w:tcPr>
                <w:p w14:paraId="6189B43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4128383.451</w:t>
                  </w:r>
                </w:p>
              </w:tc>
              <w:tc>
                <w:tcPr>
                  <w:tcW w:w="1058" w:type="pct"/>
                  <w:tcBorders>
                    <w:tl2br w:val="nil"/>
                    <w:tr2bl w:val="nil"/>
                  </w:tcBorders>
                  <w:shd w:val="clear" w:color="auto" w:fill="auto"/>
                  <w:noWrap/>
                  <w:vAlign w:val="center"/>
                </w:tcPr>
                <w:p w14:paraId="2A204032">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35540463.765</w:t>
                  </w:r>
                </w:p>
              </w:tc>
            </w:tr>
            <w:tr w14:paraId="568211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36898578">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J12</w:t>
                  </w:r>
                </w:p>
              </w:tc>
              <w:tc>
                <w:tcPr>
                  <w:tcW w:w="978" w:type="pct"/>
                  <w:tcBorders>
                    <w:tl2br w:val="nil"/>
                    <w:tr2bl w:val="nil"/>
                  </w:tcBorders>
                  <w:shd w:val="clear" w:color="auto" w:fill="auto"/>
                  <w:noWrap/>
                  <w:vAlign w:val="center"/>
                </w:tcPr>
                <w:p w14:paraId="5B31772A">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4129589.951</w:t>
                  </w:r>
                </w:p>
              </w:tc>
              <w:tc>
                <w:tcPr>
                  <w:tcW w:w="1058" w:type="pct"/>
                  <w:tcBorders>
                    <w:tl2br w:val="nil"/>
                    <w:tr2bl w:val="nil"/>
                  </w:tcBorders>
                  <w:shd w:val="clear" w:color="auto" w:fill="auto"/>
                  <w:noWrap/>
                  <w:vAlign w:val="center"/>
                </w:tcPr>
                <w:p w14:paraId="0468798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35540961.129</w:t>
                  </w:r>
                </w:p>
              </w:tc>
              <w:tc>
                <w:tcPr>
                  <w:tcW w:w="462" w:type="pct"/>
                  <w:tcBorders>
                    <w:tl2br w:val="nil"/>
                    <w:tr2bl w:val="nil"/>
                  </w:tcBorders>
                  <w:shd w:val="clear" w:color="auto" w:fill="auto"/>
                  <w:noWrap/>
                  <w:vAlign w:val="center"/>
                </w:tcPr>
                <w:p w14:paraId="2AF9F602">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J100</w:t>
                  </w:r>
                </w:p>
              </w:tc>
              <w:tc>
                <w:tcPr>
                  <w:tcW w:w="978" w:type="pct"/>
                  <w:tcBorders>
                    <w:tl2br w:val="nil"/>
                    <w:tr2bl w:val="nil"/>
                  </w:tcBorders>
                  <w:shd w:val="clear" w:color="auto" w:fill="auto"/>
                  <w:noWrap/>
                  <w:vAlign w:val="center"/>
                </w:tcPr>
                <w:p w14:paraId="15F0AF4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4128405.576</w:t>
                  </w:r>
                </w:p>
              </w:tc>
              <w:tc>
                <w:tcPr>
                  <w:tcW w:w="1058" w:type="pct"/>
                  <w:tcBorders>
                    <w:tl2br w:val="nil"/>
                    <w:tr2bl w:val="nil"/>
                  </w:tcBorders>
                  <w:shd w:val="clear" w:color="auto" w:fill="auto"/>
                  <w:noWrap/>
                  <w:vAlign w:val="center"/>
                </w:tcPr>
                <w:p w14:paraId="54BC2B78">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35540451.631</w:t>
                  </w:r>
                </w:p>
              </w:tc>
            </w:tr>
            <w:tr w14:paraId="0D3EC5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427C983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J13</w:t>
                  </w:r>
                </w:p>
              </w:tc>
              <w:tc>
                <w:tcPr>
                  <w:tcW w:w="978" w:type="pct"/>
                  <w:tcBorders>
                    <w:tl2br w:val="nil"/>
                    <w:tr2bl w:val="nil"/>
                  </w:tcBorders>
                  <w:shd w:val="clear" w:color="auto" w:fill="auto"/>
                  <w:noWrap/>
                  <w:vAlign w:val="center"/>
                </w:tcPr>
                <w:p w14:paraId="235BC5C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4129599.965</w:t>
                  </w:r>
                </w:p>
              </w:tc>
              <w:tc>
                <w:tcPr>
                  <w:tcW w:w="1058" w:type="pct"/>
                  <w:tcBorders>
                    <w:tl2br w:val="nil"/>
                    <w:tr2bl w:val="nil"/>
                  </w:tcBorders>
                  <w:shd w:val="clear" w:color="auto" w:fill="auto"/>
                  <w:noWrap/>
                  <w:vAlign w:val="center"/>
                </w:tcPr>
                <w:p w14:paraId="4497CA98">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35540985.652</w:t>
                  </w:r>
                </w:p>
              </w:tc>
              <w:tc>
                <w:tcPr>
                  <w:tcW w:w="462" w:type="pct"/>
                  <w:tcBorders>
                    <w:tl2br w:val="nil"/>
                    <w:tr2bl w:val="nil"/>
                  </w:tcBorders>
                  <w:shd w:val="clear" w:color="auto" w:fill="auto"/>
                  <w:noWrap/>
                  <w:vAlign w:val="center"/>
                </w:tcPr>
                <w:p w14:paraId="06870B2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J101</w:t>
                  </w:r>
                </w:p>
              </w:tc>
              <w:tc>
                <w:tcPr>
                  <w:tcW w:w="978" w:type="pct"/>
                  <w:tcBorders>
                    <w:tl2br w:val="nil"/>
                    <w:tr2bl w:val="nil"/>
                  </w:tcBorders>
                  <w:shd w:val="clear" w:color="auto" w:fill="auto"/>
                  <w:noWrap/>
                  <w:vAlign w:val="center"/>
                </w:tcPr>
                <w:p w14:paraId="7523C6B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4128426.184</w:t>
                  </w:r>
                </w:p>
              </w:tc>
              <w:tc>
                <w:tcPr>
                  <w:tcW w:w="1058" w:type="pct"/>
                  <w:tcBorders>
                    <w:tl2br w:val="nil"/>
                    <w:tr2bl w:val="nil"/>
                  </w:tcBorders>
                  <w:shd w:val="clear" w:color="auto" w:fill="auto"/>
                  <w:noWrap/>
                  <w:vAlign w:val="center"/>
                </w:tcPr>
                <w:p w14:paraId="3BC92E0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35540453.430</w:t>
                  </w:r>
                </w:p>
              </w:tc>
            </w:tr>
            <w:tr w14:paraId="0A1EF42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331B983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J14</w:t>
                  </w:r>
                </w:p>
              </w:tc>
              <w:tc>
                <w:tcPr>
                  <w:tcW w:w="978" w:type="pct"/>
                  <w:tcBorders>
                    <w:tl2br w:val="nil"/>
                    <w:tr2bl w:val="nil"/>
                  </w:tcBorders>
                  <w:shd w:val="clear" w:color="auto" w:fill="auto"/>
                  <w:noWrap/>
                  <w:vAlign w:val="center"/>
                </w:tcPr>
                <w:p w14:paraId="66076EF3">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4129608.889</w:t>
                  </w:r>
                </w:p>
              </w:tc>
              <w:tc>
                <w:tcPr>
                  <w:tcW w:w="1058" w:type="pct"/>
                  <w:tcBorders>
                    <w:tl2br w:val="nil"/>
                    <w:tr2bl w:val="nil"/>
                  </w:tcBorders>
                  <w:shd w:val="clear" w:color="auto" w:fill="auto"/>
                  <w:noWrap/>
                  <w:vAlign w:val="center"/>
                </w:tcPr>
                <w:p w14:paraId="6FE3F70C">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35541026.546</w:t>
                  </w:r>
                </w:p>
              </w:tc>
              <w:tc>
                <w:tcPr>
                  <w:tcW w:w="462" w:type="pct"/>
                  <w:tcBorders>
                    <w:tl2br w:val="nil"/>
                    <w:tr2bl w:val="nil"/>
                  </w:tcBorders>
                  <w:shd w:val="clear" w:color="auto" w:fill="auto"/>
                  <w:noWrap/>
                  <w:vAlign w:val="center"/>
                </w:tcPr>
                <w:p w14:paraId="526FA1F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J102</w:t>
                  </w:r>
                </w:p>
              </w:tc>
              <w:tc>
                <w:tcPr>
                  <w:tcW w:w="978" w:type="pct"/>
                  <w:tcBorders>
                    <w:tl2br w:val="nil"/>
                    <w:tr2bl w:val="nil"/>
                  </w:tcBorders>
                  <w:shd w:val="clear" w:color="auto" w:fill="auto"/>
                  <w:noWrap/>
                  <w:vAlign w:val="center"/>
                </w:tcPr>
                <w:p w14:paraId="2D16DEB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4128442.833</w:t>
                  </w:r>
                </w:p>
              </w:tc>
              <w:tc>
                <w:tcPr>
                  <w:tcW w:w="1058" w:type="pct"/>
                  <w:tcBorders>
                    <w:tl2br w:val="nil"/>
                    <w:tr2bl w:val="nil"/>
                  </w:tcBorders>
                  <w:shd w:val="clear" w:color="auto" w:fill="auto"/>
                  <w:noWrap/>
                  <w:vAlign w:val="center"/>
                </w:tcPr>
                <w:p w14:paraId="7088D4D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35540455.882</w:t>
                  </w:r>
                </w:p>
              </w:tc>
            </w:tr>
            <w:tr w14:paraId="25A0CFD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148B2C5F">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J15</w:t>
                  </w:r>
                </w:p>
              </w:tc>
              <w:tc>
                <w:tcPr>
                  <w:tcW w:w="978" w:type="pct"/>
                  <w:tcBorders>
                    <w:tl2br w:val="nil"/>
                    <w:tr2bl w:val="nil"/>
                  </w:tcBorders>
                  <w:shd w:val="clear" w:color="auto" w:fill="auto"/>
                  <w:noWrap/>
                  <w:vAlign w:val="center"/>
                </w:tcPr>
                <w:p w14:paraId="17F87A12">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4129598.894</w:t>
                  </w:r>
                </w:p>
              </w:tc>
              <w:tc>
                <w:tcPr>
                  <w:tcW w:w="1058" w:type="pct"/>
                  <w:tcBorders>
                    <w:tl2br w:val="nil"/>
                    <w:tr2bl w:val="nil"/>
                  </w:tcBorders>
                  <w:shd w:val="clear" w:color="auto" w:fill="auto"/>
                  <w:noWrap/>
                  <w:vAlign w:val="center"/>
                </w:tcPr>
                <w:p w14:paraId="6A8A495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35541088.623</w:t>
                  </w:r>
                </w:p>
              </w:tc>
              <w:tc>
                <w:tcPr>
                  <w:tcW w:w="462" w:type="pct"/>
                  <w:tcBorders>
                    <w:tl2br w:val="nil"/>
                    <w:tr2bl w:val="nil"/>
                  </w:tcBorders>
                  <w:shd w:val="clear" w:color="auto" w:fill="auto"/>
                  <w:noWrap/>
                  <w:vAlign w:val="center"/>
                </w:tcPr>
                <w:p w14:paraId="3B9C6C7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J103</w:t>
                  </w:r>
                </w:p>
              </w:tc>
              <w:tc>
                <w:tcPr>
                  <w:tcW w:w="978" w:type="pct"/>
                  <w:tcBorders>
                    <w:tl2br w:val="nil"/>
                    <w:tr2bl w:val="nil"/>
                  </w:tcBorders>
                  <w:shd w:val="clear" w:color="auto" w:fill="auto"/>
                  <w:noWrap/>
                  <w:vAlign w:val="center"/>
                </w:tcPr>
                <w:p w14:paraId="0945E561">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4128460.275</w:t>
                  </w:r>
                </w:p>
              </w:tc>
              <w:tc>
                <w:tcPr>
                  <w:tcW w:w="1058" w:type="pct"/>
                  <w:tcBorders>
                    <w:tl2br w:val="nil"/>
                    <w:tr2bl w:val="nil"/>
                  </w:tcBorders>
                  <w:shd w:val="clear" w:color="auto" w:fill="auto"/>
                  <w:noWrap/>
                  <w:vAlign w:val="center"/>
                </w:tcPr>
                <w:p w14:paraId="18F8F78A">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35540458.330</w:t>
                  </w:r>
                </w:p>
              </w:tc>
            </w:tr>
            <w:tr w14:paraId="08381B0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0CDC741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J16</w:t>
                  </w:r>
                </w:p>
              </w:tc>
              <w:tc>
                <w:tcPr>
                  <w:tcW w:w="978" w:type="pct"/>
                  <w:tcBorders>
                    <w:tl2br w:val="nil"/>
                    <w:tr2bl w:val="nil"/>
                  </w:tcBorders>
                  <w:shd w:val="clear" w:color="auto" w:fill="auto"/>
                  <w:noWrap/>
                  <w:vAlign w:val="center"/>
                </w:tcPr>
                <w:p w14:paraId="63EAFAAA">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4129590.252</w:t>
                  </w:r>
                </w:p>
              </w:tc>
              <w:tc>
                <w:tcPr>
                  <w:tcW w:w="1058" w:type="pct"/>
                  <w:tcBorders>
                    <w:tl2br w:val="nil"/>
                    <w:tr2bl w:val="nil"/>
                  </w:tcBorders>
                  <w:shd w:val="clear" w:color="auto" w:fill="auto"/>
                  <w:noWrap/>
                  <w:vAlign w:val="center"/>
                </w:tcPr>
                <w:p w14:paraId="31714A9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35541103.836</w:t>
                  </w:r>
                </w:p>
              </w:tc>
              <w:tc>
                <w:tcPr>
                  <w:tcW w:w="462" w:type="pct"/>
                  <w:tcBorders>
                    <w:tl2br w:val="nil"/>
                    <w:tr2bl w:val="nil"/>
                  </w:tcBorders>
                  <w:shd w:val="clear" w:color="auto" w:fill="auto"/>
                  <w:noWrap/>
                  <w:vAlign w:val="center"/>
                </w:tcPr>
                <w:p w14:paraId="5EA985E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J104</w:t>
                  </w:r>
                </w:p>
              </w:tc>
              <w:tc>
                <w:tcPr>
                  <w:tcW w:w="978" w:type="pct"/>
                  <w:tcBorders>
                    <w:tl2br w:val="nil"/>
                    <w:tr2bl w:val="nil"/>
                  </w:tcBorders>
                  <w:shd w:val="clear" w:color="auto" w:fill="auto"/>
                  <w:noWrap/>
                  <w:vAlign w:val="center"/>
                </w:tcPr>
                <w:p w14:paraId="38F2CA4F">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4128482.457</w:t>
                  </w:r>
                </w:p>
              </w:tc>
              <w:tc>
                <w:tcPr>
                  <w:tcW w:w="1058" w:type="pct"/>
                  <w:tcBorders>
                    <w:tl2br w:val="nil"/>
                    <w:tr2bl w:val="nil"/>
                  </w:tcBorders>
                  <w:shd w:val="clear" w:color="auto" w:fill="auto"/>
                  <w:noWrap/>
                  <w:vAlign w:val="center"/>
                </w:tcPr>
                <w:p w14:paraId="2301C963">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35540458.223</w:t>
                  </w:r>
                </w:p>
              </w:tc>
            </w:tr>
            <w:tr w14:paraId="64F8E38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5F5DBFA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J17</w:t>
                  </w:r>
                </w:p>
              </w:tc>
              <w:tc>
                <w:tcPr>
                  <w:tcW w:w="978" w:type="pct"/>
                  <w:tcBorders>
                    <w:tl2br w:val="nil"/>
                    <w:tr2bl w:val="nil"/>
                  </w:tcBorders>
                  <w:shd w:val="clear" w:color="auto" w:fill="auto"/>
                  <w:noWrap/>
                  <w:vAlign w:val="center"/>
                </w:tcPr>
                <w:p w14:paraId="2DB148A6">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4129577.387</w:t>
                  </w:r>
                </w:p>
              </w:tc>
              <w:tc>
                <w:tcPr>
                  <w:tcW w:w="1058" w:type="pct"/>
                  <w:tcBorders>
                    <w:tl2br w:val="nil"/>
                    <w:tr2bl w:val="nil"/>
                  </w:tcBorders>
                  <w:shd w:val="clear" w:color="auto" w:fill="auto"/>
                  <w:noWrap/>
                  <w:vAlign w:val="center"/>
                </w:tcPr>
                <w:p w14:paraId="1EEA1BA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35541112.385</w:t>
                  </w:r>
                </w:p>
              </w:tc>
              <w:tc>
                <w:tcPr>
                  <w:tcW w:w="462" w:type="pct"/>
                  <w:tcBorders>
                    <w:tl2br w:val="nil"/>
                    <w:tr2bl w:val="nil"/>
                  </w:tcBorders>
                  <w:shd w:val="clear" w:color="auto" w:fill="auto"/>
                  <w:noWrap/>
                  <w:vAlign w:val="center"/>
                </w:tcPr>
                <w:p w14:paraId="63B76F5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J105</w:t>
                  </w:r>
                </w:p>
              </w:tc>
              <w:tc>
                <w:tcPr>
                  <w:tcW w:w="978" w:type="pct"/>
                  <w:tcBorders>
                    <w:tl2br w:val="nil"/>
                    <w:tr2bl w:val="nil"/>
                  </w:tcBorders>
                  <w:shd w:val="clear" w:color="auto" w:fill="auto"/>
                  <w:noWrap/>
                  <w:vAlign w:val="center"/>
                </w:tcPr>
                <w:p w14:paraId="06156D9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4128506.213</w:t>
                  </w:r>
                </w:p>
              </w:tc>
              <w:tc>
                <w:tcPr>
                  <w:tcW w:w="1058" w:type="pct"/>
                  <w:tcBorders>
                    <w:tl2br w:val="nil"/>
                    <w:tr2bl w:val="nil"/>
                  </w:tcBorders>
                  <w:shd w:val="clear" w:color="auto" w:fill="auto"/>
                  <w:noWrap/>
                  <w:vAlign w:val="center"/>
                </w:tcPr>
                <w:p w14:paraId="3ECF3D81">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35540455.577</w:t>
                  </w:r>
                </w:p>
              </w:tc>
            </w:tr>
            <w:tr w14:paraId="52EC52C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0413AB7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J18</w:t>
                  </w:r>
                </w:p>
              </w:tc>
              <w:tc>
                <w:tcPr>
                  <w:tcW w:w="978" w:type="pct"/>
                  <w:tcBorders>
                    <w:tl2br w:val="nil"/>
                    <w:tr2bl w:val="nil"/>
                  </w:tcBorders>
                  <w:shd w:val="clear" w:color="auto" w:fill="auto"/>
                  <w:noWrap/>
                  <w:vAlign w:val="center"/>
                </w:tcPr>
                <w:p w14:paraId="54046476">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4129563.229</w:t>
                  </w:r>
                </w:p>
              </w:tc>
              <w:tc>
                <w:tcPr>
                  <w:tcW w:w="1058" w:type="pct"/>
                  <w:tcBorders>
                    <w:tl2br w:val="nil"/>
                    <w:tr2bl w:val="nil"/>
                  </w:tcBorders>
                  <w:shd w:val="clear" w:color="auto" w:fill="auto"/>
                  <w:noWrap/>
                  <w:vAlign w:val="center"/>
                </w:tcPr>
                <w:p w14:paraId="040F2CF4">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35541069.910</w:t>
                  </w:r>
                </w:p>
              </w:tc>
              <w:tc>
                <w:tcPr>
                  <w:tcW w:w="462" w:type="pct"/>
                  <w:tcBorders>
                    <w:tl2br w:val="nil"/>
                    <w:tr2bl w:val="nil"/>
                  </w:tcBorders>
                  <w:shd w:val="clear" w:color="auto" w:fill="auto"/>
                  <w:noWrap/>
                  <w:vAlign w:val="center"/>
                </w:tcPr>
                <w:p w14:paraId="1AAAED5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J106</w:t>
                  </w:r>
                </w:p>
              </w:tc>
              <w:tc>
                <w:tcPr>
                  <w:tcW w:w="978" w:type="pct"/>
                  <w:tcBorders>
                    <w:tl2br w:val="nil"/>
                    <w:tr2bl w:val="nil"/>
                  </w:tcBorders>
                  <w:shd w:val="clear" w:color="auto" w:fill="auto"/>
                  <w:noWrap/>
                  <w:vAlign w:val="center"/>
                </w:tcPr>
                <w:p w14:paraId="259FED34">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4128514.108</w:t>
                  </w:r>
                </w:p>
              </w:tc>
              <w:tc>
                <w:tcPr>
                  <w:tcW w:w="1058" w:type="pct"/>
                  <w:tcBorders>
                    <w:tl2br w:val="nil"/>
                    <w:tr2bl w:val="nil"/>
                  </w:tcBorders>
                  <w:shd w:val="clear" w:color="auto" w:fill="auto"/>
                  <w:noWrap/>
                  <w:vAlign w:val="center"/>
                </w:tcPr>
                <w:p w14:paraId="31661C9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35540449.841</w:t>
                  </w:r>
                </w:p>
              </w:tc>
            </w:tr>
            <w:tr w14:paraId="0316DC9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70EFC118">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J19</w:t>
                  </w:r>
                </w:p>
              </w:tc>
              <w:tc>
                <w:tcPr>
                  <w:tcW w:w="978" w:type="pct"/>
                  <w:tcBorders>
                    <w:tl2br w:val="nil"/>
                    <w:tr2bl w:val="nil"/>
                  </w:tcBorders>
                  <w:shd w:val="clear" w:color="auto" w:fill="auto"/>
                  <w:noWrap/>
                  <w:vAlign w:val="center"/>
                </w:tcPr>
                <w:p w14:paraId="1D604BD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4129525.128</w:t>
                  </w:r>
                </w:p>
              </w:tc>
              <w:tc>
                <w:tcPr>
                  <w:tcW w:w="1058" w:type="pct"/>
                  <w:tcBorders>
                    <w:tl2br w:val="nil"/>
                    <w:tr2bl w:val="nil"/>
                  </w:tcBorders>
                  <w:shd w:val="clear" w:color="auto" w:fill="auto"/>
                  <w:noWrap/>
                  <w:vAlign w:val="center"/>
                </w:tcPr>
                <w:p w14:paraId="1E57B3EF">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35541010.643</w:t>
                  </w:r>
                </w:p>
              </w:tc>
              <w:tc>
                <w:tcPr>
                  <w:tcW w:w="462" w:type="pct"/>
                  <w:tcBorders>
                    <w:tl2br w:val="nil"/>
                    <w:tr2bl w:val="nil"/>
                  </w:tcBorders>
                  <w:shd w:val="clear" w:color="auto" w:fill="auto"/>
                  <w:noWrap/>
                  <w:vAlign w:val="center"/>
                </w:tcPr>
                <w:p w14:paraId="5BD2D45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J107</w:t>
                  </w:r>
                </w:p>
              </w:tc>
              <w:tc>
                <w:tcPr>
                  <w:tcW w:w="978" w:type="pct"/>
                  <w:tcBorders>
                    <w:tl2br w:val="nil"/>
                    <w:tr2bl w:val="nil"/>
                  </w:tcBorders>
                  <w:shd w:val="clear" w:color="auto" w:fill="auto"/>
                  <w:noWrap/>
                  <w:vAlign w:val="center"/>
                </w:tcPr>
                <w:p w14:paraId="0E1F15CA">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4128529.002</w:t>
                  </w:r>
                </w:p>
              </w:tc>
              <w:tc>
                <w:tcPr>
                  <w:tcW w:w="1058" w:type="pct"/>
                  <w:tcBorders>
                    <w:tl2br w:val="nil"/>
                    <w:tr2bl w:val="nil"/>
                  </w:tcBorders>
                  <w:shd w:val="clear" w:color="auto" w:fill="auto"/>
                  <w:noWrap/>
                  <w:vAlign w:val="center"/>
                </w:tcPr>
                <w:p w14:paraId="02C97C4F">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35540416.852</w:t>
                  </w:r>
                </w:p>
              </w:tc>
            </w:tr>
            <w:tr w14:paraId="7A9E09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572CC57C">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J20</w:t>
                  </w:r>
                </w:p>
              </w:tc>
              <w:tc>
                <w:tcPr>
                  <w:tcW w:w="978" w:type="pct"/>
                  <w:tcBorders>
                    <w:tl2br w:val="nil"/>
                    <w:tr2bl w:val="nil"/>
                  </w:tcBorders>
                  <w:shd w:val="clear" w:color="auto" w:fill="auto"/>
                  <w:noWrap/>
                  <w:vAlign w:val="center"/>
                </w:tcPr>
                <w:p w14:paraId="620C262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4129503.115</w:t>
                  </w:r>
                </w:p>
              </w:tc>
              <w:tc>
                <w:tcPr>
                  <w:tcW w:w="1058" w:type="pct"/>
                  <w:tcBorders>
                    <w:tl2br w:val="nil"/>
                    <w:tr2bl w:val="nil"/>
                  </w:tcBorders>
                  <w:shd w:val="clear" w:color="auto" w:fill="auto"/>
                  <w:noWrap/>
                  <w:vAlign w:val="center"/>
                </w:tcPr>
                <w:p w14:paraId="6406A981">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35540995.403</w:t>
                  </w:r>
                </w:p>
              </w:tc>
              <w:tc>
                <w:tcPr>
                  <w:tcW w:w="462" w:type="pct"/>
                  <w:tcBorders>
                    <w:tl2br w:val="nil"/>
                    <w:tr2bl w:val="nil"/>
                  </w:tcBorders>
                  <w:shd w:val="clear" w:color="auto" w:fill="auto"/>
                  <w:noWrap/>
                  <w:vAlign w:val="center"/>
                </w:tcPr>
                <w:p w14:paraId="03014B11">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J108</w:t>
                  </w:r>
                </w:p>
              </w:tc>
              <w:tc>
                <w:tcPr>
                  <w:tcW w:w="978" w:type="pct"/>
                  <w:tcBorders>
                    <w:tl2br w:val="nil"/>
                    <w:tr2bl w:val="nil"/>
                  </w:tcBorders>
                  <w:shd w:val="clear" w:color="auto" w:fill="auto"/>
                  <w:noWrap/>
                  <w:vAlign w:val="center"/>
                </w:tcPr>
                <w:p w14:paraId="121E8AEC">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4128546.242</w:t>
                  </w:r>
                </w:p>
              </w:tc>
              <w:tc>
                <w:tcPr>
                  <w:tcW w:w="1058" w:type="pct"/>
                  <w:tcBorders>
                    <w:tl2br w:val="nil"/>
                    <w:tr2bl w:val="nil"/>
                  </w:tcBorders>
                  <w:shd w:val="clear" w:color="auto" w:fill="auto"/>
                  <w:noWrap/>
                  <w:vAlign w:val="center"/>
                </w:tcPr>
                <w:p w14:paraId="1665F6A4">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35540377.522</w:t>
                  </w:r>
                </w:p>
              </w:tc>
            </w:tr>
            <w:tr w14:paraId="207B3C5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2BE97E7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J21</w:t>
                  </w:r>
                </w:p>
              </w:tc>
              <w:tc>
                <w:tcPr>
                  <w:tcW w:w="978" w:type="pct"/>
                  <w:tcBorders>
                    <w:tl2br w:val="nil"/>
                    <w:tr2bl w:val="nil"/>
                  </w:tcBorders>
                  <w:shd w:val="clear" w:color="auto" w:fill="auto"/>
                  <w:noWrap/>
                  <w:vAlign w:val="center"/>
                </w:tcPr>
                <w:p w14:paraId="2DB86B4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4129460.782</w:t>
                  </w:r>
                </w:p>
              </w:tc>
              <w:tc>
                <w:tcPr>
                  <w:tcW w:w="1058" w:type="pct"/>
                  <w:tcBorders>
                    <w:tl2br w:val="nil"/>
                    <w:tr2bl w:val="nil"/>
                  </w:tcBorders>
                  <w:shd w:val="clear" w:color="auto" w:fill="auto"/>
                  <w:noWrap/>
                  <w:vAlign w:val="center"/>
                </w:tcPr>
                <w:p w14:paraId="4C893C74">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35541006.410</w:t>
                  </w:r>
                </w:p>
              </w:tc>
              <w:tc>
                <w:tcPr>
                  <w:tcW w:w="462" w:type="pct"/>
                  <w:tcBorders>
                    <w:tl2br w:val="nil"/>
                    <w:tr2bl w:val="nil"/>
                  </w:tcBorders>
                  <w:shd w:val="clear" w:color="auto" w:fill="auto"/>
                  <w:noWrap/>
                  <w:vAlign w:val="center"/>
                </w:tcPr>
                <w:p w14:paraId="3B9BB918">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J109</w:t>
                  </w:r>
                </w:p>
              </w:tc>
              <w:tc>
                <w:tcPr>
                  <w:tcW w:w="978" w:type="pct"/>
                  <w:tcBorders>
                    <w:tl2br w:val="nil"/>
                    <w:tr2bl w:val="nil"/>
                  </w:tcBorders>
                  <w:shd w:val="clear" w:color="auto" w:fill="auto"/>
                  <w:noWrap/>
                  <w:vAlign w:val="center"/>
                </w:tcPr>
                <w:p w14:paraId="34979D5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4128560.420</w:t>
                  </w:r>
                </w:p>
              </w:tc>
              <w:tc>
                <w:tcPr>
                  <w:tcW w:w="1058" w:type="pct"/>
                  <w:tcBorders>
                    <w:tl2br w:val="nil"/>
                    <w:tr2bl w:val="nil"/>
                  </w:tcBorders>
                  <w:shd w:val="clear" w:color="auto" w:fill="auto"/>
                  <w:noWrap/>
                  <w:vAlign w:val="center"/>
                </w:tcPr>
                <w:p w14:paraId="0403852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35540360.363</w:t>
                  </w:r>
                </w:p>
              </w:tc>
            </w:tr>
            <w:tr w14:paraId="2627620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070DDADF">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J22</w:t>
                  </w:r>
                </w:p>
              </w:tc>
              <w:tc>
                <w:tcPr>
                  <w:tcW w:w="978" w:type="pct"/>
                  <w:tcBorders>
                    <w:tl2br w:val="nil"/>
                    <w:tr2bl w:val="nil"/>
                  </w:tcBorders>
                  <w:shd w:val="clear" w:color="auto" w:fill="auto"/>
                  <w:noWrap/>
                  <w:vAlign w:val="center"/>
                </w:tcPr>
                <w:p w14:paraId="3CF584F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4129407.442</w:t>
                  </w:r>
                </w:p>
              </w:tc>
              <w:tc>
                <w:tcPr>
                  <w:tcW w:w="1058" w:type="pct"/>
                  <w:tcBorders>
                    <w:tl2br w:val="nil"/>
                    <w:tr2bl w:val="nil"/>
                  </w:tcBorders>
                  <w:shd w:val="clear" w:color="auto" w:fill="auto"/>
                  <w:noWrap/>
                  <w:vAlign w:val="center"/>
                </w:tcPr>
                <w:p w14:paraId="2C94ABF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35541003.023</w:t>
                  </w:r>
                </w:p>
              </w:tc>
              <w:tc>
                <w:tcPr>
                  <w:tcW w:w="462" w:type="pct"/>
                  <w:tcBorders>
                    <w:tl2br w:val="nil"/>
                    <w:tr2bl w:val="nil"/>
                  </w:tcBorders>
                  <w:shd w:val="clear" w:color="auto" w:fill="auto"/>
                  <w:noWrap/>
                  <w:vAlign w:val="center"/>
                </w:tcPr>
                <w:p w14:paraId="2A68EE0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J110</w:t>
                  </w:r>
                </w:p>
              </w:tc>
              <w:tc>
                <w:tcPr>
                  <w:tcW w:w="978" w:type="pct"/>
                  <w:tcBorders>
                    <w:tl2br w:val="nil"/>
                    <w:tr2bl w:val="nil"/>
                  </w:tcBorders>
                  <w:shd w:val="clear" w:color="auto" w:fill="auto"/>
                  <w:noWrap/>
                  <w:vAlign w:val="center"/>
                </w:tcPr>
                <w:p w14:paraId="11FCF8B2">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4128580.948</w:t>
                  </w:r>
                </w:p>
              </w:tc>
              <w:tc>
                <w:tcPr>
                  <w:tcW w:w="1058" w:type="pct"/>
                  <w:tcBorders>
                    <w:tl2br w:val="nil"/>
                    <w:tr2bl w:val="nil"/>
                  </w:tcBorders>
                  <w:shd w:val="clear" w:color="auto" w:fill="auto"/>
                  <w:noWrap/>
                  <w:vAlign w:val="center"/>
                </w:tcPr>
                <w:p w14:paraId="0D9283B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35540345.705</w:t>
                  </w:r>
                </w:p>
              </w:tc>
            </w:tr>
            <w:tr w14:paraId="2F47FEB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64BB1188">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J23</w:t>
                  </w:r>
                </w:p>
              </w:tc>
              <w:tc>
                <w:tcPr>
                  <w:tcW w:w="978" w:type="pct"/>
                  <w:tcBorders>
                    <w:tl2br w:val="nil"/>
                    <w:tr2bl w:val="nil"/>
                  </w:tcBorders>
                  <w:shd w:val="clear" w:color="auto" w:fill="auto"/>
                  <w:noWrap/>
                  <w:vAlign w:val="center"/>
                </w:tcPr>
                <w:p w14:paraId="2E5D068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4129354.101</w:t>
                  </w:r>
                </w:p>
              </w:tc>
              <w:tc>
                <w:tcPr>
                  <w:tcW w:w="1058" w:type="pct"/>
                  <w:tcBorders>
                    <w:tl2br w:val="nil"/>
                    <w:tr2bl w:val="nil"/>
                  </w:tcBorders>
                  <w:shd w:val="clear" w:color="auto" w:fill="auto"/>
                  <w:noWrap/>
                  <w:vAlign w:val="center"/>
                </w:tcPr>
                <w:p w14:paraId="63F3C77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35541001.330</w:t>
                  </w:r>
                </w:p>
              </w:tc>
              <w:tc>
                <w:tcPr>
                  <w:tcW w:w="462" w:type="pct"/>
                  <w:tcBorders>
                    <w:tl2br w:val="nil"/>
                    <w:tr2bl w:val="nil"/>
                  </w:tcBorders>
                  <w:shd w:val="clear" w:color="auto" w:fill="auto"/>
                  <w:noWrap/>
                  <w:vAlign w:val="center"/>
                </w:tcPr>
                <w:p w14:paraId="265DBE6F">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J111</w:t>
                  </w:r>
                </w:p>
              </w:tc>
              <w:tc>
                <w:tcPr>
                  <w:tcW w:w="978" w:type="pct"/>
                  <w:tcBorders>
                    <w:tl2br w:val="nil"/>
                    <w:tr2bl w:val="nil"/>
                  </w:tcBorders>
                  <w:shd w:val="clear" w:color="auto" w:fill="auto"/>
                  <w:noWrap/>
                  <w:vAlign w:val="center"/>
                </w:tcPr>
                <w:p w14:paraId="4FBFB64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4128599.947</w:t>
                  </w:r>
                </w:p>
              </w:tc>
              <w:tc>
                <w:tcPr>
                  <w:tcW w:w="1058" w:type="pct"/>
                  <w:tcBorders>
                    <w:tl2br w:val="nil"/>
                    <w:tr2bl w:val="nil"/>
                  </w:tcBorders>
                  <w:shd w:val="clear" w:color="auto" w:fill="auto"/>
                  <w:noWrap/>
                  <w:vAlign w:val="center"/>
                </w:tcPr>
                <w:p w14:paraId="302FC41C">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35540342.448</w:t>
                  </w:r>
                </w:p>
              </w:tc>
            </w:tr>
            <w:tr w14:paraId="596483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4B31E9B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J24</w:t>
                  </w:r>
                </w:p>
              </w:tc>
              <w:tc>
                <w:tcPr>
                  <w:tcW w:w="978" w:type="pct"/>
                  <w:tcBorders>
                    <w:tl2br w:val="nil"/>
                    <w:tr2bl w:val="nil"/>
                  </w:tcBorders>
                  <w:shd w:val="clear" w:color="auto" w:fill="auto"/>
                  <w:noWrap/>
                  <w:vAlign w:val="center"/>
                </w:tcPr>
                <w:p w14:paraId="114D983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4129333.054</w:t>
                  </w:r>
                </w:p>
              </w:tc>
              <w:tc>
                <w:tcPr>
                  <w:tcW w:w="1058" w:type="pct"/>
                  <w:tcBorders>
                    <w:tl2br w:val="nil"/>
                    <w:tr2bl w:val="nil"/>
                  </w:tcBorders>
                  <w:shd w:val="clear" w:color="auto" w:fill="auto"/>
                  <w:noWrap/>
                  <w:vAlign w:val="center"/>
                </w:tcPr>
                <w:p w14:paraId="145A33D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35541010.394</w:t>
                  </w:r>
                </w:p>
              </w:tc>
              <w:tc>
                <w:tcPr>
                  <w:tcW w:w="462" w:type="pct"/>
                  <w:tcBorders>
                    <w:tl2br w:val="nil"/>
                    <w:tr2bl w:val="nil"/>
                  </w:tcBorders>
                  <w:shd w:val="clear" w:color="auto" w:fill="auto"/>
                  <w:noWrap/>
                  <w:vAlign w:val="center"/>
                </w:tcPr>
                <w:p w14:paraId="7C4B039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J112</w:t>
                  </w:r>
                </w:p>
              </w:tc>
              <w:tc>
                <w:tcPr>
                  <w:tcW w:w="978" w:type="pct"/>
                  <w:tcBorders>
                    <w:tl2br w:val="nil"/>
                    <w:tr2bl w:val="nil"/>
                  </w:tcBorders>
                  <w:shd w:val="clear" w:color="auto" w:fill="auto"/>
                  <w:noWrap/>
                  <w:vAlign w:val="center"/>
                </w:tcPr>
                <w:p w14:paraId="7C0928C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4128618.181</w:t>
                  </w:r>
                </w:p>
              </w:tc>
              <w:tc>
                <w:tcPr>
                  <w:tcW w:w="1058" w:type="pct"/>
                  <w:tcBorders>
                    <w:tl2br w:val="nil"/>
                    <w:tr2bl w:val="nil"/>
                  </w:tcBorders>
                  <w:shd w:val="clear" w:color="auto" w:fill="auto"/>
                  <w:noWrap/>
                  <w:vAlign w:val="center"/>
                </w:tcPr>
                <w:p w14:paraId="7141805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35540344.892</w:t>
                  </w:r>
                </w:p>
              </w:tc>
            </w:tr>
            <w:tr w14:paraId="50F882A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29C4D71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J25</w:t>
                  </w:r>
                </w:p>
              </w:tc>
              <w:tc>
                <w:tcPr>
                  <w:tcW w:w="978" w:type="pct"/>
                  <w:tcBorders>
                    <w:tl2br w:val="nil"/>
                    <w:tr2bl w:val="nil"/>
                  </w:tcBorders>
                  <w:shd w:val="clear" w:color="auto" w:fill="auto"/>
                  <w:noWrap/>
                  <w:vAlign w:val="center"/>
                </w:tcPr>
                <w:p w14:paraId="01855D03">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4129286.874</w:t>
                  </w:r>
                </w:p>
              </w:tc>
              <w:tc>
                <w:tcPr>
                  <w:tcW w:w="1058" w:type="pct"/>
                  <w:tcBorders>
                    <w:tl2br w:val="nil"/>
                    <w:tr2bl w:val="nil"/>
                  </w:tcBorders>
                  <w:shd w:val="clear" w:color="auto" w:fill="auto"/>
                  <w:noWrap/>
                  <w:vAlign w:val="center"/>
                </w:tcPr>
                <w:p w14:paraId="774EE19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35541001.537</w:t>
                  </w:r>
                </w:p>
              </w:tc>
              <w:tc>
                <w:tcPr>
                  <w:tcW w:w="462" w:type="pct"/>
                  <w:tcBorders>
                    <w:tl2br w:val="nil"/>
                    <w:tr2bl w:val="nil"/>
                  </w:tcBorders>
                  <w:shd w:val="clear" w:color="auto" w:fill="auto"/>
                  <w:noWrap/>
                  <w:vAlign w:val="center"/>
                </w:tcPr>
                <w:p w14:paraId="32F2B903">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J113</w:t>
                  </w:r>
                </w:p>
              </w:tc>
              <w:tc>
                <w:tcPr>
                  <w:tcW w:w="978" w:type="pct"/>
                  <w:tcBorders>
                    <w:tl2br w:val="nil"/>
                    <w:tr2bl w:val="nil"/>
                  </w:tcBorders>
                  <w:shd w:val="clear" w:color="auto" w:fill="auto"/>
                  <w:noWrap/>
                  <w:vAlign w:val="center"/>
                </w:tcPr>
                <w:p w14:paraId="59EF3EFC">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4128646.820</w:t>
                  </w:r>
                </w:p>
              </w:tc>
              <w:tc>
                <w:tcPr>
                  <w:tcW w:w="1058" w:type="pct"/>
                  <w:tcBorders>
                    <w:tl2br w:val="nil"/>
                    <w:tr2bl w:val="nil"/>
                  </w:tcBorders>
                  <w:shd w:val="clear" w:color="auto" w:fill="auto"/>
                  <w:noWrap/>
                  <w:vAlign w:val="center"/>
                </w:tcPr>
                <w:p w14:paraId="37DEF14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35540369.231</w:t>
                  </w:r>
                </w:p>
              </w:tc>
            </w:tr>
            <w:tr w14:paraId="005B126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3685C4F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J26</w:t>
                  </w:r>
                </w:p>
              </w:tc>
              <w:tc>
                <w:tcPr>
                  <w:tcW w:w="978" w:type="pct"/>
                  <w:tcBorders>
                    <w:tl2br w:val="nil"/>
                    <w:tr2bl w:val="nil"/>
                  </w:tcBorders>
                  <w:shd w:val="clear" w:color="auto" w:fill="auto"/>
                  <w:noWrap/>
                  <w:vAlign w:val="center"/>
                </w:tcPr>
                <w:p w14:paraId="49C54A54">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4129274.527</w:t>
                  </w:r>
                </w:p>
              </w:tc>
              <w:tc>
                <w:tcPr>
                  <w:tcW w:w="1058" w:type="pct"/>
                  <w:tcBorders>
                    <w:tl2br w:val="nil"/>
                    <w:tr2bl w:val="nil"/>
                  </w:tcBorders>
                  <w:shd w:val="clear" w:color="auto" w:fill="auto"/>
                  <w:noWrap/>
                  <w:vAlign w:val="center"/>
                </w:tcPr>
                <w:p w14:paraId="4D4B2FB2">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35541034.828</w:t>
                  </w:r>
                </w:p>
              </w:tc>
              <w:tc>
                <w:tcPr>
                  <w:tcW w:w="462" w:type="pct"/>
                  <w:tcBorders>
                    <w:tl2br w:val="nil"/>
                    <w:tr2bl w:val="nil"/>
                  </w:tcBorders>
                  <w:shd w:val="clear" w:color="auto" w:fill="auto"/>
                  <w:noWrap/>
                  <w:vAlign w:val="center"/>
                </w:tcPr>
                <w:p w14:paraId="171478C6">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J114</w:t>
                  </w:r>
                </w:p>
              </w:tc>
              <w:tc>
                <w:tcPr>
                  <w:tcW w:w="978" w:type="pct"/>
                  <w:tcBorders>
                    <w:tl2br w:val="nil"/>
                    <w:tr2bl w:val="nil"/>
                  </w:tcBorders>
                  <w:shd w:val="clear" w:color="auto" w:fill="auto"/>
                  <w:noWrap/>
                  <w:vAlign w:val="center"/>
                </w:tcPr>
                <w:p w14:paraId="622E10A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4128674.496</w:t>
                  </w:r>
                </w:p>
              </w:tc>
              <w:tc>
                <w:tcPr>
                  <w:tcW w:w="1058" w:type="pct"/>
                  <w:tcBorders>
                    <w:tl2br w:val="nil"/>
                    <w:tr2bl w:val="nil"/>
                  </w:tcBorders>
                  <w:shd w:val="clear" w:color="auto" w:fill="auto"/>
                  <w:noWrap/>
                  <w:vAlign w:val="center"/>
                </w:tcPr>
                <w:p w14:paraId="2DD1883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35540412.986</w:t>
                  </w:r>
                </w:p>
              </w:tc>
            </w:tr>
            <w:tr w14:paraId="3DD57F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4EEFA72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J27</w:t>
                  </w:r>
                </w:p>
              </w:tc>
              <w:tc>
                <w:tcPr>
                  <w:tcW w:w="978" w:type="pct"/>
                  <w:tcBorders>
                    <w:tl2br w:val="nil"/>
                    <w:tr2bl w:val="nil"/>
                  </w:tcBorders>
                  <w:shd w:val="clear" w:color="auto" w:fill="auto"/>
                  <w:noWrap/>
                  <w:vAlign w:val="center"/>
                </w:tcPr>
                <w:p w14:paraId="179B15D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4129258.850</w:t>
                  </w:r>
                </w:p>
              </w:tc>
              <w:tc>
                <w:tcPr>
                  <w:tcW w:w="1058" w:type="pct"/>
                  <w:tcBorders>
                    <w:tl2br w:val="nil"/>
                    <w:tr2bl w:val="nil"/>
                  </w:tcBorders>
                  <w:shd w:val="clear" w:color="auto" w:fill="auto"/>
                  <w:noWrap/>
                  <w:vAlign w:val="center"/>
                </w:tcPr>
                <w:p w14:paraId="746E74B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35541069.085</w:t>
                  </w:r>
                </w:p>
              </w:tc>
              <w:tc>
                <w:tcPr>
                  <w:tcW w:w="462" w:type="pct"/>
                  <w:tcBorders>
                    <w:tl2br w:val="nil"/>
                    <w:tr2bl w:val="nil"/>
                  </w:tcBorders>
                  <w:shd w:val="clear" w:color="auto" w:fill="auto"/>
                  <w:noWrap/>
                  <w:vAlign w:val="center"/>
                </w:tcPr>
                <w:p w14:paraId="67450CA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J115</w:t>
                  </w:r>
                </w:p>
              </w:tc>
              <w:tc>
                <w:tcPr>
                  <w:tcW w:w="978" w:type="pct"/>
                  <w:tcBorders>
                    <w:tl2br w:val="nil"/>
                    <w:tr2bl w:val="nil"/>
                  </w:tcBorders>
                  <w:shd w:val="clear" w:color="auto" w:fill="auto"/>
                  <w:noWrap/>
                  <w:vAlign w:val="center"/>
                </w:tcPr>
                <w:p w14:paraId="10A8994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4128698.020</w:t>
                  </w:r>
                </w:p>
              </w:tc>
              <w:tc>
                <w:tcPr>
                  <w:tcW w:w="1058" w:type="pct"/>
                  <w:tcBorders>
                    <w:tl2br w:val="nil"/>
                    <w:tr2bl w:val="nil"/>
                  </w:tcBorders>
                  <w:shd w:val="clear" w:color="auto" w:fill="auto"/>
                  <w:noWrap/>
                  <w:vAlign w:val="center"/>
                </w:tcPr>
                <w:p w14:paraId="311AFA16">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35540471.953</w:t>
                  </w:r>
                </w:p>
              </w:tc>
            </w:tr>
            <w:tr w14:paraId="1456252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6A2B3EE1">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J28</w:t>
                  </w:r>
                </w:p>
              </w:tc>
              <w:tc>
                <w:tcPr>
                  <w:tcW w:w="978" w:type="pct"/>
                  <w:tcBorders>
                    <w:tl2br w:val="nil"/>
                    <w:tr2bl w:val="nil"/>
                  </w:tcBorders>
                  <w:shd w:val="clear" w:color="auto" w:fill="auto"/>
                  <w:noWrap/>
                  <w:vAlign w:val="center"/>
                </w:tcPr>
                <w:p w14:paraId="01A2C1E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4129251.175</w:t>
                  </w:r>
                </w:p>
              </w:tc>
              <w:tc>
                <w:tcPr>
                  <w:tcW w:w="1058" w:type="pct"/>
                  <w:tcBorders>
                    <w:tl2br w:val="nil"/>
                    <w:tr2bl w:val="nil"/>
                  </w:tcBorders>
                  <w:shd w:val="clear" w:color="auto" w:fill="auto"/>
                  <w:noWrap/>
                  <w:vAlign w:val="center"/>
                </w:tcPr>
                <w:p w14:paraId="7E88D56F">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35541119.760</w:t>
                  </w:r>
                </w:p>
              </w:tc>
              <w:tc>
                <w:tcPr>
                  <w:tcW w:w="462" w:type="pct"/>
                  <w:tcBorders>
                    <w:tl2br w:val="nil"/>
                    <w:tr2bl w:val="nil"/>
                  </w:tcBorders>
                  <w:shd w:val="clear" w:color="auto" w:fill="auto"/>
                  <w:noWrap/>
                  <w:vAlign w:val="center"/>
                </w:tcPr>
                <w:p w14:paraId="083A31FA">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J116</w:t>
                  </w:r>
                </w:p>
              </w:tc>
              <w:tc>
                <w:tcPr>
                  <w:tcW w:w="978" w:type="pct"/>
                  <w:tcBorders>
                    <w:tl2br w:val="nil"/>
                    <w:tr2bl w:val="nil"/>
                  </w:tcBorders>
                  <w:shd w:val="clear" w:color="auto" w:fill="auto"/>
                  <w:noWrap/>
                  <w:vAlign w:val="center"/>
                </w:tcPr>
                <w:p w14:paraId="043D73F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4128699.197</w:t>
                  </w:r>
                </w:p>
              </w:tc>
              <w:tc>
                <w:tcPr>
                  <w:tcW w:w="1058" w:type="pct"/>
                  <w:tcBorders>
                    <w:tl2br w:val="nil"/>
                    <w:tr2bl w:val="nil"/>
                  </w:tcBorders>
                  <w:shd w:val="clear" w:color="auto" w:fill="auto"/>
                  <w:noWrap/>
                  <w:vAlign w:val="center"/>
                </w:tcPr>
                <w:p w14:paraId="003DC62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35540479.376</w:t>
                  </w:r>
                </w:p>
              </w:tc>
            </w:tr>
            <w:tr w14:paraId="08B4AAA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1540F6D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J29</w:t>
                  </w:r>
                </w:p>
              </w:tc>
              <w:tc>
                <w:tcPr>
                  <w:tcW w:w="978" w:type="pct"/>
                  <w:tcBorders>
                    <w:tl2br w:val="nil"/>
                    <w:tr2bl w:val="nil"/>
                  </w:tcBorders>
                  <w:shd w:val="clear" w:color="auto" w:fill="auto"/>
                  <w:noWrap/>
                  <w:vAlign w:val="center"/>
                </w:tcPr>
                <w:p w14:paraId="2D9936BF">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4129275.561</w:t>
                  </w:r>
                </w:p>
              </w:tc>
              <w:tc>
                <w:tcPr>
                  <w:tcW w:w="1058" w:type="pct"/>
                  <w:tcBorders>
                    <w:tl2br w:val="nil"/>
                    <w:tr2bl w:val="nil"/>
                  </w:tcBorders>
                  <w:shd w:val="clear" w:color="auto" w:fill="auto"/>
                  <w:noWrap/>
                  <w:vAlign w:val="center"/>
                </w:tcPr>
                <w:p w14:paraId="5E81D876">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35541144.893</w:t>
                  </w:r>
                </w:p>
              </w:tc>
              <w:tc>
                <w:tcPr>
                  <w:tcW w:w="462" w:type="pct"/>
                  <w:tcBorders>
                    <w:tl2br w:val="nil"/>
                    <w:tr2bl w:val="nil"/>
                  </w:tcBorders>
                  <w:shd w:val="clear" w:color="auto" w:fill="auto"/>
                  <w:noWrap/>
                  <w:vAlign w:val="center"/>
                </w:tcPr>
                <w:p w14:paraId="1E0260B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J117</w:t>
                  </w:r>
                </w:p>
              </w:tc>
              <w:tc>
                <w:tcPr>
                  <w:tcW w:w="978" w:type="pct"/>
                  <w:tcBorders>
                    <w:tl2br w:val="nil"/>
                    <w:tr2bl w:val="nil"/>
                  </w:tcBorders>
                  <w:shd w:val="clear" w:color="auto" w:fill="auto"/>
                  <w:noWrap/>
                  <w:vAlign w:val="center"/>
                </w:tcPr>
                <w:p w14:paraId="32A9C694">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4128696.728</w:t>
                  </w:r>
                </w:p>
              </w:tc>
              <w:tc>
                <w:tcPr>
                  <w:tcW w:w="1058" w:type="pct"/>
                  <w:tcBorders>
                    <w:tl2br w:val="nil"/>
                    <w:tr2bl w:val="nil"/>
                  </w:tcBorders>
                  <w:shd w:val="clear" w:color="auto" w:fill="auto"/>
                  <w:noWrap/>
                  <w:vAlign w:val="center"/>
                </w:tcPr>
                <w:p w14:paraId="17E8D313">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35540532.517</w:t>
                  </w:r>
                </w:p>
              </w:tc>
            </w:tr>
            <w:tr w14:paraId="676662B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23B366DC">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J30</w:t>
                  </w:r>
                </w:p>
              </w:tc>
              <w:tc>
                <w:tcPr>
                  <w:tcW w:w="978" w:type="pct"/>
                  <w:tcBorders>
                    <w:tl2br w:val="nil"/>
                    <w:tr2bl w:val="nil"/>
                  </w:tcBorders>
                  <w:shd w:val="clear" w:color="auto" w:fill="auto"/>
                  <w:noWrap/>
                  <w:vAlign w:val="center"/>
                </w:tcPr>
                <w:p w14:paraId="0416617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4129280.364</w:t>
                  </w:r>
                </w:p>
              </w:tc>
              <w:tc>
                <w:tcPr>
                  <w:tcW w:w="1058" w:type="pct"/>
                  <w:tcBorders>
                    <w:tl2br w:val="nil"/>
                    <w:tr2bl w:val="nil"/>
                  </w:tcBorders>
                  <w:shd w:val="clear" w:color="auto" w:fill="auto"/>
                  <w:noWrap/>
                  <w:vAlign w:val="center"/>
                </w:tcPr>
                <w:p w14:paraId="4BA874F1">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35541154.997</w:t>
                  </w:r>
                </w:p>
              </w:tc>
              <w:tc>
                <w:tcPr>
                  <w:tcW w:w="462" w:type="pct"/>
                  <w:tcBorders>
                    <w:tl2br w:val="nil"/>
                    <w:tr2bl w:val="nil"/>
                  </w:tcBorders>
                  <w:shd w:val="clear" w:color="auto" w:fill="auto"/>
                  <w:noWrap/>
                  <w:vAlign w:val="center"/>
                </w:tcPr>
                <w:p w14:paraId="613ECCE8">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J118</w:t>
                  </w:r>
                </w:p>
              </w:tc>
              <w:tc>
                <w:tcPr>
                  <w:tcW w:w="978" w:type="pct"/>
                  <w:tcBorders>
                    <w:tl2br w:val="nil"/>
                    <w:tr2bl w:val="nil"/>
                  </w:tcBorders>
                  <w:shd w:val="clear" w:color="auto" w:fill="auto"/>
                  <w:noWrap/>
                  <w:vAlign w:val="center"/>
                </w:tcPr>
                <w:p w14:paraId="4655BA53">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4128713.273</w:t>
                  </w:r>
                </w:p>
              </w:tc>
              <w:tc>
                <w:tcPr>
                  <w:tcW w:w="1058" w:type="pct"/>
                  <w:tcBorders>
                    <w:tl2br w:val="nil"/>
                    <w:tr2bl w:val="nil"/>
                  </w:tcBorders>
                  <w:shd w:val="clear" w:color="auto" w:fill="auto"/>
                  <w:noWrap/>
                  <w:vAlign w:val="center"/>
                </w:tcPr>
                <w:p w14:paraId="40321C98">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35540568.096</w:t>
                  </w:r>
                </w:p>
              </w:tc>
            </w:tr>
            <w:tr w14:paraId="571E43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44C4C353">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J31</w:t>
                  </w:r>
                </w:p>
              </w:tc>
              <w:tc>
                <w:tcPr>
                  <w:tcW w:w="978" w:type="pct"/>
                  <w:tcBorders>
                    <w:tl2br w:val="nil"/>
                    <w:tr2bl w:val="nil"/>
                  </w:tcBorders>
                  <w:shd w:val="clear" w:color="auto" w:fill="auto"/>
                  <w:noWrap/>
                  <w:vAlign w:val="center"/>
                </w:tcPr>
                <w:p w14:paraId="3D6AF52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4129283.635</w:t>
                  </w:r>
                </w:p>
              </w:tc>
              <w:tc>
                <w:tcPr>
                  <w:tcW w:w="1058" w:type="pct"/>
                  <w:tcBorders>
                    <w:tl2br w:val="nil"/>
                    <w:tr2bl w:val="nil"/>
                  </w:tcBorders>
                  <w:shd w:val="clear" w:color="auto" w:fill="auto"/>
                  <w:noWrap/>
                  <w:vAlign w:val="center"/>
                </w:tcPr>
                <w:p w14:paraId="4EA7F0F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35541175.868</w:t>
                  </w:r>
                </w:p>
              </w:tc>
              <w:tc>
                <w:tcPr>
                  <w:tcW w:w="462" w:type="pct"/>
                  <w:tcBorders>
                    <w:tl2br w:val="nil"/>
                    <w:tr2bl w:val="nil"/>
                  </w:tcBorders>
                  <w:shd w:val="clear" w:color="auto" w:fill="auto"/>
                  <w:noWrap/>
                  <w:vAlign w:val="center"/>
                </w:tcPr>
                <w:p w14:paraId="54124FF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J119</w:t>
                  </w:r>
                </w:p>
              </w:tc>
              <w:tc>
                <w:tcPr>
                  <w:tcW w:w="978" w:type="pct"/>
                  <w:tcBorders>
                    <w:tl2br w:val="nil"/>
                    <w:tr2bl w:val="nil"/>
                  </w:tcBorders>
                  <w:shd w:val="clear" w:color="auto" w:fill="auto"/>
                  <w:noWrap/>
                  <w:vAlign w:val="center"/>
                </w:tcPr>
                <w:p w14:paraId="04D65318">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4128743.099</w:t>
                  </w:r>
                </w:p>
              </w:tc>
              <w:tc>
                <w:tcPr>
                  <w:tcW w:w="1058" w:type="pct"/>
                  <w:tcBorders>
                    <w:tl2br w:val="nil"/>
                    <w:tr2bl w:val="nil"/>
                  </w:tcBorders>
                  <w:shd w:val="clear" w:color="auto" w:fill="auto"/>
                  <w:noWrap/>
                  <w:vAlign w:val="center"/>
                </w:tcPr>
                <w:p w14:paraId="2630741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35540579.419</w:t>
                  </w:r>
                </w:p>
              </w:tc>
            </w:tr>
            <w:tr w14:paraId="745118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1C42B19A">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J32</w:t>
                  </w:r>
                </w:p>
              </w:tc>
              <w:tc>
                <w:tcPr>
                  <w:tcW w:w="978" w:type="pct"/>
                  <w:tcBorders>
                    <w:tl2br w:val="nil"/>
                    <w:tr2bl w:val="nil"/>
                  </w:tcBorders>
                  <w:shd w:val="clear" w:color="auto" w:fill="auto"/>
                  <w:noWrap/>
                  <w:vAlign w:val="center"/>
                </w:tcPr>
                <w:p w14:paraId="7280F521">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4129278.928</w:t>
                  </w:r>
                </w:p>
              </w:tc>
              <w:tc>
                <w:tcPr>
                  <w:tcW w:w="1058" w:type="pct"/>
                  <w:tcBorders>
                    <w:tl2br w:val="nil"/>
                    <w:tr2bl w:val="nil"/>
                  </w:tcBorders>
                  <w:shd w:val="clear" w:color="auto" w:fill="auto"/>
                  <w:noWrap/>
                  <w:vAlign w:val="center"/>
                </w:tcPr>
                <w:p w14:paraId="3ECEFDD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35541185.386</w:t>
                  </w:r>
                </w:p>
              </w:tc>
              <w:tc>
                <w:tcPr>
                  <w:tcW w:w="462" w:type="pct"/>
                  <w:tcBorders>
                    <w:tl2br w:val="nil"/>
                    <w:tr2bl w:val="nil"/>
                  </w:tcBorders>
                  <w:shd w:val="clear" w:color="auto" w:fill="auto"/>
                  <w:noWrap/>
                  <w:vAlign w:val="center"/>
                </w:tcPr>
                <w:p w14:paraId="14E4C64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J120</w:t>
                  </w:r>
                </w:p>
              </w:tc>
              <w:tc>
                <w:tcPr>
                  <w:tcW w:w="978" w:type="pct"/>
                  <w:tcBorders>
                    <w:tl2br w:val="nil"/>
                    <w:tr2bl w:val="nil"/>
                  </w:tcBorders>
                  <w:shd w:val="clear" w:color="auto" w:fill="auto"/>
                  <w:noWrap/>
                  <w:vAlign w:val="center"/>
                </w:tcPr>
                <w:p w14:paraId="73DDBB21">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4128754.054</w:t>
                  </w:r>
                </w:p>
              </w:tc>
              <w:tc>
                <w:tcPr>
                  <w:tcW w:w="1058" w:type="pct"/>
                  <w:tcBorders>
                    <w:tl2br w:val="nil"/>
                    <w:tr2bl w:val="nil"/>
                  </w:tcBorders>
                  <w:shd w:val="clear" w:color="auto" w:fill="auto"/>
                  <w:noWrap/>
                  <w:vAlign w:val="center"/>
                </w:tcPr>
                <w:p w14:paraId="311A5BB6">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35540591.109</w:t>
                  </w:r>
                </w:p>
              </w:tc>
            </w:tr>
            <w:tr w14:paraId="4431A99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0E77E86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J33</w:t>
                  </w:r>
                </w:p>
              </w:tc>
              <w:tc>
                <w:tcPr>
                  <w:tcW w:w="978" w:type="pct"/>
                  <w:tcBorders>
                    <w:tl2br w:val="nil"/>
                    <w:tr2bl w:val="nil"/>
                  </w:tcBorders>
                  <w:shd w:val="clear" w:color="auto" w:fill="auto"/>
                  <w:noWrap/>
                  <w:vAlign w:val="center"/>
                </w:tcPr>
                <w:p w14:paraId="1524F9D4">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4129267.924</w:t>
                  </w:r>
                </w:p>
              </w:tc>
              <w:tc>
                <w:tcPr>
                  <w:tcW w:w="1058" w:type="pct"/>
                  <w:tcBorders>
                    <w:tl2br w:val="nil"/>
                    <w:tr2bl w:val="nil"/>
                  </w:tcBorders>
                  <w:shd w:val="clear" w:color="auto" w:fill="auto"/>
                  <w:noWrap/>
                  <w:vAlign w:val="center"/>
                </w:tcPr>
                <w:p w14:paraId="24F015EC">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35541203.163</w:t>
                  </w:r>
                </w:p>
              </w:tc>
              <w:tc>
                <w:tcPr>
                  <w:tcW w:w="462" w:type="pct"/>
                  <w:tcBorders>
                    <w:tl2br w:val="nil"/>
                    <w:tr2bl w:val="nil"/>
                  </w:tcBorders>
                  <w:shd w:val="clear" w:color="auto" w:fill="auto"/>
                  <w:noWrap/>
                  <w:vAlign w:val="center"/>
                </w:tcPr>
                <w:p w14:paraId="1A494FBC">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J121</w:t>
                  </w:r>
                </w:p>
              </w:tc>
              <w:tc>
                <w:tcPr>
                  <w:tcW w:w="978" w:type="pct"/>
                  <w:tcBorders>
                    <w:tl2br w:val="nil"/>
                    <w:tr2bl w:val="nil"/>
                  </w:tcBorders>
                  <w:shd w:val="clear" w:color="auto" w:fill="auto"/>
                  <w:noWrap/>
                  <w:vAlign w:val="center"/>
                </w:tcPr>
                <w:p w14:paraId="30AF4AE6">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4128767.259</w:t>
                  </w:r>
                </w:p>
              </w:tc>
              <w:tc>
                <w:tcPr>
                  <w:tcW w:w="1058" w:type="pct"/>
                  <w:tcBorders>
                    <w:tl2br w:val="nil"/>
                    <w:tr2bl w:val="nil"/>
                  </w:tcBorders>
                  <w:shd w:val="clear" w:color="auto" w:fill="auto"/>
                  <w:noWrap/>
                  <w:vAlign w:val="center"/>
                </w:tcPr>
                <w:p w14:paraId="121D385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35540586.614</w:t>
                  </w:r>
                </w:p>
              </w:tc>
            </w:tr>
            <w:tr w14:paraId="625F447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44328D7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J34</w:t>
                  </w:r>
                </w:p>
              </w:tc>
              <w:tc>
                <w:tcPr>
                  <w:tcW w:w="978" w:type="pct"/>
                  <w:tcBorders>
                    <w:tl2br w:val="nil"/>
                    <w:tr2bl w:val="nil"/>
                  </w:tcBorders>
                  <w:shd w:val="clear" w:color="auto" w:fill="auto"/>
                  <w:noWrap/>
                  <w:vAlign w:val="center"/>
                </w:tcPr>
                <w:p w14:paraId="5A8C0BA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4129233.644</w:t>
                  </w:r>
                </w:p>
              </w:tc>
              <w:tc>
                <w:tcPr>
                  <w:tcW w:w="1058" w:type="pct"/>
                  <w:tcBorders>
                    <w:tl2br w:val="nil"/>
                    <w:tr2bl w:val="nil"/>
                  </w:tcBorders>
                  <w:shd w:val="clear" w:color="auto" w:fill="auto"/>
                  <w:noWrap/>
                  <w:vAlign w:val="center"/>
                </w:tcPr>
                <w:p w14:paraId="1E48A2C1">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35541219.710</w:t>
                  </w:r>
                </w:p>
              </w:tc>
              <w:tc>
                <w:tcPr>
                  <w:tcW w:w="462" w:type="pct"/>
                  <w:tcBorders>
                    <w:tl2br w:val="nil"/>
                    <w:tr2bl w:val="nil"/>
                  </w:tcBorders>
                  <w:shd w:val="clear" w:color="auto" w:fill="auto"/>
                  <w:noWrap/>
                  <w:vAlign w:val="center"/>
                </w:tcPr>
                <w:p w14:paraId="27E759E3">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J122</w:t>
                  </w:r>
                </w:p>
              </w:tc>
              <w:tc>
                <w:tcPr>
                  <w:tcW w:w="978" w:type="pct"/>
                  <w:tcBorders>
                    <w:tl2br w:val="nil"/>
                    <w:tr2bl w:val="nil"/>
                  </w:tcBorders>
                  <w:shd w:val="clear" w:color="auto" w:fill="auto"/>
                  <w:noWrap/>
                  <w:vAlign w:val="center"/>
                </w:tcPr>
                <w:p w14:paraId="1CEC2C6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4128778.574</w:t>
                  </w:r>
                </w:p>
              </w:tc>
              <w:tc>
                <w:tcPr>
                  <w:tcW w:w="1058" w:type="pct"/>
                  <w:tcBorders>
                    <w:tl2br w:val="nil"/>
                    <w:tr2bl w:val="nil"/>
                  </w:tcBorders>
                  <w:shd w:val="clear" w:color="auto" w:fill="auto"/>
                  <w:noWrap/>
                  <w:vAlign w:val="center"/>
                </w:tcPr>
                <w:p w14:paraId="3DDF5416">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35540582.762</w:t>
                  </w:r>
                </w:p>
              </w:tc>
            </w:tr>
            <w:tr w14:paraId="4568C4B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373BCAA2">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J35</w:t>
                  </w:r>
                </w:p>
              </w:tc>
              <w:tc>
                <w:tcPr>
                  <w:tcW w:w="978" w:type="pct"/>
                  <w:tcBorders>
                    <w:tl2br w:val="nil"/>
                    <w:tr2bl w:val="nil"/>
                  </w:tcBorders>
                  <w:shd w:val="clear" w:color="auto" w:fill="auto"/>
                  <w:noWrap/>
                  <w:vAlign w:val="center"/>
                </w:tcPr>
                <w:p w14:paraId="0B4D236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4129233.035</w:t>
                  </w:r>
                </w:p>
              </w:tc>
              <w:tc>
                <w:tcPr>
                  <w:tcW w:w="1058" w:type="pct"/>
                  <w:tcBorders>
                    <w:tl2br w:val="nil"/>
                    <w:tr2bl w:val="nil"/>
                  </w:tcBorders>
                  <w:shd w:val="clear" w:color="auto" w:fill="auto"/>
                  <w:noWrap/>
                  <w:vAlign w:val="center"/>
                </w:tcPr>
                <w:p w14:paraId="678EA976">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35541220.723</w:t>
                  </w:r>
                </w:p>
              </w:tc>
              <w:tc>
                <w:tcPr>
                  <w:tcW w:w="462" w:type="pct"/>
                  <w:tcBorders>
                    <w:tl2br w:val="nil"/>
                    <w:tr2bl w:val="nil"/>
                  </w:tcBorders>
                  <w:shd w:val="clear" w:color="auto" w:fill="auto"/>
                  <w:noWrap/>
                  <w:vAlign w:val="center"/>
                </w:tcPr>
                <w:p w14:paraId="5B7E56C6">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J123</w:t>
                  </w:r>
                </w:p>
              </w:tc>
              <w:tc>
                <w:tcPr>
                  <w:tcW w:w="978" w:type="pct"/>
                  <w:tcBorders>
                    <w:tl2br w:val="nil"/>
                    <w:tr2bl w:val="nil"/>
                  </w:tcBorders>
                  <w:shd w:val="clear" w:color="auto" w:fill="auto"/>
                  <w:noWrap/>
                  <w:vAlign w:val="center"/>
                </w:tcPr>
                <w:p w14:paraId="43687B0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4128918.209</w:t>
                  </w:r>
                </w:p>
              </w:tc>
              <w:tc>
                <w:tcPr>
                  <w:tcW w:w="1058" w:type="pct"/>
                  <w:tcBorders>
                    <w:tl2br w:val="nil"/>
                    <w:tr2bl w:val="nil"/>
                  </w:tcBorders>
                  <w:shd w:val="clear" w:color="auto" w:fill="auto"/>
                  <w:noWrap/>
                  <w:vAlign w:val="center"/>
                </w:tcPr>
                <w:p w14:paraId="554E1FF2">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35540623.230</w:t>
                  </w:r>
                </w:p>
              </w:tc>
            </w:tr>
            <w:tr w14:paraId="6F0D33A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5682D70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J36</w:t>
                  </w:r>
                </w:p>
              </w:tc>
              <w:tc>
                <w:tcPr>
                  <w:tcW w:w="978" w:type="pct"/>
                  <w:tcBorders>
                    <w:tl2br w:val="nil"/>
                    <w:tr2bl w:val="nil"/>
                  </w:tcBorders>
                  <w:shd w:val="clear" w:color="auto" w:fill="auto"/>
                  <w:noWrap/>
                  <w:vAlign w:val="center"/>
                </w:tcPr>
                <w:p w14:paraId="20D230B2">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4129230.740</w:t>
                  </w:r>
                </w:p>
              </w:tc>
              <w:tc>
                <w:tcPr>
                  <w:tcW w:w="1058" w:type="pct"/>
                  <w:tcBorders>
                    <w:tl2br w:val="nil"/>
                    <w:tr2bl w:val="nil"/>
                  </w:tcBorders>
                  <w:shd w:val="clear" w:color="auto" w:fill="auto"/>
                  <w:noWrap/>
                  <w:vAlign w:val="center"/>
                </w:tcPr>
                <w:p w14:paraId="2B0AA994">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35541224.538</w:t>
                  </w:r>
                </w:p>
              </w:tc>
              <w:tc>
                <w:tcPr>
                  <w:tcW w:w="462" w:type="pct"/>
                  <w:tcBorders>
                    <w:tl2br w:val="nil"/>
                    <w:tr2bl w:val="nil"/>
                  </w:tcBorders>
                  <w:shd w:val="clear" w:color="auto" w:fill="auto"/>
                  <w:noWrap/>
                  <w:vAlign w:val="center"/>
                </w:tcPr>
                <w:p w14:paraId="09078816">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J124</w:t>
                  </w:r>
                </w:p>
              </w:tc>
              <w:tc>
                <w:tcPr>
                  <w:tcW w:w="978" w:type="pct"/>
                  <w:tcBorders>
                    <w:tl2br w:val="nil"/>
                    <w:tr2bl w:val="nil"/>
                  </w:tcBorders>
                  <w:shd w:val="clear" w:color="auto" w:fill="auto"/>
                  <w:noWrap/>
                  <w:vAlign w:val="center"/>
                </w:tcPr>
                <w:p w14:paraId="2257E28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4128924.205</w:t>
                  </w:r>
                </w:p>
              </w:tc>
              <w:tc>
                <w:tcPr>
                  <w:tcW w:w="1058" w:type="pct"/>
                  <w:tcBorders>
                    <w:tl2br w:val="nil"/>
                    <w:tr2bl w:val="nil"/>
                  </w:tcBorders>
                  <w:shd w:val="clear" w:color="auto" w:fill="auto"/>
                  <w:noWrap/>
                  <w:vAlign w:val="center"/>
                </w:tcPr>
                <w:p w14:paraId="2CE93716">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35540635.523</w:t>
                  </w:r>
                </w:p>
              </w:tc>
            </w:tr>
            <w:tr w14:paraId="70EC56E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7095AAB1">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J37</w:t>
                  </w:r>
                </w:p>
              </w:tc>
              <w:tc>
                <w:tcPr>
                  <w:tcW w:w="978" w:type="pct"/>
                  <w:tcBorders>
                    <w:tl2br w:val="nil"/>
                    <w:tr2bl w:val="nil"/>
                  </w:tcBorders>
                  <w:shd w:val="clear" w:color="auto" w:fill="auto"/>
                  <w:noWrap/>
                  <w:vAlign w:val="center"/>
                </w:tcPr>
                <w:p w14:paraId="6D2EB504">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4129102.213</w:t>
                  </w:r>
                </w:p>
              </w:tc>
              <w:tc>
                <w:tcPr>
                  <w:tcW w:w="1058" w:type="pct"/>
                  <w:tcBorders>
                    <w:tl2br w:val="nil"/>
                    <w:tr2bl w:val="nil"/>
                  </w:tcBorders>
                  <w:shd w:val="clear" w:color="auto" w:fill="auto"/>
                  <w:noWrap/>
                  <w:vAlign w:val="center"/>
                </w:tcPr>
                <w:p w14:paraId="4A4E0706">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35541438.244</w:t>
                  </w:r>
                </w:p>
              </w:tc>
              <w:tc>
                <w:tcPr>
                  <w:tcW w:w="462" w:type="pct"/>
                  <w:tcBorders>
                    <w:tl2br w:val="nil"/>
                    <w:tr2bl w:val="nil"/>
                  </w:tcBorders>
                  <w:shd w:val="clear" w:color="auto" w:fill="auto"/>
                  <w:noWrap/>
                  <w:vAlign w:val="center"/>
                </w:tcPr>
                <w:p w14:paraId="01F9808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J125</w:t>
                  </w:r>
                </w:p>
              </w:tc>
              <w:tc>
                <w:tcPr>
                  <w:tcW w:w="978" w:type="pct"/>
                  <w:tcBorders>
                    <w:tl2br w:val="nil"/>
                    <w:tr2bl w:val="nil"/>
                  </w:tcBorders>
                  <w:shd w:val="clear" w:color="auto" w:fill="auto"/>
                  <w:noWrap/>
                  <w:vAlign w:val="center"/>
                </w:tcPr>
                <w:p w14:paraId="06F9C7F4">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4128931.013</w:t>
                  </w:r>
                </w:p>
              </w:tc>
              <w:tc>
                <w:tcPr>
                  <w:tcW w:w="1058" w:type="pct"/>
                  <w:tcBorders>
                    <w:tl2br w:val="nil"/>
                    <w:tr2bl w:val="nil"/>
                  </w:tcBorders>
                  <w:shd w:val="clear" w:color="auto" w:fill="auto"/>
                  <w:noWrap/>
                  <w:vAlign w:val="center"/>
                </w:tcPr>
                <w:p w14:paraId="019C47C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35540649.753</w:t>
                  </w:r>
                </w:p>
              </w:tc>
            </w:tr>
            <w:tr w14:paraId="10C981F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2FF4FEA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J38</w:t>
                  </w:r>
                </w:p>
              </w:tc>
              <w:tc>
                <w:tcPr>
                  <w:tcW w:w="978" w:type="pct"/>
                  <w:tcBorders>
                    <w:tl2br w:val="nil"/>
                    <w:tr2bl w:val="nil"/>
                  </w:tcBorders>
                  <w:shd w:val="clear" w:color="auto" w:fill="auto"/>
                  <w:noWrap/>
                  <w:vAlign w:val="center"/>
                </w:tcPr>
                <w:p w14:paraId="6C2C4AF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4129078.664</w:t>
                  </w:r>
                </w:p>
              </w:tc>
              <w:tc>
                <w:tcPr>
                  <w:tcW w:w="1058" w:type="pct"/>
                  <w:tcBorders>
                    <w:tl2br w:val="nil"/>
                    <w:tr2bl w:val="nil"/>
                  </w:tcBorders>
                  <w:shd w:val="clear" w:color="auto" w:fill="auto"/>
                  <w:noWrap/>
                  <w:vAlign w:val="center"/>
                </w:tcPr>
                <w:p w14:paraId="0BC1C8C4">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35541482.669</w:t>
                  </w:r>
                </w:p>
              </w:tc>
              <w:tc>
                <w:tcPr>
                  <w:tcW w:w="462" w:type="pct"/>
                  <w:tcBorders>
                    <w:tl2br w:val="nil"/>
                    <w:tr2bl w:val="nil"/>
                  </w:tcBorders>
                  <w:shd w:val="clear" w:color="auto" w:fill="auto"/>
                  <w:noWrap/>
                  <w:vAlign w:val="center"/>
                </w:tcPr>
                <w:p w14:paraId="0FC87781">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J126</w:t>
                  </w:r>
                </w:p>
              </w:tc>
              <w:tc>
                <w:tcPr>
                  <w:tcW w:w="978" w:type="pct"/>
                  <w:tcBorders>
                    <w:tl2br w:val="nil"/>
                    <w:tr2bl w:val="nil"/>
                  </w:tcBorders>
                  <w:shd w:val="clear" w:color="auto" w:fill="auto"/>
                  <w:noWrap/>
                  <w:vAlign w:val="center"/>
                </w:tcPr>
                <w:p w14:paraId="44437DA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4128935.844</w:t>
                  </w:r>
                </w:p>
              </w:tc>
              <w:tc>
                <w:tcPr>
                  <w:tcW w:w="1058" w:type="pct"/>
                  <w:tcBorders>
                    <w:tl2br w:val="nil"/>
                    <w:tr2bl w:val="nil"/>
                  </w:tcBorders>
                  <w:shd w:val="clear" w:color="auto" w:fill="auto"/>
                  <w:noWrap/>
                  <w:vAlign w:val="center"/>
                </w:tcPr>
                <w:p w14:paraId="359A787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35540665.555</w:t>
                  </w:r>
                </w:p>
              </w:tc>
            </w:tr>
            <w:tr w14:paraId="3EF1781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1BD8195F">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J39</w:t>
                  </w:r>
                </w:p>
              </w:tc>
              <w:tc>
                <w:tcPr>
                  <w:tcW w:w="978" w:type="pct"/>
                  <w:tcBorders>
                    <w:tl2br w:val="nil"/>
                    <w:tr2bl w:val="nil"/>
                  </w:tcBorders>
                  <w:shd w:val="clear" w:color="auto" w:fill="auto"/>
                  <w:noWrap/>
                  <w:vAlign w:val="center"/>
                </w:tcPr>
                <w:p w14:paraId="1805767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4128880.406</w:t>
                  </w:r>
                </w:p>
              </w:tc>
              <w:tc>
                <w:tcPr>
                  <w:tcW w:w="1058" w:type="pct"/>
                  <w:tcBorders>
                    <w:tl2br w:val="nil"/>
                    <w:tr2bl w:val="nil"/>
                  </w:tcBorders>
                  <w:shd w:val="clear" w:color="auto" w:fill="auto"/>
                  <w:noWrap/>
                  <w:vAlign w:val="center"/>
                </w:tcPr>
                <w:p w14:paraId="0BFF0C0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35541495.810</w:t>
                  </w:r>
                </w:p>
              </w:tc>
              <w:tc>
                <w:tcPr>
                  <w:tcW w:w="462" w:type="pct"/>
                  <w:tcBorders>
                    <w:tl2br w:val="nil"/>
                    <w:tr2bl w:val="nil"/>
                  </w:tcBorders>
                  <w:shd w:val="clear" w:color="auto" w:fill="auto"/>
                  <w:noWrap/>
                  <w:vAlign w:val="center"/>
                </w:tcPr>
                <w:p w14:paraId="09A0BDC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J127</w:t>
                  </w:r>
                </w:p>
              </w:tc>
              <w:tc>
                <w:tcPr>
                  <w:tcW w:w="978" w:type="pct"/>
                  <w:tcBorders>
                    <w:tl2br w:val="nil"/>
                    <w:tr2bl w:val="nil"/>
                  </w:tcBorders>
                  <w:shd w:val="clear" w:color="auto" w:fill="auto"/>
                  <w:noWrap/>
                  <w:vAlign w:val="center"/>
                </w:tcPr>
                <w:p w14:paraId="1857FCB8">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4128939.836</w:t>
                  </w:r>
                </w:p>
              </w:tc>
              <w:tc>
                <w:tcPr>
                  <w:tcW w:w="1058" w:type="pct"/>
                  <w:tcBorders>
                    <w:tl2br w:val="nil"/>
                    <w:tr2bl w:val="nil"/>
                  </w:tcBorders>
                  <w:shd w:val="clear" w:color="auto" w:fill="auto"/>
                  <w:noWrap/>
                  <w:vAlign w:val="center"/>
                </w:tcPr>
                <w:p w14:paraId="3BE979E2">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35540671.865</w:t>
                  </w:r>
                </w:p>
              </w:tc>
            </w:tr>
            <w:tr w14:paraId="3B8278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58E83DD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J40</w:t>
                  </w:r>
                </w:p>
              </w:tc>
              <w:tc>
                <w:tcPr>
                  <w:tcW w:w="978" w:type="pct"/>
                  <w:tcBorders>
                    <w:tl2br w:val="nil"/>
                    <w:tr2bl w:val="nil"/>
                  </w:tcBorders>
                  <w:shd w:val="clear" w:color="auto" w:fill="auto"/>
                  <w:noWrap/>
                  <w:vAlign w:val="center"/>
                </w:tcPr>
                <w:p w14:paraId="049A7BA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4128768.389</w:t>
                  </w:r>
                </w:p>
              </w:tc>
              <w:tc>
                <w:tcPr>
                  <w:tcW w:w="1058" w:type="pct"/>
                  <w:tcBorders>
                    <w:tl2br w:val="nil"/>
                    <w:tr2bl w:val="nil"/>
                  </w:tcBorders>
                  <w:shd w:val="clear" w:color="auto" w:fill="auto"/>
                  <w:noWrap/>
                  <w:vAlign w:val="center"/>
                </w:tcPr>
                <w:p w14:paraId="3ED6FFDA">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35541631.306</w:t>
                  </w:r>
                </w:p>
              </w:tc>
              <w:tc>
                <w:tcPr>
                  <w:tcW w:w="462" w:type="pct"/>
                  <w:tcBorders>
                    <w:tl2br w:val="nil"/>
                    <w:tr2bl w:val="nil"/>
                  </w:tcBorders>
                  <w:shd w:val="clear" w:color="auto" w:fill="auto"/>
                  <w:noWrap/>
                  <w:vAlign w:val="center"/>
                </w:tcPr>
                <w:p w14:paraId="0E3C3AC8">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J128</w:t>
                  </w:r>
                </w:p>
              </w:tc>
              <w:tc>
                <w:tcPr>
                  <w:tcW w:w="978" w:type="pct"/>
                  <w:tcBorders>
                    <w:tl2br w:val="nil"/>
                    <w:tr2bl w:val="nil"/>
                  </w:tcBorders>
                  <w:shd w:val="clear" w:color="auto" w:fill="auto"/>
                  <w:noWrap/>
                  <w:vAlign w:val="center"/>
                </w:tcPr>
                <w:p w14:paraId="0BFDDFA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4128959.700</w:t>
                  </w:r>
                </w:p>
              </w:tc>
              <w:tc>
                <w:tcPr>
                  <w:tcW w:w="1058" w:type="pct"/>
                  <w:tcBorders>
                    <w:tl2br w:val="nil"/>
                    <w:tr2bl w:val="nil"/>
                  </w:tcBorders>
                  <w:shd w:val="clear" w:color="auto" w:fill="auto"/>
                  <w:noWrap/>
                  <w:vAlign w:val="center"/>
                </w:tcPr>
                <w:p w14:paraId="5FF5E9D1">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35540683.796</w:t>
                  </w:r>
                </w:p>
              </w:tc>
            </w:tr>
            <w:tr w14:paraId="6311960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72811D38">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J41</w:t>
                  </w:r>
                </w:p>
              </w:tc>
              <w:tc>
                <w:tcPr>
                  <w:tcW w:w="978" w:type="pct"/>
                  <w:tcBorders>
                    <w:tl2br w:val="nil"/>
                    <w:tr2bl w:val="nil"/>
                  </w:tcBorders>
                  <w:shd w:val="clear" w:color="auto" w:fill="auto"/>
                  <w:noWrap/>
                  <w:vAlign w:val="center"/>
                </w:tcPr>
                <w:p w14:paraId="20198DD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4128528.953</w:t>
                  </w:r>
                </w:p>
              </w:tc>
              <w:tc>
                <w:tcPr>
                  <w:tcW w:w="1058" w:type="pct"/>
                  <w:tcBorders>
                    <w:tl2br w:val="nil"/>
                    <w:tr2bl w:val="nil"/>
                  </w:tcBorders>
                  <w:shd w:val="clear" w:color="auto" w:fill="auto"/>
                  <w:noWrap/>
                  <w:vAlign w:val="center"/>
                </w:tcPr>
                <w:p w14:paraId="422EFCA4">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35541488.746</w:t>
                  </w:r>
                </w:p>
              </w:tc>
              <w:tc>
                <w:tcPr>
                  <w:tcW w:w="462" w:type="pct"/>
                  <w:tcBorders>
                    <w:tl2br w:val="nil"/>
                    <w:tr2bl w:val="nil"/>
                  </w:tcBorders>
                  <w:shd w:val="clear" w:color="auto" w:fill="auto"/>
                  <w:noWrap/>
                  <w:vAlign w:val="center"/>
                </w:tcPr>
                <w:p w14:paraId="258A3AF2">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J129</w:t>
                  </w:r>
                </w:p>
              </w:tc>
              <w:tc>
                <w:tcPr>
                  <w:tcW w:w="978" w:type="pct"/>
                  <w:tcBorders>
                    <w:tl2br w:val="nil"/>
                    <w:tr2bl w:val="nil"/>
                  </w:tcBorders>
                  <w:shd w:val="clear" w:color="auto" w:fill="auto"/>
                  <w:noWrap/>
                  <w:vAlign w:val="center"/>
                </w:tcPr>
                <w:p w14:paraId="058780E8">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4128981.140</w:t>
                  </w:r>
                </w:p>
              </w:tc>
              <w:tc>
                <w:tcPr>
                  <w:tcW w:w="1058" w:type="pct"/>
                  <w:tcBorders>
                    <w:tl2br w:val="nil"/>
                    <w:tr2bl w:val="nil"/>
                  </w:tcBorders>
                  <w:shd w:val="clear" w:color="auto" w:fill="auto"/>
                  <w:noWrap/>
                  <w:vAlign w:val="center"/>
                </w:tcPr>
                <w:p w14:paraId="6190B286">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35540693.819</w:t>
                  </w:r>
                </w:p>
              </w:tc>
            </w:tr>
            <w:tr w14:paraId="145E85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3C12AB4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J42</w:t>
                  </w:r>
                </w:p>
              </w:tc>
              <w:tc>
                <w:tcPr>
                  <w:tcW w:w="978" w:type="pct"/>
                  <w:tcBorders>
                    <w:tl2br w:val="nil"/>
                    <w:tr2bl w:val="nil"/>
                  </w:tcBorders>
                  <w:shd w:val="clear" w:color="auto" w:fill="auto"/>
                  <w:noWrap/>
                  <w:vAlign w:val="center"/>
                </w:tcPr>
                <w:p w14:paraId="7D76F9D3">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4128412.979</w:t>
                  </w:r>
                </w:p>
              </w:tc>
              <w:tc>
                <w:tcPr>
                  <w:tcW w:w="1058" w:type="pct"/>
                  <w:tcBorders>
                    <w:tl2br w:val="nil"/>
                    <w:tr2bl w:val="nil"/>
                  </w:tcBorders>
                  <w:shd w:val="clear" w:color="auto" w:fill="auto"/>
                  <w:noWrap/>
                  <w:vAlign w:val="center"/>
                </w:tcPr>
                <w:p w14:paraId="35435A1A">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35541374.215</w:t>
                  </w:r>
                </w:p>
              </w:tc>
              <w:tc>
                <w:tcPr>
                  <w:tcW w:w="462" w:type="pct"/>
                  <w:tcBorders>
                    <w:tl2br w:val="nil"/>
                    <w:tr2bl w:val="nil"/>
                  </w:tcBorders>
                  <w:shd w:val="clear" w:color="auto" w:fill="auto"/>
                  <w:noWrap/>
                  <w:vAlign w:val="center"/>
                </w:tcPr>
                <w:p w14:paraId="6999DA5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J130</w:t>
                  </w:r>
                </w:p>
              </w:tc>
              <w:tc>
                <w:tcPr>
                  <w:tcW w:w="978" w:type="pct"/>
                  <w:tcBorders>
                    <w:tl2br w:val="nil"/>
                    <w:tr2bl w:val="nil"/>
                  </w:tcBorders>
                  <w:shd w:val="clear" w:color="auto" w:fill="auto"/>
                  <w:noWrap/>
                  <w:vAlign w:val="center"/>
                </w:tcPr>
                <w:p w14:paraId="76192ADC">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4129002.583</w:t>
                  </w:r>
                </w:p>
              </w:tc>
              <w:tc>
                <w:tcPr>
                  <w:tcW w:w="1058" w:type="pct"/>
                  <w:tcBorders>
                    <w:tl2br w:val="nil"/>
                    <w:tr2bl w:val="nil"/>
                  </w:tcBorders>
                  <w:shd w:val="clear" w:color="auto" w:fill="auto"/>
                  <w:noWrap/>
                  <w:vAlign w:val="center"/>
                </w:tcPr>
                <w:p w14:paraId="1279E19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35540704.476</w:t>
                  </w:r>
                </w:p>
              </w:tc>
            </w:tr>
            <w:tr w14:paraId="2DC2C35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0E011074">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J43</w:t>
                  </w:r>
                </w:p>
              </w:tc>
              <w:tc>
                <w:tcPr>
                  <w:tcW w:w="978" w:type="pct"/>
                  <w:tcBorders>
                    <w:tl2br w:val="nil"/>
                    <w:tr2bl w:val="nil"/>
                  </w:tcBorders>
                  <w:shd w:val="clear" w:color="auto" w:fill="auto"/>
                  <w:noWrap/>
                  <w:vAlign w:val="center"/>
                </w:tcPr>
                <w:p w14:paraId="7C5D1336">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4128163.604</w:t>
                  </w:r>
                </w:p>
              </w:tc>
              <w:tc>
                <w:tcPr>
                  <w:tcW w:w="1058" w:type="pct"/>
                  <w:tcBorders>
                    <w:tl2br w:val="nil"/>
                    <w:tr2bl w:val="nil"/>
                  </w:tcBorders>
                  <w:shd w:val="clear" w:color="auto" w:fill="auto"/>
                  <w:noWrap/>
                  <w:vAlign w:val="center"/>
                </w:tcPr>
                <w:p w14:paraId="4DE9070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35541282.893</w:t>
                  </w:r>
                </w:p>
              </w:tc>
              <w:tc>
                <w:tcPr>
                  <w:tcW w:w="462" w:type="pct"/>
                  <w:tcBorders>
                    <w:tl2br w:val="nil"/>
                    <w:tr2bl w:val="nil"/>
                  </w:tcBorders>
                  <w:shd w:val="clear" w:color="auto" w:fill="auto"/>
                  <w:noWrap/>
                  <w:vAlign w:val="center"/>
                </w:tcPr>
                <w:p w14:paraId="2BD4DA2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J131</w:t>
                  </w:r>
                </w:p>
              </w:tc>
              <w:tc>
                <w:tcPr>
                  <w:tcW w:w="978" w:type="pct"/>
                  <w:tcBorders>
                    <w:tl2br w:val="nil"/>
                    <w:tr2bl w:val="nil"/>
                  </w:tcBorders>
                  <w:shd w:val="clear" w:color="auto" w:fill="auto"/>
                  <w:noWrap/>
                  <w:vAlign w:val="center"/>
                </w:tcPr>
                <w:p w14:paraId="1A8F004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4129029.535</w:t>
                  </w:r>
                </w:p>
              </w:tc>
              <w:tc>
                <w:tcPr>
                  <w:tcW w:w="1058" w:type="pct"/>
                  <w:tcBorders>
                    <w:tl2br w:val="nil"/>
                    <w:tr2bl w:val="nil"/>
                  </w:tcBorders>
                  <w:shd w:val="clear" w:color="auto" w:fill="auto"/>
                  <w:noWrap/>
                  <w:vAlign w:val="center"/>
                </w:tcPr>
                <w:p w14:paraId="033633A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35540707.510</w:t>
                  </w:r>
                </w:p>
              </w:tc>
            </w:tr>
            <w:tr w14:paraId="32A3781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5CD3035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J44</w:t>
                  </w:r>
                </w:p>
              </w:tc>
              <w:tc>
                <w:tcPr>
                  <w:tcW w:w="978" w:type="pct"/>
                  <w:tcBorders>
                    <w:tl2br w:val="nil"/>
                    <w:tr2bl w:val="nil"/>
                  </w:tcBorders>
                  <w:shd w:val="clear" w:color="auto" w:fill="auto"/>
                  <w:noWrap/>
                  <w:vAlign w:val="center"/>
                </w:tcPr>
                <w:p w14:paraId="50267EA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4128182.724</w:t>
                  </w:r>
                </w:p>
              </w:tc>
              <w:tc>
                <w:tcPr>
                  <w:tcW w:w="1058" w:type="pct"/>
                  <w:tcBorders>
                    <w:tl2br w:val="nil"/>
                    <w:tr2bl w:val="nil"/>
                  </w:tcBorders>
                  <w:shd w:val="clear" w:color="auto" w:fill="auto"/>
                  <w:noWrap/>
                  <w:vAlign w:val="center"/>
                </w:tcPr>
                <w:p w14:paraId="3B46B13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35541277.523</w:t>
                  </w:r>
                </w:p>
              </w:tc>
              <w:tc>
                <w:tcPr>
                  <w:tcW w:w="462" w:type="pct"/>
                  <w:tcBorders>
                    <w:tl2br w:val="nil"/>
                    <w:tr2bl w:val="nil"/>
                  </w:tcBorders>
                  <w:shd w:val="clear" w:color="auto" w:fill="auto"/>
                  <w:noWrap/>
                  <w:vAlign w:val="center"/>
                </w:tcPr>
                <w:p w14:paraId="260B714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J132</w:t>
                  </w:r>
                </w:p>
              </w:tc>
              <w:tc>
                <w:tcPr>
                  <w:tcW w:w="978" w:type="pct"/>
                  <w:tcBorders>
                    <w:tl2br w:val="nil"/>
                    <w:tr2bl w:val="nil"/>
                  </w:tcBorders>
                  <w:shd w:val="clear" w:color="auto" w:fill="auto"/>
                  <w:noWrap/>
                  <w:vAlign w:val="center"/>
                </w:tcPr>
                <w:p w14:paraId="5DFE23F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4129059.649</w:t>
                  </w:r>
                </w:p>
              </w:tc>
              <w:tc>
                <w:tcPr>
                  <w:tcW w:w="1058" w:type="pct"/>
                  <w:tcBorders>
                    <w:tl2br w:val="nil"/>
                    <w:tr2bl w:val="nil"/>
                  </w:tcBorders>
                  <w:shd w:val="clear" w:color="auto" w:fill="auto"/>
                  <w:noWrap/>
                  <w:vAlign w:val="center"/>
                </w:tcPr>
                <w:p w14:paraId="47D82B5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35540709.263</w:t>
                  </w:r>
                </w:p>
              </w:tc>
            </w:tr>
            <w:tr w14:paraId="5E5727C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19B56D7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J45</w:t>
                  </w:r>
                </w:p>
              </w:tc>
              <w:tc>
                <w:tcPr>
                  <w:tcW w:w="978" w:type="pct"/>
                  <w:tcBorders>
                    <w:tl2br w:val="nil"/>
                    <w:tr2bl w:val="nil"/>
                  </w:tcBorders>
                  <w:shd w:val="clear" w:color="auto" w:fill="auto"/>
                  <w:noWrap/>
                  <w:vAlign w:val="center"/>
                </w:tcPr>
                <w:p w14:paraId="019511B8">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4128202.024</w:t>
                  </w:r>
                </w:p>
              </w:tc>
              <w:tc>
                <w:tcPr>
                  <w:tcW w:w="1058" w:type="pct"/>
                  <w:tcBorders>
                    <w:tl2br w:val="nil"/>
                    <w:tr2bl w:val="nil"/>
                  </w:tcBorders>
                  <w:shd w:val="clear" w:color="auto" w:fill="auto"/>
                  <w:noWrap/>
                  <w:vAlign w:val="center"/>
                </w:tcPr>
                <w:p w14:paraId="0255BDE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35541261.114</w:t>
                  </w:r>
                </w:p>
              </w:tc>
              <w:tc>
                <w:tcPr>
                  <w:tcW w:w="462" w:type="pct"/>
                  <w:tcBorders>
                    <w:tl2br w:val="nil"/>
                    <w:tr2bl w:val="nil"/>
                  </w:tcBorders>
                  <w:shd w:val="clear" w:color="auto" w:fill="auto"/>
                  <w:noWrap/>
                  <w:vAlign w:val="center"/>
                </w:tcPr>
                <w:p w14:paraId="48F8FA9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J133</w:t>
                  </w:r>
                </w:p>
              </w:tc>
              <w:tc>
                <w:tcPr>
                  <w:tcW w:w="978" w:type="pct"/>
                  <w:tcBorders>
                    <w:tl2br w:val="nil"/>
                    <w:tr2bl w:val="nil"/>
                  </w:tcBorders>
                  <w:shd w:val="clear" w:color="auto" w:fill="auto"/>
                  <w:noWrap/>
                  <w:vAlign w:val="center"/>
                </w:tcPr>
                <w:p w14:paraId="38F45802">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4129084.264</w:t>
                  </w:r>
                </w:p>
              </w:tc>
              <w:tc>
                <w:tcPr>
                  <w:tcW w:w="1058" w:type="pct"/>
                  <w:tcBorders>
                    <w:tl2br w:val="nil"/>
                    <w:tr2bl w:val="nil"/>
                  </w:tcBorders>
                  <w:shd w:val="clear" w:color="auto" w:fill="auto"/>
                  <w:noWrap/>
                  <w:vAlign w:val="center"/>
                </w:tcPr>
                <w:p w14:paraId="631D483F">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35540720.537</w:t>
                  </w:r>
                </w:p>
              </w:tc>
            </w:tr>
            <w:tr w14:paraId="7C4AC1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741A95C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J46</w:t>
                  </w:r>
                </w:p>
              </w:tc>
              <w:tc>
                <w:tcPr>
                  <w:tcW w:w="978" w:type="pct"/>
                  <w:tcBorders>
                    <w:tl2br w:val="nil"/>
                    <w:tr2bl w:val="nil"/>
                  </w:tcBorders>
                  <w:shd w:val="clear" w:color="auto" w:fill="auto"/>
                  <w:noWrap/>
                  <w:vAlign w:val="center"/>
                </w:tcPr>
                <w:p w14:paraId="2E6822A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4128237.379</w:t>
                  </w:r>
                </w:p>
              </w:tc>
              <w:tc>
                <w:tcPr>
                  <w:tcW w:w="1058" w:type="pct"/>
                  <w:tcBorders>
                    <w:tl2br w:val="nil"/>
                    <w:tr2bl w:val="nil"/>
                  </w:tcBorders>
                  <w:shd w:val="clear" w:color="auto" w:fill="auto"/>
                  <w:noWrap/>
                  <w:vAlign w:val="center"/>
                </w:tcPr>
                <w:p w14:paraId="4F2CA646">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35541200.801</w:t>
                  </w:r>
                </w:p>
              </w:tc>
              <w:tc>
                <w:tcPr>
                  <w:tcW w:w="462" w:type="pct"/>
                  <w:tcBorders>
                    <w:tl2br w:val="nil"/>
                    <w:tr2bl w:val="nil"/>
                  </w:tcBorders>
                  <w:shd w:val="clear" w:color="auto" w:fill="auto"/>
                  <w:noWrap/>
                  <w:vAlign w:val="center"/>
                </w:tcPr>
                <w:p w14:paraId="3F6C7AE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J134</w:t>
                  </w:r>
                </w:p>
              </w:tc>
              <w:tc>
                <w:tcPr>
                  <w:tcW w:w="978" w:type="pct"/>
                  <w:tcBorders>
                    <w:tl2br w:val="nil"/>
                    <w:tr2bl w:val="nil"/>
                  </w:tcBorders>
                  <w:shd w:val="clear" w:color="auto" w:fill="auto"/>
                  <w:noWrap/>
                  <w:vAlign w:val="center"/>
                </w:tcPr>
                <w:p w14:paraId="295E3D68">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4129119.172</w:t>
                  </w:r>
                </w:p>
              </w:tc>
              <w:tc>
                <w:tcPr>
                  <w:tcW w:w="1058" w:type="pct"/>
                  <w:tcBorders>
                    <w:tl2br w:val="nil"/>
                    <w:tr2bl w:val="nil"/>
                  </w:tcBorders>
                  <w:shd w:val="clear" w:color="auto" w:fill="auto"/>
                  <w:noWrap/>
                  <w:vAlign w:val="center"/>
                </w:tcPr>
                <w:p w14:paraId="4D185ABC">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35540730.495</w:t>
                  </w:r>
                </w:p>
              </w:tc>
            </w:tr>
            <w:tr w14:paraId="75A2D1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619681C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J47</w:t>
                  </w:r>
                </w:p>
              </w:tc>
              <w:tc>
                <w:tcPr>
                  <w:tcW w:w="978" w:type="pct"/>
                  <w:tcBorders>
                    <w:tl2br w:val="nil"/>
                    <w:tr2bl w:val="nil"/>
                  </w:tcBorders>
                  <w:shd w:val="clear" w:color="auto" w:fill="auto"/>
                  <w:noWrap/>
                  <w:vAlign w:val="center"/>
                </w:tcPr>
                <w:p w14:paraId="1BF5ABF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4128261.069</w:t>
                  </w:r>
                </w:p>
              </w:tc>
              <w:tc>
                <w:tcPr>
                  <w:tcW w:w="1058" w:type="pct"/>
                  <w:tcBorders>
                    <w:tl2br w:val="nil"/>
                    <w:tr2bl w:val="nil"/>
                  </w:tcBorders>
                  <w:shd w:val="clear" w:color="auto" w:fill="auto"/>
                  <w:noWrap/>
                  <w:vAlign w:val="center"/>
                </w:tcPr>
                <w:p w14:paraId="5E2B7D7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35541184.859</w:t>
                  </w:r>
                </w:p>
              </w:tc>
              <w:tc>
                <w:tcPr>
                  <w:tcW w:w="462" w:type="pct"/>
                  <w:tcBorders>
                    <w:tl2br w:val="nil"/>
                    <w:tr2bl w:val="nil"/>
                  </w:tcBorders>
                  <w:shd w:val="clear" w:color="auto" w:fill="auto"/>
                  <w:noWrap/>
                  <w:vAlign w:val="center"/>
                </w:tcPr>
                <w:p w14:paraId="5EECF741">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J135</w:t>
                  </w:r>
                </w:p>
              </w:tc>
              <w:tc>
                <w:tcPr>
                  <w:tcW w:w="978" w:type="pct"/>
                  <w:tcBorders>
                    <w:tl2br w:val="nil"/>
                    <w:tr2bl w:val="nil"/>
                  </w:tcBorders>
                  <w:shd w:val="clear" w:color="auto" w:fill="auto"/>
                  <w:noWrap/>
                  <w:vAlign w:val="center"/>
                </w:tcPr>
                <w:p w14:paraId="32B001E1">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4129141.377</w:t>
                  </w:r>
                </w:p>
              </w:tc>
              <w:tc>
                <w:tcPr>
                  <w:tcW w:w="1058" w:type="pct"/>
                  <w:tcBorders>
                    <w:tl2br w:val="nil"/>
                    <w:tr2bl w:val="nil"/>
                  </w:tcBorders>
                  <w:shd w:val="clear" w:color="auto" w:fill="auto"/>
                  <w:noWrap/>
                  <w:vAlign w:val="center"/>
                </w:tcPr>
                <w:p w14:paraId="33D8F018">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35540734.818</w:t>
                  </w:r>
                </w:p>
              </w:tc>
            </w:tr>
            <w:tr w14:paraId="54E2C49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06BCAA6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J48</w:t>
                  </w:r>
                </w:p>
              </w:tc>
              <w:tc>
                <w:tcPr>
                  <w:tcW w:w="978" w:type="pct"/>
                  <w:tcBorders>
                    <w:tl2br w:val="nil"/>
                    <w:tr2bl w:val="nil"/>
                  </w:tcBorders>
                  <w:shd w:val="clear" w:color="auto" w:fill="auto"/>
                  <w:noWrap/>
                  <w:vAlign w:val="center"/>
                </w:tcPr>
                <w:p w14:paraId="6B4C7BF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4128304.456</w:t>
                  </w:r>
                </w:p>
              </w:tc>
              <w:tc>
                <w:tcPr>
                  <w:tcW w:w="1058" w:type="pct"/>
                  <w:tcBorders>
                    <w:tl2br w:val="nil"/>
                    <w:tr2bl w:val="nil"/>
                  </w:tcBorders>
                  <w:shd w:val="clear" w:color="auto" w:fill="auto"/>
                  <w:noWrap/>
                  <w:vAlign w:val="center"/>
                </w:tcPr>
                <w:p w14:paraId="02EF2CEF">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35541146.664</w:t>
                  </w:r>
                </w:p>
              </w:tc>
              <w:tc>
                <w:tcPr>
                  <w:tcW w:w="462" w:type="pct"/>
                  <w:tcBorders>
                    <w:tl2br w:val="nil"/>
                    <w:tr2bl w:val="nil"/>
                  </w:tcBorders>
                  <w:shd w:val="clear" w:color="auto" w:fill="auto"/>
                  <w:noWrap/>
                  <w:vAlign w:val="center"/>
                </w:tcPr>
                <w:p w14:paraId="7560F9A2">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J136</w:t>
                  </w:r>
                </w:p>
              </w:tc>
              <w:tc>
                <w:tcPr>
                  <w:tcW w:w="978" w:type="pct"/>
                  <w:tcBorders>
                    <w:tl2br w:val="nil"/>
                    <w:tr2bl w:val="nil"/>
                  </w:tcBorders>
                  <w:shd w:val="clear" w:color="auto" w:fill="auto"/>
                  <w:noWrap/>
                  <w:vAlign w:val="center"/>
                </w:tcPr>
                <w:p w14:paraId="42CB862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4129164.055</w:t>
                  </w:r>
                </w:p>
              </w:tc>
              <w:tc>
                <w:tcPr>
                  <w:tcW w:w="1058" w:type="pct"/>
                  <w:tcBorders>
                    <w:tl2br w:val="nil"/>
                    <w:tr2bl w:val="nil"/>
                  </w:tcBorders>
                  <w:shd w:val="clear" w:color="auto" w:fill="auto"/>
                  <w:noWrap/>
                  <w:vAlign w:val="center"/>
                </w:tcPr>
                <w:p w14:paraId="506E7D2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35540727.956</w:t>
                  </w:r>
                </w:p>
              </w:tc>
            </w:tr>
            <w:tr w14:paraId="472992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7FC876C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J49</w:t>
                  </w:r>
                </w:p>
              </w:tc>
              <w:tc>
                <w:tcPr>
                  <w:tcW w:w="978" w:type="pct"/>
                  <w:tcBorders>
                    <w:tl2br w:val="nil"/>
                    <w:tr2bl w:val="nil"/>
                  </w:tcBorders>
                  <w:shd w:val="clear" w:color="auto" w:fill="auto"/>
                  <w:noWrap/>
                  <w:vAlign w:val="center"/>
                </w:tcPr>
                <w:p w14:paraId="623844EC">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4128355.673</w:t>
                  </w:r>
                </w:p>
              </w:tc>
              <w:tc>
                <w:tcPr>
                  <w:tcW w:w="1058" w:type="pct"/>
                  <w:tcBorders>
                    <w:tl2br w:val="nil"/>
                    <w:tr2bl w:val="nil"/>
                  </w:tcBorders>
                  <w:shd w:val="clear" w:color="auto" w:fill="auto"/>
                  <w:noWrap/>
                  <w:vAlign w:val="center"/>
                </w:tcPr>
                <w:p w14:paraId="4789479C">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35541089.440</w:t>
                  </w:r>
                </w:p>
              </w:tc>
              <w:tc>
                <w:tcPr>
                  <w:tcW w:w="462" w:type="pct"/>
                  <w:tcBorders>
                    <w:tl2br w:val="nil"/>
                    <w:tr2bl w:val="nil"/>
                  </w:tcBorders>
                  <w:shd w:val="clear" w:color="auto" w:fill="auto"/>
                  <w:noWrap/>
                  <w:vAlign w:val="center"/>
                </w:tcPr>
                <w:p w14:paraId="238D05F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J137</w:t>
                  </w:r>
                </w:p>
              </w:tc>
              <w:tc>
                <w:tcPr>
                  <w:tcW w:w="978" w:type="pct"/>
                  <w:tcBorders>
                    <w:tl2br w:val="nil"/>
                    <w:tr2bl w:val="nil"/>
                  </w:tcBorders>
                  <w:shd w:val="clear" w:color="auto" w:fill="auto"/>
                  <w:noWrap/>
                  <w:vAlign w:val="center"/>
                </w:tcPr>
                <w:p w14:paraId="3C9ECB54">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4129206.177</w:t>
                  </w:r>
                </w:p>
              </w:tc>
              <w:tc>
                <w:tcPr>
                  <w:tcW w:w="1058" w:type="pct"/>
                  <w:tcBorders>
                    <w:tl2br w:val="nil"/>
                    <w:tr2bl w:val="nil"/>
                  </w:tcBorders>
                  <w:shd w:val="clear" w:color="auto" w:fill="auto"/>
                  <w:noWrap/>
                  <w:vAlign w:val="center"/>
                </w:tcPr>
                <w:p w14:paraId="736F701C">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35540700.745</w:t>
                  </w:r>
                </w:p>
              </w:tc>
            </w:tr>
            <w:tr w14:paraId="020A255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4CF92631">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J50</w:t>
                  </w:r>
                </w:p>
              </w:tc>
              <w:tc>
                <w:tcPr>
                  <w:tcW w:w="978" w:type="pct"/>
                  <w:tcBorders>
                    <w:tl2br w:val="nil"/>
                    <w:tr2bl w:val="nil"/>
                  </w:tcBorders>
                  <w:shd w:val="clear" w:color="auto" w:fill="auto"/>
                  <w:noWrap/>
                  <w:vAlign w:val="center"/>
                </w:tcPr>
                <w:p w14:paraId="7C4A8D2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4128362.180</w:t>
                  </w:r>
                </w:p>
              </w:tc>
              <w:tc>
                <w:tcPr>
                  <w:tcW w:w="1058" w:type="pct"/>
                  <w:tcBorders>
                    <w:tl2br w:val="nil"/>
                    <w:tr2bl w:val="nil"/>
                  </w:tcBorders>
                  <w:shd w:val="clear" w:color="auto" w:fill="auto"/>
                  <w:noWrap/>
                  <w:vAlign w:val="center"/>
                </w:tcPr>
                <w:p w14:paraId="0C11D693">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35541044.248</w:t>
                  </w:r>
                </w:p>
              </w:tc>
              <w:tc>
                <w:tcPr>
                  <w:tcW w:w="462" w:type="pct"/>
                  <w:tcBorders>
                    <w:tl2br w:val="nil"/>
                    <w:tr2bl w:val="nil"/>
                  </w:tcBorders>
                  <w:shd w:val="clear" w:color="auto" w:fill="auto"/>
                  <w:noWrap/>
                  <w:vAlign w:val="center"/>
                </w:tcPr>
                <w:p w14:paraId="30DD4E5F">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J138</w:t>
                  </w:r>
                </w:p>
              </w:tc>
              <w:tc>
                <w:tcPr>
                  <w:tcW w:w="978" w:type="pct"/>
                  <w:tcBorders>
                    <w:tl2br w:val="nil"/>
                    <w:tr2bl w:val="nil"/>
                  </w:tcBorders>
                  <w:shd w:val="clear" w:color="auto" w:fill="auto"/>
                  <w:noWrap/>
                  <w:vAlign w:val="center"/>
                </w:tcPr>
                <w:p w14:paraId="1BF6CF9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4129212.127</w:t>
                  </w:r>
                </w:p>
              </w:tc>
              <w:tc>
                <w:tcPr>
                  <w:tcW w:w="1058" w:type="pct"/>
                  <w:tcBorders>
                    <w:tl2br w:val="nil"/>
                    <w:tr2bl w:val="nil"/>
                  </w:tcBorders>
                  <w:shd w:val="clear" w:color="auto" w:fill="auto"/>
                  <w:noWrap/>
                  <w:vAlign w:val="center"/>
                </w:tcPr>
                <w:p w14:paraId="2788FBE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35540698.771</w:t>
                  </w:r>
                </w:p>
              </w:tc>
            </w:tr>
            <w:tr w14:paraId="7DD189B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5196A111">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J51</w:t>
                  </w:r>
                </w:p>
              </w:tc>
              <w:tc>
                <w:tcPr>
                  <w:tcW w:w="978" w:type="pct"/>
                  <w:tcBorders>
                    <w:tl2br w:val="nil"/>
                    <w:tr2bl w:val="nil"/>
                  </w:tcBorders>
                  <w:shd w:val="clear" w:color="auto" w:fill="auto"/>
                  <w:noWrap/>
                  <w:vAlign w:val="center"/>
                </w:tcPr>
                <w:p w14:paraId="5B6D141C">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4128327.451</w:t>
                  </w:r>
                </w:p>
              </w:tc>
              <w:tc>
                <w:tcPr>
                  <w:tcW w:w="1058" w:type="pct"/>
                  <w:tcBorders>
                    <w:tl2br w:val="nil"/>
                    <w:tr2bl w:val="nil"/>
                  </w:tcBorders>
                  <w:shd w:val="clear" w:color="auto" w:fill="auto"/>
                  <w:noWrap/>
                  <w:vAlign w:val="center"/>
                </w:tcPr>
                <w:p w14:paraId="750AAF7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35540986.692</w:t>
                  </w:r>
                </w:p>
              </w:tc>
              <w:tc>
                <w:tcPr>
                  <w:tcW w:w="462" w:type="pct"/>
                  <w:tcBorders>
                    <w:tl2br w:val="nil"/>
                    <w:tr2bl w:val="nil"/>
                  </w:tcBorders>
                  <w:shd w:val="clear" w:color="auto" w:fill="auto"/>
                  <w:noWrap/>
                  <w:vAlign w:val="center"/>
                </w:tcPr>
                <w:p w14:paraId="643636D2">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J139</w:t>
                  </w:r>
                </w:p>
              </w:tc>
              <w:tc>
                <w:tcPr>
                  <w:tcW w:w="978" w:type="pct"/>
                  <w:tcBorders>
                    <w:tl2br w:val="nil"/>
                    <w:tr2bl w:val="nil"/>
                  </w:tcBorders>
                  <w:shd w:val="clear" w:color="auto" w:fill="auto"/>
                  <w:noWrap/>
                  <w:vAlign w:val="center"/>
                </w:tcPr>
                <w:p w14:paraId="57AB21CA">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4129214.481</w:t>
                  </w:r>
                </w:p>
              </w:tc>
              <w:tc>
                <w:tcPr>
                  <w:tcW w:w="1058" w:type="pct"/>
                  <w:tcBorders>
                    <w:tl2br w:val="nil"/>
                    <w:tr2bl w:val="nil"/>
                  </w:tcBorders>
                  <w:shd w:val="clear" w:color="auto" w:fill="auto"/>
                  <w:noWrap/>
                  <w:vAlign w:val="center"/>
                </w:tcPr>
                <w:p w14:paraId="3731DFB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35540719.283</w:t>
                  </w:r>
                </w:p>
              </w:tc>
            </w:tr>
            <w:tr w14:paraId="1740AF7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5DA5819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J52</w:t>
                  </w:r>
                </w:p>
              </w:tc>
              <w:tc>
                <w:tcPr>
                  <w:tcW w:w="978" w:type="pct"/>
                  <w:tcBorders>
                    <w:tl2br w:val="nil"/>
                    <w:tr2bl w:val="nil"/>
                  </w:tcBorders>
                  <w:shd w:val="clear" w:color="auto" w:fill="auto"/>
                  <w:noWrap/>
                  <w:vAlign w:val="center"/>
                </w:tcPr>
                <w:p w14:paraId="40FB4D68">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4128330.289</w:t>
                  </w:r>
                </w:p>
              </w:tc>
              <w:tc>
                <w:tcPr>
                  <w:tcW w:w="1058" w:type="pct"/>
                  <w:tcBorders>
                    <w:tl2br w:val="nil"/>
                    <w:tr2bl w:val="nil"/>
                  </w:tcBorders>
                  <w:shd w:val="clear" w:color="auto" w:fill="auto"/>
                  <w:noWrap/>
                  <w:vAlign w:val="center"/>
                </w:tcPr>
                <w:p w14:paraId="09F272A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35540891.724</w:t>
                  </w:r>
                </w:p>
              </w:tc>
              <w:tc>
                <w:tcPr>
                  <w:tcW w:w="462" w:type="pct"/>
                  <w:tcBorders>
                    <w:tl2br w:val="nil"/>
                    <w:tr2bl w:val="nil"/>
                  </w:tcBorders>
                  <w:shd w:val="clear" w:color="auto" w:fill="auto"/>
                  <w:noWrap/>
                  <w:vAlign w:val="center"/>
                </w:tcPr>
                <w:p w14:paraId="190C849F">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J140</w:t>
                  </w:r>
                </w:p>
              </w:tc>
              <w:tc>
                <w:tcPr>
                  <w:tcW w:w="978" w:type="pct"/>
                  <w:tcBorders>
                    <w:tl2br w:val="nil"/>
                    <w:tr2bl w:val="nil"/>
                  </w:tcBorders>
                  <w:shd w:val="clear" w:color="auto" w:fill="auto"/>
                  <w:noWrap/>
                  <w:vAlign w:val="center"/>
                </w:tcPr>
                <w:p w14:paraId="70647756">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4129220.566</w:t>
                  </w:r>
                </w:p>
              </w:tc>
              <w:tc>
                <w:tcPr>
                  <w:tcW w:w="1058" w:type="pct"/>
                  <w:tcBorders>
                    <w:tl2br w:val="nil"/>
                    <w:tr2bl w:val="nil"/>
                  </w:tcBorders>
                  <w:shd w:val="clear" w:color="auto" w:fill="auto"/>
                  <w:noWrap/>
                  <w:vAlign w:val="center"/>
                </w:tcPr>
                <w:p w14:paraId="4DBC1DE1">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35540731.719</w:t>
                  </w:r>
                </w:p>
              </w:tc>
            </w:tr>
            <w:tr w14:paraId="75FF0C5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4BA9E35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J53</w:t>
                  </w:r>
                </w:p>
              </w:tc>
              <w:tc>
                <w:tcPr>
                  <w:tcW w:w="978" w:type="pct"/>
                  <w:tcBorders>
                    <w:tl2br w:val="nil"/>
                    <w:tr2bl w:val="nil"/>
                  </w:tcBorders>
                  <w:shd w:val="clear" w:color="auto" w:fill="auto"/>
                  <w:noWrap/>
                  <w:vAlign w:val="center"/>
                </w:tcPr>
                <w:p w14:paraId="548592A2">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4128342.467</w:t>
                  </w:r>
                </w:p>
              </w:tc>
              <w:tc>
                <w:tcPr>
                  <w:tcW w:w="1058" w:type="pct"/>
                  <w:tcBorders>
                    <w:tl2br w:val="nil"/>
                    <w:tr2bl w:val="nil"/>
                  </w:tcBorders>
                  <w:shd w:val="clear" w:color="auto" w:fill="auto"/>
                  <w:noWrap/>
                  <w:vAlign w:val="center"/>
                </w:tcPr>
                <w:p w14:paraId="1ACA84F3">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35540824.574</w:t>
                  </w:r>
                </w:p>
              </w:tc>
              <w:tc>
                <w:tcPr>
                  <w:tcW w:w="462" w:type="pct"/>
                  <w:tcBorders>
                    <w:tl2br w:val="nil"/>
                    <w:tr2bl w:val="nil"/>
                  </w:tcBorders>
                  <w:shd w:val="clear" w:color="auto" w:fill="auto"/>
                  <w:noWrap/>
                  <w:vAlign w:val="center"/>
                </w:tcPr>
                <w:p w14:paraId="35DA55FF">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J141</w:t>
                  </w:r>
                </w:p>
              </w:tc>
              <w:tc>
                <w:tcPr>
                  <w:tcW w:w="978" w:type="pct"/>
                  <w:tcBorders>
                    <w:tl2br w:val="nil"/>
                    <w:tr2bl w:val="nil"/>
                  </w:tcBorders>
                  <w:shd w:val="clear" w:color="auto" w:fill="auto"/>
                  <w:noWrap/>
                  <w:vAlign w:val="center"/>
                </w:tcPr>
                <w:p w14:paraId="13C11C7F">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4129223.212</w:t>
                  </w:r>
                </w:p>
              </w:tc>
              <w:tc>
                <w:tcPr>
                  <w:tcW w:w="1058" w:type="pct"/>
                  <w:tcBorders>
                    <w:tl2br w:val="nil"/>
                    <w:tr2bl w:val="nil"/>
                  </w:tcBorders>
                  <w:shd w:val="clear" w:color="auto" w:fill="auto"/>
                  <w:noWrap/>
                  <w:vAlign w:val="center"/>
                </w:tcPr>
                <w:p w14:paraId="21B16EA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35540743.360</w:t>
                  </w:r>
                </w:p>
              </w:tc>
            </w:tr>
            <w:tr w14:paraId="79BCE6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2B775BB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J54</w:t>
                  </w:r>
                </w:p>
              </w:tc>
              <w:tc>
                <w:tcPr>
                  <w:tcW w:w="978" w:type="pct"/>
                  <w:tcBorders>
                    <w:tl2br w:val="nil"/>
                    <w:tr2bl w:val="nil"/>
                  </w:tcBorders>
                  <w:shd w:val="clear" w:color="auto" w:fill="auto"/>
                  <w:noWrap/>
                  <w:vAlign w:val="center"/>
                </w:tcPr>
                <w:p w14:paraId="3216708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4128230.924</w:t>
                  </w:r>
                </w:p>
              </w:tc>
              <w:tc>
                <w:tcPr>
                  <w:tcW w:w="1058" w:type="pct"/>
                  <w:tcBorders>
                    <w:tl2br w:val="nil"/>
                    <w:tr2bl w:val="nil"/>
                  </w:tcBorders>
                  <w:shd w:val="clear" w:color="auto" w:fill="auto"/>
                  <w:noWrap/>
                  <w:vAlign w:val="center"/>
                </w:tcPr>
                <w:p w14:paraId="50566ABC">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35540823.628</w:t>
                  </w:r>
                </w:p>
              </w:tc>
              <w:tc>
                <w:tcPr>
                  <w:tcW w:w="462" w:type="pct"/>
                  <w:tcBorders>
                    <w:tl2br w:val="nil"/>
                    <w:tr2bl w:val="nil"/>
                  </w:tcBorders>
                  <w:shd w:val="clear" w:color="auto" w:fill="auto"/>
                  <w:noWrap/>
                  <w:vAlign w:val="center"/>
                </w:tcPr>
                <w:p w14:paraId="38C1428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J142</w:t>
                  </w:r>
                </w:p>
              </w:tc>
              <w:tc>
                <w:tcPr>
                  <w:tcW w:w="978" w:type="pct"/>
                  <w:tcBorders>
                    <w:tl2br w:val="nil"/>
                    <w:tr2bl w:val="nil"/>
                  </w:tcBorders>
                  <w:shd w:val="clear" w:color="auto" w:fill="auto"/>
                  <w:noWrap/>
                  <w:vAlign w:val="center"/>
                </w:tcPr>
                <w:p w14:paraId="1A9EE2E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4129203.633</w:t>
                  </w:r>
                </w:p>
              </w:tc>
              <w:tc>
                <w:tcPr>
                  <w:tcW w:w="1058" w:type="pct"/>
                  <w:tcBorders>
                    <w:tl2br w:val="nil"/>
                    <w:tr2bl w:val="nil"/>
                  </w:tcBorders>
                  <w:shd w:val="clear" w:color="auto" w:fill="auto"/>
                  <w:noWrap/>
                  <w:vAlign w:val="center"/>
                </w:tcPr>
                <w:p w14:paraId="40A80AC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35540768.496</w:t>
                  </w:r>
                </w:p>
              </w:tc>
            </w:tr>
            <w:tr w14:paraId="3594A6F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1DC08C93">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J55</w:t>
                  </w:r>
                </w:p>
              </w:tc>
              <w:tc>
                <w:tcPr>
                  <w:tcW w:w="978" w:type="pct"/>
                  <w:tcBorders>
                    <w:tl2br w:val="nil"/>
                    <w:tr2bl w:val="nil"/>
                  </w:tcBorders>
                  <w:shd w:val="clear" w:color="auto" w:fill="auto"/>
                  <w:noWrap/>
                  <w:vAlign w:val="center"/>
                </w:tcPr>
                <w:p w14:paraId="2445D59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4128184.684</w:t>
                  </w:r>
                </w:p>
              </w:tc>
              <w:tc>
                <w:tcPr>
                  <w:tcW w:w="1058" w:type="pct"/>
                  <w:tcBorders>
                    <w:tl2br w:val="nil"/>
                    <w:tr2bl w:val="nil"/>
                  </w:tcBorders>
                  <w:shd w:val="clear" w:color="auto" w:fill="auto"/>
                  <w:noWrap/>
                  <w:vAlign w:val="center"/>
                </w:tcPr>
                <w:p w14:paraId="5A68094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35540818.578</w:t>
                  </w:r>
                </w:p>
              </w:tc>
              <w:tc>
                <w:tcPr>
                  <w:tcW w:w="462" w:type="pct"/>
                  <w:tcBorders>
                    <w:tl2br w:val="nil"/>
                    <w:tr2bl w:val="nil"/>
                  </w:tcBorders>
                  <w:shd w:val="clear" w:color="auto" w:fill="auto"/>
                  <w:noWrap/>
                  <w:vAlign w:val="center"/>
                </w:tcPr>
                <w:p w14:paraId="67FFEE3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J143</w:t>
                  </w:r>
                </w:p>
              </w:tc>
              <w:tc>
                <w:tcPr>
                  <w:tcW w:w="978" w:type="pct"/>
                  <w:tcBorders>
                    <w:tl2br w:val="nil"/>
                    <w:tr2bl w:val="nil"/>
                  </w:tcBorders>
                  <w:shd w:val="clear" w:color="auto" w:fill="auto"/>
                  <w:noWrap/>
                  <w:vAlign w:val="center"/>
                </w:tcPr>
                <w:p w14:paraId="3D1AF854">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4129181.408</w:t>
                  </w:r>
                </w:p>
              </w:tc>
              <w:tc>
                <w:tcPr>
                  <w:tcW w:w="1058" w:type="pct"/>
                  <w:tcBorders>
                    <w:tl2br w:val="nil"/>
                    <w:tr2bl w:val="nil"/>
                  </w:tcBorders>
                  <w:shd w:val="clear" w:color="auto" w:fill="auto"/>
                  <w:noWrap/>
                  <w:vAlign w:val="center"/>
                </w:tcPr>
                <w:p w14:paraId="1BA32D6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35540782.519</w:t>
                  </w:r>
                </w:p>
              </w:tc>
            </w:tr>
            <w:tr w14:paraId="0D07B44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5D06AFF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J56</w:t>
                  </w:r>
                </w:p>
              </w:tc>
              <w:tc>
                <w:tcPr>
                  <w:tcW w:w="978" w:type="pct"/>
                  <w:tcBorders>
                    <w:tl2br w:val="nil"/>
                    <w:tr2bl w:val="nil"/>
                  </w:tcBorders>
                  <w:shd w:val="clear" w:color="auto" w:fill="auto"/>
                  <w:noWrap/>
                  <w:vAlign w:val="center"/>
                </w:tcPr>
                <w:p w14:paraId="364AC08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4128085.551</w:t>
                  </w:r>
                </w:p>
              </w:tc>
              <w:tc>
                <w:tcPr>
                  <w:tcW w:w="1058" w:type="pct"/>
                  <w:tcBorders>
                    <w:tl2br w:val="nil"/>
                    <w:tr2bl w:val="nil"/>
                  </w:tcBorders>
                  <w:shd w:val="clear" w:color="auto" w:fill="auto"/>
                  <w:noWrap/>
                  <w:vAlign w:val="center"/>
                </w:tcPr>
                <w:p w14:paraId="65E80293">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35540797.959</w:t>
                  </w:r>
                </w:p>
              </w:tc>
              <w:tc>
                <w:tcPr>
                  <w:tcW w:w="462" w:type="pct"/>
                  <w:tcBorders>
                    <w:tl2br w:val="nil"/>
                    <w:tr2bl w:val="nil"/>
                  </w:tcBorders>
                  <w:shd w:val="clear" w:color="auto" w:fill="auto"/>
                  <w:noWrap/>
                  <w:vAlign w:val="center"/>
                </w:tcPr>
                <w:p w14:paraId="5E9EED78">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J144</w:t>
                  </w:r>
                </w:p>
              </w:tc>
              <w:tc>
                <w:tcPr>
                  <w:tcW w:w="978" w:type="pct"/>
                  <w:tcBorders>
                    <w:tl2br w:val="nil"/>
                    <w:tr2bl w:val="nil"/>
                  </w:tcBorders>
                  <w:shd w:val="clear" w:color="auto" w:fill="auto"/>
                  <w:noWrap/>
                  <w:vAlign w:val="center"/>
                </w:tcPr>
                <w:p w14:paraId="1D3584C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4129183.789</w:t>
                  </w:r>
                </w:p>
              </w:tc>
              <w:tc>
                <w:tcPr>
                  <w:tcW w:w="1058" w:type="pct"/>
                  <w:tcBorders>
                    <w:tl2br w:val="nil"/>
                    <w:tr2bl w:val="nil"/>
                  </w:tcBorders>
                  <w:shd w:val="clear" w:color="auto" w:fill="auto"/>
                  <w:noWrap/>
                  <w:vAlign w:val="center"/>
                </w:tcPr>
                <w:p w14:paraId="3D0CD6AA">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35540801.304</w:t>
                  </w:r>
                </w:p>
              </w:tc>
            </w:tr>
            <w:tr w14:paraId="0981AC5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13C0E9F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J57</w:t>
                  </w:r>
                </w:p>
              </w:tc>
              <w:tc>
                <w:tcPr>
                  <w:tcW w:w="978" w:type="pct"/>
                  <w:tcBorders>
                    <w:tl2br w:val="nil"/>
                    <w:tr2bl w:val="nil"/>
                  </w:tcBorders>
                  <w:shd w:val="clear" w:color="auto" w:fill="auto"/>
                  <w:noWrap/>
                  <w:vAlign w:val="center"/>
                </w:tcPr>
                <w:p w14:paraId="59758EC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4128036.828</w:t>
                  </w:r>
                </w:p>
              </w:tc>
              <w:tc>
                <w:tcPr>
                  <w:tcW w:w="1058" w:type="pct"/>
                  <w:tcBorders>
                    <w:tl2br w:val="nil"/>
                    <w:tr2bl w:val="nil"/>
                  </w:tcBorders>
                  <w:shd w:val="clear" w:color="auto" w:fill="auto"/>
                  <w:noWrap/>
                  <w:vAlign w:val="center"/>
                </w:tcPr>
                <w:p w14:paraId="6F07BC0C">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35540780.707</w:t>
                  </w:r>
                </w:p>
              </w:tc>
              <w:tc>
                <w:tcPr>
                  <w:tcW w:w="462" w:type="pct"/>
                  <w:tcBorders>
                    <w:tl2br w:val="nil"/>
                    <w:tr2bl w:val="nil"/>
                  </w:tcBorders>
                  <w:shd w:val="clear" w:color="auto" w:fill="auto"/>
                  <w:noWrap/>
                  <w:vAlign w:val="center"/>
                </w:tcPr>
                <w:p w14:paraId="1B1C7C44">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J145</w:t>
                  </w:r>
                </w:p>
              </w:tc>
              <w:tc>
                <w:tcPr>
                  <w:tcW w:w="978" w:type="pct"/>
                  <w:tcBorders>
                    <w:tl2br w:val="nil"/>
                    <w:tr2bl w:val="nil"/>
                  </w:tcBorders>
                  <w:shd w:val="clear" w:color="auto" w:fill="auto"/>
                  <w:noWrap/>
                  <w:vAlign w:val="center"/>
                </w:tcPr>
                <w:p w14:paraId="4A94CB4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4129250.729</w:t>
                  </w:r>
                </w:p>
              </w:tc>
              <w:tc>
                <w:tcPr>
                  <w:tcW w:w="1058" w:type="pct"/>
                  <w:tcBorders>
                    <w:tl2br w:val="nil"/>
                    <w:tr2bl w:val="nil"/>
                  </w:tcBorders>
                  <w:shd w:val="clear" w:color="auto" w:fill="auto"/>
                  <w:noWrap/>
                  <w:vAlign w:val="center"/>
                </w:tcPr>
                <w:p w14:paraId="6573A783">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35540840.198</w:t>
                  </w:r>
                </w:p>
              </w:tc>
            </w:tr>
            <w:tr w14:paraId="41EB084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5ABF4BA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J58</w:t>
                  </w:r>
                </w:p>
              </w:tc>
              <w:tc>
                <w:tcPr>
                  <w:tcW w:w="978" w:type="pct"/>
                  <w:tcBorders>
                    <w:tl2br w:val="nil"/>
                    <w:tr2bl w:val="nil"/>
                  </w:tcBorders>
                  <w:shd w:val="clear" w:color="auto" w:fill="auto"/>
                  <w:noWrap/>
                  <w:vAlign w:val="center"/>
                </w:tcPr>
                <w:p w14:paraId="3368D562">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4128090.582</w:t>
                  </w:r>
                </w:p>
              </w:tc>
              <w:tc>
                <w:tcPr>
                  <w:tcW w:w="1058" w:type="pct"/>
                  <w:tcBorders>
                    <w:tl2br w:val="nil"/>
                    <w:tr2bl w:val="nil"/>
                  </w:tcBorders>
                  <w:shd w:val="clear" w:color="auto" w:fill="auto"/>
                  <w:noWrap/>
                  <w:vAlign w:val="center"/>
                </w:tcPr>
                <w:p w14:paraId="60EEF2E6">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35540737.496</w:t>
                  </w:r>
                </w:p>
              </w:tc>
              <w:tc>
                <w:tcPr>
                  <w:tcW w:w="462" w:type="pct"/>
                  <w:tcBorders>
                    <w:tl2br w:val="nil"/>
                    <w:tr2bl w:val="nil"/>
                  </w:tcBorders>
                  <w:shd w:val="clear" w:color="auto" w:fill="auto"/>
                  <w:noWrap/>
                  <w:vAlign w:val="center"/>
                </w:tcPr>
                <w:p w14:paraId="19D3DF3A">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J146</w:t>
                  </w:r>
                </w:p>
              </w:tc>
              <w:tc>
                <w:tcPr>
                  <w:tcW w:w="978" w:type="pct"/>
                  <w:tcBorders>
                    <w:tl2br w:val="nil"/>
                    <w:tr2bl w:val="nil"/>
                  </w:tcBorders>
                  <w:shd w:val="clear" w:color="auto" w:fill="auto"/>
                  <w:noWrap/>
                  <w:vAlign w:val="center"/>
                </w:tcPr>
                <w:p w14:paraId="3AB15C72">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4129267.372</w:t>
                  </w:r>
                </w:p>
              </w:tc>
              <w:tc>
                <w:tcPr>
                  <w:tcW w:w="1058" w:type="pct"/>
                  <w:tcBorders>
                    <w:tl2br w:val="nil"/>
                    <w:tr2bl w:val="nil"/>
                  </w:tcBorders>
                  <w:shd w:val="clear" w:color="auto" w:fill="auto"/>
                  <w:noWrap/>
                  <w:vAlign w:val="center"/>
                </w:tcPr>
                <w:p w14:paraId="51023BE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35540861.343</w:t>
                  </w:r>
                </w:p>
              </w:tc>
            </w:tr>
            <w:tr w14:paraId="048A36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5264157C">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J59</w:t>
                  </w:r>
                </w:p>
              </w:tc>
              <w:tc>
                <w:tcPr>
                  <w:tcW w:w="978" w:type="pct"/>
                  <w:tcBorders>
                    <w:tl2br w:val="nil"/>
                    <w:tr2bl w:val="nil"/>
                  </w:tcBorders>
                  <w:shd w:val="clear" w:color="auto" w:fill="auto"/>
                  <w:noWrap/>
                  <w:vAlign w:val="center"/>
                </w:tcPr>
                <w:p w14:paraId="50C27F4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4128123.521</w:t>
                  </w:r>
                </w:p>
              </w:tc>
              <w:tc>
                <w:tcPr>
                  <w:tcW w:w="1058" w:type="pct"/>
                  <w:tcBorders>
                    <w:tl2br w:val="nil"/>
                    <w:tr2bl w:val="nil"/>
                  </w:tcBorders>
                  <w:shd w:val="clear" w:color="auto" w:fill="auto"/>
                  <w:noWrap/>
                  <w:vAlign w:val="center"/>
                </w:tcPr>
                <w:p w14:paraId="3E0C8563">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35540722.565</w:t>
                  </w:r>
                </w:p>
              </w:tc>
              <w:tc>
                <w:tcPr>
                  <w:tcW w:w="462" w:type="pct"/>
                  <w:tcBorders>
                    <w:tl2br w:val="nil"/>
                    <w:tr2bl w:val="nil"/>
                  </w:tcBorders>
                  <w:shd w:val="clear" w:color="auto" w:fill="auto"/>
                  <w:noWrap/>
                  <w:vAlign w:val="center"/>
                </w:tcPr>
                <w:p w14:paraId="68678CF3">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J147</w:t>
                  </w:r>
                </w:p>
              </w:tc>
              <w:tc>
                <w:tcPr>
                  <w:tcW w:w="978" w:type="pct"/>
                  <w:tcBorders>
                    <w:tl2br w:val="nil"/>
                    <w:tr2bl w:val="nil"/>
                  </w:tcBorders>
                  <w:shd w:val="clear" w:color="auto" w:fill="auto"/>
                  <w:noWrap/>
                  <w:vAlign w:val="center"/>
                </w:tcPr>
                <w:p w14:paraId="1AA9C342">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4129274.716</w:t>
                  </w:r>
                </w:p>
              </w:tc>
              <w:tc>
                <w:tcPr>
                  <w:tcW w:w="1058" w:type="pct"/>
                  <w:tcBorders>
                    <w:tl2br w:val="nil"/>
                    <w:tr2bl w:val="nil"/>
                  </w:tcBorders>
                  <w:shd w:val="clear" w:color="auto" w:fill="auto"/>
                  <w:noWrap/>
                  <w:vAlign w:val="center"/>
                </w:tcPr>
                <w:p w14:paraId="08D1CA5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35540890.701</w:t>
                  </w:r>
                </w:p>
              </w:tc>
            </w:tr>
            <w:tr w14:paraId="5331F1B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6C7B8B7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J60</w:t>
                  </w:r>
                </w:p>
              </w:tc>
              <w:tc>
                <w:tcPr>
                  <w:tcW w:w="978" w:type="pct"/>
                  <w:tcBorders>
                    <w:tl2br w:val="nil"/>
                    <w:tr2bl w:val="nil"/>
                  </w:tcBorders>
                  <w:shd w:val="clear" w:color="auto" w:fill="auto"/>
                  <w:noWrap/>
                  <w:vAlign w:val="center"/>
                </w:tcPr>
                <w:p w14:paraId="55EB4C0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4128169.704</w:t>
                  </w:r>
                </w:p>
              </w:tc>
              <w:tc>
                <w:tcPr>
                  <w:tcW w:w="1058" w:type="pct"/>
                  <w:tcBorders>
                    <w:tl2br w:val="nil"/>
                    <w:tr2bl w:val="nil"/>
                  </w:tcBorders>
                  <w:shd w:val="clear" w:color="auto" w:fill="auto"/>
                  <w:noWrap/>
                  <w:vAlign w:val="center"/>
                </w:tcPr>
                <w:p w14:paraId="73CF9C51">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35540716.010</w:t>
                  </w:r>
                </w:p>
              </w:tc>
              <w:tc>
                <w:tcPr>
                  <w:tcW w:w="462" w:type="pct"/>
                  <w:tcBorders>
                    <w:tl2br w:val="nil"/>
                    <w:tr2bl w:val="nil"/>
                  </w:tcBorders>
                  <w:shd w:val="clear" w:color="auto" w:fill="auto"/>
                  <w:noWrap/>
                  <w:vAlign w:val="center"/>
                </w:tcPr>
                <w:p w14:paraId="08EA28FC">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J148</w:t>
                  </w:r>
                </w:p>
              </w:tc>
              <w:tc>
                <w:tcPr>
                  <w:tcW w:w="978" w:type="pct"/>
                  <w:tcBorders>
                    <w:tl2br w:val="nil"/>
                    <w:tr2bl w:val="nil"/>
                  </w:tcBorders>
                  <w:shd w:val="clear" w:color="auto" w:fill="auto"/>
                  <w:noWrap/>
                  <w:vAlign w:val="center"/>
                </w:tcPr>
                <w:p w14:paraId="493D3A6F">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4129293.808</w:t>
                  </w:r>
                </w:p>
              </w:tc>
              <w:tc>
                <w:tcPr>
                  <w:tcW w:w="1058" w:type="pct"/>
                  <w:tcBorders>
                    <w:tl2br w:val="nil"/>
                    <w:tr2bl w:val="nil"/>
                  </w:tcBorders>
                  <w:shd w:val="clear" w:color="auto" w:fill="auto"/>
                  <w:noWrap/>
                  <w:vAlign w:val="center"/>
                </w:tcPr>
                <w:p w14:paraId="4AF6550A">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35540918.102</w:t>
                  </w:r>
                </w:p>
              </w:tc>
            </w:tr>
            <w:tr w14:paraId="36FF207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54552FD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J61</w:t>
                  </w:r>
                </w:p>
              </w:tc>
              <w:tc>
                <w:tcPr>
                  <w:tcW w:w="978" w:type="pct"/>
                  <w:tcBorders>
                    <w:tl2br w:val="nil"/>
                    <w:tr2bl w:val="nil"/>
                  </w:tcBorders>
                  <w:shd w:val="clear" w:color="auto" w:fill="auto"/>
                  <w:noWrap/>
                  <w:vAlign w:val="center"/>
                </w:tcPr>
                <w:p w14:paraId="738A594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4128207.996</w:t>
                  </w:r>
                </w:p>
              </w:tc>
              <w:tc>
                <w:tcPr>
                  <w:tcW w:w="1058" w:type="pct"/>
                  <w:tcBorders>
                    <w:tl2br w:val="nil"/>
                    <w:tr2bl w:val="nil"/>
                  </w:tcBorders>
                  <w:shd w:val="clear" w:color="auto" w:fill="auto"/>
                  <w:noWrap/>
                  <w:vAlign w:val="center"/>
                </w:tcPr>
                <w:p w14:paraId="0309F08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35540715.824</w:t>
                  </w:r>
                </w:p>
              </w:tc>
              <w:tc>
                <w:tcPr>
                  <w:tcW w:w="462" w:type="pct"/>
                  <w:tcBorders>
                    <w:tl2br w:val="nil"/>
                    <w:tr2bl w:val="nil"/>
                  </w:tcBorders>
                  <w:shd w:val="clear" w:color="auto" w:fill="auto"/>
                  <w:noWrap/>
                  <w:vAlign w:val="center"/>
                </w:tcPr>
                <w:p w14:paraId="0E73083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J149</w:t>
                  </w:r>
                </w:p>
              </w:tc>
              <w:tc>
                <w:tcPr>
                  <w:tcW w:w="978" w:type="pct"/>
                  <w:tcBorders>
                    <w:tl2br w:val="nil"/>
                    <w:tr2bl w:val="nil"/>
                  </w:tcBorders>
                  <w:shd w:val="clear" w:color="auto" w:fill="auto"/>
                  <w:noWrap/>
                  <w:vAlign w:val="center"/>
                </w:tcPr>
                <w:p w14:paraId="5B17F6CF">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4129309.718</w:t>
                  </w:r>
                </w:p>
              </w:tc>
              <w:tc>
                <w:tcPr>
                  <w:tcW w:w="1058" w:type="pct"/>
                  <w:tcBorders>
                    <w:tl2br w:val="nil"/>
                    <w:tr2bl w:val="nil"/>
                  </w:tcBorders>
                  <w:shd w:val="clear" w:color="auto" w:fill="auto"/>
                  <w:noWrap/>
                  <w:vAlign w:val="center"/>
                </w:tcPr>
                <w:p w14:paraId="25E57BC1">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35540945.503</w:t>
                  </w:r>
                </w:p>
              </w:tc>
            </w:tr>
            <w:tr w14:paraId="737DA1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027D6A48">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J62</w:t>
                  </w:r>
                </w:p>
              </w:tc>
              <w:tc>
                <w:tcPr>
                  <w:tcW w:w="978" w:type="pct"/>
                  <w:tcBorders>
                    <w:tl2br w:val="nil"/>
                    <w:tr2bl w:val="nil"/>
                  </w:tcBorders>
                  <w:shd w:val="clear" w:color="auto" w:fill="auto"/>
                  <w:noWrap/>
                  <w:vAlign w:val="center"/>
                </w:tcPr>
                <w:p w14:paraId="1F89E0A8">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4128233.084</w:t>
                  </w:r>
                </w:p>
              </w:tc>
              <w:tc>
                <w:tcPr>
                  <w:tcW w:w="1058" w:type="pct"/>
                  <w:tcBorders>
                    <w:tl2br w:val="nil"/>
                    <w:tr2bl w:val="nil"/>
                  </w:tcBorders>
                  <w:shd w:val="clear" w:color="auto" w:fill="auto"/>
                  <w:noWrap/>
                  <w:vAlign w:val="center"/>
                </w:tcPr>
                <w:p w14:paraId="79A7FF3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35540715.702</w:t>
                  </w:r>
                </w:p>
              </w:tc>
              <w:tc>
                <w:tcPr>
                  <w:tcW w:w="462" w:type="pct"/>
                  <w:tcBorders>
                    <w:tl2br w:val="nil"/>
                    <w:tr2bl w:val="nil"/>
                  </w:tcBorders>
                  <w:shd w:val="clear" w:color="auto" w:fill="auto"/>
                  <w:noWrap/>
                  <w:vAlign w:val="center"/>
                </w:tcPr>
                <w:p w14:paraId="3BB9EA24">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J150</w:t>
                  </w:r>
                </w:p>
              </w:tc>
              <w:tc>
                <w:tcPr>
                  <w:tcW w:w="978" w:type="pct"/>
                  <w:tcBorders>
                    <w:tl2br w:val="nil"/>
                    <w:tr2bl w:val="nil"/>
                  </w:tcBorders>
                  <w:shd w:val="clear" w:color="auto" w:fill="auto"/>
                  <w:noWrap/>
                  <w:vAlign w:val="center"/>
                </w:tcPr>
                <w:p w14:paraId="01D9C982">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4129326.927</w:t>
                  </w:r>
                </w:p>
              </w:tc>
              <w:tc>
                <w:tcPr>
                  <w:tcW w:w="1058" w:type="pct"/>
                  <w:tcBorders>
                    <w:tl2br w:val="nil"/>
                    <w:tr2bl w:val="nil"/>
                  </w:tcBorders>
                  <w:shd w:val="clear" w:color="auto" w:fill="auto"/>
                  <w:noWrap/>
                  <w:vAlign w:val="center"/>
                </w:tcPr>
                <w:p w14:paraId="52A3F50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35540967.053</w:t>
                  </w:r>
                </w:p>
              </w:tc>
            </w:tr>
            <w:tr w14:paraId="6F062A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3B30B9DF">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J63</w:t>
                  </w:r>
                </w:p>
              </w:tc>
              <w:tc>
                <w:tcPr>
                  <w:tcW w:w="978" w:type="pct"/>
                  <w:tcBorders>
                    <w:tl2br w:val="nil"/>
                    <w:tr2bl w:val="nil"/>
                  </w:tcBorders>
                  <w:shd w:val="clear" w:color="auto" w:fill="auto"/>
                  <w:noWrap/>
                  <w:vAlign w:val="center"/>
                </w:tcPr>
                <w:p w14:paraId="7B96188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4128242.555</w:t>
                  </w:r>
                </w:p>
              </w:tc>
              <w:tc>
                <w:tcPr>
                  <w:tcW w:w="1058" w:type="pct"/>
                  <w:tcBorders>
                    <w:tl2br w:val="nil"/>
                    <w:tr2bl w:val="nil"/>
                  </w:tcBorders>
                  <w:shd w:val="clear" w:color="auto" w:fill="auto"/>
                  <w:noWrap/>
                  <w:vAlign w:val="center"/>
                </w:tcPr>
                <w:p w14:paraId="53D12A0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35540715.152</w:t>
                  </w:r>
                </w:p>
              </w:tc>
              <w:tc>
                <w:tcPr>
                  <w:tcW w:w="462" w:type="pct"/>
                  <w:tcBorders>
                    <w:tl2br w:val="nil"/>
                    <w:tr2bl w:val="nil"/>
                  </w:tcBorders>
                  <w:shd w:val="clear" w:color="auto" w:fill="auto"/>
                  <w:noWrap/>
                  <w:vAlign w:val="center"/>
                </w:tcPr>
                <w:p w14:paraId="3874C76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J151</w:t>
                  </w:r>
                </w:p>
              </w:tc>
              <w:tc>
                <w:tcPr>
                  <w:tcW w:w="978" w:type="pct"/>
                  <w:tcBorders>
                    <w:tl2br w:val="nil"/>
                    <w:tr2bl w:val="nil"/>
                  </w:tcBorders>
                  <w:shd w:val="clear" w:color="auto" w:fill="auto"/>
                  <w:noWrap/>
                  <w:vAlign w:val="center"/>
                </w:tcPr>
                <w:p w14:paraId="5202F328">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4129361.541</w:t>
                  </w:r>
                </w:p>
              </w:tc>
              <w:tc>
                <w:tcPr>
                  <w:tcW w:w="1058" w:type="pct"/>
                  <w:tcBorders>
                    <w:tl2br w:val="nil"/>
                    <w:tr2bl w:val="nil"/>
                  </w:tcBorders>
                  <w:shd w:val="clear" w:color="auto" w:fill="auto"/>
                  <w:noWrap/>
                  <w:vAlign w:val="center"/>
                </w:tcPr>
                <w:p w14:paraId="1C8CDAA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35540968.478</w:t>
                  </w:r>
                </w:p>
              </w:tc>
            </w:tr>
            <w:tr w14:paraId="7F42BB3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79326CA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J64</w:t>
                  </w:r>
                </w:p>
              </w:tc>
              <w:tc>
                <w:tcPr>
                  <w:tcW w:w="978" w:type="pct"/>
                  <w:tcBorders>
                    <w:tl2br w:val="nil"/>
                    <w:tr2bl w:val="nil"/>
                  </w:tcBorders>
                  <w:shd w:val="clear" w:color="auto" w:fill="auto"/>
                  <w:noWrap/>
                  <w:vAlign w:val="center"/>
                </w:tcPr>
                <w:p w14:paraId="1C80935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4128248.758</w:t>
                  </w:r>
                </w:p>
              </w:tc>
              <w:tc>
                <w:tcPr>
                  <w:tcW w:w="1058" w:type="pct"/>
                  <w:tcBorders>
                    <w:tl2br w:val="nil"/>
                    <w:tr2bl w:val="nil"/>
                  </w:tcBorders>
                  <w:shd w:val="clear" w:color="auto" w:fill="auto"/>
                  <w:noWrap/>
                  <w:vAlign w:val="center"/>
                </w:tcPr>
                <w:p w14:paraId="399DB56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35540714.791</w:t>
                  </w:r>
                </w:p>
              </w:tc>
              <w:tc>
                <w:tcPr>
                  <w:tcW w:w="462" w:type="pct"/>
                  <w:tcBorders>
                    <w:tl2br w:val="nil"/>
                    <w:tr2bl w:val="nil"/>
                  </w:tcBorders>
                  <w:shd w:val="clear" w:color="auto" w:fill="auto"/>
                  <w:noWrap/>
                  <w:vAlign w:val="center"/>
                </w:tcPr>
                <w:p w14:paraId="6B4528D8">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J152</w:t>
                  </w:r>
                </w:p>
              </w:tc>
              <w:tc>
                <w:tcPr>
                  <w:tcW w:w="978" w:type="pct"/>
                  <w:tcBorders>
                    <w:tl2br w:val="nil"/>
                    <w:tr2bl w:val="nil"/>
                  </w:tcBorders>
                  <w:shd w:val="clear" w:color="auto" w:fill="auto"/>
                  <w:noWrap/>
                  <w:vAlign w:val="center"/>
                </w:tcPr>
                <w:p w14:paraId="5214E5B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4129409.479</w:t>
                  </w:r>
                </w:p>
              </w:tc>
              <w:tc>
                <w:tcPr>
                  <w:tcW w:w="1058" w:type="pct"/>
                  <w:tcBorders>
                    <w:tl2br w:val="nil"/>
                    <w:tr2bl w:val="nil"/>
                  </w:tcBorders>
                  <w:shd w:val="clear" w:color="auto" w:fill="auto"/>
                  <w:noWrap/>
                  <w:vAlign w:val="center"/>
                </w:tcPr>
                <w:p w14:paraId="0ED6CB5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35540966.140</w:t>
                  </w:r>
                </w:p>
              </w:tc>
            </w:tr>
            <w:tr w14:paraId="29BE10C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2B67E1C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J65</w:t>
                  </w:r>
                </w:p>
              </w:tc>
              <w:tc>
                <w:tcPr>
                  <w:tcW w:w="978" w:type="pct"/>
                  <w:tcBorders>
                    <w:tl2br w:val="nil"/>
                    <w:tr2bl w:val="nil"/>
                  </w:tcBorders>
                  <w:shd w:val="clear" w:color="auto" w:fill="auto"/>
                  <w:noWrap/>
                  <w:vAlign w:val="center"/>
                </w:tcPr>
                <w:p w14:paraId="271F75CC">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4128255.711</w:t>
                  </w:r>
                </w:p>
              </w:tc>
              <w:tc>
                <w:tcPr>
                  <w:tcW w:w="1058" w:type="pct"/>
                  <w:tcBorders>
                    <w:tl2br w:val="nil"/>
                    <w:tr2bl w:val="nil"/>
                  </w:tcBorders>
                  <w:shd w:val="clear" w:color="auto" w:fill="auto"/>
                  <w:noWrap/>
                  <w:vAlign w:val="center"/>
                </w:tcPr>
                <w:p w14:paraId="6A911C41">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35540715.066</w:t>
                  </w:r>
                </w:p>
              </w:tc>
              <w:tc>
                <w:tcPr>
                  <w:tcW w:w="462" w:type="pct"/>
                  <w:tcBorders>
                    <w:tl2br w:val="nil"/>
                    <w:tr2bl w:val="nil"/>
                  </w:tcBorders>
                  <w:shd w:val="clear" w:color="auto" w:fill="auto"/>
                  <w:noWrap/>
                  <w:vAlign w:val="center"/>
                </w:tcPr>
                <w:p w14:paraId="4AD36FA1">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J153</w:t>
                  </w:r>
                </w:p>
              </w:tc>
              <w:tc>
                <w:tcPr>
                  <w:tcW w:w="978" w:type="pct"/>
                  <w:tcBorders>
                    <w:tl2br w:val="nil"/>
                    <w:tr2bl w:val="nil"/>
                  </w:tcBorders>
                  <w:shd w:val="clear" w:color="auto" w:fill="auto"/>
                  <w:noWrap/>
                  <w:vAlign w:val="center"/>
                </w:tcPr>
                <w:p w14:paraId="2761E658">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4129416.623</w:t>
                  </w:r>
                </w:p>
              </w:tc>
              <w:tc>
                <w:tcPr>
                  <w:tcW w:w="1058" w:type="pct"/>
                  <w:tcBorders>
                    <w:tl2br w:val="nil"/>
                    <w:tr2bl w:val="nil"/>
                  </w:tcBorders>
                  <w:shd w:val="clear" w:color="auto" w:fill="auto"/>
                  <w:noWrap/>
                  <w:vAlign w:val="center"/>
                </w:tcPr>
                <w:p w14:paraId="14CFB774">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35540977.782</w:t>
                  </w:r>
                </w:p>
              </w:tc>
            </w:tr>
            <w:tr w14:paraId="71FC52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2B35D468">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J66</w:t>
                  </w:r>
                </w:p>
              </w:tc>
              <w:tc>
                <w:tcPr>
                  <w:tcW w:w="978" w:type="pct"/>
                  <w:tcBorders>
                    <w:tl2br w:val="nil"/>
                    <w:tr2bl w:val="nil"/>
                  </w:tcBorders>
                  <w:shd w:val="clear" w:color="auto" w:fill="auto"/>
                  <w:noWrap/>
                  <w:vAlign w:val="center"/>
                </w:tcPr>
                <w:p w14:paraId="6E88C31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4128248.970</w:t>
                  </w:r>
                </w:p>
              </w:tc>
              <w:tc>
                <w:tcPr>
                  <w:tcW w:w="1058" w:type="pct"/>
                  <w:tcBorders>
                    <w:tl2br w:val="nil"/>
                    <w:tr2bl w:val="nil"/>
                  </w:tcBorders>
                  <w:shd w:val="clear" w:color="auto" w:fill="auto"/>
                  <w:noWrap/>
                  <w:vAlign w:val="center"/>
                </w:tcPr>
                <w:p w14:paraId="7673952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35540696.845</w:t>
                  </w:r>
                </w:p>
              </w:tc>
              <w:tc>
                <w:tcPr>
                  <w:tcW w:w="462" w:type="pct"/>
                  <w:tcBorders>
                    <w:tl2br w:val="nil"/>
                    <w:tr2bl w:val="nil"/>
                  </w:tcBorders>
                  <w:shd w:val="clear" w:color="auto" w:fill="auto"/>
                  <w:noWrap/>
                  <w:vAlign w:val="center"/>
                </w:tcPr>
                <w:p w14:paraId="42C8EA3F">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J154</w:t>
                  </w:r>
                </w:p>
              </w:tc>
              <w:tc>
                <w:tcPr>
                  <w:tcW w:w="978" w:type="pct"/>
                  <w:tcBorders>
                    <w:tl2br w:val="nil"/>
                    <w:tr2bl w:val="nil"/>
                  </w:tcBorders>
                  <w:shd w:val="clear" w:color="auto" w:fill="auto"/>
                  <w:noWrap/>
                  <w:vAlign w:val="center"/>
                </w:tcPr>
                <w:p w14:paraId="37DE4BEC">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4129450.754</w:t>
                  </w:r>
                </w:p>
              </w:tc>
              <w:tc>
                <w:tcPr>
                  <w:tcW w:w="1058" w:type="pct"/>
                  <w:tcBorders>
                    <w:tl2br w:val="nil"/>
                    <w:tr2bl w:val="nil"/>
                  </w:tcBorders>
                  <w:shd w:val="clear" w:color="auto" w:fill="auto"/>
                  <w:noWrap/>
                  <w:vAlign w:val="center"/>
                </w:tcPr>
                <w:p w14:paraId="4FC60A4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35540946.296</w:t>
                  </w:r>
                </w:p>
              </w:tc>
            </w:tr>
            <w:tr w14:paraId="293D97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353F36D1">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J67</w:t>
                  </w:r>
                </w:p>
              </w:tc>
              <w:tc>
                <w:tcPr>
                  <w:tcW w:w="978" w:type="pct"/>
                  <w:tcBorders>
                    <w:tl2br w:val="nil"/>
                    <w:tr2bl w:val="nil"/>
                  </w:tcBorders>
                  <w:shd w:val="clear" w:color="auto" w:fill="auto"/>
                  <w:noWrap/>
                  <w:vAlign w:val="center"/>
                </w:tcPr>
                <w:p w14:paraId="1BCFA393">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4128239.444</w:t>
                  </w:r>
                </w:p>
              </w:tc>
              <w:tc>
                <w:tcPr>
                  <w:tcW w:w="1058" w:type="pct"/>
                  <w:tcBorders>
                    <w:tl2br w:val="nil"/>
                    <w:tr2bl w:val="nil"/>
                  </w:tcBorders>
                  <w:shd w:val="clear" w:color="auto" w:fill="auto"/>
                  <w:noWrap/>
                  <w:vAlign w:val="center"/>
                </w:tcPr>
                <w:p w14:paraId="4F3C00A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35540693.093</w:t>
                  </w:r>
                </w:p>
              </w:tc>
              <w:tc>
                <w:tcPr>
                  <w:tcW w:w="462" w:type="pct"/>
                  <w:tcBorders>
                    <w:tl2br w:val="nil"/>
                    <w:tr2bl w:val="nil"/>
                  </w:tcBorders>
                  <w:shd w:val="clear" w:color="auto" w:fill="auto"/>
                  <w:noWrap/>
                  <w:vAlign w:val="center"/>
                </w:tcPr>
                <w:p w14:paraId="5ACE158C">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J155</w:t>
                  </w:r>
                </w:p>
              </w:tc>
              <w:tc>
                <w:tcPr>
                  <w:tcW w:w="978" w:type="pct"/>
                  <w:tcBorders>
                    <w:tl2br w:val="nil"/>
                    <w:tr2bl w:val="nil"/>
                  </w:tcBorders>
                  <w:shd w:val="clear" w:color="auto" w:fill="auto"/>
                  <w:noWrap/>
                  <w:vAlign w:val="center"/>
                </w:tcPr>
                <w:p w14:paraId="0F0D67C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4129461.602</w:t>
                  </w:r>
                </w:p>
              </w:tc>
              <w:tc>
                <w:tcPr>
                  <w:tcW w:w="1058" w:type="pct"/>
                  <w:tcBorders>
                    <w:tl2br w:val="nil"/>
                    <w:tr2bl w:val="nil"/>
                  </w:tcBorders>
                  <w:shd w:val="clear" w:color="auto" w:fill="auto"/>
                  <w:noWrap/>
                  <w:vAlign w:val="center"/>
                </w:tcPr>
                <w:p w14:paraId="14F3F653">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35540946.032</w:t>
                  </w:r>
                </w:p>
              </w:tc>
            </w:tr>
            <w:tr w14:paraId="6512AE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7B6F8A4F">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J68</w:t>
                  </w:r>
                </w:p>
              </w:tc>
              <w:tc>
                <w:tcPr>
                  <w:tcW w:w="978" w:type="pct"/>
                  <w:tcBorders>
                    <w:tl2br w:val="nil"/>
                    <w:tr2bl w:val="nil"/>
                  </w:tcBorders>
                  <w:shd w:val="clear" w:color="auto" w:fill="auto"/>
                  <w:noWrap/>
                  <w:vAlign w:val="center"/>
                </w:tcPr>
                <w:p w14:paraId="0AF78EF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4128230.443</w:t>
                  </w:r>
                </w:p>
              </w:tc>
              <w:tc>
                <w:tcPr>
                  <w:tcW w:w="1058" w:type="pct"/>
                  <w:tcBorders>
                    <w:tl2br w:val="nil"/>
                    <w:tr2bl w:val="nil"/>
                  </w:tcBorders>
                  <w:shd w:val="clear" w:color="auto" w:fill="auto"/>
                  <w:noWrap/>
                  <w:vAlign w:val="center"/>
                </w:tcPr>
                <w:p w14:paraId="4C175294">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35540688.494</w:t>
                  </w:r>
                </w:p>
              </w:tc>
              <w:tc>
                <w:tcPr>
                  <w:tcW w:w="462" w:type="pct"/>
                  <w:tcBorders>
                    <w:tl2br w:val="nil"/>
                    <w:tr2bl w:val="nil"/>
                  </w:tcBorders>
                  <w:shd w:val="clear" w:color="auto" w:fill="auto"/>
                  <w:noWrap/>
                  <w:vAlign w:val="center"/>
                </w:tcPr>
                <w:p w14:paraId="042646FA">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J156</w:t>
                  </w:r>
                </w:p>
              </w:tc>
              <w:tc>
                <w:tcPr>
                  <w:tcW w:w="978" w:type="pct"/>
                  <w:tcBorders>
                    <w:tl2br w:val="nil"/>
                    <w:tr2bl w:val="nil"/>
                  </w:tcBorders>
                  <w:shd w:val="clear" w:color="auto" w:fill="auto"/>
                  <w:noWrap/>
                  <w:vAlign w:val="center"/>
                </w:tcPr>
                <w:p w14:paraId="0CDDAEFC">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4129503.935</w:t>
                  </w:r>
                </w:p>
              </w:tc>
              <w:tc>
                <w:tcPr>
                  <w:tcW w:w="1058" w:type="pct"/>
                  <w:tcBorders>
                    <w:tl2br w:val="nil"/>
                    <w:tr2bl w:val="nil"/>
                  </w:tcBorders>
                  <w:shd w:val="clear" w:color="auto" w:fill="auto"/>
                  <w:noWrap/>
                  <w:vAlign w:val="center"/>
                </w:tcPr>
                <w:p w14:paraId="12870F2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35540893.379</w:t>
                  </w:r>
                </w:p>
              </w:tc>
            </w:tr>
            <w:tr w14:paraId="7B35183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649D9802">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J69</w:t>
                  </w:r>
                </w:p>
              </w:tc>
              <w:tc>
                <w:tcPr>
                  <w:tcW w:w="978" w:type="pct"/>
                  <w:tcBorders>
                    <w:tl2br w:val="nil"/>
                    <w:tr2bl w:val="nil"/>
                  </w:tcBorders>
                  <w:shd w:val="clear" w:color="auto" w:fill="auto"/>
                  <w:noWrap/>
                  <w:vAlign w:val="center"/>
                </w:tcPr>
                <w:p w14:paraId="36D9431C">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4128206.618</w:t>
                  </w:r>
                </w:p>
              </w:tc>
              <w:tc>
                <w:tcPr>
                  <w:tcW w:w="1058" w:type="pct"/>
                  <w:tcBorders>
                    <w:tl2br w:val="nil"/>
                    <w:tr2bl w:val="nil"/>
                  </w:tcBorders>
                  <w:shd w:val="clear" w:color="auto" w:fill="auto"/>
                  <w:noWrap/>
                  <w:vAlign w:val="center"/>
                </w:tcPr>
                <w:p w14:paraId="52B8F9A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35540676.793</w:t>
                  </w:r>
                </w:p>
              </w:tc>
              <w:tc>
                <w:tcPr>
                  <w:tcW w:w="462" w:type="pct"/>
                  <w:tcBorders>
                    <w:tl2br w:val="nil"/>
                    <w:tr2bl w:val="nil"/>
                  </w:tcBorders>
                  <w:shd w:val="clear" w:color="auto" w:fill="auto"/>
                  <w:noWrap/>
                  <w:vAlign w:val="center"/>
                </w:tcPr>
                <w:p w14:paraId="122021D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J157</w:t>
                  </w:r>
                </w:p>
              </w:tc>
              <w:tc>
                <w:tcPr>
                  <w:tcW w:w="978" w:type="pct"/>
                  <w:tcBorders>
                    <w:tl2br w:val="nil"/>
                    <w:tr2bl w:val="nil"/>
                  </w:tcBorders>
                  <w:shd w:val="clear" w:color="auto" w:fill="auto"/>
                  <w:noWrap/>
                  <w:vAlign w:val="center"/>
                </w:tcPr>
                <w:p w14:paraId="33670432">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4129516.900</w:t>
                  </w:r>
                </w:p>
              </w:tc>
              <w:tc>
                <w:tcPr>
                  <w:tcW w:w="1058" w:type="pct"/>
                  <w:tcBorders>
                    <w:tl2br w:val="nil"/>
                    <w:tr2bl w:val="nil"/>
                  </w:tcBorders>
                  <w:shd w:val="clear" w:color="auto" w:fill="auto"/>
                  <w:noWrap/>
                  <w:vAlign w:val="center"/>
                </w:tcPr>
                <w:p w14:paraId="2886BB6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35540870.361</w:t>
                  </w:r>
                </w:p>
              </w:tc>
            </w:tr>
            <w:tr w14:paraId="0C3F423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1BAE72A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J70</w:t>
                  </w:r>
                </w:p>
              </w:tc>
              <w:tc>
                <w:tcPr>
                  <w:tcW w:w="978" w:type="pct"/>
                  <w:tcBorders>
                    <w:tl2br w:val="nil"/>
                    <w:tr2bl w:val="nil"/>
                  </w:tcBorders>
                  <w:shd w:val="clear" w:color="auto" w:fill="auto"/>
                  <w:noWrap/>
                  <w:vAlign w:val="center"/>
                </w:tcPr>
                <w:p w14:paraId="0CFC99DC">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4128200.264</w:t>
                  </w:r>
                </w:p>
              </w:tc>
              <w:tc>
                <w:tcPr>
                  <w:tcW w:w="1058" w:type="pct"/>
                  <w:tcBorders>
                    <w:tl2br w:val="nil"/>
                    <w:tr2bl w:val="nil"/>
                  </w:tcBorders>
                  <w:shd w:val="clear" w:color="auto" w:fill="auto"/>
                  <w:noWrap/>
                  <w:vAlign w:val="center"/>
                </w:tcPr>
                <w:p w14:paraId="050289A4">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35540673.448</w:t>
                  </w:r>
                </w:p>
              </w:tc>
              <w:tc>
                <w:tcPr>
                  <w:tcW w:w="462" w:type="pct"/>
                  <w:tcBorders>
                    <w:tl2br w:val="nil"/>
                    <w:tr2bl w:val="nil"/>
                  </w:tcBorders>
                  <w:shd w:val="clear" w:color="auto" w:fill="auto"/>
                  <w:noWrap/>
                  <w:vAlign w:val="center"/>
                </w:tcPr>
                <w:p w14:paraId="2161EAFF">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J158</w:t>
                  </w:r>
                </w:p>
              </w:tc>
              <w:tc>
                <w:tcPr>
                  <w:tcW w:w="978" w:type="pct"/>
                  <w:tcBorders>
                    <w:tl2br w:val="nil"/>
                    <w:tr2bl w:val="nil"/>
                  </w:tcBorders>
                  <w:shd w:val="clear" w:color="auto" w:fill="auto"/>
                  <w:noWrap/>
                  <w:vAlign w:val="center"/>
                </w:tcPr>
                <w:p w14:paraId="685A5B0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4129533.833</w:t>
                  </w:r>
                </w:p>
              </w:tc>
              <w:tc>
                <w:tcPr>
                  <w:tcW w:w="1058" w:type="pct"/>
                  <w:tcBorders>
                    <w:tl2br w:val="nil"/>
                    <w:tr2bl w:val="nil"/>
                  </w:tcBorders>
                  <w:shd w:val="clear" w:color="auto" w:fill="auto"/>
                  <w:noWrap/>
                  <w:vAlign w:val="center"/>
                </w:tcPr>
                <w:p w14:paraId="053532E1">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35540830.673</w:t>
                  </w:r>
                </w:p>
              </w:tc>
            </w:tr>
            <w:tr w14:paraId="1AE242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0FE2A00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J71</w:t>
                  </w:r>
                </w:p>
              </w:tc>
              <w:tc>
                <w:tcPr>
                  <w:tcW w:w="978" w:type="pct"/>
                  <w:tcBorders>
                    <w:tl2br w:val="nil"/>
                    <w:tr2bl w:val="nil"/>
                  </w:tcBorders>
                  <w:shd w:val="clear" w:color="auto" w:fill="auto"/>
                  <w:noWrap/>
                  <w:vAlign w:val="center"/>
                </w:tcPr>
                <w:p w14:paraId="1F8F9084">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4128211.282</w:t>
                  </w:r>
                </w:p>
              </w:tc>
              <w:tc>
                <w:tcPr>
                  <w:tcW w:w="1058" w:type="pct"/>
                  <w:tcBorders>
                    <w:tl2br w:val="nil"/>
                    <w:tr2bl w:val="nil"/>
                  </w:tcBorders>
                  <w:shd w:val="clear" w:color="auto" w:fill="auto"/>
                  <w:noWrap/>
                  <w:vAlign w:val="center"/>
                </w:tcPr>
                <w:p w14:paraId="366AAF3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35540658.201</w:t>
                  </w:r>
                </w:p>
              </w:tc>
              <w:tc>
                <w:tcPr>
                  <w:tcW w:w="462" w:type="pct"/>
                  <w:tcBorders>
                    <w:tl2br w:val="nil"/>
                    <w:tr2bl w:val="nil"/>
                  </w:tcBorders>
                  <w:shd w:val="clear" w:color="auto" w:fill="auto"/>
                  <w:noWrap/>
                  <w:vAlign w:val="center"/>
                </w:tcPr>
                <w:p w14:paraId="7C1B8C93">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J159</w:t>
                  </w:r>
                </w:p>
              </w:tc>
              <w:tc>
                <w:tcPr>
                  <w:tcW w:w="978" w:type="pct"/>
                  <w:tcBorders>
                    <w:tl2br w:val="nil"/>
                    <w:tr2bl w:val="nil"/>
                  </w:tcBorders>
                  <w:shd w:val="clear" w:color="auto" w:fill="auto"/>
                  <w:noWrap/>
                  <w:vAlign w:val="center"/>
                </w:tcPr>
                <w:p w14:paraId="62A17CB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4129540.448</w:t>
                  </w:r>
                </w:p>
              </w:tc>
              <w:tc>
                <w:tcPr>
                  <w:tcW w:w="1058" w:type="pct"/>
                  <w:tcBorders>
                    <w:tl2br w:val="nil"/>
                    <w:tr2bl w:val="nil"/>
                  </w:tcBorders>
                  <w:shd w:val="clear" w:color="auto" w:fill="auto"/>
                  <w:noWrap/>
                  <w:vAlign w:val="center"/>
                </w:tcPr>
                <w:p w14:paraId="3F941368">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35540823.529</w:t>
                  </w:r>
                </w:p>
              </w:tc>
            </w:tr>
            <w:tr w14:paraId="30FFA03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0C6A8CA1">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J72</w:t>
                  </w:r>
                </w:p>
              </w:tc>
              <w:tc>
                <w:tcPr>
                  <w:tcW w:w="978" w:type="pct"/>
                  <w:tcBorders>
                    <w:tl2br w:val="nil"/>
                    <w:tr2bl w:val="nil"/>
                  </w:tcBorders>
                  <w:shd w:val="clear" w:color="auto" w:fill="auto"/>
                  <w:noWrap/>
                  <w:vAlign w:val="center"/>
                </w:tcPr>
                <w:p w14:paraId="259751E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4128224.441</w:t>
                  </w:r>
                </w:p>
              </w:tc>
              <w:tc>
                <w:tcPr>
                  <w:tcW w:w="1058" w:type="pct"/>
                  <w:tcBorders>
                    <w:tl2br w:val="nil"/>
                    <w:tr2bl w:val="nil"/>
                  </w:tcBorders>
                  <w:shd w:val="clear" w:color="auto" w:fill="auto"/>
                  <w:noWrap/>
                  <w:vAlign w:val="center"/>
                </w:tcPr>
                <w:p w14:paraId="1BB5137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35540648.853</w:t>
                  </w:r>
                </w:p>
              </w:tc>
              <w:tc>
                <w:tcPr>
                  <w:tcW w:w="462" w:type="pct"/>
                  <w:tcBorders>
                    <w:tl2br w:val="nil"/>
                    <w:tr2bl w:val="nil"/>
                  </w:tcBorders>
                  <w:shd w:val="clear" w:color="auto" w:fill="auto"/>
                  <w:noWrap/>
                  <w:vAlign w:val="center"/>
                </w:tcPr>
                <w:p w14:paraId="31E57A2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J160</w:t>
                  </w:r>
                </w:p>
              </w:tc>
              <w:tc>
                <w:tcPr>
                  <w:tcW w:w="978" w:type="pct"/>
                  <w:tcBorders>
                    <w:tl2br w:val="nil"/>
                    <w:tr2bl w:val="nil"/>
                  </w:tcBorders>
                  <w:shd w:val="clear" w:color="auto" w:fill="auto"/>
                  <w:noWrap/>
                  <w:vAlign w:val="center"/>
                </w:tcPr>
                <w:p w14:paraId="7BC8D1D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4129567.965</w:t>
                  </w:r>
                </w:p>
              </w:tc>
              <w:tc>
                <w:tcPr>
                  <w:tcW w:w="1058" w:type="pct"/>
                  <w:tcBorders>
                    <w:tl2br w:val="nil"/>
                    <w:tr2bl w:val="nil"/>
                  </w:tcBorders>
                  <w:shd w:val="clear" w:color="auto" w:fill="auto"/>
                  <w:noWrap/>
                  <w:vAlign w:val="center"/>
                </w:tcPr>
                <w:p w14:paraId="23923B8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35540815.856</w:t>
                  </w:r>
                </w:p>
              </w:tc>
            </w:tr>
            <w:tr w14:paraId="3B19377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5AD208A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J73</w:t>
                  </w:r>
                </w:p>
              </w:tc>
              <w:tc>
                <w:tcPr>
                  <w:tcW w:w="978" w:type="pct"/>
                  <w:tcBorders>
                    <w:tl2br w:val="nil"/>
                    <w:tr2bl w:val="nil"/>
                  </w:tcBorders>
                  <w:shd w:val="clear" w:color="auto" w:fill="auto"/>
                  <w:noWrap/>
                  <w:vAlign w:val="center"/>
                </w:tcPr>
                <w:p w14:paraId="61DB204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4128234.453</w:t>
                  </w:r>
                </w:p>
              </w:tc>
              <w:tc>
                <w:tcPr>
                  <w:tcW w:w="1058" w:type="pct"/>
                  <w:tcBorders>
                    <w:tl2br w:val="nil"/>
                    <w:tr2bl w:val="nil"/>
                  </w:tcBorders>
                  <w:shd w:val="clear" w:color="auto" w:fill="auto"/>
                  <w:noWrap/>
                  <w:vAlign w:val="center"/>
                </w:tcPr>
                <w:p w14:paraId="109E86A4">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35540644.162</w:t>
                  </w:r>
                </w:p>
              </w:tc>
              <w:tc>
                <w:tcPr>
                  <w:tcW w:w="462" w:type="pct"/>
                  <w:tcBorders>
                    <w:tl2br w:val="nil"/>
                    <w:tr2bl w:val="nil"/>
                  </w:tcBorders>
                  <w:shd w:val="clear" w:color="auto" w:fill="auto"/>
                  <w:noWrap/>
                  <w:vAlign w:val="center"/>
                </w:tcPr>
                <w:p w14:paraId="488FD8C3">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J161</w:t>
                  </w:r>
                </w:p>
              </w:tc>
              <w:tc>
                <w:tcPr>
                  <w:tcW w:w="978" w:type="pct"/>
                  <w:tcBorders>
                    <w:tl2br w:val="nil"/>
                    <w:tr2bl w:val="nil"/>
                  </w:tcBorders>
                  <w:shd w:val="clear" w:color="auto" w:fill="auto"/>
                  <w:noWrap/>
                  <w:vAlign w:val="center"/>
                </w:tcPr>
                <w:p w14:paraId="05CA6B04">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4129588.073</w:t>
                  </w:r>
                </w:p>
              </w:tc>
              <w:tc>
                <w:tcPr>
                  <w:tcW w:w="1058" w:type="pct"/>
                  <w:tcBorders>
                    <w:tl2br w:val="nil"/>
                    <w:tr2bl w:val="nil"/>
                  </w:tcBorders>
                  <w:shd w:val="clear" w:color="auto" w:fill="auto"/>
                  <w:noWrap/>
                  <w:vAlign w:val="center"/>
                </w:tcPr>
                <w:p w14:paraId="5DD307D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35540826.440</w:t>
                  </w:r>
                </w:p>
              </w:tc>
            </w:tr>
            <w:tr w14:paraId="38D2299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1ACBA101">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J74</w:t>
                  </w:r>
                </w:p>
              </w:tc>
              <w:tc>
                <w:tcPr>
                  <w:tcW w:w="978" w:type="pct"/>
                  <w:tcBorders>
                    <w:tl2br w:val="nil"/>
                    <w:tr2bl w:val="nil"/>
                  </w:tcBorders>
                  <w:shd w:val="clear" w:color="auto" w:fill="auto"/>
                  <w:noWrap/>
                  <w:vAlign w:val="center"/>
                </w:tcPr>
                <w:p w14:paraId="18805B13">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4128240.230</w:t>
                  </w:r>
                </w:p>
              </w:tc>
              <w:tc>
                <w:tcPr>
                  <w:tcW w:w="1058" w:type="pct"/>
                  <w:tcBorders>
                    <w:tl2br w:val="nil"/>
                    <w:tr2bl w:val="nil"/>
                  </w:tcBorders>
                  <w:shd w:val="clear" w:color="auto" w:fill="auto"/>
                  <w:noWrap/>
                  <w:vAlign w:val="center"/>
                </w:tcPr>
                <w:p w14:paraId="2D2093D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35540637.381</w:t>
                  </w:r>
                </w:p>
              </w:tc>
              <w:tc>
                <w:tcPr>
                  <w:tcW w:w="462" w:type="pct"/>
                  <w:tcBorders>
                    <w:tl2br w:val="nil"/>
                    <w:tr2bl w:val="nil"/>
                  </w:tcBorders>
                  <w:shd w:val="clear" w:color="auto" w:fill="auto"/>
                  <w:noWrap/>
                  <w:vAlign w:val="center"/>
                </w:tcPr>
                <w:p w14:paraId="4612B332">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J162</w:t>
                  </w:r>
                </w:p>
              </w:tc>
              <w:tc>
                <w:tcPr>
                  <w:tcW w:w="978" w:type="pct"/>
                  <w:tcBorders>
                    <w:tl2br w:val="nil"/>
                    <w:tr2bl w:val="nil"/>
                  </w:tcBorders>
                  <w:shd w:val="clear" w:color="auto" w:fill="auto"/>
                  <w:noWrap/>
                  <w:vAlign w:val="center"/>
                </w:tcPr>
                <w:p w14:paraId="2CCE0388">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4129592.835</w:t>
                  </w:r>
                </w:p>
              </w:tc>
              <w:tc>
                <w:tcPr>
                  <w:tcW w:w="1058" w:type="pct"/>
                  <w:tcBorders>
                    <w:tl2br w:val="nil"/>
                    <w:tr2bl w:val="nil"/>
                  </w:tcBorders>
                  <w:shd w:val="clear" w:color="auto" w:fill="auto"/>
                  <w:noWrap/>
                  <w:vAlign w:val="center"/>
                </w:tcPr>
                <w:p w14:paraId="740BC223">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35540814.798</w:t>
                  </w:r>
                </w:p>
              </w:tc>
            </w:tr>
            <w:tr w14:paraId="753F816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58CF5586">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J75</w:t>
                  </w:r>
                </w:p>
              </w:tc>
              <w:tc>
                <w:tcPr>
                  <w:tcW w:w="978" w:type="pct"/>
                  <w:tcBorders>
                    <w:tl2br w:val="nil"/>
                    <w:tr2bl w:val="nil"/>
                  </w:tcBorders>
                  <w:shd w:val="clear" w:color="auto" w:fill="auto"/>
                  <w:noWrap/>
                  <w:vAlign w:val="center"/>
                </w:tcPr>
                <w:p w14:paraId="380AC2BC">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4128240.732</w:t>
                  </w:r>
                </w:p>
              </w:tc>
              <w:tc>
                <w:tcPr>
                  <w:tcW w:w="1058" w:type="pct"/>
                  <w:tcBorders>
                    <w:tl2br w:val="nil"/>
                    <w:tr2bl w:val="nil"/>
                  </w:tcBorders>
                  <w:shd w:val="clear" w:color="auto" w:fill="auto"/>
                  <w:noWrap/>
                  <w:vAlign w:val="center"/>
                </w:tcPr>
                <w:p w14:paraId="01508F4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35540631.893</w:t>
                  </w:r>
                </w:p>
              </w:tc>
              <w:tc>
                <w:tcPr>
                  <w:tcW w:w="462" w:type="pct"/>
                  <w:tcBorders>
                    <w:tl2br w:val="nil"/>
                    <w:tr2bl w:val="nil"/>
                  </w:tcBorders>
                  <w:shd w:val="clear" w:color="auto" w:fill="auto"/>
                  <w:noWrap/>
                  <w:vAlign w:val="center"/>
                </w:tcPr>
                <w:p w14:paraId="6F3F831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J163</w:t>
                  </w:r>
                </w:p>
              </w:tc>
              <w:tc>
                <w:tcPr>
                  <w:tcW w:w="978" w:type="pct"/>
                  <w:tcBorders>
                    <w:tl2br w:val="nil"/>
                    <w:tr2bl w:val="nil"/>
                  </w:tcBorders>
                  <w:shd w:val="clear" w:color="auto" w:fill="auto"/>
                  <w:noWrap/>
                  <w:vAlign w:val="center"/>
                </w:tcPr>
                <w:p w14:paraId="5083AE9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4129574.050</w:t>
                  </w:r>
                </w:p>
              </w:tc>
              <w:tc>
                <w:tcPr>
                  <w:tcW w:w="1058" w:type="pct"/>
                  <w:tcBorders>
                    <w:tl2br w:val="nil"/>
                    <w:tr2bl w:val="nil"/>
                  </w:tcBorders>
                  <w:shd w:val="clear" w:color="auto" w:fill="auto"/>
                  <w:noWrap/>
                  <w:vAlign w:val="center"/>
                </w:tcPr>
                <w:p w14:paraId="2B04BAAF">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35540800.510</w:t>
                  </w:r>
                </w:p>
              </w:tc>
            </w:tr>
            <w:tr w14:paraId="5425B6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57047F7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J76</w:t>
                  </w:r>
                </w:p>
              </w:tc>
              <w:tc>
                <w:tcPr>
                  <w:tcW w:w="978" w:type="pct"/>
                  <w:tcBorders>
                    <w:tl2br w:val="nil"/>
                    <w:tr2bl w:val="nil"/>
                  </w:tcBorders>
                  <w:shd w:val="clear" w:color="auto" w:fill="auto"/>
                  <w:noWrap/>
                  <w:vAlign w:val="center"/>
                </w:tcPr>
                <w:p w14:paraId="7D7AF9D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4128237.002</w:t>
                  </w:r>
                </w:p>
              </w:tc>
              <w:tc>
                <w:tcPr>
                  <w:tcW w:w="1058" w:type="pct"/>
                  <w:tcBorders>
                    <w:tl2br w:val="nil"/>
                    <w:tr2bl w:val="nil"/>
                  </w:tcBorders>
                  <w:shd w:val="clear" w:color="auto" w:fill="auto"/>
                  <w:noWrap/>
                  <w:vAlign w:val="center"/>
                </w:tcPr>
                <w:p w14:paraId="6AB64C2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35540625.158</w:t>
                  </w:r>
                </w:p>
              </w:tc>
              <w:tc>
                <w:tcPr>
                  <w:tcW w:w="462" w:type="pct"/>
                  <w:tcBorders>
                    <w:tl2br w:val="nil"/>
                    <w:tr2bl w:val="nil"/>
                  </w:tcBorders>
                  <w:shd w:val="clear" w:color="auto" w:fill="auto"/>
                  <w:noWrap/>
                  <w:vAlign w:val="center"/>
                </w:tcPr>
                <w:p w14:paraId="3C0238C6">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J164</w:t>
                  </w:r>
                </w:p>
              </w:tc>
              <w:tc>
                <w:tcPr>
                  <w:tcW w:w="978" w:type="pct"/>
                  <w:tcBorders>
                    <w:tl2br w:val="nil"/>
                    <w:tr2bl w:val="nil"/>
                  </w:tcBorders>
                  <w:shd w:val="clear" w:color="auto" w:fill="auto"/>
                  <w:noWrap/>
                  <w:vAlign w:val="center"/>
                </w:tcPr>
                <w:p w14:paraId="6847A7E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4129551.296</w:t>
                  </w:r>
                </w:p>
              </w:tc>
              <w:tc>
                <w:tcPr>
                  <w:tcW w:w="1058" w:type="pct"/>
                  <w:tcBorders>
                    <w:tl2br w:val="nil"/>
                    <w:tr2bl w:val="nil"/>
                  </w:tcBorders>
                  <w:shd w:val="clear" w:color="auto" w:fill="auto"/>
                  <w:noWrap/>
                  <w:vAlign w:val="center"/>
                </w:tcPr>
                <w:p w14:paraId="5E1FD7A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35540783.577</w:t>
                  </w:r>
                </w:p>
              </w:tc>
            </w:tr>
            <w:tr w14:paraId="6649ECC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3BDE3EFF">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J77</w:t>
                  </w:r>
                </w:p>
              </w:tc>
              <w:tc>
                <w:tcPr>
                  <w:tcW w:w="978" w:type="pct"/>
                  <w:tcBorders>
                    <w:tl2br w:val="nil"/>
                    <w:tr2bl w:val="nil"/>
                  </w:tcBorders>
                  <w:shd w:val="clear" w:color="auto" w:fill="auto"/>
                  <w:noWrap/>
                  <w:vAlign w:val="center"/>
                </w:tcPr>
                <w:p w14:paraId="1BAF17B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4128234.314</w:t>
                  </w:r>
                </w:p>
              </w:tc>
              <w:tc>
                <w:tcPr>
                  <w:tcW w:w="1058" w:type="pct"/>
                  <w:tcBorders>
                    <w:tl2br w:val="nil"/>
                    <w:tr2bl w:val="nil"/>
                  </w:tcBorders>
                  <w:shd w:val="clear" w:color="auto" w:fill="auto"/>
                  <w:noWrap/>
                  <w:vAlign w:val="center"/>
                </w:tcPr>
                <w:p w14:paraId="2E2E48EF">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35540615.465</w:t>
                  </w:r>
                </w:p>
              </w:tc>
              <w:tc>
                <w:tcPr>
                  <w:tcW w:w="462" w:type="pct"/>
                  <w:tcBorders>
                    <w:tl2br w:val="nil"/>
                    <w:tr2bl w:val="nil"/>
                  </w:tcBorders>
                  <w:shd w:val="clear" w:color="auto" w:fill="auto"/>
                  <w:noWrap/>
                  <w:vAlign w:val="center"/>
                </w:tcPr>
                <w:p w14:paraId="23D1641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J165</w:t>
                  </w:r>
                </w:p>
              </w:tc>
              <w:tc>
                <w:tcPr>
                  <w:tcW w:w="978" w:type="pct"/>
                  <w:tcBorders>
                    <w:tl2br w:val="nil"/>
                    <w:tr2bl w:val="nil"/>
                  </w:tcBorders>
                  <w:shd w:val="clear" w:color="auto" w:fill="auto"/>
                  <w:noWrap/>
                  <w:vAlign w:val="center"/>
                </w:tcPr>
                <w:p w14:paraId="605C1F5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4129535.421</w:t>
                  </w:r>
                </w:p>
              </w:tc>
              <w:tc>
                <w:tcPr>
                  <w:tcW w:w="1058" w:type="pct"/>
                  <w:tcBorders>
                    <w:tl2br w:val="nil"/>
                    <w:tr2bl w:val="nil"/>
                  </w:tcBorders>
                  <w:shd w:val="clear" w:color="auto" w:fill="auto"/>
                  <w:noWrap/>
                  <w:vAlign w:val="center"/>
                </w:tcPr>
                <w:p w14:paraId="5DED5D9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35540797.865</w:t>
                  </w:r>
                </w:p>
              </w:tc>
            </w:tr>
            <w:tr w14:paraId="020AEA0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5A973828">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J78</w:t>
                  </w:r>
                </w:p>
              </w:tc>
              <w:tc>
                <w:tcPr>
                  <w:tcW w:w="978" w:type="pct"/>
                  <w:tcBorders>
                    <w:tl2br w:val="nil"/>
                    <w:tr2bl w:val="nil"/>
                  </w:tcBorders>
                  <w:shd w:val="clear" w:color="auto" w:fill="auto"/>
                  <w:noWrap/>
                  <w:vAlign w:val="center"/>
                </w:tcPr>
                <w:p w14:paraId="6FEBFA9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4128241.172</w:t>
                  </w:r>
                </w:p>
              </w:tc>
              <w:tc>
                <w:tcPr>
                  <w:tcW w:w="1058" w:type="pct"/>
                  <w:tcBorders>
                    <w:tl2br w:val="nil"/>
                    <w:tr2bl w:val="nil"/>
                  </w:tcBorders>
                  <w:shd w:val="clear" w:color="auto" w:fill="auto"/>
                  <w:noWrap/>
                  <w:vAlign w:val="center"/>
                </w:tcPr>
                <w:p w14:paraId="6079136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35540613.743</w:t>
                  </w:r>
                </w:p>
              </w:tc>
              <w:tc>
                <w:tcPr>
                  <w:tcW w:w="462" w:type="pct"/>
                  <w:tcBorders>
                    <w:tl2br w:val="nil"/>
                    <w:tr2bl w:val="nil"/>
                  </w:tcBorders>
                  <w:shd w:val="clear" w:color="auto" w:fill="auto"/>
                  <w:noWrap/>
                  <w:vAlign w:val="center"/>
                </w:tcPr>
                <w:p w14:paraId="62562A4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J166</w:t>
                  </w:r>
                </w:p>
              </w:tc>
              <w:tc>
                <w:tcPr>
                  <w:tcW w:w="978" w:type="pct"/>
                  <w:tcBorders>
                    <w:tl2br w:val="nil"/>
                    <w:tr2bl w:val="nil"/>
                  </w:tcBorders>
                  <w:shd w:val="clear" w:color="auto" w:fill="auto"/>
                  <w:noWrap/>
                  <w:vAlign w:val="center"/>
                </w:tcPr>
                <w:p w14:paraId="0FDBB63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4129523.515</w:t>
                  </w:r>
                </w:p>
              </w:tc>
              <w:tc>
                <w:tcPr>
                  <w:tcW w:w="1058" w:type="pct"/>
                  <w:tcBorders>
                    <w:tl2br w:val="nil"/>
                    <w:tr2bl w:val="nil"/>
                  </w:tcBorders>
                  <w:shd w:val="clear" w:color="auto" w:fill="auto"/>
                  <w:noWrap/>
                  <w:vAlign w:val="center"/>
                </w:tcPr>
                <w:p w14:paraId="3FD9A29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35540799.452</w:t>
                  </w:r>
                </w:p>
              </w:tc>
            </w:tr>
            <w:tr w14:paraId="68D10A1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19840F98">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J79</w:t>
                  </w:r>
                </w:p>
              </w:tc>
              <w:tc>
                <w:tcPr>
                  <w:tcW w:w="978" w:type="pct"/>
                  <w:tcBorders>
                    <w:tl2br w:val="nil"/>
                    <w:tr2bl w:val="nil"/>
                  </w:tcBorders>
                  <w:shd w:val="clear" w:color="auto" w:fill="auto"/>
                  <w:noWrap/>
                  <w:vAlign w:val="center"/>
                </w:tcPr>
                <w:p w14:paraId="460A72E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4128255.998</w:t>
                  </w:r>
                </w:p>
              </w:tc>
              <w:tc>
                <w:tcPr>
                  <w:tcW w:w="1058" w:type="pct"/>
                  <w:tcBorders>
                    <w:tl2br w:val="nil"/>
                    <w:tr2bl w:val="nil"/>
                  </w:tcBorders>
                  <w:shd w:val="clear" w:color="auto" w:fill="auto"/>
                  <w:noWrap/>
                  <w:vAlign w:val="center"/>
                </w:tcPr>
                <w:p w14:paraId="775809B4">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35540621.268</w:t>
                  </w:r>
                </w:p>
              </w:tc>
              <w:tc>
                <w:tcPr>
                  <w:tcW w:w="462" w:type="pct"/>
                  <w:tcBorders>
                    <w:tl2br w:val="nil"/>
                    <w:tr2bl w:val="nil"/>
                  </w:tcBorders>
                  <w:shd w:val="clear" w:color="auto" w:fill="auto"/>
                  <w:noWrap/>
                  <w:vAlign w:val="center"/>
                </w:tcPr>
                <w:p w14:paraId="672F1F0C">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J167</w:t>
                  </w:r>
                </w:p>
              </w:tc>
              <w:tc>
                <w:tcPr>
                  <w:tcW w:w="978" w:type="pct"/>
                  <w:tcBorders>
                    <w:tl2br w:val="nil"/>
                    <w:tr2bl w:val="nil"/>
                  </w:tcBorders>
                  <w:shd w:val="clear" w:color="auto" w:fill="auto"/>
                  <w:noWrap/>
                  <w:vAlign w:val="center"/>
                </w:tcPr>
                <w:p w14:paraId="7B61A26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4129507.904</w:t>
                  </w:r>
                </w:p>
              </w:tc>
              <w:tc>
                <w:tcPr>
                  <w:tcW w:w="1058" w:type="pct"/>
                  <w:tcBorders>
                    <w:tl2br w:val="nil"/>
                    <w:tr2bl w:val="nil"/>
                  </w:tcBorders>
                  <w:shd w:val="clear" w:color="auto" w:fill="auto"/>
                  <w:noWrap/>
                  <w:vAlign w:val="center"/>
                </w:tcPr>
                <w:p w14:paraId="0EC343A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35540797.600</w:t>
                  </w:r>
                </w:p>
              </w:tc>
            </w:tr>
            <w:tr w14:paraId="251A2F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5D57E78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J80</w:t>
                  </w:r>
                </w:p>
              </w:tc>
              <w:tc>
                <w:tcPr>
                  <w:tcW w:w="978" w:type="pct"/>
                  <w:tcBorders>
                    <w:tl2br w:val="nil"/>
                    <w:tr2bl w:val="nil"/>
                  </w:tcBorders>
                  <w:shd w:val="clear" w:color="auto" w:fill="auto"/>
                  <w:noWrap/>
                  <w:vAlign w:val="center"/>
                </w:tcPr>
                <w:p w14:paraId="6E0E7D14">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4128267.056</w:t>
                  </w:r>
                </w:p>
              </w:tc>
              <w:tc>
                <w:tcPr>
                  <w:tcW w:w="1058" w:type="pct"/>
                  <w:tcBorders>
                    <w:tl2br w:val="nil"/>
                    <w:tr2bl w:val="nil"/>
                  </w:tcBorders>
                  <w:shd w:val="clear" w:color="auto" w:fill="auto"/>
                  <w:noWrap/>
                  <w:vAlign w:val="center"/>
                </w:tcPr>
                <w:p w14:paraId="0A694A71">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35540614.462</w:t>
                  </w:r>
                </w:p>
              </w:tc>
              <w:tc>
                <w:tcPr>
                  <w:tcW w:w="462" w:type="pct"/>
                  <w:tcBorders>
                    <w:tl2br w:val="nil"/>
                    <w:tr2bl w:val="nil"/>
                  </w:tcBorders>
                  <w:shd w:val="clear" w:color="auto" w:fill="auto"/>
                  <w:noWrap/>
                  <w:vAlign w:val="center"/>
                </w:tcPr>
                <w:p w14:paraId="0F5F816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J168</w:t>
                  </w:r>
                </w:p>
              </w:tc>
              <w:tc>
                <w:tcPr>
                  <w:tcW w:w="978" w:type="pct"/>
                  <w:tcBorders>
                    <w:tl2br w:val="nil"/>
                    <w:tr2bl w:val="nil"/>
                  </w:tcBorders>
                  <w:shd w:val="clear" w:color="auto" w:fill="auto"/>
                  <w:noWrap/>
                  <w:vAlign w:val="center"/>
                </w:tcPr>
                <w:p w14:paraId="72ACD4BF">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4129501.554</w:t>
                  </w:r>
                </w:p>
              </w:tc>
              <w:tc>
                <w:tcPr>
                  <w:tcW w:w="1058" w:type="pct"/>
                  <w:tcBorders>
                    <w:tl2br w:val="nil"/>
                    <w:tr2bl w:val="nil"/>
                  </w:tcBorders>
                  <w:shd w:val="clear" w:color="auto" w:fill="auto"/>
                  <w:noWrap/>
                  <w:vAlign w:val="center"/>
                </w:tcPr>
                <w:p w14:paraId="2AF0C83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35540782.254</w:t>
                  </w:r>
                </w:p>
              </w:tc>
            </w:tr>
            <w:tr w14:paraId="5EB9CD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6797460F">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J81</w:t>
                  </w:r>
                </w:p>
              </w:tc>
              <w:tc>
                <w:tcPr>
                  <w:tcW w:w="978" w:type="pct"/>
                  <w:tcBorders>
                    <w:tl2br w:val="nil"/>
                    <w:tr2bl w:val="nil"/>
                  </w:tcBorders>
                  <w:shd w:val="clear" w:color="auto" w:fill="auto"/>
                  <w:noWrap/>
                  <w:vAlign w:val="center"/>
                </w:tcPr>
                <w:p w14:paraId="5AF2C22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4128265.959</w:t>
                  </w:r>
                </w:p>
              </w:tc>
              <w:tc>
                <w:tcPr>
                  <w:tcW w:w="1058" w:type="pct"/>
                  <w:tcBorders>
                    <w:tl2br w:val="nil"/>
                    <w:tr2bl w:val="nil"/>
                  </w:tcBorders>
                  <w:shd w:val="clear" w:color="auto" w:fill="auto"/>
                  <w:noWrap/>
                  <w:vAlign w:val="center"/>
                </w:tcPr>
                <w:p w14:paraId="31362702">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35540606.027</w:t>
                  </w:r>
                </w:p>
              </w:tc>
              <w:tc>
                <w:tcPr>
                  <w:tcW w:w="462" w:type="pct"/>
                  <w:tcBorders>
                    <w:tl2br w:val="nil"/>
                    <w:tr2bl w:val="nil"/>
                  </w:tcBorders>
                  <w:shd w:val="clear" w:color="auto" w:fill="auto"/>
                  <w:noWrap/>
                  <w:vAlign w:val="center"/>
                </w:tcPr>
                <w:p w14:paraId="2DA58A12">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J169</w:t>
                  </w:r>
                </w:p>
              </w:tc>
              <w:tc>
                <w:tcPr>
                  <w:tcW w:w="978" w:type="pct"/>
                  <w:tcBorders>
                    <w:tl2br w:val="nil"/>
                    <w:tr2bl w:val="nil"/>
                  </w:tcBorders>
                  <w:shd w:val="clear" w:color="auto" w:fill="auto"/>
                  <w:noWrap/>
                  <w:vAlign w:val="center"/>
                </w:tcPr>
                <w:p w14:paraId="6AE1809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4129494.179</w:t>
                  </w:r>
                </w:p>
              </w:tc>
              <w:tc>
                <w:tcPr>
                  <w:tcW w:w="1058" w:type="pct"/>
                  <w:tcBorders>
                    <w:tl2br w:val="nil"/>
                    <w:tr2bl w:val="nil"/>
                  </w:tcBorders>
                  <w:shd w:val="clear" w:color="auto" w:fill="auto"/>
                  <w:noWrap/>
                  <w:vAlign w:val="center"/>
                </w:tcPr>
                <w:p w14:paraId="2FE4AEFF">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35540743.212</w:t>
                  </w:r>
                </w:p>
              </w:tc>
            </w:tr>
            <w:tr w14:paraId="0A5392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6ECD168F">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J82</w:t>
                  </w:r>
                </w:p>
              </w:tc>
              <w:tc>
                <w:tcPr>
                  <w:tcW w:w="978" w:type="pct"/>
                  <w:tcBorders>
                    <w:tl2br w:val="nil"/>
                    <w:tr2bl w:val="nil"/>
                  </w:tcBorders>
                  <w:shd w:val="clear" w:color="auto" w:fill="auto"/>
                  <w:noWrap/>
                  <w:vAlign w:val="center"/>
                </w:tcPr>
                <w:p w14:paraId="1977ACA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4128274.449</w:t>
                  </w:r>
                </w:p>
              </w:tc>
              <w:tc>
                <w:tcPr>
                  <w:tcW w:w="1058" w:type="pct"/>
                  <w:tcBorders>
                    <w:tl2br w:val="nil"/>
                    <w:tr2bl w:val="nil"/>
                  </w:tcBorders>
                  <w:shd w:val="clear" w:color="auto" w:fill="auto"/>
                  <w:noWrap/>
                  <w:vAlign w:val="center"/>
                </w:tcPr>
                <w:p w14:paraId="77BC9DD1">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35540614.004</w:t>
                  </w:r>
                </w:p>
              </w:tc>
              <w:tc>
                <w:tcPr>
                  <w:tcW w:w="462" w:type="pct"/>
                  <w:tcBorders>
                    <w:tl2br w:val="nil"/>
                    <w:tr2bl w:val="nil"/>
                  </w:tcBorders>
                  <w:shd w:val="clear" w:color="auto" w:fill="auto"/>
                  <w:noWrap/>
                  <w:vAlign w:val="center"/>
                </w:tcPr>
                <w:p w14:paraId="2E76D51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J170</w:t>
                  </w:r>
                </w:p>
              </w:tc>
              <w:tc>
                <w:tcPr>
                  <w:tcW w:w="978" w:type="pct"/>
                  <w:tcBorders>
                    <w:tl2br w:val="nil"/>
                    <w:tr2bl w:val="nil"/>
                  </w:tcBorders>
                  <w:shd w:val="clear" w:color="auto" w:fill="auto"/>
                  <w:noWrap/>
                  <w:vAlign w:val="center"/>
                </w:tcPr>
                <w:p w14:paraId="424A69AF">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4129573.588</w:t>
                  </w:r>
                </w:p>
              </w:tc>
              <w:tc>
                <w:tcPr>
                  <w:tcW w:w="1058" w:type="pct"/>
                  <w:tcBorders>
                    <w:tl2br w:val="nil"/>
                    <w:tr2bl w:val="nil"/>
                  </w:tcBorders>
                  <w:shd w:val="clear" w:color="auto" w:fill="auto"/>
                  <w:noWrap/>
                  <w:vAlign w:val="center"/>
                </w:tcPr>
                <w:p w14:paraId="08A9432F">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35540768.163</w:t>
                  </w:r>
                </w:p>
              </w:tc>
            </w:tr>
            <w:tr w14:paraId="507B39B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7170489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J83</w:t>
                  </w:r>
                </w:p>
              </w:tc>
              <w:tc>
                <w:tcPr>
                  <w:tcW w:w="978" w:type="pct"/>
                  <w:tcBorders>
                    <w:tl2br w:val="nil"/>
                    <w:tr2bl w:val="nil"/>
                  </w:tcBorders>
                  <w:shd w:val="clear" w:color="auto" w:fill="auto"/>
                  <w:noWrap/>
                  <w:vAlign w:val="center"/>
                </w:tcPr>
                <w:p w14:paraId="4528650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4128280.057</w:t>
                  </w:r>
                </w:p>
              </w:tc>
              <w:tc>
                <w:tcPr>
                  <w:tcW w:w="1058" w:type="pct"/>
                  <w:tcBorders>
                    <w:tl2br w:val="nil"/>
                    <w:tr2bl w:val="nil"/>
                  </w:tcBorders>
                  <w:shd w:val="clear" w:color="auto" w:fill="auto"/>
                  <w:noWrap/>
                  <w:vAlign w:val="center"/>
                </w:tcPr>
                <w:p w14:paraId="68BD63C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35540604.962</w:t>
                  </w:r>
                </w:p>
              </w:tc>
              <w:tc>
                <w:tcPr>
                  <w:tcW w:w="462" w:type="pct"/>
                  <w:tcBorders>
                    <w:tl2br w:val="nil"/>
                    <w:tr2bl w:val="nil"/>
                  </w:tcBorders>
                  <w:shd w:val="clear" w:color="auto" w:fill="auto"/>
                  <w:noWrap/>
                  <w:vAlign w:val="center"/>
                </w:tcPr>
                <w:p w14:paraId="311634C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J171</w:t>
                  </w:r>
                </w:p>
              </w:tc>
              <w:tc>
                <w:tcPr>
                  <w:tcW w:w="978" w:type="pct"/>
                  <w:tcBorders>
                    <w:tl2br w:val="nil"/>
                    <w:tr2bl w:val="nil"/>
                  </w:tcBorders>
                  <w:shd w:val="clear" w:color="auto" w:fill="auto"/>
                  <w:noWrap/>
                  <w:vAlign w:val="center"/>
                </w:tcPr>
                <w:p w14:paraId="0ACDF38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4129644.921</w:t>
                  </w:r>
                </w:p>
              </w:tc>
              <w:tc>
                <w:tcPr>
                  <w:tcW w:w="1058" w:type="pct"/>
                  <w:tcBorders>
                    <w:tl2br w:val="nil"/>
                    <w:tr2bl w:val="nil"/>
                  </w:tcBorders>
                  <w:shd w:val="clear" w:color="auto" w:fill="auto"/>
                  <w:noWrap/>
                  <w:vAlign w:val="center"/>
                </w:tcPr>
                <w:p w14:paraId="5187516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35540774.145</w:t>
                  </w:r>
                </w:p>
              </w:tc>
            </w:tr>
            <w:tr w14:paraId="526C76B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44A788F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J84</w:t>
                  </w:r>
                </w:p>
              </w:tc>
              <w:tc>
                <w:tcPr>
                  <w:tcW w:w="978" w:type="pct"/>
                  <w:tcBorders>
                    <w:tl2br w:val="nil"/>
                    <w:tr2bl w:val="nil"/>
                  </w:tcBorders>
                  <w:shd w:val="clear" w:color="auto" w:fill="auto"/>
                  <w:noWrap/>
                  <w:vAlign w:val="center"/>
                </w:tcPr>
                <w:p w14:paraId="0FF3BC1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4128281.996</w:t>
                  </w:r>
                </w:p>
              </w:tc>
              <w:tc>
                <w:tcPr>
                  <w:tcW w:w="1058" w:type="pct"/>
                  <w:tcBorders>
                    <w:tl2br w:val="nil"/>
                    <w:tr2bl w:val="nil"/>
                  </w:tcBorders>
                  <w:shd w:val="clear" w:color="auto" w:fill="auto"/>
                  <w:noWrap/>
                  <w:vAlign w:val="center"/>
                </w:tcPr>
                <w:p w14:paraId="4285242A">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35540587.994</w:t>
                  </w:r>
                </w:p>
              </w:tc>
              <w:tc>
                <w:tcPr>
                  <w:tcW w:w="462" w:type="pct"/>
                  <w:tcBorders>
                    <w:tl2br w:val="nil"/>
                    <w:tr2bl w:val="nil"/>
                  </w:tcBorders>
                  <w:shd w:val="clear" w:color="auto" w:fill="auto"/>
                  <w:noWrap/>
                  <w:vAlign w:val="center"/>
                </w:tcPr>
                <w:p w14:paraId="18503B0A">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J172</w:t>
                  </w:r>
                </w:p>
              </w:tc>
              <w:tc>
                <w:tcPr>
                  <w:tcW w:w="978" w:type="pct"/>
                  <w:tcBorders>
                    <w:tl2br w:val="nil"/>
                    <w:tr2bl w:val="nil"/>
                  </w:tcBorders>
                  <w:shd w:val="clear" w:color="auto" w:fill="auto"/>
                  <w:noWrap/>
                  <w:vAlign w:val="center"/>
                </w:tcPr>
                <w:p w14:paraId="63DD48A1">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4129710.962</w:t>
                  </w:r>
                </w:p>
              </w:tc>
              <w:tc>
                <w:tcPr>
                  <w:tcW w:w="1058" w:type="pct"/>
                  <w:tcBorders>
                    <w:tl2br w:val="nil"/>
                    <w:tr2bl w:val="nil"/>
                  </w:tcBorders>
                  <w:shd w:val="clear" w:color="auto" w:fill="auto"/>
                  <w:noWrap/>
                  <w:vAlign w:val="center"/>
                </w:tcPr>
                <w:p w14:paraId="74805E3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35540778.043</w:t>
                  </w:r>
                </w:p>
              </w:tc>
            </w:tr>
            <w:tr w14:paraId="1FAF094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188D562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J85</w:t>
                  </w:r>
                </w:p>
              </w:tc>
              <w:tc>
                <w:tcPr>
                  <w:tcW w:w="978" w:type="pct"/>
                  <w:tcBorders>
                    <w:tl2br w:val="nil"/>
                    <w:tr2bl w:val="nil"/>
                  </w:tcBorders>
                  <w:shd w:val="clear" w:color="auto" w:fill="auto"/>
                  <w:noWrap/>
                  <w:vAlign w:val="center"/>
                </w:tcPr>
                <w:p w14:paraId="59343AC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4128287.887</w:t>
                  </w:r>
                </w:p>
              </w:tc>
              <w:tc>
                <w:tcPr>
                  <w:tcW w:w="1058" w:type="pct"/>
                  <w:tcBorders>
                    <w:tl2br w:val="nil"/>
                    <w:tr2bl w:val="nil"/>
                  </w:tcBorders>
                  <w:shd w:val="clear" w:color="auto" w:fill="auto"/>
                  <w:noWrap/>
                  <w:vAlign w:val="center"/>
                </w:tcPr>
                <w:p w14:paraId="19877CF1">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35540580.388</w:t>
                  </w:r>
                </w:p>
              </w:tc>
              <w:tc>
                <w:tcPr>
                  <w:tcW w:w="462" w:type="pct"/>
                  <w:tcBorders>
                    <w:tl2br w:val="nil"/>
                    <w:tr2bl w:val="nil"/>
                  </w:tcBorders>
                  <w:shd w:val="clear" w:color="auto" w:fill="auto"/>
                  <w:noWrap/>
                  <w:vAlign w:val="center"/>
                </w:tcPr>
                <w:p w14:paraId="2609C372">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J173</w:t>
                  </w:r>
                </w:p>
              </w:tc>
              <w:tc>
                <w:tcPr>
                  <w:tcW w:w="978" w:type="pct"/>
                  <w:tcBorders>
                    <w:tl2br w:val="nil"/>
                    <w:tr2bl w:val="nil"/>
                  </w:tcBorders>
                  <w:shd w:val="clear" w:color="auto" w:fill="auto"/>
                  <w:noWrap/>
                  <w:vAlign w:val="center"/>
                </w:tcPr>
                <w:p w14:paraId="28334F8A">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4129747.759</w:t>
                  </w:r>
                </w:p>
              </w:tc>
              <w:tc>
                <w:tcPr>
                  <w:tcW w:w="1058" w:type="pct"/>
                  <w:tcBorders>
                    <w:tl2br w:val="nil"/>
                    <w:tr2bl w:val="nil"/>
                  </w:tcBorders>
                  <w:shd w:val="clear" w:color="auto" w:fill="auto"/>
                  <w:noWrap/>
                  <w:vAlign w:val="center"/>
                </w:tcPr>
                <w:p w14:paraId="28B71954">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35540741.999</w:t>
                  </w:r>
                </w:p>
              </w:tc>
            </w:tr>
            <w:tr w14:paraId="124FF86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4B16B13D">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J86</w:t>
                  </w:r>
                </w:p>
              </w:tc>
              <w:tc>
                <w:tcPr>
                  <w:tcW w:w="978" w:type="pct"/>
                  <w:tcBorders>
                    <w:tl2br w:val="nil"/>
                    <w:tr2bl w:val="nil"/>
                  </w:tcBorders>
                  <w:shd w:val="clear" w:color="auto" w:fill="auto"/>
                  <w:noWrap/>
                  <w:vAlign w:val="center"/>
                </w:tcPr>
                <w:p w14:paraId="6F29A91E">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4128294.483</w:t>
                  </w:r>
                </w:p>
              </w:tc>
              <w:tc>
                <w:tcPr>
                  <w:tcW w:w="1058" w:type="pct"/>
                  <w:tcBorders>
                    <w:tl2br w:val="nil"/>
                    <w:tr2bl w:val="nil"/>
                  </w:tcBorders>
                  <w:shd w:val="clear" w:color="auto" w:fill="auto"/>
                  <w:noWrap/>
                  <w:vAlign w:val="center"/>
                </w:tcPr>
                <w:p w14:paraId="032E3BF2">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35540579.301</w:t>
                  </w:r>
                </w:p>
              </w:tc>
              <w:tc>
                <w:tcPr>
                  <w:tcW w:w="462" w:type="pct"/>
                  <w:tcBorders>
                    <w:tl2br w:val="nil"/>
                    <w:tr2bl w:val="nil"/>
                  </w:tcBorders>
                  <w:shd w:val="clear" w:color="auto" w:fill="auto"/>
                  <w:noWrap/>
                  <w:vAlign w:val="center"/>
                </w:tcPr>
                <w:p w14:paraId="1B3C17C6">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J174</w:t>
                  </w:r>
                </w:p>
              </w:tc>
              <w:tc>
                <w:tcPr>
                  <w:tcW w:w="978" w:type="pct"/>
                  <w:tcBorders>
                    <w:tl2br w:val="nil"/>
                    <w:tr2bl w:val="nil"/>
                  </w:tcBorders>
                  <w:shd w:val="clear" w:color="auto" w:fill="auto"/>
                  <w:noWrap/>
                  <w:vAlign w:val="center"/>
                </w:tcPr>
                <w:p w14:paraId="14611CE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4129789.943</w:t>
                  </w:r>
                </w:p>
              </w:tc>
              <w:tc>
                <w:tcPr>
                  <w:tcW w:w="1058" w:type="pct"/>
                  <w:tcBorders>
                    <w:tl2br w:val="nil"/>
                    <w:tr2bl w:val="nil"/>
                  </w:tcBorders>
                  <w:shd w:val="clear" w:color="auto" w:fill="auto"/>
                  <w:noWrap/>
                  <w:vAlign w:val="center"/>
                </w:tcPr>
                <w:p w14:paraId="7A9BD6CA">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35540704.185</w:t>
                  </w:r>
                </w:p>
              </w:tc>
            </w:tr>
            <w:tr w14:paraId="134BDB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6832143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J87</w:t>
                  </w:r>
                </w:p>
              </w:tc>
              <w:tc>
                <w:tcPr>
                  <w:tcW w:w="978" w:type="pct"/>
                  <w:tcBorders>
                    <w:tl2br w:val="nil"/>
                    <w:tr2bl w:val="nil"/>
                  </w:tcBorders>
                  <w:shd w:val="clear" w:color="auto" w:fill="auto"/>
                  <w:noWrap/>
                  <w:vAlign w:val="center"/>
                </w:tcPr>
                <w:p w14:paraId="633EE7E0">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4128310.328</w:t>
                  </w:r>
                </w:p>
              </w:tc>
              <w:tc>
                <w:tcPr>
                  <w:tcW w:w="1058" w:type="pct"/>
                  <w:tcBorders>
                    <w:tl2br w:val="nil"/>
                    <w:tr2bl w:val="nil"/>
                  </w:tcBorders>
                  <w:shd w:val="clear" w:color="auto" w:fill="auto"/>
                  <w:noWrap/>
                  <w:vAlign w:val="center"/>
                </w:tcPr>
                <w:p w14:paraId="32BA49F6">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35540579.225</w:t>
                  </w:r>
                </w:p>
              </w:tc>
              <w:tc>
                <w:tcPr>
                  <w:tcW w:w="462" w:type="pct"/>
                  <w:tcBorders>
                    <w:tl2br w:val="nil"/>
                    <w:tr2bl w:val="nil"/>
                  </w:tcBorders>
                  <w:shd w:val="clear" w:color="auto" w:fill="auto"/>
                  <w:noWrap/>
                  <w:vAlign w:val="center"/>
                </w:tcPr>
                <w:p w14:paraId="2E57ABDC">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J175</w:t>
                  </w:r>
                </w:p>
              </w:tc>
              <w:tc>
                <w:tcPr>
                  <w:tcW w:w="978" w:type="pct"/>
                  <w:tcBorders>
                    <w:tl2br w:val="nil"/>
                    <w:tr2bl w:val="nil"/>
                  </w:tcBorders>
                  <w:shd w:val="clear" w:color="auto" w:fill="auto"/>
                  <w:noWrap/>
                  <w:vAlign w:val="center"/>
                </w:tcPr>
                <w:p w14:paraId="691404B8">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4129848.557</w:t>
                  </w:r>
                </w:p>
              </w:tc>
              <w:tc>
                <w:tcPr>
                  <w:tcW w:w="1058" w:type="pct"/>
                  <w:tcBorders>
                    <w:tl2br w:val="nil"/>
                    <w:tr2bl w:val="nil"/>
                  </w:tcBorders>
                  <w:shd w:val="clear" w:color="auto" w:fill="auto"/>
                  <w:noWrap/>
                  <w:vAlign w:val="center"/>
                </w:tcPr>
                <w:p w14:paraId="3BA5ACC5">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35540784.547</w:t>
                  </w:r>
                </w:p>
              </w:tc>
            </w:tr>
            <w:tr w14:paraId="242E814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noWrap/>
                  <w:vAlign w:val="center"/>
                </w:tcPr>
                <w:p w14:paraId="3627EC5A">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J88</w:t>
                  </w:r>
                </w:p>
              </w:tc>
              <w:tc>
                <w:tcPr>
                  <w:tcW w:w="978" w:type="pct"/>
                  <w:tcBorders>
                    <w:tl2br w:val="nil"/>
                    <w:tr2bl w:val="nil"/>
                  </w:tcBorders>
                  <w:shd w:val="clear" w:color="auto" w:fill="auto"/>
                  <w:noWrap/>
                  <w:vAlign w:val="center"/>
                </w:tcPr>
                <w:p w14:paraId="4B9461A8">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4128334.111</w:t>
                  </w:r>
                </w:p>
              </w:tc>
              <w:tc>
                <w:tcPr>
                  <w:tcW w:w="1058" w:type="pct"/>
                  <w:tcBorders>
                    <w:tl2br w:val="nil"/>
                    <w:tr2bl w:val="nil"/>
                  </w:tcBorders>
                  <w:shd w:val="clear" w:color="auto" w:fill="auto"/>
                  <w:noWrap/>
                  <w:vAlign w:val="center"/>
                </w:tcPr>
                <w:p w14:paraId="2882D18C">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35540582.275</w:t>
                  </w:r>
                </w:p>
              </w:tc>
              <w:tc>
                <w:tcPr>
                  <w:tcW w:w="462" w:type="pct"/>
                  <w:tcBorders>
                    <w:tl2br w:val="nil"/>
                    <w:tr2bl w:val="nil"/>
                  </w:tcBorders>
                  <w:shd w:val="clear" w:color="auto" w:fill="auto"/>
                  <w:noWrap/>
                  <w:vAlign w:val="center"/>
                </w:tcPr>
                <w:p w14:paraId="7FB36A0B">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J176</w:t>
                  </w:r>
                </w:p>
              </w:tc>
              <w:tc>
                <w:tcPr>
                  <w:tcW w:w="978" w:type="pct"/>
                  <w:tcBorders>
                    <w:tl2br w:val="nil"/>
                    <w:tr2bl w:val="nil"/>
                  </w:tcBorders>
                  <w:shd w:val="clear" w:color="auto" w:fill="auto"/>
                  <w:noWrap/>
                  <w:vAlign w:val="center"/>
                </w:tcPr>
                <w:p w14:paraId="0C331967">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4129823.779</w:t>
                  </w:r>
                </w:p>
              </w:tc>
              <w:tc>
                <w:tcPr>
                  <w:tcW w:w="1058" w:type="pct"/>
                  <w:tcBorders>
                    <w:tl2br w:val="nil"/>
                    <w:tr2bl w:val="nil"/>
                  </w:tcBorders>
                  <w:shd w:val="clear" w:color="auto" w:fill="auto"/>
                  <w:noWrap/>
                  <w:vAlign w:val="center"/>
                </w:tcPr>
                <w:p w14:paraId="326669D9">
                  <w:pPr>
                    <w:pStyle w:val="39"/>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35540821.061</w:t>
                  </w:r>
                </w:p>
              </w:tc>
            </w:tr>
          </w:tbl>
          <w:p w14:paraId="3582680C">
            <w:pPr>
              <w:rPr>
                <w:rFonts w:hint="default" w:ascii="Times New Roman" w:hAnsi="Times New Roman" w:eastAsia="宋体" w:cs="Times New Roman"/>
                <w:color w:val="000000" w:themeColor="text1"/>
                <w:sz w:val="24"/>
                <w:szCs w:val="24"/>
                <w:highlight w:val="none"/>
                <w14:textFill>
                  <w14:solidFill>
                    <w14:schemeClr w14:val="tx1"/>
                  </w14:solidFill>
                </w14:textFill>
              </w:rPr>
            </w:pPr>
          </w:p>
        </w:tc>
      </w:tr>
      <w:tr w14:paraId="24136E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8" w:hRule="atLeast"/>
          <w:jc w:val="center"/>
        </w:trPr>
        <w:tc>
          <w:tcPr>
            <w:tcW w:w="646" w:type="dxa"/>
            <w:noWrap w:val="0"/>
            <w:vAlign w:val="center"/>
          </w:tcPr>
          <w:p w14:paraId="5B22F00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000000" w:themeColor="text1"/>
                <w:kern w:val="0"/>
                <w:szCs w:val="21"/>
                <w:highlight w:val="none"/>
                <w14:textFill>
                  <w14:solidFill>
                    <w14:schemeClr w14:val="tx1"/>
                  </w14:solidFill>
                </w14:textFill>
              </w:rPr>
            </w:pPr>
            <w:r>
              <w:rPr>
                <w:b/>
                <w:bCs/>
                <w:color w:val="000000" w:themeColor="text1"/>
                <w:kern w:val="0"/>
                <w:sz w:val="24"/>
                <w:highlight w:val="none"/>
                <w14:textFill>
                  <w14:solidFill>
                    <w14:schemeClr w14:val="tx1"/>
                  </w14:solidFill>
                </w14:textFill>
              </w:rPr>
              <w:t>项目组成及规模</w:t>
            </w:r>
          </w:p>
        </w:tc>
        <w:tc>
          <w:tcPr>
            <w:tcW w:w="8444" w:type="dxa"/>
            <w:noWrap w:val="0"/>
            <w:vAlign w:val="center"/>
          </w:tcPr>
          <w:p w14:paraId="6C27A033">
            <w:pPr>
              <w:pStyle w:val="2"/>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1、项目建设背景</w:t>
            </w:r>
          </w:p>
          <w:p w14:paraId="1255AFD0">
            <w:pPr>
              <w:pStyle w:val="39"/>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454" w:firstLineChars="200"/>
              <w:jc w:val="both"/>
              <w:textAlignment w:val="auto"/>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中卫市宣和镇天景山峁圪垯梁灰石矿位于中卫市宣和镇天景山北东麓，寺口子沟南约6</w:t>
            </w:r>
            <w:r>
              <w:rPr>
                <w:rFonts w:hint="eastAsia" w:cs="Times New Roman"/>
                <w:color w:val="000000" w:themeColor="text1"/>
                <w:sz w:val="24"/>
                <w:szCs w:val="24"/>
                <w:highlight w:val="none"/>
                <w:lang w:val="en-US" w:eastAsia="zh-CN"/>
                <w14:textFill>
                  <w14:solidFill>
                    <w14:schemeClr w14:val="tx1"/>
                  </w14:solidFill>
                </w14:textFill>
              </w:rPr>
              <w:t>km</w:t>
            </w:r>
            <w:r>
              <w:rPr>
                <w:rFonts w:hint="eastAsia" w:ascii="Times New Roman" w:hAnsi="Times New Roman" w:eastAsia="宋体" w:cs="Times New Roman"/>
                <w:color w:val="000000" w:themeColor="text1"/>
                <w:sz w:val="24"/>
                <w:szCs w:val="24"/>
                <w:highlight w:val="none"/>
                <w14:textFill>
                  <w14:solidFill>
                    <w14:schemeClr w14:val="tx1"/>
                  </w14:solidFill>
                </w14:textFill>
              </w:rPr>
              <w:t>处。该矿山采矿权确立于2004年2月，开采矿种为电石灰岩。在近二十年的断续开采历史中，最终年开采规模达到5.8万</w:t>
            </w:r>
            <w:r>
              <w:rPr>
                <w:rFonts w:hint="eastAsia" w:cs="Times New Roman"/>
                <w:color w:val="000000" w:themeColor="text1"/>
                <w:sz w:val="24"/>
                <w:szCs w:val="24"/>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p>
          <w:p w14:paraId="2BC74F66">
            <w:pPr>
              <w:pStyle w:val="39"/>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454" w:firstLineChars="200"/>
              <w:jc w:val="both"/>
              <w:textAlignment w:val="auto"/>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为履行矿山环境恢复治理义务，采矿单位于2012年12月委托技术机构编制了《中卫市弘骞化工有限公司天景山灰石矿土地复垦方案》，并获得自治区自然资源厅批复。该方案确定的复垦范围主要为排土场、生产道路等临时用地，复垦面积为1.1491</w:t>
            </w:r>
            <w:r>
              <w:rPr>
                <w:rFonts w:hint="eastAsia" w:cs="Times New Roman"/>
                <w:color w:val="000000" w:themeColor="text1"/>
                <w:sz w:val="24"/>
                <w:szCs w:val="24"/>
                <w:highlight w:val="none"/>
                <w:lang w:val="en-US" w:eastAsia="zh-CN"/>
                <w14:textFill>
                  <w14:solidFill>
                    <w14:schemeClr w14:val="tx1"/>
                  </w14:solidFill>
                </w14:textFill>
              </w:rPr>
              <w:t>hm</w:t>
            </w:r>
            <w:r>
              <w:rPr>
                <w:rFonts w:hint="eastAsia"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14:textFill>
                  <w14:solidFill>
                    <w14:schemeClr w14:val="tx1"/>
                  </w14:solidFill>
                </w14:textFill>
              </w:rPr>
              <w:t>，规划复垦为人工牧草地，计划复垦期限至2017年10月。</w:t>
            </w:r>
          </w:p>
          <w:p w14:paraId="0AB643B2">
            <w:pPr>
              <w:pStyle w:val="39"/>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454" w:firstLineChars="200"/>
              <w:jc w:val="both"/>
              <w:textAlignment w:val="auto"/>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然而，随着区域工业化、城镇化进程加快，矿山开采活动加剧，“重开发、轻保护、轻治理”的现象突出，矿山企业未能切实履行土地复垦与生态修复主体责任，导致矿区地质环境条件持续恶化，遗留问题日益凸显。为此，地方政府于2022年启动了系统性修复工作，组织编制了《宁夏沙坡头区天景山矿区修复治理项目—中卫市宣和镇天景山峁圪垯梁灰石矿矿山生态修复治理方案》，计划由企业自筹资金对约95</w:t>
            </w:r>
            <w:r>
              <w:rPr>
                <w:rFonts w:hint="eastAsia" w:cs="Times New Roman"/>
                <w:color w:val="000000" w:themeColor="text1"/>
                <w:sz w:val="24"/>
                <w:szCs w:val="24"/>
                <w:highlight w:val="none"/>
                <w:lang w:val="en-US" w:eastAsia="zh-CN"/>
                <w14:textFill>
                  <w14:solidFill>
                    <w14:schemeClr w14:val="tx1"/>
                  </w14:solidFill>
                </w14:textFill>
              </w:rPr>
              <w:t>hm</w:t>
            </w:r>
            <w:r>
              <w:rPr>
                <w:rFonts w:hint="eastAsia"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14:textFill>
                  <w14:solidFill>
                    <w14:schemeClr w14:val="tx1"/>
                  </w14:solidFill>
                </w14:textFill>
              </w:rPr>
              <w:t>范围进行治理，主要采取</w:t>
            </w:r>
            <w:r>
              <w:rPr>
                <w:rFonts w:hint="eastAsia" w:cs="Times New Roman"/>
                <w:color w:val="000000" w:themeColor="text1"/>
                <w:sz w:val="24"/>
                <w:szCs w:val="24"/>
                <w:highlight w:val="none"/>
                <w:lang w:val="en-US" w:eastAsia="zh-CN"/>
                <w14:textFill>
                  <w14:solidFill>
                    <w14:schemeClr w14:val="tx1"/>
                  </w14:solidFill>
                </w14:textFill>
              </w:rPr>
              <w:t>矿产品</w:t>
            </w:r>
            <w:r>
              <w:rPr>
                <w:rFonts w:hint="eastAsia" w:ascii="Times New Roman" w:hAnsi="Times New Roman" w:eastAsia="宋体" w:cs="Times New Roman"/>
                <w:color w:val="000000" w:themeColor="text1"/>
                <w:sz w:val="24"/>
                <w:szCs w:val="24"/>
                <w:highlight w:val="none"/>
                <w14:textFill>
                  <w14:solidFill>
                    <w14:schemeClr w14:val="tx1"/>
                  </w14:solidFill>
                </w14:textFill>
              </w:rPr>
              <w:t>清理、水土保持与植被恢复等措施，使区内生态环境得到局部初步改善。</w:t>
            </w:r>
          </w:p>
          <w:p w14:paraId="769C220C">
            <w:pPr>
              <w:pStyle w:val="39"/>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454" w:firstLineChars="200"/>
              <w:jc w:val="both"/>
              <w:textAlignment w:val="auto"/>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2025年6月，中央第五生态环境保护督察组对宁夏回族自治区开展督察，明确指出包括天景山矿区在内的多个矿山存在生态破坏问题突出、修复治理不严不实、监管责任缺位等情况。督察通报特别指出，中卫市宣和镇天景山峁圉垯梁灰石矿存在矿区范围外违法占地堆放废渣土和成品石料、破坏天然植被、边坡底部堆积大量碎石、水土保持措施缺失等问题。现场发现多处雨水冲沟，生态破坏问题长期未得到有效修复，整改不到位问题严重。</w:t>
            </w:r>
          </w:p>
          <w:p w14:paraId="13A76173">
            <w:pPr>
              <w:pStyle w:val="39"/>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454" w:firstLineChars="200"/>
              <w:jc w:val="both"/>
              <w:textAlignment w:val="auto"/>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针对中央环保督察反馈的问题，中卫市沙坡头区自然资源局高度重视、迅速部署，坚持问题导向与精准施策，积极统筹生态保护修复资金，着力提升资金使用效益与治理科学性，组织实施本生态修复治理项目。本项目的开展，是彻底落实督察整改要求、深化沙坡头区天景山矿区生态环境系统治理的关键举措，也是改善区域生态质量、提升生态系统功能、推进山水林田湖草沙一体化保护修复、筑牢区域生态安全屏障的重要行动，对促进中卫市生态环境高水平保护与可持续发展具有重要意义。</w:t>
            </w:r>
          </w:p>
          <w:p w14:paraId="43674494">
            <w:pPr>
              <w:pStyle w:val="2"/>
              <w:numPr>
                <w:ilvl w:val="0"/>
                <w:numId w:val="1"/>
              </w:num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14:textFill>
                  <w14:solidFill>
                    <w14:schemeClr w14:val="tx1"/>
                  </w14:solidFill>
                </w14:textFill>
              </w:rPr>
              <w:t>项目</w:t>
            </w:r>
            <w:r>
              <w:rPr>
                <w:rFonts w:hint="default"/>
                <w:color w:val="000000" w:themeColor="text1"/>
                <w:highlight w:val="none"/>
                <w:lang w:val="en-US" w:eastAsia="zh-CN"/>
                <w14:textFill>
                  <w14:solidFill>
                    <w14:schemeClr w14:val="tx1"/>
                  </w14:solidFill>
                </w14:textFill>
              </w:rPr>
              <w:t>建设必要性</w:t>
            </w:r>
          </w:p>
          <w:p w14:paraId="4BD0A60D">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中卫市沙坡头区宣和镇寺口子天景山矿区以灰石等非金属矿产开发为主，采矿历史较长，虽在过去为地方经济发展作出了贡献，但长期累积的矿产资源粗放开发模式，也对矿区及周边生态环境造成了显著负面影响，主要表现在：</w:t>
            </w:r>
          </w:p>
          <w:p w14:paraId="413B9F9D">
            <w:pPr>
              <w:bidi w:val="0"/>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⑴</w:t>
            </w:r>
            <w:r>
              <w:rPr>
                <w:rFonts w:hint="default"/>
                <w:color w:val="000000" w:themeColor="text1"/>
                <w:highlight w:val="none"/>
                <w:lang w:val="en-US" w:eastAsia="zh-CN"/>
                <w14:textFill>
                  <w14:solidFill>
                    <w14:schemeClr w14:val="tx1"/>
                  </w14:solidFill>
                </w14:textFill>
              </w:rPr>
              <w:t>地质灾害风险突出：采矿活动形成的高陡边坡、松散堆积体改变了原有地形地貌与地质平衡，易引发崩塌、滑坡等地质灾害；随意堆放的巨量废渣土石方，在强降雨条件下存在泥石流隐患，严重威胁下游区域人员与设施安全。</w:t>
            </w:r>
          </w:p>
          <w:p w14:paraId="4E28635D">
            <w:pPr>
              <w:bidi w:val="0"/>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⑵</w:t>
            </w:r>
            <w:r>
              <w:rPr>
                <w:rFonts w:hint="default"/>
                <w:color w:val="000000" w:themeColor="text1"/>
                <w:highlight w:val="none"/>
                <w:lang w:val="en-US" w:eastAsia="zh-CN"/>
                <w14:textFill>
                  <w14:solidFill>
                    <w14:schemeClr w14:val="tx1"/>
                  </w14:solidFill>
                </w14:textFill>
              </w:rPr>
              <w:t>生态环境严重破坏： 露天开采直接破坏地表植被与土壤层，造成土地资源损毁、生物栖息地丧失。</w:t>
            </w:r>
          </w:p>
          <w:p w14:paraId="53687D05">
            <w:pPr>
              <w:bidi w:val="0"/>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⑶</w:t>
            </w:r>
            <w:r>
              <w:rPr>
                <w:rFonts w:hint="default"/>
                <w:color w:val="000000" w:themeColor="text1"/>
                <w:highlight w:val="none"/>
                <w:lang w:val="en-US" w:eastAsia="zh-CN"/>
                <w14:textFill>
                  <w14:solidFill>
                    <w14:schemeClr w14:val="tx1"/>
                  </w14:solidFill>
                </w14:textFill>
              </w:rPr>
              <w:t>历史遗留问题亟待解决：前期矿山企业生态修复责任落实不到位，治理工程标准不高、管护不足，甚至存在整改后再次退化的情况，导致矿区生态功能持续受损，生态系统脆弱性加剧，与区域生态安全保障要求存在较大差距。</w:t>
            </w:r>
          </w:p>
          <w:p w14:paraId="2ADDE361">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在此背景下，实施本生态修复治理项目尤为迫切和必要。项目通过系统开展地形地貌恢复工程（包括矿产品清理、坡面修整、场区平整）、截排水工程（布设截水埂、导流槽）以及生态植被恢复工程（覆土、土地深松、穴播种草及三年期养护），可针对性地解决废渣土违规占地堆放、边坡不稳定、水土流失严重、植被覆盖度低等核心环境问题。项目的实施将有效消除地质灾害隐患，控制水土流失，逐步恢复土地生态功能，提升区域植被覆盖与生态系统稳定性，是贯彻生态文明建设要求、落实中央环保督察整改、推动矿区绿色转型发展的必然选择，对改善当地人居环境、促进人与自然和谐共生具有重要的现实意义和长远的生态价值。</w:t>
            </w:r>
          </w:p>
          <w:p w14:paraId="13809150">
            <w:pPr>
              <w:pStyle w:val="2"/>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3、建设内容与规模</w:t>
            </w:r>
          </w:p>
          <w:p w14:paraId="510EA9EA">
            <w:pPr>
              <w:bidi w:val="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本项目工程措施包括地形地貌恢复工程、截排水工程和生态植被恢复工程。</w:t>
            </w:r>
          </w:p>
          <w:p w14:paraId="1F7FA364">
            <w:pPr>
              <w:bidi w:val="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地形地貌恢复工程</w:t>
            </w:r>
          </w:p>
          <w:p w14:paraId="023AF30E">
            <w:pPr>
              <w:bidi w:val="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矿产品清理：采用挖掘机和自卸汽车运土，清理治理区矿产品7326.02m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，清理的矿产品用于场区平整换填与截水埂修建。</w:t>
            </w:r>
          </w:p>
          <w:p w14:paraId="08D5EED5">
            <w:pPr>
              <w:bidi w:val="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坡面修整：针对治理区矿山北部和西部3处因雨水冲毁的边坡，采取机械修整坡面使冲毁的坡面稳定平直，无较大的凸起和凹陷，使坡面与周围坡面连接平滑、协调，坡面修整土方量为25851.74m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54DAA1F2">
            <w:pPr>
              <w:bidi w:val="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场区平整：采用推土机平整土地面积11812m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，平整土方量5049.63m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，推土距离30m以内。</w:t>
            </w:r>
          </w:p>
          <w:p w14:paraId="265E7426">
            <w:pPr>
              <w:bidi w:val="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⑵</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截排水工程</w:t>
            </w:r>
          </w:p>
          <w:p w14:paraId="6BB26A7F">
            <w:pPr>
              <w:bidi w:val="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截水埂：在边坡坡顶界线以外约5m处</w:t>
            </w:r>
            <w:r>
              <w:rPr>
                <w:rFonts w:hint="eastAsia" w:cs="Times New Roman"/>
                <w:color w:val="000000" w:themeColor="text1"/>
                <w:sz w:val="24"/>
                <w:szCs w:val="24"/>
                <w:highlight w:val="none"/>
                <w:lang w:val="en-US" w:eastAsia="zh-CN"/>
                <w14:textFill>
                  <w14:solidFill>
                    <w14:schemeClr w14:val="tx1"/>
                  </w14:solidFill>
                </w14:textFill>
              </w:rPr>
              <w:t>，以及</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各级马道（平台）的外侧边缘，设置连续的截水埂，截水埂长3066m，结构为土质结构（顶宽0.4m，高0.4m，坡比1：0.75）。</w:t>
            </w:r>
          </w:p>
          <w:p w14:paraId="726DA856">
            <w:pPr>
              <w:bidi w:val="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导流槽：在治理区东北部邻近灰窑处修和西部边坡顺着现有水流方向竖向修建导流槽。导流槽为夯实土回填，长度为1294m。</w:t>
            </w:r>
          </w:p>
          <w:p w14:paraId="6EC7E9B4">
            <w:pPr>
              <w:bidi w:val="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（3）生态恢复工程</w:t>
            </w:r>
          </w:p>
          <w:p w14:paraId="2BF5B5D4">
            <w:pPr>
              <w:bidi w:val="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对治理区满足植被生长条件区域进行植被恢复，面积27.22hm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56CF66B4">
            <w:pPr>
              <w:bidi w:val="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覆土工程：覆土区域面积33074.11m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，覆土平均厚度为15cm，厚度不超过20cm，覆土量为4961.12m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，土质为砂砾土，</w:t>
            </w:r>
            <w:r>
              <w:rPr>
                <w:rFonts w:hint="eastAsia" w:cs="Times New Roman"/>
                <w:color w:val="000000" w:themeColor="text1"/>
                <w:sz w:val="24"/>
                <w:szCs w:val="24"/>
                <w:highlight w:val="none"/>
                <w:lang w:val="en-US" w:eastAsia="zh-CN"/>
                <w14:textFill>
                  <w14:solidFill>
                    <w14:schemeClr w14:val="tx1"/>
                  </w14:solidFill>
                </w14:textFill>
              </w:rPr>
              <w:t>覆土土方从有资质企业外购，确保来源合法合规。</w:t>
            </w:r>
          </w:p>
          <w:p w14:paraId="09CBC93F">
            <w:pPr>
              <w:bidi w:val="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土地深松：对植草区域内2.09hm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土地进行翻松，翻松平均深度10cm。</w:t>
            </w:r>
          </w:p>
          <w:p w14:paraId="5BA1F508">
            <w:pPr>
              <w:bidi w:val="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穴播种草：穴播种草面积为27.22hm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，草籽量15kg/hm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，草种采用周边乡土草种，草籽采用人工采集或者市场购买。</w:t>
            </w:r>
          </w:p>
          <w:p w14:paraId="4FD8BA8A">
            <w:pPr>
              <w:bidi w:val="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草地养护：养护期为3年（2026年-2028年），每年灌水量1850m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/hm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，总需水量为151071m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6339C5CB">
            <w:pPr>
              <w:pStyle w:val="2"/>
              <w:bidi w:val="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项目主要工程内容</w:t>
            </w:r>
          </w:p>
          <w:p w14:paraId="7EC9B118">
            <w:pPr>
              <w:rPr>
                <w:color w:val="000000" w:themeColor="text1"/>
                <w:highlight w:val="none"/>
                <w14:textFill>
                  <w14:solidFill>
                    <w14:schemeClr w14:val="tx1"/>
                  </w14:solidFill>
                </w14:textFill>
              </w:rPr>
            </w:pPr>
            <w:r>
              <w:rPr>
                <w:rFonts w:hint="eastAsia" w:ascii="Times New Roman" w:hAnsi="Times New Roman" w:cs="Times New Roman"/>
                <w:bCs/>
                <w:color w:val="000000" w:themeColor="text1"/>
                <w:highlight w:val="none"/>
                <w:lang w:val="en-US" w:eastAsia="zh-CN"/>
                <w14:textFill>
                  <w14:solidFill>
                    <w14:schemeClr w14:val="tx1"/>
                  </w14:solidFill>
                </w14:textFill>
              </w:rPr>
              <w:t>本项目主要工程内容见表2-2</w:t>
            </w:r>
            <w:r>
              <w:rPr>
                <w:rFonts w:ascii="宋体" w:hAnsi="宋体" w:eastAsia="宋体" w:cs="宋体"/>
                <w:b w:val="0"/>
                <w:bCs w:val="0"/>
                <w:color w:val="000000" w:themeColor="text1"/>
                <w:sz w:val="24"/>
                <w:szCs w:val="24"/>
                <w:highlight w:val="none"/>
                <w14:textFill>
                  <w14:solidFill>
                    <w14:schemeClr w14:val="tx1"/>
                  </w14:solidFill>
                </w14:textFill>
              </w:rPr>
              <w:t>。</w:t>
            </w:r>
          </w:p>
          <w:p w14:paraId="2EAD96BA">
            <w:pPr>
              <w:pStyle w:val="3"/>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表2-</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本项目主要工程内容一览表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240"/>
              <w:gridCol w:w="1223"/>
              <w:gridCol w:w="5015"/>
            </w:tblGrid>
            <w:tr w14:paraId="43C153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3A92DA5D">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工程类别</w:t>
                  </w:r>
                </w:p>
              </w:tc>
              <w:tc>
                <w:tcPr>
                  <w:tcW w:w="756" w:type="pct"/>
                  <w:noWrap w:val="0"/>
                  <w:vAlign w:val="center"/>
                </w:tcPr>
                <w:p w14:paraId="08854F68">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工程名称</w:t>
                  </w:r>
                </w:p>
              </w:tc>
              <w:tc>
                <w:tcPr>
                  <w:tcW w:w="3804" w:type="pct"/>
                  <w:gridSpan w:val="2"/>
                  <w:noWrap w:val="0"/>
                  <w:vAlign w:val="center"/>
                </w:tcPr>
                <w:p w14:paraId="53884E4F">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主要内容</w:t>
                  </w:r>
                </w:p>
              </w:tc>
            </w:tr>
            <w:tr w14:paraId="447A3B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restart"/>
                  <w:noWrap w:val="0"/>
                  <w:vAlign w:val="center"/>
                </w:tcPr>
                <w:p w14:paraId="11ED225F">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主体工程</w:t>
                  </w:r>
                </w:p>
              </w:tc>
              <w:tc>
                <w:tcPr>
                  <w:tcW w:w="756" w:type="pct"/>
                  <w:vMerge w:val="restart"/>
                  <w:noWrap w:val="0"/>
                  <w:vAlign w:val="center"/>
                </w:tcPr>
                <w:p w14:paraId="4A12311F">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地形地貌恢复工程</w:t>
                  </w:r>
                </w:p>
              </w:tc>
              <w:tc>
                <w:tcPr>
                  <w:tcW w:w="745" w:type="pct"/>
                  <w:noWrap w:val="0"/>
                  <w:vAlign w:val="center"/>
                </w:tcPr>
                <w:p w14:paraId="48BF6399">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矿产品清理</w:t>
                  </w:r>
                </w:p>
              </w:tc>
              <w:tc>
                <w:tcPr>
                  <w:tcW w:w="3058" w:type="pct"/>
                  <w:shd w:val="clear" w:color="auto" w:fill="auto"/>
                  <w:noWrap w:val="0"/>
                  <w:vAlign w:val="center"/>
                </w:tcPr>
                <w:p w14:paraId="1E63C666">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进行2处矿产品清理，清理工程量7326.02m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，清理面积4604.27m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，清理后的矿产品主要用于场内平整换填、截水埂填筑，不涉及破碎、筛分工序。</w:t>
                  </w:r>
                </w:p>
              </w:tc>
            </w:tr>
            <w:tr w14:paraId="04BEA7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5CFC2936">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color w:val="000000" w:themeColor="text1"/>
                      <w:highlight w:val="none"/>
                      <w:lang w:val="en-US" w:eastAsia="zh-CN"/>
                      <w14:textFill>
                        <w14:solidFill>
                          <w14:schemeClr w14:val="tx1"/>
                        </w14:solidFill>
                      </w14:textFill>
                    </w:rPr>
                  </w:pPr>
                </w:p>
              </w:tc>
              <w:tc>
                <w:tcPr>
                  <w:tcW w:w="756" w:type="pct"/>
                  <w:vMerge w:val="continue"/>
                  <w:noWrap w:val="0"/>
                  <w:vAlign w:val="center"/>
                </w:tcPr>
                <w:p w14:paraId="225B55DB">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eastAsia"/>
                      <w:color w:val="000000" w:themeColor="text1"/>
                      <w:highlight w:val="none"/>
                      <w:lang w:val="en-US" w:eastAsia="zh-CN"/>
                      <w14:textFill>
                        <w14:solidFill>
                          <w14:schemeClr w14:val="tx1"/>
                        </w14:solidFill>
                      </w14:textFill>
                    </w:rPr>
                  </w:pPr>
                </w:p>
              </w:tc>
              <w:tc>
                <w:tcPr>
                  <w:tcW w:w="745" w:type="pct"/>
                  <w:noWrap w:val="0"/>
                  <w:vAlign w:val="center"/>
                </w:tcPr>
                <w:p w14:paraId="4623D6CE">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边坡修整工程</w:t>
                  </w:r>
                </w:p>
              </w:tc>
              <w:tc>
                <w:tcPr>
                  <w:tcW w:w="3058" w:type="pct"/>
                  <w:shd w:val="clear" w:color="auto" w:fill="auto"/>
                  <w:noWrap w:val="0"/>
                  <w:vAlign w:val="center"/>
                </w:tcPr>
                <w:p w14:paraId="24DE18B8">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修整3处坡面，修整土石方量25851.74m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，修整面积7689.69m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p>
              </w:tc>
            </w:tr>
            <w:tr w14:paraId="7F4DE9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1C73951C">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color w:val="000000" w:themeColor="text1"/>
                      <w:highlight w:val="none"/>
                      <w:lang w:val="en-US" w:eastAsia="zh-CN"/>
                      <w14:textFill>
                        <w14:solidFill>
                          <w14:schemeClr w14:val="tx1"/>
                        </w14:solidFill>
                      </w14:textFill>
                    </w:rPr>
                  </w:pPr>
                </w:p>
              </w:tc>
              <w:tc>
                <w:tcPr>
                  <w:tcW w:w="756" w:type="pct"/>
                  <w:vMerge w:val="continue"/>
                  <w:noWrap w:val="0"/>
                  <w:vAlign w:val="center"/>
                </w:tcPr>
                <w:p w14:paraId="2F3CA9F9">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eastAsia"/>
                      <w:color w:val="000000" w:themeColor="text1"/>
                      <w:highlight w:val="none"/>
                      <w:lang w:val="en-US" w:eastAsia="zh-CN"/>
                      <w14:textFill>
                        <w14:solidFill>
                          <w14:schemeClr w14:val="tx1"/>
                        </w14:solidFill>
                      </w14:textFill>
                    </w:rPr>
                  </w:pPr>
                </w:p>
              </w:tc>
              <w:tc>
                <w:tcPr>
                  <w:tcW w:w="745" w:type="pct"/>
                  <w:noWrap w:val="0"/>
                  <w:vAlign w:val="center"/>
                </w:tcPr>
                <w:p w14:paraId="593B6526">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场区平整工程</w:t>
                  </w:r>
                </w:p>
              </w:tc>
              <w:tc>
                <w:tcPr>
                  <w:tcW w:w="3058" w:type="pct"/>
                  <w:shd w:val="clear" w:color="auto" w:fill="auto"/>
                  <w:noWrap w:val="0"/>
                  <w:vAlign w:val="center"/>
                </w:tcPr>
                <w:p w14:paraId="246B785C">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进行3个区域场区平整，平整土方量5049.63m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，平整土地面积11812m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p>
              </w:tc>
            </w:tr>
            <w:tr w14:paraId="73EDF8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3D53CC27">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color w:val="000000" w:themeColor="text1"/>
                      <w:highlight w:val="none"/>
                      <w14:textFill>
                        <w14:solidFill>
                          <w14:schemeClr w14:val="tx1"/>
                        </w14:solidFill>
                      </w14:textFill>
                    </w:rPr>
                  </w:pPr>
                </w:p>
              </w:tc>
              <w:tc>
                <w:tcPr>
                  <w:tcW w:w="756" w:type="pct"/>
                  <w:vMerge w:val="restart"/>
                  <w:noWrap w:val="0"/>
                  <w:vAlign w:val="center"/>
                </w:tcPr>
                <w:p w14:paraId="60416C89">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截排水工程</w:t>
                  </w:r>
                </w:p>
              </w:tc>
              <w:tc>
                <w:tcPr>
                  <w:tcW w:w="745" w:type="pct"/>
                  <w:noWrap w:val="0"/>
                  <w:vAlign w:val="center"/>
                </w:tcPr>
                <w:p w14:paraId="33E2790B">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截水埂工程</w:t>
                  </w:r>
                </w:p>
              </w:tc>
              <w:tc>
                <w:tcPr>
                  <w:tcW w:w="3058" w:type="pct"/>
                  <w:shd w:val="clear" w:color="auto" w:fill="auto"/>
                  <w:noWrap w:val="0"/>
                  <w:vAlign w:val="center"/>
                </w:tcPr>
                <w:p w14:paraId="57534DE2">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截水埂高度0.4m，顶宽0.4m，坡比1:0.75，长度3066</w:t>
                  </w:r>
                  <w:r>
                    <w:rPr>
                      <w:rFonts w:hint="eastAsia"/>
                      <w:color w:val="000000" w:themeColor="text1"/>
                      <w:highlight w:val="none"/>
                      <w14:textFill>
                        <w14:solidFill>
                          <w14:schemeClr w14:val="tx1"/>
                        </w14:solidFill>
                      </w14:textFill>
                    </w:rPr>
                    <w:t>m</w:t>
                  </w:r>
                  <w:r>
                    <w:rPr>
                      <w:rFonts w:hint="eastAsia"/>
                      <w:color w:val="000000" w:themeColor="text1"/>
                      <w:highlight w:val="none"/>
                      <w:lang w:eastAsia="zh-CN"/>
                      <w14:textFill>
                        <w14:solidFill>
                          <w14:schemeClr w14:val="tx1"/>
                        </w14:solidFill>
                      </w14:textFill>
                    </w:rPr>
                    <w:t>。</w:t>
                  </w:r>
                </w:p>
              </w:tc>
            </w:tr>
            <w:tr w14:paraId="1EBBEC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342258E1">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color w:val="000000" w:themeColor="text1"/>
                      <w:highlight w:val="none"/>
                      <w14:textFill>
                        <w14:solidFill>
                          <w14:schemeClr w14:val="tx1"/>
                        </w14:solidFill>
                      </w14:textFill>
                    </w:rPr>
                  </w:pPr>
                </w:p>
              </w:tc>
              <w:tc>
                <w:tcPr>
                  <w:tcW w:w="756" w:type="pct"/>
                  <w:vMerge w:val="continue"/>
                  <w:noWrap w:val="0"/>
                  <w:vAlign w:val="center"/>
                </w:tcPr>
                <w:p w14:paraId="69656E80">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eastAsia"/>
                      <w:color w:val="000000" w:themeColor="text1"/>
                      <w:highlight w:val="none"/>
                      <w14:textFill>
                        <w14:solidFill>
                          <w14:schemeClr w14:val="tx1"/>
                        </w14:solidFill>
                      </w14:textFill>
                    </w:rPr>
                  </w:pPr>
                </w:p>
              </w:tc>
              <w:tc>
                <w:tcPr>
                  <w:tcW w:w="745" w:type="pct"/>
                  <w:noWrap w:val="0"/>
                  <w:vAlign w:val="center"/>
                </w:tcPr>
                <w:p w14:paraId="7C1ADEA9">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导流槽工程</w:t>
                  </w:r>
                </w:p>
              </w:tc>
              <w:tc>
                <w:tcPr>
                  <w:tcW w:w="3058" w:type="pct"/>
                  <w:shd w:val="clear" w:color="auto" w:fill="auto"/>
                  <w:noWrap w:val="0"/>
                  <w:vAlign w:val="center"/>
                </w:tcPr>
                <w:p w14:paraId="1DCF9574">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设置导流槽深度1m，底宽1m，坡比1:1.5，长度1294</w:t>
                  </w:r>
                  <w:r>
                    <w:rPr>
                      <w:rFonts w:hint="eastAsia"/>
                      <w:color w:val="000000" w:themeColor="text1"/>
                      <w:highlight w:val="none"/>
                      <w:lang w:eastAsia="zh-CN"/>
                      <w14:textFill>
                        <w14:solidFill>
                          <w14:schemeClr w14:val="tx1"/>
                        </w14:solidFill>
                      </w14:textFill>
                    </w:rPr>
                    <w:t>m。</w:t>
                  </w:r>
                </w:p>
              </w:tc>
            </w:tr>
            <w:tr w14:paraId="00EFDE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4D1DD783">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color w:val="000000" w:themeColor="text1"/>
                      <w:highlight w:val="none"/>
                      <w14:textFill>
                        <w14:solidFill>
                          <w14:schemeClr w14:val="tx1"/>
                        </w14:solidFill>
                      </w14:textFill>
                    </w:rPr>
                  </w:pPr>
                </w:p>
              </w:tc>
              <w:tc>
                <w:tcPr>
                  <w:tcW w:w="756" w:type="pct"/>
                  <w:vMerge w:val="restart"/>
                  <w:noWrap w:val="0"/>
                  <w:vAlign w:val="center"/>
                </w:tcPr>
                <w:p w14:paraId="2AD491B7">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生态植被恢复工程</w:t>
                  </w:r>
                </w:p>
              </w:tc>
              <w:tc>
                <w:tcPr>
                  <w:tcW w:w="745" w:type="pct"/>
                  <w:noWrap w:val="0"/>
                  <w:vAlign w:val="center"/>
                </w:tcPr>
                <w:p w14:paraId="2E6EACE7">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覆土工程</w:t>
                  </w:r>
                </w:p>
              </w:tc>
              <w:tc>
                <w:tcPr>
                  <w:tcW w:w="3058" w:type="pct"/>
                  <w:shd w:val="clear" w:color="auto" w:fill="auto"/>
                  <w:noWrap w:val="0"/>
                  <w:vAlign w:val="center"/>
                </w:tcPr>
                <w:p w14:paraId="22C92A7D">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进行覆土工程，平均厚度0.15m，覆土面积为33074.11m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，覆土量为4961.12m</w:t>
                  </w:r>
                  <w:r>
                    <w:rPr>
                      <w:rFonts w:hint="eastAsia"/>
                      <w:color w:val="000000" w:themeColor="text1"/>
                      <w:highlight w:val="none"/>
                      <w:vertAlign w:val="superscript"/>
                      <w:lang w:val="en-US" w:eastAsia="zh-CN"/>
                      <w14:textFill>
                        <w14:solidFill>
                          <w14:schemeClr w14:val="tx1"/>
                        </w14:solidFill>
                      </w14:textFill>
                    </w:rPr>
                    <w:t>3</w:t>
                  </w:r>
                  <w:r>
                    <w:rPr>
                      <w:rFonts w:hint="eastAsia" w:cs="Times New Roman"/>
                      <w:color w:val="000000" w:themeColor="text1"/>
                      <w:szCs w:val="21"/>
                      <w:highlight w:val="none"/>
                      <w:lang w:val="en-US" w:eastAsia="zh-CN"/>
                      <w14:textFill>
                        <w14:solidFill>
                          <w14:schemeClr w14:val="tx1"/>
                        </w14:solidFill>
                      </w14:textFill>
                    </w:rPr>
                    <w:t>，土</w:t>
                  </w:r>
                  <w:r>
                    <w:rPr>
                      <w:rFonts w:hint="default" w:ascii="Times New Roman" w:hAnsi="Times New Roman" w:cs="Times New Roman"/>
                      <w:color w:val="000000" w:themeColor="text1"/>
                      <w:szCs w:val="21"/>
                      <w:highlight w:val="none"/>
                      <w14:textFill>
                        <w14:solidFill>
                          <w14:schemeClr w14:val="tx1"/>
                        </w14:solidFill>
                      </w14:textFill>
                    </w:rPr>
                    <w:t>质为砂砾土</w:t>
                  </w:r>
                  <w:r>
                    <w:rPr>
                      <w:rFonts w:hint="default" w:ascii="Times New Roman" w:hAnsi="Times New Roman" w:cs="Times New Roman"/>
                      <w:color w:val="000000" w:themeColor="text1"/>
                      <w:szCs w:val="21"/>
                      <w:highlight w:val="none"/>
                      <w:lang w:eastAsia="zh-CN"/>
                      <w14:textFill>
                        <w14:solidFill>
                          <w14:schemeClr w14:val="tx1"/>
                        </w14:solidFill>
                      </w14:textFill>
                    </w:rPr>
                    <w:t>（由砂粒、砾石和少量黏粒组成，孔隙度高透水性强，</w:t>
                  </w:r>
                  <w:r>
                    <w:rPr>
                      <w:rFonts w:hint="default" w:ascii="Times New Roman" w:hAnsi="Times New Roman" w:cs="Times New Roman"/>
                      <w:color w:val="000000" w:themeColor="text1"/>
                      <w:szCs w:val="21"/>
                      <w:highlight w:val="none"/>
                      <w:lang w:val="en-US" w:eastAsia="zh-CN"/>
                      <w14:textFill>
                        <w14:solidFill>
                          <w14:schemeClr w14:val="tx1"/>
                        </w14:solidFill>
                      </w14:textFill>
                    </w:rPr>
                    <w:t>适合耐旱植物生长，经人工养护可达到治理效果</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eastAsia" w:cs="Times New Roman"/>
                      <w:color w:val="000000" w:themeColor="text1"/>
                      <w:szCs w:val="21"/>
                      <w:highlight w:val="none"/>
                      <w:lang w:eastAsia="zh-CN"/>
                      <w14:textFill>
                        <w14:solidFill>
                          <w14:schemeClr w14:val="tx1"/>
                        </w14:solidFill>
                      </w14:textFill>
                    </w:rPr>
                    <w:t>，土方从有资质企业外购。</w:t>
                  </w:r>
                </w:p>
              </w:tc>
            </w:tr>
            <w:tr w14:paraId="0D08CB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1FC33517">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color w:val="000000" w:themeColor="text1"/>
                      <w:highlight w:val="none"/>
                      <w14:textFill>
                        <w14:solidFill>
                          <w14:schemeClr w14:val="tx1"/>
                        </w14:solidFill>
                      </w14:textFill>
                    </w:rPr>
                  </w:pPr>
                </w:p>
              </w:tc>
              <w:tc>
                <w:tcPr>
                  <w:tcW w:w="756" w:type="pct"/>
                  <w:vMerge w:val="continue"/>
                  <w:noWrap w:val="0"/>
                  <w:vAlign w:val="center"/>
                </w:tcPr>
                <w:p w14:paraId="2F9EEFBC">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eastAsia"/>
                      <w:color w:val="000000" w:themeColor="text1"/>
                      <w:highlight w:val="none"/>
                      <w14:textFill>
                        <w14:solidFill>
                          <w14:schemeClr w14:val="tx1"/>
                        </w14:solidFill>
                      </w14:textFill>
                    </w:rPr>
                  </w:pPr>
                </w:p>
              </w:tc>
              <w:tc>
                <w:tcPr>
                  <w:tcW w:w="745" w:type="pct"/>
                  <w:noWrap w:val="0"/>
                  <w:vAlign w:val="center"/>
                </w:tcPr>
                <w:p w14:paraId="4BC00EBB">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土地翻松</w:t>
                  </w:r>
                </w:p>
              </w:tc>
              <w:tc>
                <w:tcPr>
                  <w:tcW w:w="3058" w:type="pct"/>
                  <w:shd w:val="clear" w:color="auto" w:fill="auto"/>
                  <w:noWrap w:val="0"/>
                  <w:vAlign w:val="center"/>
                </w:tcPr>
                <w:p w14:paraId="73D3B7B5">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highlight w:val="none"/>
                      <w:lang w:eastAsia="zh-CN"/>
                      <w14:textFill>
                        <w14:solidFill>
                          <w14:schemeClr w14:val="tx1"/>
                        </w14:solidFill>
                      </w14:textFill>
                    </w:rPr>
                    <w:t>土地翻松，</w:t>
                  </w:r>
                  <w:r>
                    <w:rPr>
                      <w:rFonts w:hint="eastAsia"/>
                      <w:color w:val="000000" w:themeColor="text1"/>
                      <w:highlight w:val="none"/>
                      <w:lang w:val="en-US" w:eastAsia="zh-CN"/>
                      <w14:textFill>
                        <w14:solidFill>
                          <w14:schemeClr w14:val="tx1"/>
                        </w14:solidFill>
                      </w14:textFill>
                    </w:rPr>
                    <w:t>翻松深度0.1m，翻松</w:t>
                  </w:r>
                  <w:r>
                    <w:rPr>
                      <w:rFonts w:hint="eastAsia"/>
                      <w:color w:val="000000" w:themeColor="text1"/>
                      <w:highlight w:val="none"/>
                      <w:lang w:eastAsia="zh-CN"/>
                      <w14:textFill>
                        <w14:solidFill>
                          <w14:schemeClr w14:val="tx1"/>
                        </w14:solidFill>
                      </w14:textFill>
                    </w:rPr>
                    <w:t>面积为</w:t>
                  </w:r>
                  <w:r>
                    <w:rPr>
                      <w:rFonts w:hint="eastAsia"/>
                      <w:color w:val="000000" w:themeColor="text1"/>
                      <w:highlight w:val="none"/>
                      <w:lang w:val="en-US" w:eastAsia="zh-CN"/>
                      <w14:textFill>
                        <w14:solidFill>
                          <w14:schemeClr w14:val="tx1"/>
                        </w14:solidFill>
                      </w14:textFill>
                    </w:rPr>
                    <w:t>2.09</w:t>
                  </w:r>
                  <w:r>
                    <w:rPr>
                      <w:rFonts w:hint="eastAsia"/>
                      <w:color w:val="000000" w:themeColor="text1"/>
                      <w:highlight w:val="none"/>
                      <w:lang w:eastAsia="zh-CN"/>
                      <w14:textFill>
                        <w14:solidFill>
                          <w14:schemeClr w14:val="tx1"/>
                        </w14:solidFill>
                      </w14:textFill>
                    </w:rPr>
                    <w:t>hm</w:t>
                  </w:r>
                  <w:r>
                    <w:rPr>
                      <w:rFonts w:hint="eastAsia"/>
                      <w:color w:val="000000" w:themeColor="text1"/>
                      <w:highlight w:val="none"/>
                      <w:vertAlign w:val="superscript"/>
                      <w:lang w:eastAsia="zh-CN"/>
                      <w14:textFill>
                        <w14:solidFill>
                          <w14:schemeClr w14:val="tx1"/>
                        </w14:solidFill>
                      </w14:textFill>
                    </w:rPr>
                    <w:t>2</w:t>
                  </w:r>
                </w:p>
              </w:tc>
            </w:tr>
            <w:tr w14:paraId="447322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6CBA6C5E">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color w:val="000000" w:themeColor="text1"/>
                      <w:highlight w:val="none"/>
                      <w14:textFill>
                        <w14:solidFill>
                          <w14:schemeClr w14:val="tx1"/>
                        </w14:solidFill>
                      </w14:textFill>
                    </w:rPr>
                  </w:pPr>
                </w:p>
              </w:tc>
              <w:tc>
                <w:tcPr>
                  <w:tcW w:w="756" w:type="pct"/>
                  <w:vMerge w:val="continue"/>
                  <w:noWrap w:val="0"/>
                  <w:vAlign w:val="center"/>
                </w:tcPr>
                <w:p w14:paraId="25F425D8">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eastAsia"/>
                      <w:color w:val="000000" w:themeColor="text1"/>
                      <w:highlight w:val="none"/>
                      <w14:textFill>
                        <w14:solidFill>
                          <w14:schemeClr w14:val="tx1"/>
                        </w14:solidFill>
                      </w14:textFill>
                    </w:rPr>
                  </w:pPr>
                </w:p>
              </w:tc>
              <w:tc>
                <w:tcPr>
                  <w:tcW w:w="745" w:type="pct"/>
                  <w:noWrap w:val="0"/>
                  <w:vAlign w:val="center"/>
                </w:tcPr>
                <w:p w14:paraId="6C1EDF57">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穴播</w:t>
                  </w:r>
                  <w:r>
                    <w:rPr>
                      <w:rFonts w:hint="eastAsia"/>
                      <w:color w:val="000000" w:themeColor="text1"/>
                      <w:highlight w:val="none"/>
                      <w:lang w:val="en-US" w:eastAsia="zh-CN"/>
                      <w14:textFill>
                        <w14:solidFill>
                          <w14:schemeClr w14:val="tx1"/>
                        </w14:solidFill>
                      </w14:textFill>
                    </w:rPr>
                    <w:t>种草</w:t>
                  </w:r>
                </w:p>
              </w:tc>
              <w:tc>
                <w:tcPr>
                  <w:tcW w:w="3058" w:type="pct"/>
                  <w:shd w:val="clear" w:color="auto" w:fill="auto"/>
                  <w:noWrap w:val="0"/>
                  <w:vAlign w:val="center"/>
                </w:tcPr>
                <w:p w14:paraId="3748769B">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穴播种草面积为</w:t>
                  </w:r>
                  <w:r>
                    <w:rPr>
                      <w:rFonts w:hint="eastAsia"/>
                      <w:color w:val="000000" w:themeColor="text1"/>
                      <w:highlight w:val="none"/>
                      <w:lang w:val="en-US" w:eastAsia="zh-CN"/>
                      <w14:textFill>
                        <w14:solidFill>
                          <w14:schemeClr w14:val="tx1"/>
                        </w14:solidFill>
                      </w14:textFill>
                    </w:rPr>
                    <w:t>27.22</w:t>
                  </w:r>
                  <w:r>
                    <w:rPr>
                      <w:rFonts w:hint="default" w:ascii="Times New Roman" w:hAnsi="Times New Roman" w:cs="Times New Roman"/>
                      <w:color w:val="000000" w:themeColor="text1"/>
                      <w:szCs w:val="21"/>
                      <w:highlight w:val="none"/>
                      <w14:textFill>
                        <w14:solidFill>
                          <w14:schemeClr w14:val="tx1"/>
                        </w14:solidFill>
                      </w14:textFill>
                    </w:rPr>
                    <w:t>hm</w:t>
                  </w:r>
                  <w:r>
                    <w:rPr>
                      <w:rFonts w:hint="default" w:ascii="Times New Roman" w:hAnsi="Times New Roman" w:cs="Times New Roman"/>
                      <w:color w:val="000000" w:themeColor="text1"/>
                      <w:szCs w:val="21"/>
                      <w:highlight w:val="none"/>
                      <w:vertAlign w:val="superscript"/>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，草籽量15kg/hm</w:t>
                  </w:r>
                  <w:r>
                    <w:rPr>
                      <w:rFonts w:hint="default" w:ascii="Times New Roman" w:hAnsi="Times New Roman" w:cs="Times New Roman"/>
                      <w:color w:val="000000" w:themeColor="text1"/>
                      <w:szCs w:val="21"/>
                      <w:highlight w:val="none"/>
                      <w:vertAlign w:val="superscript"/>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，草种采用周边乡土草种，草籽采用人工采集或者市场购买。</w:t>
                  </w:r>
                </w:p>
              </w:tc>
            </w:tr>
            <w:tr w14:paraId="13EA09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290722C4">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color w:val="000000" w:themeColor="text1"/>
                      <w:highlight w:val="none"/>
                      <w14:textFill>
                        <w14:solidFill>
                          <w14:schemeClr w14:val="tx1"/>
                        </w14:solidFill>
                      </w14:textFill>
                    </w:rPr>
                  </w:pPr>
                </w:p>
              </w:tc>
              <w:tc>
                <w:tcPr>
                  <w:tcW w:w="756" w:type="pct"/>
                  <w:vMerge w:val="continue"/>
                  <w:noWrap w:val="0"/>
                  <w:vAlign w:val="center"/>
                </w:tcPr>
                <w:p w14:paraId="61313312">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eastAsia"/>
                      <w:color w:val="000000" w:themeColor="text1"/>
                      <w:highlight w:val="none"/>
                      <w14:textFill>
                        <w14:solidFill>
                          <w14:schemeClr w14:val="tx1"/>
                        </w14:solidFill>
                      </w14:textFill>
                    </w:rPr>
                  </w:pPr>
                </w:p>
              </w:tc>
              <w:tc>
                <w:tcPr>
                  <w:tcW w:w="745" w:type="pct"/>
                  <w:noWrap w:val="0"/>
                  <w:vAlign w:val="center"/>
                </w:tcPr>
                <w:p w14:paraId="113816E3">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草地养护</w:t>
                  </w:r>
                </w:p>
              </w:tc>
              <w:tc>
                <w:tcPr>
                  <w:tcW w:w="3058" w:type="pct"/>
                  <w:shd w:val="clear" w:color="auto" w:fill="auto"/>
                  <w:noWrap w:val="0"/>
                  <w:vAlign w:val="center"/>
                </w:tcPr>
                <w:p w14:paraId="113010DE">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eastAsia"/>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养护期为3年（2026年~2028年），每年</w:t>
                  </w:r>
                  <w:r>
                    <w:rPr>
                      <w:rFonts w:hint="default" w:ascii="Times New Roman" w:hAnsi="Times New Roman" w:cs="Times New Roman"/>
                      <w:color w:val="000000" w:themeColor="text1"/>
                      <w:szCs w:val="21"/>
                      <w:highlight w:val="none"/>
                      <w:lang w:val="en-US" w:eastAsia="zh-CN"/>
                      <w14:textFill>
                        <w14:solidFill>
                          <w14:schemeClr w14:val="tx1"/>
                        </w14:solidFill>
                      </w14:textFill>
                    </w:rPr>
                    <w:t>在周边取水点拉运</w:t>
                  </w:r>
                  <w:r>
                    <w:rPr>
                      <w:rFonts w:hint="default" w:ascii="Times New Roman" w:hAnsi="Times New Roman" w:cs="Times New Roman"/>
                      <w:color w:val="000000" w:themeColor="text1"/>
                      <w:szCs w:val="21"/>
                      <w:highlight w:val="none"/>
                      <w14:textFill>
                        <w14:solidFill>
                          <w14:schemeClr w14:val="tx1"/>
                        </w14:solidFill>
                      </w14:textFill>
                    </w:rPr>
                    <w:t>灌水量1850m</w:t>
                  </w:r>
                  <w:r>
                    <w:rPr>
                      <w:rFonts w:hint="default" w:ascii="Times New Roman" w:hAnsi="Times New Roman" w:cs="Times New Roman"/>
                      <w:color w:val="000000" w:themeColor="text1"/>
                      <w:szCs w:val="21"/>
                      <w:highlight w:val="none"/>
                      <w:vertAlign w:val="superscript"/>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/hm</w:t>
                  </w:r>
                  <w:r>
                    <w:rPr>
                      <w:rFonts w:hint="default" w:ascii="Times New Roman" w:hAnsi="Times New Roman" w:cs="Times New Roman"/>
                      <w:color w:val="000000" w:themeColor="text1"/>
                      <w:szCs w:val="21"/>
                      <w:highlight w:val="none"/>
                      <w:vertAlign w:val="superscript"/>
                      <w14:textFill>
                        <w14:solidFill>
                          <w14:schemeClr w14:val="tx1"/>
                        </w14:solidFill>
                      </w14:textFill>
                    </w:rPr>
                    <w:t>2</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养护期</w:t>
                  </w:r>
                  <w:r>
                    <w:rPr>
                      <w:rFonts w:hint="eastAsia" w:cs="Times New Roman"/>
                      <w:color w:val="000000" w:themeColor="text1"/>
                      <w:szCs w:val="21"/>
                      <w:highlight w:val="none"/>
                      <w:lang w:val="en-US" w:eastAsia="zh-CN"/>
                      <w14:textFill>
                        <w14:solidFill>
                          <w14:schemeClr w14:val="tx1"/>
                        </w14:solidFill>
                      </w14:textFill>
                    </w:rPr>
                    <w:t>总</w:t>
                  </w:r>
                  <w:r>
                    <w:rPr>
                      <w:rFonts w:hint="default" w:ascii="Times New Roman" w:hAnsi="Times New Roman" w:cs="Times New Roman"/>
                      <w:color w:val="000000" w:themeColor="text1"/>
                      <w:szCs w:val="21"/>
                      <w:highlight w:val="none"/>
                      <w:lang w:val="en-US" w:eastAsia="zh-CN"/>
                      <w14:textFill>
                        <w14:solidFill>
                          <w14:schemeClr w14:val="tx1"/>
                        </w14:solidFill>
                      </w14:textFill>
                    </w:rPr>
                    <w:t>用水量</w:t>
                  </w:r>
                  <w:r>
                    <w:rPr>
                      <w:rFonts w:hint="eastAsia"/>
                      <w:color w:val="000000" w:themeColor="text1"/>
                      <w:highlight w:val="none"/>
                      <w:lang w:val="en-US" w:eastAsia="zh-CN"/>
                      <w14:textFill>
                        <w14:solidFill>
                          <w14:schemeClr w14:val="tx1"/>
                        </w14:solidFill>
                      </w14:textFill>
                    </w:rPr>
                    <w:t>151071</w:t>
                  </w:r>
                  <w:r>
                    <w:rPr>
                      <w:rFonts w:hint="default" w:ascii="Times New Roman" w:hAnsi="Times New Roman" w:cs="Times New Roman"/>
                      <w:color w:val="000000" w:themeColor="text1"/>
                      <w:szCs w:val="21"/>
                      <w:highlight w:val="none"/>
                      <w14:textFill>
                        <w14:solidFill>
                          <w14:schemeClr w14:val="tx1"/>
                        </w14:solidFill>
                      </w14:textFill>
                    </w:rPr>
                    <w:t>m</w:t>
                  </w:r>
                  <w:r>
                    <w:rPr>
                      <w:rFonts w:hint="default" w:ascii="Times New Roman" w:hAnsi="Times New Roman" w:cs="Times New Roman"/>
                      <w:color w:val="000000" w:themeColor="text1"/>
                      <w:szCs w:val="21"/>
                      <w:highlight w:val="none"/>
                      <w:vertAlign w:val="superscript"/>
                      <w14:textFill>
                        <w14:solidFill>
                          <w14:schemeClr w14:val="tx1"/>
                        </w14:solidFill>
                      </w14:textFill>
                    </w:rPr>
                    <w:t>3</w:t>
                  </w:r>
                  <w:r>
                    <w:rPr>
                      <w:rFonts w:hint="default" w:ascii="Times New Roman" w:hAnsi="Times New Roman" w:cs="Times New Roman"/>
                      <w:color w:val="000000" w:themeColor="text1"/>
                      <w:szCs w:val="21"/>
                      <w:highlight w:val="none"/>
                      <w:lang w:eastAsia="zh-CN"/>
                      <w14:textFill>
                        <w14:solidFill>
                          <w14:schemeClr w14:val="tx1"/>
                        </w14:solidFill>
                      </w14:textFill>
                    </w:rPr>
                    <w:t>。</w:t>
                  </w:r>
                </w:p>
              </w:tc>
            </w:tr>
            <w:tr w14:paraId="024A28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439" w:type="pct"/>
                  <w:vMerge w:val="restart"/>
                  <w:noWrap w:val="0"/>
                  <w:vAlign w:val="center"/>
                </w:tcPr>
                <w:p w14:paraId="27781F7D">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jc w:val="center"/>
                    <w:textAlignment w:val="auto"/>
                    <w:rPr>
                      <w:rFonts w:hint="eastAsia" w:eastAsia="宋体"/>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临时工程</w:t>
                  </w:r>
                </w:p>
              </w:tc>
              <w:tc>
                <w:tcPr>
                  <w:tcW w:w="756" w:type="pct"/>
                  <w:noWrap w:val="0"/>
                  <w:vAlign w:val="center"/>
                </w:tcPr>
                <w:p w14:paraId="01F5D5E3">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施工</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生活</w:t>
                  </w:r>
                  <w:r>
                    <w:rPr>
                      <w:rFonts w:hint="eastAsia"/>
                      <w:color w:val="000000" w:themeColor="text1"/>
                      <w:highlight w:val="none"/>
                      <w:lang w:val="en-US" w:eastAsia="zh-CN"/>
                      <w14:textFill>
                        <w14:solidFill>
                          <w14:schemeClr w14:val="tx1"/>
                        </w14:solidFill>
                      </w14:textFill>
                    </w:rPr>
                    <w:t>营地</w:t>
                  </w:r>
                </w:p>
              </w:tc>
              <w:tc>
                <w:tcPr>
                  <w:tcW w:w="3804" w:type="pct"/>
                  <w:gridSpan w:val="2"/>
                  <w:noWrap w:val="0"/>
                  <w:vAlign w:val="center"/>
                </w:tcPr>
                <w:p w14:paraId="5FC54F6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jc w:val="center"/>
                    <w:textAlignment w:val="auto"/>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项目施工人员不在施工区域内住宿，不设置临时施工</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生活</w:t>
                  </w:r>
                  <w:r>
                    <w:rPr>
                      <w:rFonts w:hint="eastAsia"/>
                      <w:color w:val="000000" w:themeColor="text1"/>
                      <w:highlight w:val="none"/>
                      <w:lang w:val="en-US" w:eastAsia="zh-CN"/>
                      <w14:textFill>
                        <w14:solidFill>
                          <w14:schemeClr w14:val="tx1"/>
                        </w14:solidFill>
                      </w14:textFill>
                    </w:rPr>
                    <w:t>营地，施工</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生活</w:t>
                  </w:r>
                  <w:r>
                    <w:rPr>
                      <w:rFonts w:hint="eastAsia"/>
                      <w:color w:val="000000" w:themeColor="text1"/>
                      <w:highlight w:val="none"/>
                      <w:lang w:val="en-US" w:eastAsia="zh-CN"/>
                      <w14:textFill>
                        <w14:solidFill>
                          <w14:schemeClr w14:val="tx1"/>
                        </w14:solidFill>
                      </w14:textFill>
                    </w:rPr>
                    <w:t>营地</w:t>
                  </w:r>
                  <w:r>
                    <w:rPr>
                      <w:rFonts w:hint="eastAsia" w:cs="Times New Roman"/>
                      <w:color w:val="000000" w:themeColor="text1"/>
                      <w:highlight w:val="none"/>
                      <w14:textFill>
                        <w14:solidFill>
                          <w14:schemeClr w14:val="tx1"/>
                        </w14:solidFill>
                      </w14:textFill>
                    </w:rPr>
                    <w:t>依托项目区</w:t>
                  </w:r>
                  <w:r>
                    <w:rPr>
                      <w:rFonts w:hint="eastAsia" w:cs="Times New Roman"/>
                      <w:color w:val="000000" w:themeColor="text1"/>
                      <w:highlight w:val="none"/>
                      <w:lang w:val="en-US" w:eastAsia="zh-CN"/>
                      <w14:textFill>
                        <w14:solidFill>
                          <w14:schemeClr w14:val="tx1"/>
                        </w14:solidFill>
                      </w14:textFill>
                    </w:rPr>
                    <w:t>周边</w:t>
                  </w:r>
                  <w:r>
                    <w:rPr>
                      <w:rFonts w:hint="eastAsia" w:cs="Times New Roman"/>
                      <w:color w:val="000000" w:themeColor="text1"/>
                      <w:highlight w:val="none"/>
                      <w14:textFill>
                        <w14:solidFill>
                          <w14:schemeClr w14:val="tx1"/>
                        </w14:solidFill>
                      </w14:textFill>
                    </w:rPr>
                    <w:t>村庄</w:t>
                  </w:r>
                  <w:r>
                    <w:rPr>
                      <w:rFonts w:hint="eastAsia" w:cs="Times New Roman"/>
                      <w:color w:val="000000" w:themeColor="text1"/>
                      <w:highlight w:val="none"/>
                      <w:lang w:eastAsia="zh-CN"/>
                      <w14:textFill>
                        <w14:solidFill>
                          <w14:schemeClr w14:val="tx1"/>
                        </w14:solidFill>
                      </w14:textFill>
                    </w:rPr>
                    <w:t>。</w:t>
                  </w:r>
                </w:p>
              </w:tc>
            </w:tr>
            <w:tr w14:paraId="460B7C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0DEDCB9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jc w:val="center"/>
                    <w:textAlignment w:val="auto"/>
                    <w:rPr>
                      <w:rFonts w:hint="eastAsia" w:cs="Times New Roman"/>
                      <w:b w:val="0"/>
                      <w:bCs w:val="0"/>
                      <w:color w:val="000000" w:themeColor="text1"/>
                      <w:highlight w:val="none"/>
                      <w:lang w:val="en-US" w:eastAsia="zh-CN"/>
                      <w14:textFill>
                        <w14:solidFill>
                          <w14:schemeClr w14:val="tx1"/>
                        </w14:solidFill>
                      </w14:textFill>
                    </w:rPr>
                  </w:pPr>
                </w:p>
              </w:tc>
              <w:tc>
                <w:tcPr>
                  <w:tcW w:w="756" w:type="pct"/>
                  <w:noWrap w:val="0"/>
                  <w:vAlign w:val="center"/>
                </w:tcPr>
                <w:p w14:paraId="06ADCE53">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取弃土场</w:t>
                  </w:r>
                </w:p>
              </w:tc>
              <w:tc>
                <w:tcPr>
                  <w:tcW w:w="3804" w:type="pct"/>
                  <w:gridSpan w:val="2"/>
                  <w:noWrap w:val="0"/>
                  <w:vAlign w:val="center"/>
                </w:tcPr>
                <w:p w14:paraId="1335188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本项目不设置取、弃土场，覆土土方从有资质企业外购。</w:t>
                  </w:r>
                </w:p>
              </w:tc>
            </w:tr>
            <w:tr w14:paraId="6F0FA6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16F278F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jc w:val="left"/>
                    <w:textAlignment w:val="auto"/>
                    <w:rPr>
                      <w:rFonts w:hint="eastAsia"/>
                      <w:color w:val="000000" w:themeColor="text1"/>
                      <w:highlight w:val="none"/>
                      <w:lang w:val="en-US" w:eastAsia="zh-CN"/>
                      <w14:textFill>
                        <w14:solidFill>
                          <w14:schemeClr w14:val="tx1"/>
                        </w14:solidFill>
                      </w14:textFill>
                    </w:rPr>
                  </w:pPr>
                </w:p>
              </w:tc>
              <w:tc>
                <w:tcPr>
                  <w:tcW w:w="756" w:type="pct"/>
                  <w:noWrap w:val="0"/>
                  <w:vAlign w:val="center"/>
                </w:tcPr>
                <w:p w14:paraId="73045123">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施工便道</w:t>
                  </w:r>
                </w:p>
              </w:tc>
              <w:tc>
                <w:tcPr>
                  <w:tcW w:w="3804" w:type="pct"/>
                  <w:gridSpan w:val="2"/>
                  <w:noWrap w:val="0"/>
                  <w:vAlign w:val="center"/>
                </w:tcPr>
                <w:p w14:paraId="2CAA1F1D">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jc w:val="center"/>
                    <w:textAlignment w:val="auto"/>
                    <w:rPr>
                      <w:rFonts w:hint="default"/>
                      <w:color w:val="000000" w:themeColor="text1"/>
                      <w:highlight w:val="none"/>
                      <w:lang w:val="en-US"/>
                      <w14:textFill>
                        <w14:solidFill>
                          <w14:schemeClr w14:val="tx1"/>
                        </w14:solidFill>
                      </w14:textFill>
                    </w:rPr>
                  </w:pPr>
                  <w:r>
                    <w:rPr>
                      <w:rFonts w:hint="default"/>
                      <w:color w:val="000000" w:themeColor="text1"/>
                      <w:highlight w:val="none"/>
                      <w:lang w:val="en-US" w:eastAsia="zh-CN"/>
                      <w14:textFill>
                        <w14:solidFill>
                          <w14:schemeClr w14:val="tx1"/>
                        </w14:solidFill>
                      </w14:textFill>
                    </w:rPr>
                    <w:t>治理区周边分布有高速公路、县道、乡道等交通运输道路，交通便利。场内道路利用已有石料运输道路</w:t>
                  </w:r>
                  <w:r>
                    <w:rPr>
                      <w:rFonts w:hint="eastAsia"/>
                      <w:color w:val="000000" w:themeColor="text1"/>
                      <w:highlight w:val="none"/>
                      <w:lang w:val="en-US" w:eastAsia="zh-CN"/>
                      <w14:textFill>
                        <w14:solidFill>
                          <w14:schemeClr w14:val="tx1"/>
                        </w14:solidFill>
                      </w14:textFill>
                    </w:rPr>
                    <w:t>，不新增施工便道。</w:t>
                  </w:r>
                </w:p>
              </w:tc>
            </w:tr>
            <w:tr w14:paraId="4F4C5D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1867479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jc w:val="left"/>
                    <w:textAlignment w:val="auto"/>
                    <w:rPr>
                      <w:rFonts w:hint="eastAsia"/>
                      <w:color w:val="000000" w:themeColor="text1"/>
                      <w:highlight w:val="none"/>
                      <w:lang w:val="en-US" w:eastAsia="zh-CN"/>
                      <w14:textFill>
                        <w14:solidFill>
                          <w14:schemeClr w14:val="tx1"/>
                        </w14:solidFill>
                      </w14:textFill>
                    </w:rPr>
                  </w:pPr>
                </w:p>
              </w:tc>
              <w:tc>
                <w:tcPr>
                  <w:tcW w:w="756" w:type="pct"/>
                  <w:noWrap w:val="0"/>
                  <w:vAlign w:val="center"/>
                </w:tcPr>
                <w:p w14:paraId="0A3749A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施工车辆</w:t>
                  </w:r>
                </w:p>
              </w:tc>
              <w:tc>
                <w:tcPr>
                  <w:tcW w:w="3804" w:type="pct"/>
                  <w:gridSpan w:val="2"/>
                  <w:noWrap w:val="0"/>
                  <w:vAlign w:val="center"/>
                </w:tcPr>
                <w:p w14:paraId="573B5A9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施工车辆</w:t>
                  </w:r>
                  <w:r>
                    <w:rPr>
                      <w:rFonts w:hint="eastAsia"/>
                      <w:color w:val="000000" w:themeColor="text1"/>
                      <w:highlight w:val="none"/>
                      <w:lang w:val="en-US" w:eastAsia="zh-CN"/>
                      <w14:textFill>
                        <w14:solidFill>
                          <w14:schemeClr w14:val="tx1"/>
                        </w14:solidFill>
                      </w14:textFill>
                    </w:rPr>
                    <w:t>均停放在占地范围内，严禁占用占地范围以外的区域</w:t>
                  </w:r>
                </w:p>
              </w:tc>
            </w:tr>
            <w:tr w14:paraId="3A4999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7C95130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jc w:val="left"/>
                    <w:textAlignment w:val="auto"/>
                    <w:rPr>
                      <w:rFonts w:hint="eastAsia"/>
                      <w:color w:val="000000" w:themeColor="text1"/>
                      <w:highlight w:val="none"/>
                      <w:lang w:val="en-US" w:eastAsia="zh-CN"/>
                      <w14:textFill>
                        <w14:solidFill>
                          <w14:schemeClr w14:val="tx1"/>
                        </w14:solidFill>
                      </w14:textFill>
                    </w:rPr>
                  </w:pPr>
                </w:p>
              </w:tc>
              <w:tc>
                <w:tcPr>
                  <w:tcW w:w="756" w:type="pct"/>
                  <w:noWrap w:val="0"/>
                  <w:vAlign w:val="center"/>
                </w:tcPr>
                <w:p w14:paraId="2CC204F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施工材料</w:t>
                  </w:r>
                </w:p>
              </w:tc>
              <w:tc>
                <w:tcPr>
                  <w:tcW w:w="3804" w:type="pct"/>
                  <w:gridSpan w:val="2"/>
                  <w:noWrap w:val="0"/>
                  <w:vAlign w:val="center"/>
                </w:tcPr>
                <w:p w14:paraId="5BA7A518">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施工材料均堆放在占地范围内，严禁占用占地范围以外的区域</w:t>
                  </w:r>
                </w:p>
              </w:tc>
            </w:tr>
            <w:tr w14:paraId="42A7EF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restart"/>
                  <w:noWrap w:val="0"/>
                  <w:vAlign w:val="center"/>
                </w:tcPr>
                <w:p w14:paraId="763141C8">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公辅</w:t>
                  </w:r>
                  <w:r>
                    <w:rPr>
                      <w:color w:val="000000" w:themeColor="text1"/>
                      <w:highlight w:val="none"/>
                      <w14:textFill>
                        <w14:solidFill>
                          <w14:schemeClr w14:val="tx1"/>
                        </w14:solidFill>
                      </w14:textFill>
                    </w:rPr>
                    <w:t>工程</w:t>
                  </w:r>
                </w:p>
              </w:tc>
              <w:tc>
                <w:tcPr>
                  <w:tcW w:w="756" w:type="pct"/>
                  <w:noWrap w:val="0"/>
                  <w:vAlign w:val="center"/>
                </w:tcPr>
                <w:p w14:paraId="3C953140">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供水</w:t>
                  </w:r>
                </w:p>
              </w:tc>
              <w:tc>
                <w:tcPr>
                  <w:tcW w:w="3804" w:type="pct"/>
                  <w:gridSpan w:val="2"/>
                  <w:noWrap w:val="0"/>
                  <w:vAlign w:val="center"/>
                </w:tcPr>
                <w:p w14:paraId="190D9352">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施工用水购自周边村镇</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由水罐车拉运。</w:t>
                  </w:r>
                </w:p>
                <w:p w14:paraId="10454CBA">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运营期草地养护用水自周边村镇取水点，</w:t>
                  </w:r>
                  <w:r>
                    <w:rPr>
                      <w:rFonts w:hint="eastAsia"/>
                      <w:color w:val="000000" w:themeColor="text1"/>
                      <w:highlight w:val="none"/>
                      <w14:textFill>
                        <w14:solidFill>
                          <w14:schemeClr w14:val="tx1"/>
                        </w14:solidFill>
                      </w14:textFill>
                    </w:rPr>
                    <w:t>补水方式采用水罐车拉水，利用软管进行人工浇水。</w:t>
                  </w:r>
                </w:p>
              </w:tc>
            </w:tr>
            <w:tr w14:paraId="6AA0FE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2A83F80E">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p>
              </w:tc>
              <w:tc>
                <w:tcPr>
                  <w:tcW w:w="756" w:type="pct"/>
                  <w:noWrap w:val="0"/>
                  <w:vAlign w:val="center"/>
                </w:tcPr>
                <w:p w14:paraId="36ACA389">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排水</w:t>
                  </w:r>
                </w:p>
              </w:tc>
              <w:tc>
                <w:tcPr>
                  <w:tcW w:w="3804" w:type="pct"/>
                  <w:gridSpan w:val="2"/>
                  <w:noWrap w:val="0"/>
                  <w:vAlign w:val="center"/>
                </w:tcPr>
                <w:p w14:paraId="1BD33695">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eastAsia="宋体"/>
                      <w:color w:val="000000" w:themeColor="text1"/>
                      <w:highlight w:val="none"/>
                      <w:lang w:val="en-US" w:eastAsia="zh-CN"/>
                      <w14:textFill>
                        <w14:solidFill>
                          <w14:schemeClr w14:val="tx1"/>
                        </w14:solidFill>
                      </w14:textFill>
                    </w:rPr>
                  </w:pPr>
                  <w:r>
                    <w:rPr>
                      <w:rFonts w:hint="eastAsia" w:cs="Times New Roman"/>
                      <w:color w:val="000000" w:themeColor="text1"/>
                      <w:highlight w:val="none"/>
                      <w14:textFill>
                        <w14:solidFill>
                          <w14:schemeClr w14:val="tx1"/>
                        </w14:solidFill>
                      </w14:textFill>
                    </w:rPr>
                    <w:t>项目区不设置施工营地，施工生活营地依托周边村庄，项目施工区无生活污水产生。</w:t>
                  </w:r>
                  <w:r>
                    <w:rPr>
                      <w:rFonts w:hint="eastAsia" w:cs="Times New Roman"/>
                      <w:color w:val="000000" w:themeColor="text1"/>
                      <w:highlight w:val="none"/>
                      <w:lang w:val="en-US" w:eastAsia="zh-CN"/>
                      <w14:textFill>
                        <w14:solidFill>
                          <w14:schemeClr w14:val="tx1"/>
                        </w14:solidFill>
                      </w14:textFill>
                    </w:rPr>
                    <w:t>车辆及施工机械冲洗废水经1座5m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cs="Times New Roman"/>
                      <w:color w:val="000000" w:themeColor="text1"/>
                      <w:highlight w:val="none"/>
                      <w:lang w:val="en-US" w:eastAsia="zh-CN"/>
                      <w14:textFill>
                        <w14:solidFill>
                          <w14:schemeClr w14:val="tx1"/>
                        </w14:solidFill>
                      </w14:textFill>
                    </w:rPr>
                    <w:t>沉淀池处置后用于治理区洒水降尘，不外排。</w:t>
                  </w:r>
                </w:p>
              </w:tc>
            </w:tr>
            <w:tr w14:paraId="5CC26B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398E3B79">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p>
              </w:tc>
              <w:tc>
                <w:tcPr>
                  <w:tcW w:w="756" w:type="pct"/>
                  <w:noWrap w:val="0"/>
                  <w:vAlign w:val="center"/>
                </w:tcPr>
                <w:p w14:paraId="5005762B">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供电</w:t>
                  </w:r>
                </w:p>
              </w:tc>
              <w:tc>
                <w:tcPr>
                  <w:tcW w:w="3804" w:type="pct"/>
                  <w:gridSpan w:val="2"/>
                  <w:noWrap w:val="0"/>
                  <w:vAlign w:val="center"/>
                </w:tcPr>
                <w:p w14:paraId="0023C8EB">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eastAsia" w:eastAsia="宋体"/>
                      <w:color w:val="000000" w:themeColor="text1"/>
                      <w:highlight w:val="none"/>
                      <w:lang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施工期、运营期用电由附近供电电网接入</w:t>
                  </w:r>
                  <w:r>
                    <w:rPr>
                      <w:rFonts w:hint="eastAsia"/>
                      <w:color w:val="000000" w:themeColor="text1"/>
                      <w:highlight w:val="none"/>
                      <w:lang w:eastAsia="zh-CN"/>
                      <w14:textFill>
                        <w14:solidFill>
                          <w14:schemeClr w14:val="tx1"/>
                        </w14:solidFill>
                      </w14:textFill>
                    </w:rPr>
                    <w:t>。</w:t>
                  </w:r>
                </w:p>
              </w:tc>
            </w:tr>
            <w:tr w14:paraId="1259FB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restart"/>
                  <w:noWrap w:val="0"/>
                  <w:vAlign w:val="center"/>
                </w:tcPr>
                <w:p w14:paraId="1051A309">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环保工程</w:t>
                  </w:r>
                </w:p>
              </w:tc>
              <w:tc>
                <w:tcPr>
                  <w:tcW w:w="756" w:type="pct"/>
                  <w:noWrap w:val="0"/>
                  <w:vAlign w:val="center"/>
                </w:tcPr>
                <w:p w14:paraId="2CA3F7EE">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废气治理</w:t>
                  </w:r>
                </w:p>
              </w:tc>
              <w:tc>
                <w:tcPr>
                  <w:tcW w:w="3804" w:type="pct"/>
                  <w:gridSpan w:val="2"/>
                  <w:noWrap w:val="0"/>
                  <w:vAlign w:val="center"/>
                </w:tcPr>
                <w:p w14:paraId="622B614F">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jc w:val="center"/>
                    <w:textAlignment w:val="auto"/>
                    <w:rPr>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避免在大风日时施工，尽可能缩短施工时间；汽车运输加盖篷布、控制车速；运输车辆进出的主干道应定期洒水清扫；加强对施工机械、车辆的维修保养；对施工场区定期洒水降尘。</w:t>
                  </w:r>
                </w:p>
              </w:tc>
            </w:tr>
            <w:tr w14:paraId="09E121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4F93E739">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p>
              </w:tc>
              <w:tc>
                <w:tcPr>
                  <w:tcW w:w="756" w:type="pct"/>
                  <w:noWrap w:val="0"/>
                  <w:vAlign w:val="center"/>
                </w:tcPr>
                <w:p w14:paraId="1E4E0CB1">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废水治理</w:t>
                  </w:r>
                </w:p>
              </w:tc>
              <w:tc>
                <w:tcPr>
                  <w:tcW w:w="3804" w:type="pct"/>
                  <w:gridSpan w:val="2"/>
                  <w:noWrap w:val="0"/>
                  <w:vAlign w:val="center"/>
                </w:tcPr>
                <w:p w14:paraId="266FDD66">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jc w:val="center"/>
                    <w:textAlignment w:val="auto"/>
                    <w:rPr>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施工生活营地依托周边村庄，项目施工区无生活污水产生。</w:t>
                  </w:r>
                  <w:r>
                    <w:rPr>
                      <w:rFonts w:hint="eastAsia" w:cs="Times New Roman"/>
                      <w:color w:val="000000" w:themeColor="text1"/>
                      <w:highlight w:val="none"/>
                      <w:lang w:val="en-US" w:eastAsia="zh-CN"/>
                      <w14:textFill>
                        <w14:solidFill>
                          <w14:schemeClr w14:val="tx1"/>
                        </w14:solidFill>
                      </w14:textFill>
                    </w:rPr>
                    <w:t>车辆及施工机械冲洗废水经1座5m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cs="Times New Roman"/>
                      <w:color w:val="000000" w:themeColor="text1"/>
                      <w:highlight w:val="none"/>
                      <w:lang w:val="en-US" w:eastAsia="zh-CN"/>
                      <w14:textFill>
                        <w14:solidFill>
                          <w14:schemeClr w14:val="tx1"/>
                        </w14:solidFill>
                      </w14:textFill>
                    </w:rPr>
                    <w:t>沉淀池处置后用于治理区洒水降尘，不外排。</w:t>
                  </w:r>
                </w:p>
              </w:tc>
            </w:tr>
            <w:tr w14:paraId="5872D9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0D1366DF">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p>
              </w:tc>
              <w:tc>
                <w:tcPr>
                  <w:tcW w:w="756" w:type="pct"/>
                  <w:noWrap w:val="0"/>
                  <w:vAlign w:val="center"/>
                </w:tcPr>
                <w:p w14:paraId="383AC9E1">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噪声治理</w:t>
                  </w:r>
                </w:p>
              </w:tc>
              <w:tc>
                <w:tcPr>
                  <w:tcW w:w="3804" w:type="pct"/>
                  <w:gridSpan w:val="2"/>
                  <w:noWrap w:val="0"/>
                  <w:vAlign w:val="center"/>
                </w:tcPr>
                <w:p w14:paraId="4A0604EE">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jc w:val="center"/>
                    <w:textAlignment w:val="auto"/>
                    <w:rPr>
                      <w:rFonts w:hint="eastAsia" w:eastAsia="宋体"/>
                      <w:color w:val="000000" w:themeColor="text1"/>
                      <w:highlight w:val="none"/>
                      <w:lang w:eastAsia="zh-CN"/>
                      <w14:textFill>
                        <w14:solidFill>
                          <w14:schemeClr w14:val="tx1"/>
                        </w14:solidFill>
                      </w14:textFill>
                    </w:rPr>
                  </w:pPr>
                  <w:r>
                    <w:rPr>
                      <w:rFonts w:hint="eastAsia" w:cs="Times New Roman"/>
                      <w:color w:val="000000" w:themeColor="text1"/>
                      <w:highlight w:val="none"/>
                      <w14:textFill>
                        <w14:solidFill>
                          <w14:schemeClr w14:val="tx1"/>
                        </w14:solidFill>
                      </w14:textFill>
                    </w:rPr>
                    <w:t>合理安排施工时间，优化运输路线，车辆减速慢行、禁止鸣笛</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14:textFill>
                        <w14:solidFill>
                          <w14:schemeClr w14:val="tx1"/>
                        </w14:solidFill>
                      </w14:textFill>
                    </w:rPr>
                    <w:t>选用低噪声设备</w:t>
                  </w:r>
                  <w:r>
                    <w:rPr>
                      <w:rFonts w:hint="eastAsia" w:cs="Times New Roman"/>
                      <w:color w:val="000000" w:themeColor="text1"/>
                      <w:highlight w:val="none"/>
                      <w:lang w:eastAsia="zh-CN"/>
                      <w14:textFill>
                        <w14:solidFill>
                          <w14:schemeClr w14:val="tx1"/>
                        </w14:solidFill>
                      </w14:textFill>
                    </w:rPr>
                    <w:t>。</w:t>
                  </w:r>
                </w:p>
              </w:tc>
            </w:tr>
            <w:tr w14:paraId="61295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1B5DB5DC">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p>
              </w:tc>
              <w:tc>
                <w:tcPr>
                  <w:tcW w:w="756" w:type="pct"/>
                  <w:noWrap w:val="0"/>
                  <w:vAlign w:val="center"/>
                </w:tcPr>
                <w:p w14:paraId="47AE8BBE">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固废治理</w:t>
                  </w:r>
                </w:p>
              </w:tc>
              <w:tc>
                <w:tcPr>
                  <w:tcW w:w="3804" w:type="pct"/>
                  <w:gridSpan w:val="2"/>
                  <w:noWrap w:val="0"/>
                  <w:vAlign w:val="center"/>
                </w:tcPr>
                <w:p w14:paraId="375E6196">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本项目不在治理区内对机械设备维修，不产生危废，项目土方挖填平衡，全部利用无弃土方产生，清理的矿产品用于场区平整换填与截水埂修建。</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施工期的固体废弃物</w:t>
                  </w:r>
                  <w:r>
                    <w:rPr>
                      <w:rFonts w:hint="eastAsia" w:cs="Times New Roman"/>
                      <w:color w:val="000000" w:themeColor="text1"/>
                      <w:kern w:val="0"/>
                      <w:sz w:val="21"/>
                      <w:szCs w:val="21"/>
                      <w:highlight w:val="none"/>
                      <w:lang w:val="en-US" w:eastAsia="zh-CN" w:bidi="ar-SA"/>
                      <w14:textFill>
                        <w14:solidFill>
                          <w14:schemeClr w14:val="tx1"/>
                        </w14:solidFill>
                      </w14:textFill>
                    </w:rPr>
                    <w:t>主要为</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生活垃圾。生活垃圾集中分类收集后送至邻近村庄生活垃圾收集点，由当地环卫部门统一清运处置</w:t>
                  </w:r>
                  <w:r>
                    <w:rPr>
                      <w:rFonts w:hint="eastAsia" w:cs="Times New Roman"/>
                      <w:color w:val="000000" w:themeColor="text1"/>
                      <w:kern w:val="0"/>
                      <w:sz w:val="21"/>
                      <w:szCs w:val="21"/>
                      <w:highlight w:val="none"/>
                      <w:lang w:val="en-US" w:eastAsia="zh-CN" w:bidi="ar-SA"/>
                      <w14:textFill>
                        <w14:solidFill>
                          <w14:schemeClr w14:val="tx1"/>
                        </w14:solidFill>
                      </w14:textFill>
                    </w:rPr>
                    <w:t>。</w:t>
                  </w:r>
                </w:p>
              </w:tc>
            </w:tr>
            <w:tr w14:paraId="575DB9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9" w:type="pct"/>
                  <w:vMerge w:val="continue"/>
                  <w:noWrap w:val="0"/>
                  <w:vAlign w:val="center"/>
                </w:tcPr>
                <w:p w14:paraId="05553878">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p>
              </w:tc>
              <w:tc>
                <w:tcPr>
                  <w:tcW w:w="756" w:type="pct"/>
                  <w:vMerge w:val="restart"/>
                  <w:noWrap w:val="0"/>
                  <w:vAlign w:val="center"/>
                </w:tcPr>
                <w:p w14:paraId="736D1C33">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生态保护</w:t>
                  </w:r>
                </w:p>
              </w:tc>
              <w:tc>
                <w:tcPr>
                  <w:tcW w:w="3804" w:type="pct"/>
                  <w:gridSpan w:val="2"/>
                  <w:noWrap w:val="0"/>
                  <w:vAlign w:val="center"/>
                </w:tcPr>
                <w:p w14:paraId="4E8319FA">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施工期</w:t>
                  </w:r>
                  <w:r>
                    <w:rPr>
                      <w:rFonts w:hint="eastAsia"/>
                      <w:color w:val="000000" w:themeColor="text1"/>
                      <w:highlight w:val="none"/>
                      <w14:textFill>
                        <w14:solidFill>
                          <w14:schemeClr w14:val="tx1"/>
                        </w14:solidFill>
                      </w14:textFill>
                    </w:rPr>
                    <w:t>严格控制施工区域占地及周边动植物保护，合理规划修复治理顺序；项目区不设置施工生活营地；施工场地定期洒水降尘、运输车辆加盖篷布；边坡治理、地形地貌恢复等工程对工程区进行生态修复；对于削坡处理并进行土地平整，并对坡面撒播草籽。</w:t>
                  </w:r>
                </w:p>
              </w:tc>
            </w:tr>
            <w:tr w14:paraId="578ABD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vMerge w:val="continue"/>
                  <w:noWrap w:val="0"/>
                  <w:vAlign w:val="center"/>
                </w:tcPr>
                <w:p w14:paraId="60E5F30A">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p>
              </w:tc>
              <w:tc>
                <w:tcPr>
                  <w:tcW w:w="756" w:type="pct"/>
                  <w:vMerge w:val="continue"/>
                  <w:noWrap w:val="0"/>
                  <w:vAlign w:val="center"/>
                </w:tcPr>
                <w:p w14:paraId="616691FE">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color w:val="000000" w:themeColor="text1"/>
                      <w:highlight w:val="none"/>
                      <w14:textFill>
                        <w14:solidFill>
                          <w14:schemeClr w14:val="tx1"/>
                        </w14:solidFill>
                      </w14:textFill>
                    </w:rPr>
                  </w:pPr>
                </w:p>
              </w:tc>
              <w:tc>
                <w:tcPr>
                  <w:tcW w:w="3804" w:type="pct"/>
                  <w:gridSpan w:val="2"/>
                  <w:noWrap w:val="0"/>
                  <w:vAlign w:val="center"/>
                </w:tcPr>
                <w:p w14:paraId="2096A741">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实施后，工矿用地、其他土地将转变为草地。运营期草地养护期为3年，在6-8月份进行人工补水。平缓区域（坡度＜15°）草地覆盖率第二年达到10%，第三年达到20%；缓坡面区域（25°＞坡度＞15°）植被覆盖率第二年达到7%，第三年达到10%；陡坡区（坡度＞25°）的边坡植被覆盖率第二年达到3%，第三年达到5%。</w:t>
                  </w:r>
                </w:p>
              </w:tc>
            </w:tr>
          </w:tbl>
          <w:p w14:paraId="2AC87BC8">
            <w:pPr>
              <w:pStyle w:val="2"/>
              <w:bidi w:val="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项目工程量汇总</w:t>
            </w:r>
          </w:p>
          <w:p w14:paraId="5B504750">
            <w:pPr>
              <w:tabs>
                <w:tab w:val="left" w:pos="861"/>
              </w:tabs>
              <w:ind w:firstLine="454" w:firstLineChars="200"/>
              <w:jc w:val="left"/>
              <w:rPr>
                <w:b/>
                <w:color w:val="000000" w:themeColor="text1"/>
                <w:sz w:val="24"/>
                <w:highlight w:val="none"/>
                <w14:textFill>
                  <w14:solidFill>
                    <w14:schemeClr w14:val="tx1"/>
                  </w14:solidFill>
                </w14:textFill>
              </w:rPr>
            </w:pPr>
            <w:r>
              <w:rPr>
                <w:color w:val="000000" w:themeColor="text1"/>
                <w:kern w:val="0"/>
                <w:sz w:val="24"/>
                <w:highlight w:val="none"/>
                <w:lang w:bidi="ar"/>
                <w14:textFill>
                  <w14:solidFill>
                    <w14:schemeClr w14:val="tx1"/>
                  </w14:solidFill>
                </w14:textFill>
              </w:rPr>
              <w:t>本项目生态修复工程量汇总见表2-</w:t>
            </w:r>
            <w:r>
              <w:rPr>
                <w:rFonts w:hint="eastAsia"/>
                <w:color w:val="000000" w:themeColor="text1"/>
                <w:kern w:val="0"/>
                <w:sz w:val="24"/>
                <w:highlight w:val="none"/>
                <w:lang w:val="en-US" w:eastAsia="zh-CN" w:bidi="ar"/>
                <w14:textFill>
                  <w14:solidFill>
                    <w14:schemeClr w14:val="tx1"/>
                  </w14:solidFill>
                </w14:textFill>
              </w:rPr>
              <w:t>3</w:t>
            </w:r>
            <w:r>
              <w:rPr>
                <w:color w:val="000000" w:themeColor="text1"/>
                <w:kern w:val="0"/>
                <w:sz w:val="24"/>
                <w:highlight w:val="none"/>
                <w:lang w:bidi="ar"/>
                <w14:textFill>
                  <w14:solidFill>
                    <w14:schemeClr w14:val="tx1"/>
                  </w14:solidFill>
                </w14:textFill>
              </w:rPr>
              <w:t>。</w:t>
            </w:r>
          </w:p>
          <w:p w14:paraId="0EF2C71C">
            <w:pPr>
              <w:pStyle w:val="3"/>
              <w:bidi w:val="0"/>
              <w:rPr>
                <w:rFonts w:hint="eastAsia" w:ascii="Times New Roman" w:hAnsi="Times New Roman" w:cs="宋体"/>
                <w:color w:val="000000" w:themeColor="text1"/>
                <w:highlight w:val="none"/>
                <w14:textFill>
                  <w14:solidFill>
                    <w14:schemeClr w14:val="tx1"/>
                  </w14:solidFill>
                </w14:textFill>
              </w:rPr>
            </w:pPr>
            <w:r>
              <w:rPr>
                <w:rFonts w:hint="eastAsia" w:ascii="Times New Roman" w:hAnsi="Times New Roman" w:cs="宋体"/>
                <w:color w:val="000000" w:themeColor="text1"/>
                <w:highlight w:val="none"/>
                <w14:textFill>
                  <w14:solidFill>
                    <w14:schemeClr w14:val="tx1"/>
                  </w14:solidFill>
                </w14:textFill>
              </w:rPr>
              <w:t>表</w:t>
            </w:r>
            <w:r>
              <w:rPr>
                <w:rFonts w:hint="eastAsia" w:ascii="Times New Roman" w:hAnsi="Times New Roman" w:cs="宋体"/>
                <w:color w:val="000000" w:themeColor="text1"/>
                <w:highlight w:val="none"/>
                <w:lang w:val="en-US" w:eastAsia="zh-CN"/>
                <w14:textFill>
                  <w14:solidFill>
                    <w14:schemeClr w14:val="tx1"/>
                  </w14:solidFill>
                </w14:textFill>
              </w:rPr>
              <w:t>2-3</w:t>
            </w:r>
            <w:r>
              <w:rPr>
                <w:rFonts w:ascii="Times New Roman" w:hAnsi="Times New Roman" w:cs="宋体"/>
                <w:color w:val="000000" w:themeColor="text1"/>
                <w:highlight w:val="none"/>
                <w14:textFill>
                  <w14:solidFill>
                    <w14:schemeClr w14:val="tx1"/>
                  </w14:solidFill>
                </w14:textFill>
              </w:rPr>
              <w:t xml:space="preserve"> </w:t>
            </w:r>
            <w:r>
              <w:rPr>
                <w:rFonts w:hint="eastAsia" w:ascii="Times New Roman" w:hAnsi="Times New Roman" w:cs="宋体"/>
                <w:color w:val="000000" w:themeColor="text1"/>
                <w:highlight w:val="none"/>
                <w:lang w:val="en-US" w:eastAsia="zh-CN"/>
                <w14:textFill>
                  <w14:solidFill>
                    <w14:schemeClr w14:val="tx1"/>
                  </w14:solidFill>
                </w14:textFill>
              </w:rPr>
              <w:t xml:space="preserve"> </w:t>
            </w:r>
            <w:r>
              <w:rPr>
                <w:rFonts w:hint="eastAsia" w:ascii="Times New Roman" w:hAnsi="Times New Roman" w:cs="宋体"/>
                <w:color w:val="000000" w:themeColor="text1"/>
                <w:highlight w:val="none"/>
                <w14:textFill>
                  <w14:solidFill>
                    <w14:schemeClr w14:val="tx1"/>
                  </w14:solidFill>
                </w14:textFill>
              </w:rPr>
              <w:t>工程量</w:t>
            </w:r>
            <w:r>
              <w:rPr>
                <w:rFonts w:hint="eastAsia" w:ascii="Times New Roman" w:hAnsi="Times New Roman" w:cs="宋体"/>
                <w:color w:val="000000" w:themeColor="text1"/>
                <w:highlight w:val="none"/>
                <w:lang w:val="en-US" w:eastAsia="zh-CN"/>
                <w14:textFill>
                  <w14:solidFill>
                    <w14:schemeClr w14:val="tx1"/>
                  </w14:solidFill>
                </w14:textFill>
              </w:rPr>
              <w:t>汇总</w:t>
            </w:r>
            <w:r>
              <w:rPr>
                <w:rFonts w:hint="eastAsia" w:ascii="Times New Roman" w:hAnsi="Times New Roman" w:cs="宋体"/>
                <w:color w:val="000000" w:themeColor="text1"/>
                <w:highlight w:val="none"/>
                <w14:textFill>
                  <w14:solidFill>
                    <w14:schemeClr w14:val="tx1"/>
                  </w14:solidFill>
                </w14:textFill>
              </w:rPr>
              <w:t>表</w:t>
            </w:r>
          </w:p>
          <w:tbl>
            <w:tblPr>
              <w:tblStyle w:val="28"/>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476"/>
              <w:gridCol w:w="3333"/>
              <w:gridCol w:w="1481"/>
              <w:gridCol w:w="1908"/>
            </w:tblGrid>
            <w:tr w14:paraId="542307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blHeader/>
              </w:trPr>
              <w:tc>
                <w:tcPr>
                  <w:tcW w:w="900" w:type="pct"/>
                  <w:tcBorders>
                    <w:tl2br w:val="nil"/>
                    <w:tr2bl w:val="nil"/>
                  </w:tcBorders>
                  <w:shd w:val="clear" w:color="auto" w:fill="auto"/>
                  <w:noWrap/>
                  <w:vAlign w:val="center"/>
                </w:tcPr>
                <w:p w14:paraId="543EC2BA">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序号</w:t>
                  </w:r>
                </w:p>
              </w:tc>
              <w:tc>
                <w:tcPr>
                  <w:tcW w:w="2032" w:type="pct"/>
                  <w:tcBorders>
                    <w:tl2br w:val="nil"/>
                    <w:tr2bl w:val="nil"/>
                  </w:tcBorders>
                  <w:shd w:val="clear" w:color="auto" w:fill="auto"/>
                  <w:vAlign w:val="center"/>
                </w:tcPr>
                <w:p w14:paraId="01DD05A0">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名称及规格</w:t>
                  </w:r>
                </w:p>
              </w:tc>
              <w:tc>
                <w:tcPr>
                  <w:tcW w:w="903" w:type="pct"/>
                  <w:tcBorders>
                    <w:tl2br w:val="nil"/>
                    <w:tr2bl w:val="nil"/>
                  </w:tcBorders>
                  <w:shd w:val="clear" w:color="auto" w:fill="auto"/>
                  <w:noWrap/>
                  <w:vAlign w:val="center"/>
                </w:tcPr>
                <w:p w14:paraId="1235C66D">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单位</w:t>
                  </w:r>
                </w:p>
              </w:tc>
              <w:tc>
                <w:tcPr>
                  <w:tcW w:w="1163" w:type="pct"/>
                  <w:tcBorders>
                    <w:tl2br w:val="nil"/>
                    <w:tr2bl w:val="nil"/>
                  </w:tcBorders>
                  <w:shd w:val="clear" w:color="auto" w:fill="auto"/>
                  <w:noWrap/>
                  <w:vAlign w:val="center"/>
                </w:tcPr>
                <w:p w14:paraId="3724AC6C">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工程量</w:t>
                  </w:r>
                </w:p>
              </w:tc>
            </w:tr>
            <w:tr w14:paraId="117BFD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tcBorders>
                    <w:tl2br w:val="nil"/>
                    <w:tr2bl w:val="nil"/>
                  </w:tcBorders>
                  <w:shd w:val="clear" w:color="auto" w:fill="auto"/>
                  <w:noWrap/>
                  <w:vAlign w:val="center"/>
                </w:tcPr>
                <w:p w14:paraId="6F1FF716">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一</w:t>
                  </w:r>
                </w:p>
              </w:tc>
              <w:tc>
                <w:tcPr>
                  <w:tcW w:w="2032" w:type="pct"/>
                  <w:tcBorders>
                    <w:tl2br w:val="nil"/>
                    <w:tr2bl w:val="nil"/>
                  </w:tcBorders>
                  <w:shd w:val="clear" w:color="auto" w:fill="auto"/>
                  <w:vAlign w:val="center"/>
                </w:tcPr>
                <w:p w14:paraId="6B03D078">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地形地貌恢复工程</w:t>
                  </w:r>
                </w:p>
              </w:tc>
              <w:tc>
                <w:tcPr>
                  <w:tcW w:w="903" w:type="pct"/>
                  <w:tcBorders>
                    <w:tl2br w:val="nil"/>
                    <w:tr2bl w:val="nil"/>
                  </w:tcBorders>
                  <w:shd w:val="clear" w:color="auto" w:fill="auto"/>
                  <w:noWrap/>
                  <w:vAlign w:val="center"/>
                </w:tcPr>
                <w:p w14:paraId="382E1CD3">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p>
              </w:tc>
              <w:tc>
                <w:tcPr>
                  <w:tcW w:w="1163" w:type="pct"/>
                  <w:tcBorders>
                    <w:tl2br w:val="nil"/>
                    <w:tr2bl w:val="nil"/>
                  </w:tcBorders>
                  <w:shd w:val="clear" w:color="auto" w:fill="auto"/>
                  <w:noWrap/>
                  <w:vAlign w:val="center"/>
                </w:tcPr>
                <w:p w14:paraId="7E046C34">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p>
              </w:tc>
            </w:tr>
            <w:tr w14:paraId="590615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tcBorders>
                    <w:tl2br w:val="nil"/>
                    <w:tr2bl w:val="nil"/>
                  </w:tcBorders>
                  <w:shd w:val="clear" w:color="auto" w:fill="auto"/>
                  <w:noWrap/>
                  <w:vAlign w:val="center"/>
                </w:tcPr>
                <w:p w14:paraId="6E2B2BC7">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p>
              </w:tc>
              <w:tc>
                <w:tcPr>
                  <w:tcW w:w="2032" w:type="pct"/>
                  <w:tcBorders>
                    <w:tl2br w:val="nil"/>
                    <w:tr2bl w:val="nil"/>
                  </w:tcBorders>
                  <w:shd w:val="clear" w:color="auto" w:fill="auto"/>
                  <w:noWrap/>
                  <w:vAlign w:val="center"/>
                </w:tcPr>
                <w:p w14:paraId="5C240652">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场区平整</w:t>
                  </w:r>
                </w:p>
              </w:tc>
              <w:tc>
                <w:tcPr>
                  <w:tcW w:w="903" w:type="pct"/>
                  <w:tcBorders>
                    <w:tl2br w:val="nil"/>
                    <w:tr2bl w:val="nil"/>
                  </w:tcBorders>
                  <w:shd w:val="clear" w:color="auto" w:fill="auto"/>
                  <w:noWrap/>
                  <w:vAlign w:val="center"/>
                </w:tcPr>
                <w:p w14:paraId="0CA09074">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hm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2</w:t>
                  </w:r>
                </w:p>
              </w:tc>
              <w:tc>
                <w:tcPr>
                  <w:tcW w:w="1163" w:type="pct"/>
                  <w:tcBorders>
                    <w:tl2br w:val="nil"/>
                    <w:tr2bl w:val="nil"/>
                  </w:tcBorders>
                  <w:shd w:val="clear" w:color="auto" w:fill="auto"/>
                  <w:noWrap/>
                  <w:vAlign w:val="center"/>
                </w:tcPr>
                <w:p w14:paraId="621A1C09">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1.18</w:t>
                  </w:r>
                </w:p>
              </w:tc>
            </w:tr>
            <w:tr w14:paraId="02F2D7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tcBorders>
                    <w:tl2br w:val="nil"/>
                    <w:tr2bl w:val="nil"/>
                  </w:tcBorders>
                  <w:shd w:val="clear" w:color="auto" w:fill="auto"/>
                  <w:noWrap/>
                  <w:vAlign w:val="center"/>
                </w:tcPr>
                <w:p w14:paraId="5EB7F6D1">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c>
                <w:tcPr>
                  <w:tcW w:w="2032" w:type="pct"/>
                  <w:tcBorders>
                    <w:tl2br w:val="nil"/>
                    <w:tr2bl w:val="nil"/>
                  </w:tcBorders>
                  <w:shd w:val="clear" w:color="auto" w:fill="auto"/>
                  <w:vAlign w:val="center"/>
                </w:tcPr>
                <w:p w14:paraId="2267E545">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74</w:t>
                  </w:r>
                  <w:r>
                    <w:rPr>
                      <w:rFonts w:hint="eastAsia" w:cs="Times New Roman"/>
                      <w:color w:val="000000" w:themeColor="text1"/>
                      <w:highlight w:val="none"/>
                      <w:lang w:val="en-US" w:eastAsia="zh-CN"/>
                      <w14:textFill>
                        <w14:solidFill>
                          <w14:schemeClr w14:val="tx1"/>
                        </w14:solidFill>
                      </w14:textFill>
                    </w:rPr>
                    <w:t>kW</w:t>
                  </w:r>
                  <w:r>
                    <w:rPr>
                      <w:rFonts w:hint="default" w:ascii="Times New Roman" w:hAnsi="Times New Roman" w:eastAsia="宋体" w:cs="Times New Roman"/>
                      <w:color w:val="000000" w:themeColor="text1"/>
                      <w:highlight w:val="none"/>
                      <w:lang w:val="en-US" w:eastAsia="zh-CN"/>
                      <w14:textFill>
                        <w14:solidFill>
                          <w14:schemeClr w14:val="tx1"/>
                        </w14:solidFill>
                      </w14:textFill>
                    </w:rPr>
                    <w:t>推土机（IV类土，0-10m）</w:t>
                  </w:r>
                </w:p>
              </w:tc>
              <w:tc>
                <w:tcPr>
                  <w:tcW w:w="903" w:type="pct"/>
                  <w:tcBorders>
                    <w:tl2br w:val="nil"/>
                    <w:tr2bl w:val="nil"/>
                  </w:tcBorders>
                  <w:shd w:val="clear" w:color="auto" w:fill="auto"/>
                  <w:noWrap/>
                  <w:vAlign w:val="center"/>
                </w:tcPr>
                <w:p w14:paraId="1CB721F8">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p>
              </w:tc>
              <w:tc>
                <w:tcPr>
                  <w:tcW w:w="1163" w:type="pct"/>
                  <w:tcBorders>
                    <w:tl2br w:val="nil"/>
                    <w:tr2bl w:val="nil"/>
                  </w:tcBorders>
                  <w:shd w:val="clear" w:color="auto" w:fill="auto"/>
                  <w:noWrap/>
                  <w:vAlign w:val="center"/>
                </w:tcPr>
                <w:p w14:paraId="56984B0C">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1009.93</w:t>
                  </w:r>
                </w:p>
              </w:tc>
            </w:tr>
            <w:tr w14:paraId="5E1B6B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tcBorders>
                    <w:tl2br w:val="nil"/>
                    <w:tr2bl w:val="nil"/>
                  </w:tcBorders>
                  <w:shd w:val="clear" w:color="auto" w:fill="auto"/>
                  <w:noWrap/>
                  <w:vAlign w:val="center"/>
                </w:tcPr>
                <w:p w14:paraId="1867ACB1">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p>
              </w:tc>
              <w:tc>
                <w:tcPr>
                  <w:tcW w:w="2032" w:type="pct"/>
                  <w:tcBorders>
                    <w:tl2br w:val="nil"/>
                    <w:tr2bl w:val="nil"/>
                  </w:tcBorders>
                  <w:shd w:val="clear" w:color="auto" w:fill="auto"/>
                  <w:vAlign w:val="center"/>
                </w:tcPr>
                <w:p w14:paraId="01162BE9">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74</w:t>
                  </w:r>
                  <w:r>
                    <w:rPr>
                      <w:rFonts w:hint="eastAsia" w:cs="Times New Roman"/>
                      <w:color w:val="000000" w:themeColor="text1"/>
                      <w:highlight w:val="none"/>
                      <w:lang w:val="en-US" w:eastAsia="zh-CN"/>
                      <w14:textFill>
                        <w14:solidFill>
                          <w14:schemeClr w14:val="tx1"/>
                        </w14:solidFill>
                      </w14:textFill>
                    </w:rPr>
                    <w:t>kW</w:t>
                  </w:r>
                  <w:r>
                    <w:rPr>
                      <w:rFonts w:hint="default" w:ascii="Times New Roman" w:hAnsi="Times New Roman" w:eastAsia="宋体" w:cs="Times New Roman"/>
                      <w:color w:val="000000" w:themeColor="text1"/>
                      <w:highlight w:val="none"/>
                      <w:lang w:val="en-US" w:eastAsia="zh-CN"/>
                      <w14:textFill>
                        <w14:solidFill>
                          <w14:schemeClr w14:val="tx1"/>
                        </w14:solidFill>
                      </w14:textFill>
                    </w:rPr>
                    <w:t>推土机（IV类土，10-20m）</w:t>
                  </w:r>
                </w:p>
              </w:tc>
              <w:tc>
                <w:tcPr>
                  <w:tcW w:w="903" w:type="pct"/>
                  <w:tcBorders>
                    <w:tl2br w:val="nil"/>
                    <w:tr2bl w:val="nil"/>
                  </w:tcBorders>
                  <w:shd w:val="clear" w:color="auto" w:fill="auto"/>
                  <w:noWrap/>
                  <w:vAlign w:val="center"/>
                </w:tcPr>
                <w:p w14:paraId="51BBFEBA">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p>
              </w:tc>
              <w:tc>
                <w:tcPr>
                  <w:tcW w:w="1163" w:type="pct"/>
                  <w:tcBorders>
                    <w:tl2br w:val="nil"/>
                    <w:tr2bl w:val="nil"/>
                  </w:tcBorders>
                  <w:shd w:val="clear" w:color="auto" w:fill="auto"/>
                  <w:noWrap/>
                  <w:vAlign w:val="center"/>
                </w:tcPr>
                <w:p w14:paraId="0AC9FF62">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1514.89</w:t>
                  </w:r>
                </w:p>
              </w:tc>
            </w:tr>
            <w:tr w14:paraId="104152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tcBorders>
                    <w:tl2br w:val="nil"/>
                    <w:tr2bl w:val="nil"/>
                  </w:tcBorders>
                  <w:shd w:val="clear" w:color="auto" w:fill="auto"/>
                  <w:noWrap/>
                  <w:vAlign w:val="center"/>
                </w:tcPr>
                <w:p w14:paraId="63AD6F30">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3）</w:t>
                  </w:r>
                </w:p>
              </w:tc>
              <w:tc>
                <w:tcPr>
                  <w:tcW w:w="2032" w:type="pct"/>
                  <w:tcBorders>
                    <w:tl2br w:val="nil"/>
                    <w:tr2bl w:val="nil"/>
                  </w:tcBorders>
                  <w:shd w:val="clear" w:color="auto" w:fill="auto"/>
                  <w:vAlign w:val="center"/>
                </w:tcPr>
                <w:p w14:paraId="59EBD6A9">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74</w:t>
                  </w:r>
                  <w:r>
                    <w:rPr>
                      <w:rFonts w:hint="eastAsia" w:cs="Times New Roman"/>
                      <w:color w:val="000000" w:themeColor="text1"/>
                      <w:highlight w:val="none"/>
                      <w:lang w:val="en-US" w:eastAsia="zh-CN"/>
                      <w14:textFill>
                        <w14:solidFill>
                          <w14:schemeClr w14:val="tx1"/>
                        </w14:solidFill>
                      </w14:textFill>
                    </w:rPr>
                    <w:t>kW</w:t>
                  </w:r>
                  <w:r>
                    <w:rPr>
                      <w:rFonts w:hint="default" w:ascii="Times New Roman" w:hAnsi="Times New Roman" w:eastAsia="宋体" w:cs="Times New Roman"/>
                      <w:color w:val="000000" w:themeColor="text1"/>
                      <w:highlight w:val="none"/>
                      <w:lang w:val="en-US" w:eastAsia="zh-CN"/>
                      <w14:textFill>
                        <w14:solidFill>
                          <w14:schemeClr w14:val="tx1"/>
                        </w14:solidFill>
                      </w14:textFill>
                    </w:rPr>
                    <w:t>推土机（IV类土，20-30m）</w:t>
                  </w:r>
                </w:p>
              </w:tc>
              <w:tc>
                <w:tcPr>
                  <w:tcW w:w="903" w:type="pct"/>
                  <w:tcBorders>
                    <w:tl2br w:val="nil"/>
                    <w:tr2bl w:val="nil"/>
                  </w:tcBorders>
                  <w:shd w:val="clear" w:color="auto" w:fill="auto"/>
                  <w:noWrap/>
                  <w:vAlign w:val="center"/>
                </w:tcPr>
                <w:p w14:paraId="745706C6">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p>
              </w:tc>
              <w:tc>
                <w:tcPr>
                  <w:tcW w:w="1163" w:type="pct"/>
                  <w:tcBorders>
                    <w:tl2br w:val="nil"/>
                    <w:tr2bl w:val="nil"/>
                  </w:tcBorders>
                  <w:shd w:val="clear" w:color="auto" w:fill="auto"/>
                  <w:noWrap/>
                  <w:vAlign w:val="center"/>
                </w:tcPr>
                <w:p w14:paraId="1A7A730E">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2524.82</w:t>
                  </w:r>
                </w:p>
              </w:tc>
            </w:tr>
            <w:tr w14:paraId="55A558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tcBorders>
                    <w:tl2br w:val="nil"/>
                    <w:tr2bl w:val="nil"/>
                  </w:tcBorders>
                  <w:shd w:val="clear" w:color="auto" w:fill="auto"/>
                  <w:noWrap/>
                  <w:vAlign w:val="center"/>
                </w:tcPr>
                <w:p w14:paraId="75ED285F">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p>
              </w:tc>
              <w:tc>
                <w:tcPr>
                  <w:tcW w:w="2032" w:type="pct"/>
                  <w:tcBorders>
                    <w:tl2br w:val="nil"/>
                    <w:tr2bl w:val="nil"/>
                  </w:tcBorders>
                  <w:shd w:val="clear" w:color="auto" w:fill="auto"/>
                  <w:vAlign w:val="center"/>
                </w:tcPr>
                <w:p w14:paraId="7A31AA95">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长渣坡修整</w:t>
                  </w:r>
                </w:p>
              </w:tc>
              <w:tc>
                <w:tcPr>
                  <w:tcW w:w="903" w:type="pct"/>
                  <w:tcBorders>
                    <w:tl2br w:val="nil"/>
                    <w:tr2bl w:val="nil"/>
                  </w:tcBorders>
                  <w:shd w:val="clear" w:color="auto" w:fill="auto"/>
                  <w:vAlign w:val="center"/>
                </w:tcPr>
                <w:p w14:paraId="1CE670F5">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1163" w:type="pct"/>
                  <w:tcBorders>
                    <w:tl2br w:val="nil"/>
                    <w:tr2bl w:val="nil"/>
                  </w:tcBorders>
                  <w:shd w:val="clear" w:color="auto" w:fill="auto"/>
                  <w:noWrap/>
                  <w:vAlign w:val="center"/>
                </w:tcPr>
                <w:p w14:paraId="53B64264">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r>
            <w:tr w14:paraId="65FDF2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tcBorders>
                    <w:tl2br w:val="nil"/>
                    <w:tr2bl w:val="nil"/>
                  </w:tcBorders>
                  <w:shd w:val="clear" w:color="auto" w:fill="auto"/>
                  <w:noWrap/>
                  <w:vAlign w:val="center"/>
                </w:tcPr>
                <w:p w14:paraId="353BED21">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c>
                <w:tcPr>
                  <w:tcW w:w="2032" w:type="pct"/>
                  <w:tcBorders>
                    <w:tl2br w:val="nil"/>
                    <w:tr2bl w:val="nil"/>
                  </w:tcBorders>
                  <w:shd w:val="clear" w:color="auto" w:fill="auto"/>
                  <w:vAlign w:val="center"/>
                </w:tcPr>
                <w:p w14:paraId="54DE6B4B">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坡面清理（削坡土方）</w:t>
                  </w:r>
                </w:p>
              </w:tc>
              <w:tc>
                <w:tcPr>
                  <w:tcW w:w="903" w:type="pct"/>
                  <w:tcBorders>
                    <w:tl2br w:val="nil"/>
                    <w:tr2bl w:val="nil"/>
                  </w:tcBorders>
                  <w:shd w:val="clear" w:color="auto" w:fill="auto"/>
                  <w:noWrap/>
                  <w:vAlign w:val="center"/>
                </w:tcPr>
                <w:p w14:paraId="78B7EA46">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p>
              </w:tc>
              <w:tc>
                <w:tcPr>
                  <w:tcW w:w="1163" w:type="pct"/>
                  <w:tcBorders>
                    <w:tl2br w:val="nil"/>
                    <w:tr2bl w:val="nil"/>
                  </w:tcBorders>
                  <w:shd w:val="clear" w:color="auto" w:fill="auto"/>
                  <w:noWrap/>
                  <w:vAlign w:val="center"/>
                </w:tcPr>
                <w:p w14:paraId="3F192E47">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16057.22</w:t>
                  </w:r>
                </w:p>
              </w:tc>
            </w:tr>
            <w:tr w14:paraId="4DB349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tcBorders>
                    <w:tl2br w:val="nil"/>
                    <w:tr2bl w:val="nil"/>
                  </w:tcBorders>
                  <w:shd w:val="clear" w:color="auto" w:fill="auto"/>
                  <w:noWrap/>
                  <w:vAlign w:val="center"/>
                </w:tcPr>
                <w:p w14:paraId="087E7287">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c>
                <w:tcPr>
                  <w:tcW w:w="2032" w:type="pct"/>
                  <w:tcBorders>
                    <w:tl2br w:val="nil"/>
                    <w:tr2bl w:val="nil"/>
                  </w:tcBorders>
                  <w:shd w:val="clear" w:color="auto" w:fill="auto"/>
                  <w:vAlign w:val="center"/>
                </w:tcPr>
                <w:p w14:paraId="49FE1C67">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培坡</w:t>
                  </w:r>
                </w:p>
              </w:tc>
              <w:tc>
                <w:tcPr>
                  <w:tcW w:w="903" w:type="pct"/>
                  <w:tcBorders>
                    <w:tl2br w:val="nil"/>
                    <w:tr2bl w:val="nil"/>
                  </w:tcBorders>
                  <w:shd w:val="clear" w:color="auto" w:fill="auto"/>
                  <w:noWrap/>
                  <w:vAlign w:val="center"/>
                </w:tcPr>
                <w:p w14:paraId="6A6A75C9">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p>
              </w:tc>
              <w:tc>
                <w:tcPr>
                  <w:tcW w:w="1163" w:type="pct"/>
                  <w:tcBorders>
                    <w:tl2br w:val="nil"/>
                    <w:tr2bl w:val="nil"/>
                  </w:tcBorders>
                  <w:shd w:val="clear" w:color="auto" w:fill="auto"/>
                  <w:noWrap/>
                  <w:vAlign w:val="center"/>
                </w:tcPr>
                <w:p w14:paraId="5E52A1AB">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25851.74</w:t>
                  </w:r>
                </w:p>
              </w:tc>
            </w:tr>
            <w:tr w14:paraId="75A3F4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tcBorders>
                    <w:tl2br w:val="nil"/>
                    <w:tr2bl w:val="nil"/>
                  </w:tcBorders>
                  <w:shd w:val="clear" w:color="auto" w:fill="auto"/>
                  <w:noWrap/>
                  <w:vAlign w:val="center"/>
                </w:tcPr>
                <w:p w14:paraId="3F95CF58">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w:t>
                  </w:r>
                </w:p>
              </w:tc>
              <w:tc>
                <w:tcPr>
                  <w:tcW w:w="2032" w:type="pct"/>
                  <w:tcBorders>
                    <w:tl2br w:val="nil"/>
                    <w:tr2bl w:val="nil"/>
                  </w:tcBorders>
                  <w:shd w:val="clear" w:color="auto" w:fill="auto"/>
                  <w:noWrap/>
                  <w:vAlign w:val="center"/>
                </w:tcPr>
                <w:p w14:paraId="4043ABD5">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矿产品清运</w:t>
                  </w:r>
                </w:p>
              </w:tc>
              <w:tc>
                <w:tcPr>
                  <w:tcW w:w="903" w:type="pct"/>
                  <w:tcBorders>
                    <w:tl2br w:val="nil"/>
                    <w:tr2bl w:val="nil"/>
                  </w:tcBorders>
                  <w:shd w:val="clear" w:color="auto" w:fill="auto"/>
                  <w:noWrap/>
                  <w:vAlign w:val="center"/>
                </w:tcPr>
                <w:p w14:paraId="734C6BBB">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1163" w:type="pct"/>
                  <w:tcBorders>
                    <w:tl2br w:val="nil"/>
                    <w:tr2bl w:val="nil"/>
                  </w:tcBorders>
                  <w:shd w:val="clear" w:color="auto" w:fill="auto"/>
                  <w:noWrap/>
                  <w:vAlign w:val="center"/>
                </w:tcPr>
                <w:p w14:paraId="3C3D2D0E">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r>
            <w:tr w14:paraId="18BF79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tcBorders>
                    <w:tl2br w:val="nil"/>
                    <w:tr2bl w:val="nil"/>
                  </w:tcBorders>
                  <w:shd w:val="clear" w:color="auto" w:fill="auto"/>
                  <w:noWrap/>
                  <w:vAlign w:val="center"/>
                </w:tcPr>
                <w:p w14:paraId="73FF623B">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c>
                <w:tcPr>
                  <w:tcW w:w="2032" w:type="pct"/>
                  <w:tcBorders>
                    <w:tl2br w:val="nil"/>
                    <w:tr2bl w:val="nil"/>
                  </w:tcBorders>
                  <w:shd w:val="clear" w:color="auto" w:fill="auto"/>
                  <w:vAlign w:val="center"/>
                </w:tcPr>
                <w:p w14:paraId="5EF742CC">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挖掘机挖装自卸汽车</w:t>
                  </w:r>
                  <w:r>
                    <w:rPr>
                      <w:rFonts w:hint="eastAsia" w:cs="Times New Roman"/>
                      <w:color w:val="000000" w:themeColor="text1"/>
                      <w:highlight w:val="none"/>
                      <w:lang w:val="en-US" w:eastAsia="zh-CN"/>
                      <w14:textFill>
                        <w14:solidFill>
                          <w14:schemeClr w14:val="tx1"/>
                        </w14:solidFill>
                      </w14:textFill>
                    </w:rPr>
                    <w:t>清运，</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自卸汽车5T</w:t>
                  </w:r>
                </w:p>
              </w:tc>
              <w:tc>
                <w:tcPr>
                  <w:tcW w:w="903" w:type="pct"/>
                  <w:tcBorders>
                    <w:tl2br w:val="nil"/>
                    <w:tr2bl w:val="nil"/>
                  </w:tcBorders>
                  <w:shd w:val="clear" w:color="auto" w:fill="auto"/>
                  <w:noWrap/>
                  <w:vAlign w:val="center"/>
                </w:tcPr>
                <w:p w14:paraId="3955E527">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p>
              </w:tc>
              <w:tc>
                <w:tcPr>
                  <w:tcW w:w="1163" w:type="pct"/>
                  <w:tcBorders>
                    <w:tl2br w:val="nil"/>
                    <w:tr2bl w:val="nil"/>
                  </w:tcBorders>
                  <w:shd w:val="clear" w:color="auto" w:fill="auto"/>
                  <w:noWrap/>
                  <w:vAlign w:val="center"/>
                </w:tcPr>
                <w:p w14:paraId="203D0F1A">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7326.02</w:t>
                  </w:r>
                </w:p>
              </w:tc>
            </w:tr>
            <w:tr w14:paraId="20BA69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tcBorders>
                    <w:tl2br w:val="nil"/>
                    <w:tr2bl w:val="nil"/>
                  </w:tcBorders>
                  <w:shd w:val="clear" w:color="auto" w:fill="auto"/>
                  <w:noWrap/>
                  <w:vAlign w:val="center"/>
                </w:tcPr>
                <w:p w14:paraId="7DF47FD7">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二</w:t>
                  </w:r>
                </w:p>
              </w:tc>
              <w:tc>
                <w:tcPr>
                  <w:tcW w:w="2032" w:type="pct"/>
                  <w:tcBorders>
                    <w:tl2br w:val="nil"/>
                    <w:tr2bl w:val="nil"/>
                  </w:tcBorders>
                  <w:shd w:val="clear" w:color="auto" w:fill="auto"/>
                  <w:noWrap/>
                  <w:vAlign w:val="center"/>
                </w:tcPr>
                <w:p w14:paraId="534FE42C">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截排水工程</w:t>
                  </w:r>
                </w:p>
              </w:tc>
              <w:tc>
                <w:tcPr>
                  <w:tcW w:w="903" w:type="pct"/>
                  <w:tcBorders>
                    <w:tl2br w:val="nil"/>
                    <w:tr2bl w:val="nil"/>
                  </w:tcBorders>
                  <w:shd w:val="clear" w:color="auto" w:fill="auto"/>
                  <w:vAlign w:val="center"/>
                </w:tcPr>
                <w:p w14:paraId="60978C4E">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1163" w:type="pct"/>
                  <w:tcBorders>
                    <w:tl2br w:val="nil"/>
                    <w:tr2bl w:val="nil"/>
                  </w:tcBorders>
                  <w:shd w:val="clear" w:color="auto" w:fill="auto"/>
                  <w:noWrap/>
                  <w:vAlign w:val="center"/>
                </w:tcPr>
                <w:p w14:paraId="3BBC2165">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r>
            <w:tr w14:paraId="396D9B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tcBorders>
                    <w:tl2br w:val="nil"/>
                    <w:tr2bl w:val="nil"/>
                  </w:tcBorders>
                  <w:shd w:val="clear" w:color="auto" w:fill="auto"/>
                  <w:noWrap/>
                  <w:vAlign w:val="center"/>
                </w:tcPr>
                <w:p w14:paraId="591C7464">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c>
                <w:tcPr>
                  <w:tcW w:w="2032" w:type="pct"/>
                  <w:tcBorders>
                    <w:tl2br w:val="nil"/>
                    <w:tr2bl w:val="nil"/>
                  </w:tcBorders>
                  <w:shd w:val="clear" w:color="auto" w:fill="auto"/>
                  <w:vAlign w:val="center"/>
                </w:tcPr>
                <w:p w14:paraId="58A41472">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截流埂（</w:t>
                  </w:r>
                  <w:r>
                    <w:rPr>
                      <w:rFonts w:hint="default" w:ascii="Times New Roman" w:hAnsi="Times New Roman" w:eastAsia="宋体" w:cs="Times New Roman"/>
                      <w:color w:val="000000" w:themeColor="text1"/>
                      <w:highlight w:val="none"/>
                      <w:lang w:val="en-US" w:eastAsia="zh-CN"/>
                      <w14:textFill>
                        <w14:solidFill>
                          <w14:schemeClr w14:val="tx1"/>
                        </w14:solidFill>
                      </w14:textFill>
                    </w:rPr>
                    <w:t>h=40cm</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d=40cm</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c>
                <w:tcPr>
                  <w:tcW w:w="903" w:type="pct"/>
                  <w:tcBorders>
                    <w:tl2br w:val="nil"/>
                    <w:tr2bl w:val="nil"/>
                  </w:tcBorders>
                  <w:shd w:val="clear" w:color="auto" w:fill="auto"/>
                  <w:vAlign w:val="center"/>
                </w:tcPr>
                <w:p w14:paraId="53455F72">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p>
              </w:tc>
              <w:tc>
                <w:tcPr>
                  <w:tcW w:w="1163" w:type="pct"/>
                  <w:tcBorders>
                    <w:tl2br w:val="nil"/>
                    <w:tr2bl w:val="nil"/>
                  </w:tcBorders>
                  <w:shd w:val="clear" w:color="auto" w:fill="auto"/>
                  <w:noWrap/>
                  <w:vAlign w:val="center"/>
                </w:tcPr>
                <w:p w14:paraId="56809AAF">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3066</w:t>
                  </w:r>
                </w:p>
              </w:tc>
            </w:tr>
            <w:tr w14:paraId="64FE1C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tcBorders>
                    <w:tl2br w:val="nil"/>
                    <w:tr2bl w:val="nil"/>
                  </w:tcBorders>
                  <w:shd w:val="clear" w:color="auto" w:fill="auto"/>
                  <w:noWrap/>
                  <w:vAlign w:val="center"/>
                </w:tcPr>
                <w:p w14:paraId="59FE8EDA">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p>
              </w:tc>
              <w:tc>
                <w:tcPr>
                  <w:tcW w:w="2032" w:type="pct"/>
                  <w:tcBorders>
                    <w:tl2br w:val="nil"/>
                    <w:tr2bl w:val="nil"/>
                  </w:tcBorders>
                  <w:shd w:val="clear" w:color="auto" w:fill="auto"/>
                  <w:vAlign w:val="center"/>
                </w:tcPr>
                <w:p w14:paraId="0AE42F03">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导流沟槽</w:t>
                  </w:r>
                </w:p>
              </w:tc>
              <w:tc>
                <w:tcPr>
                  <w:tcW w:w="903" w:type="pct"/>
                  <w:tcBorders>
                    <w:tl2br w:val="nil"/>
                    <w:tr2bl w:val="nil"/>
                  </w:tcBorders>
                  <w:shd w:val="clear" w:color="auto" w:fill="auto"/>
                  <w:vAlign w:val="center"/>
                </w:tcPr>
                <w:p w14:paraId="0F367313">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p>
              </w:tc>
              <w:tc>
                <w:tcPr>
                  <w:tcW w:w="1163" w:type="pct"/>
                  <w:tcBorders>
                    <w:tl2br w:val="nil"/>
                    <w:tr2bl w:val="nil"/>
                  </w:tcBorders>
                  <w:shd w:val="clear" w:color="auto" w:fill="auto"/>
                  <w:noWrap/>
                  <w:vAlign w:val="center"/>
                </w:tcPr>
                <w:p w14:paraId="758F6B85">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1294</w:t>
                  </w:r>
                </w:p>
              </w:tc>
            </w:tr>
            <w:tr w14:paraId="78DABB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tcBorders>
                    <w:tl2br w:val="nil"/>
                    <w:tr2bl w:val="nil"/>
                  </w:tcBorders>
                  <w:shd w:val="clear" w:color="auto" w:fill="auto"/>
                  <w:noWrap/>
                  <w:vAlign w:val="center"/>
                </w:tcPr>
                <w:p w14:paraId="1F9A8AF4">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三</w:t>
                  </w:r>
                </w:p>
              </w:tc>
              <w:tc>
                <w:tcPr>
                  <w:tcW w:w="2032" w:type="pct"/>
                  <w:tcBorders>
                    <w:tl2br w:val="nil"/>
                    <w:tr2bl w:val="nil"/>
                  </w:tcBorders>
                  <w:shd w:val="clear" w:color="auto" w:fill="auto"/>
                  <w:noWrap/>
                  <w:vAlign w:val="center"/>
                </w:tcPr>
                <w:p w14:paraId="5DF4792F">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生态植被恢复工程</w:t>
                  </w:r>
                </w:p>
              </w:tc>
              <w:tc>
                <w:tcPr>
                  <w:tcW w:w="903" w:type="pct"/>
                  <w:tcBorders>
                    <w:tl2br w:val="nil"/>
                    <w:tr2bl w:val="nil"/>
                  </w:tcBorders>
                  <w:shd w:val="clear" w:color="auto" w:fill="auto"/>
                  <w:vAlign w:val="center"/>
                </w:tcPr>
                <w:p w14:paraId="37D35EE0">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1163" w:type="pct"/>
                  <w:tcBorders>
                    <w:tl2br w:val="nil"/>
                    <w:tr2bl w:val="nil"/>
                  </w:tcBorders>
                  <w:shd w:val="clear" w:color="auto" w:fill="auto"/>
                  <w:noWrap/>
                  <w:vAlign w:val="center"/>
                </w:tcPr>
                <w:p w14:paraId="3064C068">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r>
            <w:tr w14:paraId="5316CE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tcBorders>
                    <w:tl2br w:val="nil"/>
                    <w:tr2bl w:val="nil"/>
                  </w:tcBorders>
                  <w:shd w:val="clear" w:color="auto" w:fill="auto"/>
                  <w:noWrap/>
                  <w:vAlign w:val="center"/>
                </w:tcPr>
                <w:p w14:paraId="0D47572A">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p>
              </w:tc>
              <w:tc>
                <w:tcPr>
                  <w:tcW w:w="2032" w:type="pct"/>
                  <w:tcBorders>
                    <w:tl2br w:val="nil"/>
                    <w:tr2bl w:val="nil"/>
                  </w:tcBorders>
                  <w:shd w:val="clear" w:color="auto" w:fill="auto"/>
                  <w:noWrap/>
                  <w:vAlign w:val="center"/>
                </w:tcPr>
                <w:p w14:paraId="38A266B1">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覆土工程</w:t>
                  </w:r>
                </w:p>
              </w:tc>
              <w:tc>
                <w:tcPr>
                  <w:tcW w:w="903" w:type="pct"/>
                  <w:tcBorders>
                    <w:tl2br w:val="nil"/>
                    <w:tr2bl w:val="nil"/>
                  </w:tcBorders>
                  <w:shd w:val="clear" w:color="auto" w:fill="auto"/>
                  <w:vAlign w:val="center"/>
                </w:tcPr>
                <w:p w14:paraId="3A72491B">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hm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2</w:t>
                  </w:r>
                </w:p>
              </w:tc>
              <w:tc>
                <w:tcPr>
                  <w:tcW w:w="1163" w:type="pct"/>
                  <w:tcBorders>
                    <w:tl2br w:val="nil"/>
                    <w:tr2bl w:val="nil"/>
                  </w:tcBorders>
                  <w:shd w:val="clear" w:color="auto" w:fill="auto"/>
                  <w:noWrap/>
                  <w:vAlign w:val="center"/>
                </w:tcPr>
                <w:p w14:paraId="11233C5A">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3.31</w:t>
                  </w:r>
                </w:p>
              </w:tc>
            </w:tr>
            <w:tr w14:paraId="061929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tcBorders>
                    <w:tl2br w:val="nil"/>
                    <w:tr2bl w:val="nil"/>
                  </w:tcBorders>
                  <w:shd w:val="clear" w:color="auto" w:fill="auto"/>
                  <w:noWrap/>
                  <w:vAlign w:val="center"/>
                </w:tcPr>
                <w:p w14:paraId="35CCB11F">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c>
                <w:tcPr>
                  <w:tcW w:w="2032" w:type="pct"/>
                  <w:tcBorders>
                    <w:tl2br w:val="nil"/>
                    <w:tr2bl w:val="nil"/>
                  </w:tcBorders>
                  <w:shd w:val="clear" w:color="auto" w:fill="auto"/>
                  <w:vAlign w:val="center"/>
                </w:tcPr>
                <w:p w14:paraId="3E52202B">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覆土</w:t>
                  </w:r>
                </w:p>
              </w:tc>
              <w:tc>
                <w:tcPr>
                  <w:tcW w:w="903" w:type="pct"/>
                  <w:tcBorders>
                    <w:tl2br w:val="nil"/>
                    <w:tr2bl w:val="nil"/>
                  </w:tcBorders>
                  <w:shd w:val="clear" w:color="auto" w:fill="auto"/>
                  <w:noWrap/>
                  <w:vAlign w:val="center"/>
                </w:tcPr>
                <w:p w14:paraId="7B53001F">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p>
              </w:tc>
              <w:tc>
                <w:tcPr>
                  <w:tcW w:w="1163" w:type="pct"/>
                  <w:tcBorders>
                    <w:tl2br w:val="nil"/>
                    <w:tr2bl w:val="nil"/>
                  </w:tcBorders>
                  <w:shd w:val="clear" w:color="auto" w:fill="auto"/>
                  <w:noWrap/>
                  <w:vAlign w:val="center"/>
                </w:tcPr>
                <w:p w14:paraId="5FBA4AA4">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4961.12</w:t>
                  </w:r>
                </w:p>
              </w:tc>
            </w:tr>
            <w:tr w14:paraId="65F2C5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tcBorders>
                    <w:tl2br w:val="nil"/>
                    <w:tr2bl w:val="nil"/>
                  </w:tcBorders>
                  <w:shd w:val="clear" w:color="auto" w:fill="auto"/>
                  <w:vAlign w:val="center"/>
                </w:tcPr>
                <w:p w14:paraId="0E41D73B">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p>
              </w:tc>
              <w:tc>
                <w:tcPr>
                  <w:tcW w:w="2032" w:type="pct"/>
                  <w:tcBorders>
                    <w:tl2br w:val="nil"/>
                    <w:tr2bl w:val="nil"/>
                  </w:tcBorders>
                  <w:shd w:val="clear" w:color="auto" w:fill="auto"/>
                  <w:vAlign w:val="center"/>
                </w:tcPr>
                <w:p w14:paraId="3635FABE">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穴播种草</w:t>
                  </w:r>
                </w:p>
              </w:tc>
              <w:tc>
                <w:tcPr>
                  <w:tcW w:w="903" w:type="pct"/>
                  <w:tcBorders>
                    <w:tl2br w:val="nil"/>
                    <w:tr2bl w:val="nil"/>
                  </w:tcBorders>
                  <w:shd w:val="clear" w:color="auto" w:fill="auto"/>
                  <w:vAlign w:val="center"/>
                </w:tcPr>
                <w:p w14:paraId="406508BB">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hm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2</w:t>
                  </w:r>
                </w:p>
              </w:tc>
              <w:tc>
                <w:tcPr>
                  <w:tcW w:w="1163" w:type="pct"/>
                  <w:tcBorders>
                    <w:tl2br w:val="nil"/>
                    <w:tr2bl w:val="nil"/>
                  </w:tcBorders>
                  <w:shd w:val="clear" w:color="auto" w:fill="auto"/>
                  <w:vAlign w:val="center"/>
                </w:tcPr>
                <w:p w14:paraId="19828F65">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27.22</w:t>
                  </w:r>
                </w:p>
              </w:tc>
            </w:tr>
            <w:tr w14:paraId="2ACC47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tcBorders>
                    <w:tl2br w:val="nil"/>
                    <w:tr2bl w:val="nil"/>
                  </w:tcBorders>
                  <w:shd w:val="clear" w:color="auto" w:fill="auto"/>
                  <w:vAlign w:val="center"/>
                </w:tcPr>
                <w:p w14:paraId="38060EA0">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c>
                <w:tcPr>
                  <w:tcW w:w="2032" w:type="pct"/>
                  <w:tcBorders>
                    <w:tl2br w:val="nil"/>
                    <w:tr2bl w:val="nil"/>
                  </w:tcBorders>
                  <w:shd w:val="clear" w:color="auto" w:fill="auto"/>
                  <w:vAlign w:val="center"/>
                </w:tcPr>
                <w:p w14:paraId="1968FCD7">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土地翻松（翻松</w:t>
                  </w:r>
                  <w:r>
                    <w:rPr>
                      <w:rFonts w:hint="default" w:ascii="Times New Roman" w:hAnsi="Times New Roman" w:eastAsia="宋体" w:cs="Times New Roman"/>
                      <w:color w:val="000000" w:themeColor="text1"/>
                      <w:highlight w:val="none"/>
                      <w:lang w:val="en-US" w:eastAsia="zh-CN"/>
                      <w14:textFill>
                        <w14:solidFill>
                          <w14:schemeClr w14:val="tx1"/>
                        </w14:solidFill>
                      </w14:textFill>
                    </w:rPr>
                    <w:t>10cm</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c>
                <w:tcPr>
                  <w:tcW w:w="903" w:type="pct"/>
                  <w:tcBorders>
                    <w:tl2br w:val="nil"/>
                    <w:tr2bl w:val="nil"/>
                  </w:tcBorders>
                  <w:shd w:val="clear" w:color="auto" w:fill="auto"/>
                  <w:vAlign w:val="center"/>
                </w:tcPr>
                <w:p w14:paraId="12881F57">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hm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2</w:t>
                  </w:r>
                </w:p>
              </w:tc>
              <w:tc>
                <w:tcPr>
                  <w:tcW w:w="1163" w:type="pct"/>
                  <w:tcBorders>
                    <w:tl2br w:val="nil"/>
                    <w:tr2bl w:val="nil"/>
                  </w:tcBorders>
                  <w:shd w:val="clear" w:color="auto" w:fill="auto"/>
                  <w:vAlign w:val="center"/>
                </w:tcPr>
                <w:p w14:paraId="09E83C44">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2.09</w:t>
                  </w:r>
                </w:p>
              </w:tc>
            </w:tr>
            <w:tr w14:paraId="7E2833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tcBorders>
                    <w:tl2br w:val="nil"/>
                    <w:tr2bl w:val="nil"/>
                  </w:tcBorders>
                  <w:shd w:val="clear" w:color="auto" w:fill="auto"/>
                  <w:noWrap/>
                  <w:vAlign w:val="center"/>
                </w:tcPr>
                <w:p w14:paraId="6235955D">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c>
                <w:tcPr>
                  <w:tcW w:w="2032" w:type="pct"/>
                  <w:tcBorders>
                    <w:tl2br w:val="nil"/>
                    <w:tr2bl w:val="nil"/>
                  </w:tcBorders>
                  <w:shd w:val="clear" w:color="auto" w:fill="auto"/>
                  <w:vAlign w:val="center"/>
                </w:tcPr>
                <w:p w14:paraId="4FBFFBB0">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穴播种草（</w:t>
                  </w:r>
                  <w:r>
                    <w:rPr>
                      <w:rFonts w:hint="default" w:ascii="Times New Roman" w:hAnsi="Times New Roman" w:eastAsia="宋体" w:cs="Times New Roman"/>
                      <w:color w:val="000000" w:themeColor="text1"/>
                      <w:highlight w:val="none"/>
                      <w:lang w:val="en-US" w:eastAsia="zh-CN"/>
                      <w14:textFill>
                        <w14:solidFill>
                          <w14:schemeClr w14:val="tx1"/>
                        </w14:solidFill>
                      </w14:textFill>
                    </w:rPr>
                    <w:t>15kg/hm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c>
                <w:tcPr>
                  <w:tcW w:w="903" w:type="pct"/>
                  <w:tcBorders>
                    <w:tl2br w:val="nil"/>
                    <w:tr2bl w:val="nil"/>
                  </w:tcBorders>
                  <w:shd w:val="clear" w:color="auto" w:fill="auto"/>
                  <w:noWrap/>
                  <w:vAlign w:val="center"/>
                </w:tcPr>
                <w:p w14:paraId="19B65333">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hm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2</w:t>
                  </w:r>
                </w:p>
              </w:tc>
              <w:tc>
                <w:tcPr>
                  <w:tcW w:w="1163" w:type="pct"/>
                  <w:tcBorders>
                    <w:tl2br w:val="nil"/>
                    <w:tr2bl w:val="nil"/>
                  </w:tcBorders>
                  <w:shd w:val="clear" w:color="auto" w:fill="auto"/>
                  <w:noWrap/>
                  <w:vAlign w:val="center"/>
                </w:tcPr>
                <w:p w14:paraId="16F0910E">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27.22</w:t>
                  </w:r>
                </w:p>
              </w:tc>
            </w:tr>
            <w:tr w14:paraId="56191E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tcBorders>
                    <w:tl2br w:val="nil"/>
                    <w:tr2bl w:val="nil"/>
                  </w:tcBorders>
                  <w:shd w:val="clear" w:color="auto" w:fill="auto"/>
                  <w:noWrap/>
                  <w:vAlign w:val="center"/>
                </w:tcPr>
                <w:p w14:paraId="26855460">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c>
                <w:tcPr>
                  <w:tcW w:w="2032" w:type="pct"/>
                  <w:tcBorders>
                    <w:tl2br w:val="nil"/>
                    <w:tr2bl w:val="nil"/>
                  </w:tcBorders>
                  <w:shd w:val="clear" w:color="auto" w:fill="auto"/>
                  <w:vAlign w:val="center"/>
                </w:tcPr>
                <w:p w14:paraId="5E7DBFE3">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草地浇水养护</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3年）</w:t>
                  </w:r>
                </w:p>
              </w:tc>
              <w:tc>
                <w:tcPr>
                  <w:tcW w:w="903" w:type="pct"/>
                  <w:tcBorders>
                    <w:tl2br w:val="nil"/>
                    <w:tr2bl w:val="nil"/>
                  </w:tcBorders>
                  <w:shd w:val="clear" w:color="auto" w:fill="auto"/>
                  <w:noWrap/>
                  <w:vAlign w:val="center"/>
                </w:tcPr>
                <w:p w14:paraId="74457FD4">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hm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2</w:t>
                  </w:r>
                </w:p>
              </w:tc>
              <w:tc>
                <w:tcPr>
                  <w:tcW w:w="1163" w:type="pct"/>
                  <w:tcBorders>
                    <w:tl2br w:val="nil"/>
                    <w:tr2bl w:val="nil"/>
                  </w:tcBorders>
                  <w:shd w:val="clear" w:color="auto" w:fill="auto"/>
                  <w:noWrap/>
                  <w:vAlign w:val="center"/>
                </w:tcPr>
                <w:p w14:paraId="61B61763">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27.22</w:t>
                  </w:r>
                </w:p>
              </w:tc>
            </w:tr>
            <w:tr w14:paraId="1DB9A9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tcBorders>
                    <w:tl2br w:val="nil"/>
                    <w:tr2bl w:val="nil"/>
                  </w:tcBorders>
                  <w:shd w:val="clear" w:color="auto" w:fill="auto"/>
                  <w:noWrap/>
                  <w:vAlign w:val="center"/>
                </w:tcPr>
                <w:p w14:paraId="220D30DB">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2032" w:type="pct"/>
                  <w:tcBorders>
                    <w:tl2br w:val="nil"/>
                    <w:tr2bl w:val="nil"/>
                  </w:tcBorders>
                  <w:shd w:val="clear" w:color="auto" w:fill="auto"/>
                  <w:vAlign w:val="center"/>
                </w:tcPr>
                <w:p w14:paraId="0CA27E6D">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水购置（每公顷年用水</w:t>
                  </w:r>
                  <w:r>
                    <w:rPr>
                      <w:rFonts w:hint="default" w:ascii="Times New Roman" w:hAnsi="Times New Roman" w:eastAsia="宋体" w:cs="Times New Roman"/>
                      <w:color w:val="000000" w:themeColor="text1"/>
                      <w:highlight w:val="none"/>
                      <w:lang w:val="en-US" w:eastAsia="zh-CN"/>
                      <w14:textFill>
                        <w14:solidFill>
                          <w14:schemeClr w14:val="tx1"/>
                        </w14:solidFill>
                      </w14:textFill>
                    </w:rPr>
                    <w:t>量185</w:t>
                  </w:r>
                  <w:r>
                    <w:rPr>
                      <w:rFonts w:hint="eastAsia" w:ascii="Times New Roman" w:hAnsi="Times New Roman" w:eastAsia="宋体" w:cs="Times New Roman"/>
                      <w:color w:val="000000" w:themeColor="text1"/>
                      <w:highlight w:val="none"/>
                      <w:lang w:val="en-US" w:eastAsia="zh-CN"/>
                      <w14:textFill>
                        <w14:solidFill>
                          <w14:schemeClr w14:val="tx1"/>
                        </w14:solidFill>
                      </w14:textFill>
                    </w:rPr>
                    <w:t>0方）</w:t>
                  </w:r>
                </w:p>
              </w:tc>
              <w:tc>
                <w:tcPr>
                  <w:tcW w:w="903" w:type="pct"/>
                  <w:tcBorders>
                    <w:tl2br w:val="nil"/>
                    <w:tr2bl w:val="nil"/>
                  </w:tcBorders>
                  <w:shd w:val="clear" w:color="auto" w:fill="auto"/>
                  <w:noWrap/>
                  <w:vAlign w:val="center"/>
                </w:tcPr>
                <w:p w14:paraId="107E27D3">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p>
              </w:tc>
              <w:tc>
                <w:tcPr>
                  <w:tcW w:w="1163" w:type="pct"/>
                  <w:tcBorders>
                    <w:tl2br w:val="nil"/>
                    <w:tr2bl w:val="nil"/>
                  </w:tcBorders>
                  <w:shd w:val="clear" w:color="auto" w:fill="auto"/>
                  <w:noWrap/>
                  <w:vAlign w:val="center"/>
                </w:tcPr>
                <w:p w14:paraId="08732C0F">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151071.00</w:t>
                  </w:r>
                </w:p>
              </w:tc>
            </w:tr>
            <w:tr w14:paraId="39FB4A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0" w:type="pct"/>
                  <w:tcBorders>
                    <w:tl2br w:val="nil"/>
                    <w:tr2bl w:val="nil"/>
                  </w:tcBorders>
                  <w:shd w:val="clear" w:color="auto" w:fill="auto"/>
                  <w:noWrap/>
                  <w:vAlign w:val="center"/>
                </w:tcPr>
                <w:p w14:paraId="66B573C3">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2032" w:type="pct"/>
                  <w:tcBorders>
                    <w:tl2br w:val="nil"/>
                    <w:tr2bl w:val="nil"/>
                  </w:tcBorders>
                  <w:shd w:val="clear" w:color="auto" w:fill="auto"/>
                  <w:vAlign w:val="center"/>
                </w:tcPr>
                <w:p w14:paraId="41818F6C">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水运输</w:t>
                  </w:r>
                </w:p>
              </w:tc>
              <w:tc>
                <w:tcPr>
                  <w:tcW w:w="903" w:type="pct"/>
                  <w:tcBorders>
                    <w:tl2br w:val="nil"/>
                    <w:tr2bl w:val="nil"/>
                  </w:tcBorders>
                  <w:shd w:val="clear" w:color="auto" w:fill="auto"/>
                  <w:noWrap/>
                  <w:vAlign w:val="center"/>
                </w:tcPr>
                <w:p w14:paraId="61B1670C">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p>
              </w:tc>
              <w:tc>
                <w:tcPr>
                  <w:tcW w:w="1163" w:type="pct"/>
                  <w:tcBorders>
                    <w:tl2br w:val="nil"/>
                    <w:tr2bl w:val="nil"/>
                  </w:tcBorders>
                  <w:shd w:val="clear" w:color="auto" w:fill="auto"/>
                  <w:noWrap/>
                  <w:vAlign w:val="center"/>
                </w:tcPr>
                <w:p w14:paraId="14A94935">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151071.00</w:t>
                  </w:r>
                </w:p>
              </w:tc>
            </w:tr>
          </w:tbl>
          <w:p w14:paraId="08E21471">
            <w:pPr>
              <w:pStyle w:val="2"/>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6、土石方平衡</w:t>
            </w:r>
          </w:p>
          <w:p w14:paraId="047DF2E9">
            <w:pPr>
              <w:bidi w:val="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本项目覆土土方从有资质企业外购，确保来源合法合规。本项目场区内堆积矿产品清理后主要用于场区内平整时换填</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和边坡修复</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，少部分用于分层堆砌截水埂</w:t>
            </w:r>
            <w:r>
              <w:rPr>
                <w:rFonts w:hint="eastAsia" w:cs="Times New Roman"/>
                <w:color w:val="000000" w:themeColor="text1"/>
                <w:sz w:val="24"/>
                <w:szCs w:val="24"/>
                <w:highlight w:val="none"/>
                <w:lang w:val="en-US" w:eastAsia="zh-CN"/>
                <w14:textFill>
                  <w14:solidFill>
                    <w14:schemeClr w14:val="tx1"/>
                  </w14:solidFill>
                </w14:textFill>
              </w:rPr>
              <w:t>。</w:t>
            </w:r>
          </w:p>
          <w:p w14:paraId="63A9ABCC">
            <w:pPr>
              <w:pStyle w:val="3"/>
              <w:adjustRightInd w:val="0"/>
              <w:snapToGrid w:val="0"/>
              <w:spacing w:before="0" w:after="0" w:line="240" w:lineRule="auto"/>
              <w:jc w:val="center"/>
              <w:rPr>
                <w:rFonts w:hint="default" w:ascii="Times New Roman" w:hAnsi="Times New Roman" w:cs="Times New Roman"/>
                <w:b w:val="0"/>
                <w:bCs w:val="0"/>
                <w:color w:val="000000" w:themeColor="text1"/>
                <w:sz w:val="24"/>
                <w:szCs w:val="24"/>
                <w:highlight w:val="none"/>
                <w14:textFill>
                  <w14:solidFill>
                    <w14:schemeClr w14:val="tx1"/>
                  </w14:solidFill>
                </w14:textFill>
              </w:rPr>
            </w:pPr>
            <w:r>
              <w:rPr>
                <w:rFonts w:hint="default" w:ascii="Times New Roman" w:hAnsi="Times New Roman" w:cs="Times New Roman"/>
                <w:b w:val="0"/>
                <w:bCs w:val="0"/>
                <w:color w:val="000000" w:themeColor="text1"/>
                <w:sz w:val="24"/>
                <w:szCs w:val="24"/>
                <w:highlight w:val="none"/>
                <w14:textFill>
                  <w14:solidFill>
                    <w14:schemeClr w14:val="tx1"/>
                  </w14:solidFill>
                </w14:textFill>
              </w:rPr>
              <w:t>表2-</w:t>
            </w:r>
            <w:r>
              <w:rPr>
                <w:rFonts w:hint="eastAsia" w:cs="Times New Roman"/>
                <w:b w:val="0"/>
                <w:bCs w:val="0"/>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b w:val="0"/>
                <w:bCs w:val="0"/>
                <w:color w:val="000000" w:themeColor="text1"/>
                <w:sz w:val="24"/>
                <w:szCs w:val="24"/>
                <w:highlight w:val="none"/>
                <w14:textFill>
                  <w14:solidFill>
                    <w14:schemeClr w14:val="tx1"/>
                  </w14:solidFill>
                </w14:textFill>
              </w:rPr>
              <w:t xml:space="preserve">  土石方平衡分析表</w:t>
            </w:r>
            <w:r>
              <w:rPr>
                <w:rFonts w:hint="eastAsia" w:cs="Times New Roman"/>
                <w:b w:val="0"/>
                <w:bCs w:val="0"/>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b w:val="0"/>
                <w:bCs w:val="0"/>
                <w:color w:val="000000" w:themeColor="text1"/>
                <w:sz w:val="24"/>
                <w:szCs w:val="24"/>
                <w:highlight w:val="none"/>
                <w14:textFill>
                  <w14:solidFill>
                    <w14:schemeClr w14:val="tx1"/>
                  </w14:solidFill>
                </w14:textFill>
              </w:rPr>
              <w:t>（单位：m</w:t>
            </w:r>
            <w:r>
              <w:rPr>
                <w:rFonts w:hint="default" w:ascii="Times New Roman" w:hAnsi="Times New Roman" w:cs="Times New Roman"/>
                <w:b w:val="0"/>
                <w:bCs w:val="0"/>
                <w:color w:val="000000" w:themeColor="text1"/>
                <w:sz w:val="24"/>
                <w:szCs w:val="24"/>
                <w:highlight w:val="none"/>
                <w:vertAlign w:val="superscript"/>
                <w14:textFill>
                  <w14:solidFill>
                    <w14:schemeClr w14:val="tx1"/>
                  </w14:solidFill>
                </w14:textFill>
              </w:rPr>
              <w:t>3</w:t>
            </w:r>
            <w:r>
              <w:rPr>
                <w:rFonts w:hint="default" w:ascii="Times New Roman" w:hAnsi="Times New Roman" w:cs="Times New Roman"/>
                <w:b w:val="0"/>
                <w:bCs w:val="0"/>
                <w:color w:val="000000" w:themeColor="text1"/>
                <w:sz w:val="24"/>
                <w:szCs w:val="24"/>
                <w:highlight w:val="none"/>
                <w14:textFill>
                  <w14:solidFill>
                    <w14:schemeClr w14:val="tx1"/>
                  </w14:solidFill>
                </w14:textFill>
              </w:rPr>
              <w:t>）</w:t>
            </w:r>
          </w:p>
          <w:tbl>
            <w:tblPr>
              <w:tblStyle w:val="28"/>
              <w:tblW w:w="824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44"/>
              <w:gridCol w:w="645"/>
              <w:gridCol w:w="1245"/>
              <w:gridCol w:w="831"/>
              <w:gridCol w:w="900"/>
              <w:gridCol w:w="675"/>
              <w:gridCol w:w="838"/>
              <w:gridCol w:w="662"/>
              <w:gridCol w:w="775"/>
              <w:gridCol w:w="663"/>
              <w:gridCol w:w="371"/>
            </w:tblGrid>
            <w:tr w14:paraId="1B9C85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9" w:hRule="atLeast"/>
                <w:tblHeader/>
                <w:jc w:val="center"/>
              </w:trPr>
              <w:tc>
                <w:tcPr>
                  <w:tcW w:w="2534" w:type="dxa"/>
                  <w:gridSpan w:val="3"/>
                  <w:vMerge w:val="restart"/>
                  <w:tcBorders>
                    <w:tl2br w:val="nil"/>
                    <w:tr2bl w:val="nil"/>
                  </w:tcBorders>
                  <w:noWrap/>
                  <w:vAlign w:val="center"/>
                </w:tcPr>
                <w:p w14:paraId="7F69F7B1">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项目组成</w:t>
                  </w:r>
                </w:p>
              </w:tc>
              <w:tc>
                <w:tcPr>
                  <w:tcW w:w="831" w:type="dxa"/>
                  <w:vMerge w:val="restart"/>
                  <w:tcBorders>
                    <w:tl2br w:val="nil"/>
                    <w:tr2bl w:val="nil"/>
                  </w:tcBorders>
                  <w:noWrap/>
                  <w:vAlign w:val="center"/>
                </w:tcPr>
                <w:p w14:paraId="18603B3F">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挖方（m</w:t>
                  </w:r>
                  <w:r>
                    <w:rPr>
                      <w:rFonts w:hint="default" w:ascii="Times New Roman" w:hAnsi="Times New Roman" w:eastAsia="宋体" w:cs="Times New Roman"/>
                      <w:b/>
                      <w:bCs/>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w:t>
                  </w:r>
                </w:p>
              </w:tc>
              <w:tc>
                <w:tcPr>
                  <w:tcW w:w="900" w:type="dxa"/>
                  <w:vMerge w:val="restart"/>
                  <w:tcBorders>
                    <w:tl2br w:val="nil"/>
                    <w:tr2bl w:val="nil"/>
                  </w:tcBorders>
                  <w:noWrap/>
                  <w:vAlign w:val="center"/>
                </w:tcPr>
                <w:p w14:paraId="07F012D1">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填方（m</w:t>
                  </w:r>
                  <w:r>
                    <w:rPr>
                      <w:rFonts w:hint="default" w:ascii="Times New Roman" w:hAnsi="Times New Roman" w:eastAsia="宋体" w:cs="Times New Roman"/>
                      <w:b/>
                      <w:bCs/>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w:t>
                  </w:r>
                </w:p>
              </w:tc>
              <w:tc>
                <w:tcPr>
                  <w:tcW w:w="2950" w:type="dxa"/>
                  <w:gridSpan w:val="4"/>
                  <w:tcBorders>
                    <w:tl2br w:val="nil"/>
                    <w:tr2bl w:val="nil"/>
                  </w:tcBorders>
                  <w:noWrap/>
                  <w:vAlign w:val="center"/>
                </w:tcPr>
                <w:p w14:paraId="2D125294">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区内调配</w:t>
                  </w:r>
                </w:p>
              </w:tc>
              <w:tc>
                <w:tcPr>
                  <w:tcW w:w="663" w:type="dxa"/>
                  <w:vMerge w:val="restart"/>
                  <w:tcBorders>
                    <w:tl2br w:val="nil"/>
                    <w:tr2bl w:val="nil"/>
                  </w:tcBorders>
                  <w:noWrap/>
                  <w:vAlign w:val="center"/>
                </w:tcPr>
                <w:p w14:paraId="36BA5467">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借方</w:t>
                  </w:r>
                </w:p>
              </w:tc>
              <w:tc>
                <w:tcPr>
                  <w:tcW w:w="371" w:type="dxa"/>
                  <w:vMerge w:val="restart"/>
                  <w:tcBorders>
                    <w:tl2br w:val="nil"/>
                    <w:tr2bl w:val="nil"/>
                  </w:tcBorders>
                  <w:noWrap/>
                  <w:vAlign w:val="center"/>
                </w:tcPr>
                <w:p w14:paraId="79499DDD">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弃方</w:t>
                  </w:r>
                </w:p>
              </w:tc>
            </w:tr>
            <w:tr w14:paraId="4054AB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9" w:hRule="atLeast"/>
                <w:tblHeader/>
                <w:jc w:val="center"/>
              </w:trPr>
              <w:tc>
                <w:tcPr>
                  <w:tcW w:w="2534" w:type="dxa"/>
                  <w:gridSpan w:val="3"/>
                  <w:vMerge w:val="continue"/>
                  <w:tcBorders>
                    <w:tl2br w:val="nil"/>
                    <w:tr2bl w:val="nil"/>
                  </w:tcBorders>
                  <w:noWrap/>
                  <w:vAlign w:val="center"/>
                </w:tcPr>
                <w:p w14:paraId="637FF50F">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color w:val="000000" w:themeColor="text1"/>
                      <w:highlight w:val="none"/>
                      <w14:textFill>
                        <w14:solidFill>
                          <w14:schemeClr w14:val="tx1"/>
                        </w14:solidFill>
                      </w14:textFill>
                    </w:rPr>
                  </w:pPr>
                </w:p>
              </w:tc>
              <w:tc>
                <w:tcPr>
                  <w:tcW w:w="831" w:type="dxa"/>
                  <w:vMerge w:val="continue"/>
                  <w:tcBorders>
                    <w:tl2br w:val="nil"/>
                    <w:tr2bl w:val="nil"/>
                  </w:tcBorders>
                  <w:noWrap/>
                  <w:vAlign w:val="center"/>
                </w:tcPr>
                <w:p w14:paraId="7823B48A">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color w:val="000000" w:themeColor="text1"/>
                      <w:highlight w:val="none"/>
                      <w14:textFill>
                        <w14:solidFill>
                          <w14:schemeClr w14:val="tx1"/>
                        </w14:solidFill>
                      </w14:textFill>
                    </w:rPr>
                  </w:pPr>
                </w:p>
              </w:tc>
              <w:tc>
                <w:tcPr>
                  <w:tcW w:w="900" w:type="dxa"/>
                  <w:vMerge w:val="continue"/>
                  <w:tcBorders>
                    <w:tl2br w:val="nil"/>
                    <w:tr2bl w:val="nil"/>
                  </w:tcBorders>
                  <w:noWrap/>
                  <w:vAlign w:val="center"/>
                </w:tcPr>
                <w:p w14:paraId="24E9E33B">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color w:val="000000" w:themeColor="text1"/>
                      <w:highlight w:val="none"/>
                      <w14:textFill>
                        <w14:solidFill>
                          <w14:schemeClr w14:val="tx1"/>
                        </w14:solidFill>
                      </w14:textFill>
                    </w:rPr>
                  </w:pPr>
                </w:p>
              </w:tc>
              <w:tc>
                <w:tcPr>
                  <w:tcW w:w="1513" w:type="dxa"/>
                  <w:gridSpan w:val="2"/>
                  <w:tcBorders>
                    <w:tl2br w:val="nil"/>
                    <w:tr2bl w:val="nil"/>
                  </w:tcBorders>
                  <w:noWrap/>
                  <w:vAlign w:val="center"/>
                </w:tcPr>
                <w:p w14:paraId="54D22521">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调入（m</w:t>
                  </w:r>
                  <w:r>
                    <w:rPr>
                      <w:rFonts w:hint="default" w:ascii="Times New Roman" w:hAnsi="Times New Roman" w:eastAsia="宋体" w:cs="Times New Roman"/>
                      <w:b/>
                      <w:bCs/>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w:t>
                  </w:r>
                </w:p>
              </w:tc>
              <w:tc>
                <w:tcPr>
                  <w:tcW w:w="1437" w:type="dxa"/>
                  <w:gridSpan w:val="2"/>
                  <w:tcBorders>
                    <w:tl2br w:val="nil"/>
                    <w:tr2bl w:val="nil"/>
                  </w:tcBorders>
                  <w:shd w:val="clear" w:color="auto" w:fill="auto"/>
                  <w:noWrap/>
                  <w:vAlign w:val="center"/>
                </w:tcPr>
                <w:p w14:paraId="510BFCFA">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调出（m</w:t>
                  </w:r>
                  <w:r>
                    <w:rPr>
                      <w:rFonts w:hint="default" w:ascii="Times New Roman" w:hAnsi="Times New Roman" w:eastAsia="宋体" w:cs="Times New Roman"/>
                      <w:b/>
                      <w:bCs/>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w:t>
                  </w:r>
                </w:p>
              </w:tc>
              <w:tc>
                <w:tcPr>
                  <w:tcW w:w="663" w:type="dxa"/>
                  <w:vMerge w:val="continue"/>
                  <w:tcBorders>
                    <w:tl2br w:val="nil"/>
                    <w:tr2bl w:val="nil"/>
                  </w:tcBorders>
                  <w:noWrap/>
                  <w:vAlign w:val="center"/>
                </w:tcPr>
                <w:p w14:paraId="615A9EC7">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p>
              </w:tc>
              <w:tc>
                <w:tcPr>
                  <w:tcW w:w="371" w:type="dxa"/>
                  <w:vMerge w:val="continue"/>
                  <w:tcBorders>
                    <w:tl2br w:val="nil"/>
                    <w:tr2bl w:val="nil"/>
                  </w:tcBorders>
                  <w:noWrap/>
                  <w:vAlign w:val="center"/>
                </w:tcPr>
                <w:p w14:paraId="6797841B">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p>
              </w:tc>
            </w:tr>
            <w:tr w14:paraId="4642AE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9" w:hRule="atLeast"/>
                <w:tblHeader/>
                <w:jc w:val="center"/>
              </w:trPr>
              <w:tc>
                <w:tcPr>
                  <w:tcW w:w="2534" w:type="dxa"/>
                  <w:gridSpan w:val="3"/>
                  <w:vMerge w:val="continue"/>
                  <w:tcBorders>
                    <w:tl2br w:val="nil"/>
                    <w:tr2bl w:val="nil"/>
                  </w:tcBorders>
                  <w:noWrap/>
                  <w:vAlign w:val="center"/>
                </w:tcPr>
                <w:p w14:paraId="0B133BEF">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p>
              </w:tc>
              <w:tc>
                <w:tcPr>
                  <w:tcW w:w="831" w:type="dxa"/>
                  <w:vMerge w:val="continue"/>
                  <w:tcBorders>
                    <w:tl2br w:val="nil"/>
                    <w:tr2bl w:val="nil"/>
                  </w:tcBorders>
                  <w:noWrap/>
                  <w:vAlign w:val="center"/>
                </w:tcPr>
                <w:p w14:paraId="01FA7E73">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p>
              </w:tc>
              <w:tc>
                <w:tcPr>
                  <w:tcW w:w="900" w:type="dxa"/>
                  <w:vMerge w:val="continue"/>
                  <w:tcBorders>
                    <w:tl2br w:val="nil"/>
                    <w:tr2bl w:val="nil"/>
                  </w:tcBorders>
                  <w:noWrap/>
                  <w:vAlign w:val="center"/>
                </w:tcPr>
                <w:p w14:paraId="75E0F606">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p>
              </w:tc>
              <w:tc>
                <w:tcPr>
                  <w:tcW w:w="675" w:type="dxa"/>
                  <w:tcBorders>
                    <w:tl2br w:val="nil"/>
                    <w:tr2bl w:val="nil"/>
                  </w:tcBorders>
                  <w:noWrap/>
                  <w:vAlign w:val="center"/>
                </w:tcPr>
                <w:p w14:paraId="74D6C9E5">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数量</w:t>
                  </w:r>
                </w:p>
              </w:tc>
              <w:tc>
                <w:tcPr>
                  <w:tcW w:w="838" w:type="dxa"/>
                  <w:tcBorders>
                    <w:tl2br w:val="nil"/>
                    <w:tr2bl w:val="nil"/>
                  </w:tcBorders>
                  <w:noWrap/>
                  <w:vAlign w:val="center"/>
                </w:tcPr>
                <w:p w14:paraId="365E5B79">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来源</w:t>
                  </w:r>
                </w:p>
              </w:tc>
              <w:tc>
                <w:tcPr>
                  <w:tcW w:w="662" w:type="dxa"/>
                  <w:tcBorders>
                    <w:tl2br w:val="nil"/>
                    <w:tr2bl w:val="nil"/>
                  </w:tcBorders>
                  <w:shd w:val="clear" w:color="auto" w:fill="auto"/>
                  <w:noWrap/>
                  <w:vAlign w:val="center"/>
                </w:tcPr>
                <w:p w14:paraId="4FD462E5">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数量</w:t>
                  </w:r>
                </w:p>
              </w:tc>
              <w:tc>
                <w:tcPr>
                  <w:tcW w:w="775" w:type="dxa"/>
                  <w:tcBorders>
                    <w:tl2br w:val="nil"/>
                    <w:tr2bl w:val="nil"/>
                  </w:tcBorders>
                  <w:shd w:val="clear" w:color="auto" w:fill="auto"/>
                  <w:noWrap/>
                  <w:vAlign w:val="center"/>
                </w:tcPr>
                <w:p w14:paraId="311BDC8C">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去向</w:t>
                  </w:r>
                </w:p>
              </w:tc>
              <w:tc>
                <w:tcPr>
                  <w:tcW w:w="663" w:type="dxa"/>
                  <w:vMerge w:val="continue"/>
                  <w:tcBorders>
                    <w:tl2br w:val="nil"/>
                    <w:tr2bl w:val="nil"/>
                  </w:tcBorders>
                  <w:noWrap/>
                  <w:vAlign w:val="center"/>
                </w:tcPr>
                <w:p w14:paraId="09D8B126">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p>
              </w:tc>
              <w:tc>
                <w:tcPr>
                  <w:tcW w:w="371" w:type="dxa"/>
                  <w:vMerge w:val="continue"/>
                  <w:tcBorders>
                    <w:tl2br w:val="nil"/>
                    <w:tr2bl w:val="nil"/>
                  </w:tcBorders>
                  <w:noWrap/>
                  <w:vAlign w:val="center"/>
                </w:tcPr>
                <w:p w14:paraId="6B004CDD">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p>
              </w:tc>
            </w:tr>
            <w:tr w14:paraId="7F998D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44" w:type="dxa"/>
                  <w:vMerge w:val="restart"/>
                  <w:tcBorders>
                    <w:tl2br w:val="nil"/>
                    <w:tr2bl w:val="nil"/>
                  </w:tcBorders>
                  <w:noWrap/>
                  <w:vAlign w:val="center"/>
                </w:tcPr>
                <w:p w14:paraId="462D2BC8">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地形地貌恢复工程</w:t>
                  </w:r>
                </w:p>
              </w:tc>
              <w:tc>
                <w:tcPr>
                  <w:tcW w:w="645" w:type="dxa"/>
                  <w:vMerge w:val="restart"/>
                  <w:tcBorders>
                    <w:tl2br w:val="nil"/>
                    <w:tr2bl w:val="nil"/>
                  </w:tcBorders>
                  <w:noWrap/>
                  <w:vAlign w:val="center"/>
                </w:tcPr>
                <w:p w14:paraId="4DA8AA9B">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场区平整</w:t>
                  </w:r>
                </w:p>
              </w:tc>
              <w:tc>
                <w:tcPr>
                  <w:tcW w:w="1245" w:type="dxa"/>
                  <w:tcBorders>
                    <w:tl2br w:val="nil"/>
                    <w:tr2bl w:val="nil"/>
                  </w:tcBorders>
                  <w:noWrap/>
                  <w:vAlign w:val="center"/>
                </w:tcPr>
                <w:p w14:paraId="65C12621">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74kW推土机（Ⅳ类土，0~10m）</w:t>
                  </w:r>
                </w:p>
              </w:tc>
              <w:tc>
                <w:tcPr>
                  <w:tcW w:w="831" w:type="dxa"/>
                  <w:tcBorders>
                    <w:tl2br w:val="nil"/>
                    <w:tr2bl w:val="nil"/>
                  </w:tcBorders>
                  <w:shd w:val="clear" w:color="auto" w:fill="auto"/>
                  <w:noWrap/>
                  <w:vAlign w:val="center"/>
                </w:tcPr>
                <w:p w14:paraId="2F5A115A">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1009.93</w:t>
                  </w:r>
                </w:p>
              </w:tc>
              <w:tc>
                <w:tcPr>
                  <w:tcW w:w="900" w:type="dxa"/>
                  <w:tcBorders>
                    <w:tl2br w:val="nil"/>
                    <w:tr2bl w:val="nil"/>
                  </w:tcBorders>
                  <w:shd w:val="clear" w:color="auto" w:fill="auto"/>
                  <w:noWrap/>
                  <w:vAlign w:val="center"/>
                </w:tcPr>
                <w:p w14:paraId="78015477">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1009.93</w:t>
                  </w:r>
                </w:p>
              </w:tc>
              <w:tc>
                <w:tcPr>
                  <w:tcW w:w="675" w:type="dxa"/>
                  <w:tcBorders>
                    <w:tl2br w:val="nil"/>
                    <w:tr2bl w:val="nil"/>
                  </w:tcBorders>
                  <w:shd w:val="clear" w:color="auto" w:fill="auto"/>
                  <w:noWrap/>
                  <w:vAlign w:val="center"/>
                </w:tcPr>
                <w:p w14:paraId="510EE6D4">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727.15 </w:t>
                  </w:r>
                </w:p>
              </w:tc>
              <w:tc>
                <w:tcPr>
                  <w:tcW w:w="838" w:type="dxa"/>
                  <w:vMerge w:val="restart"/>
                  <w:tcBorders>
                    <w:tl2br w:val="nil"/>
                    <w:tr2bl w:val="nil"/>
                  </w:tcBorders>
                  <w:shd w:val="clear" w:color="auto" w:fill="auto"/>
                  <w:noWrap/>
                  <w:vAlign w:val="center"/>
                </w:tcPr>
                <w:p w14:paraId="53FDEA5E">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矿产品换填</w:t>
                  </w:r>
                </w:p>
              </w:tc>
              <w:tc>
                <w:tcPr>
                  <w:tcW w:w="662" w:type="dxa"/>
                  <w:tcBorders>
                    <w:tl2br w:val="nil"/>
                    <w:tr2bl w:val="nil"/>
                  </w:tcBorders>
                  <w:shd w:val="clear" w:color="auto" w:fill="auto"/>
                  <w:noWrap/>
                  <w:vAlign w:val="center"/>
                </w:tcPr>
                <w:p w14:paraId="057E0957">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727.15 </w:t>
                  </w:r>
                </w:p>
              </w:tc>
              <w:tc>
                <w:tcPr>
                  <w:tcW w:w="775" w:type="dxa"/>
                  <w:vMerge w:val="restart"/>
                  <w:tcBorders>
                    <w:tl2br w:val="nil"/>
                    <w:tr2bl w:val="nil"/>
                  </w:tcBorders>
                  <w:shd w:val="clear" w:color="auto" w:fill="auto"/>
                  <w:noWrap/>
                  <w:vAlign w:val="center"/>
                </w:tcPr>
                <w:p w14:paraId="70849CDC">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坡面培坡</w:t>
                  </w:r>
                </w:p>
              </w:tc>
              <w:tc>
                <w:tcPr>
                  <w:tcW w:w="663" w:type="dxa"/>
                  <w:tcBorders>
                    <w:tl2br w:val="nil"/>
                    <w:tr2bl w:val="nil"/>
                  </w:tcBorders>
                  <w:noWrap/>
                  <w:vAlign w:val="center"/>
                </w:tcPr>
                <w:p w14:paraId="6E539D1F">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c>
                <w:tcPr>
                  <w:tcW w:w="371" w:type="dxa"/>
                  <w:tcBorders>
                    <w:tl2br w:val="nil"/>
                    <w:tr2bl w:val="nil"/>
                  </w:tcBorders>
                  <w:noWrap/>
                  <w:vAlign w:val="center"/>
                </w:tcPr>
                <w:p w14:paraId="60ED6777">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r>
            <w:tr w14:paraId="2B1DC4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44" w:type="dxa"/>
                  <w:vMerge w:val="continue"/>
                  <w:tcBorders>
                    <w:tl2br w:val="nil"/>
                    <w:tr2bl w:val="nil"/>
                  </w:tcBorders>
                  <w:noWrap/>
                  <w:vAlign w:val="center"/>
                </w:tcPr>
                <w:p w14:paraId="35AA819A">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645" w:type="dxa"/>
                  <w:vMerge w:val="continue"/>
                  <w:tcBorders>
                    <w:tl2br w:val="nil"/>
                    <w:tr2bl w:val="nil"/>
                  </w:tcBorders>
                  <w:noWrap/>
                  <w:vAlign w:val="center"/>
                </w:tcPr>
                <w:p w14:paraId="7960C5DD">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1245" w:type="dxa"/>
                  <w:tcBorders>
                    <w:tl2br w:val="nil"/>
                    <w:tr2bl w:val="nil"/>
                  </w:tcBorders>
                  <w:noWrap/>
                  <w:vAlign w:val="center"/>
                </w:tcPr>
                <w:p w14:paraId="4983E55D">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74kW推土机（Ⅳ类土，10~20m）</w:t>
                  </w:r>
                </w:p>
              </w:tc>
              <w:tc>
                <w:tcPr>
                  <w:tcW w:w="831" w:type="dxa"/>
                  <w:tcBorders>
                    <w:tl2br w:val="nil"/>
                    <w:tr2bl w:val="nil"/>
                  </w:tcBorders>
                  <w:shd w:val="clear" w:color="auto" w:fill="auto"/>
                  <w:noWrap/>
                  <w:vAlign w:val="center"/>
                </w:tcPr>
                <w:p w14:paraId="1FC3DB6F">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1514.89</w:t>
                  </w:r>
                </w:p>
              </w:tc>
              <w:tc>
                <w:tcPr>
                  <w:tcW w:w="900" w:type="dxa"/>
                  <w:tcBorders>
                    <w:tl2br w:val="nil"/>
                    <w:tr2bl w:val="nil"/>
                  </w:tcBorders>
                  <w:shd w:val="clear" w:color="auto" w:fill="auto"/>
                  <w:noWrap/>
                  <w:vAlign w:val="center"/>
                </w:tcPr>
                <w:p w14:paraId="204991DF">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1514.89</w:t>
                  </w:r>
                </w:p>
              </w:tc>
              <w:tc>
                <w:tcPr>
                  <w:tcW w:w="675" w:type="dxa"/>
                  <w:tcBorders>
                    <w:tl2br w:val="nil"/>
                    <w:tr2bl w:val="nil"/>
                  </w:tcBorders>
                  <w:shd w:val="clear" w:color="auto" w:fill="auto"/>
                  <w:noWrap/>
                  <w:vAlign w:val="center"/>
                </w:tcPr>
                <w:p w14:paraId="01226754">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1090.72 </w:t>
                  </w:r>
                </w:p>
              </w:tc>
              <w:tc>
                <w:tcPr>
                  <w:tcW w:w="838" w:type="dxa"/>
                  <w:vMerge w:val="continue"/>
                  <w:tcBorders>
                    <w:tl2br w:val="nil"/>
                    <w:tr2bl w:val="nil"/>
                  </w:tcBorders>
                  <w:shd w:val="clear" w:color="auto" w:fill="auto"/>
                  <w:noWrap/>
                  <w:vAlign w:val="center"/>
                </w:tcPr>
                <w:p w14:paraId="70B9BF21">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662" w:type="dxa"/>
                  <w:tcBorders>
                    <w:tl2br w:val="nil"/>
                    <w:tr2bl w:val="nil"/>
                  </w:tcBorders>
                  <w:shd w:val="clear" w:color="auto" w:fill="auto"/>
                  <w:noWrap/>
                  <w:vAlign w:val="center"/>
                </w:tcPr>
                <w:p w14:paraId="22534699">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1090.72 </w:t>
                  </w:r>
                </w:p>
              </w:tc>
              <w:tc>
                <w:tcPr>
                  <w:tcW w:w="775" w:type="dxa"/>
                  <w:vMerge w:val="continue"/>
                  <w:tcBorders>
                    <w:tl2br w:val="nil"/>
                    <w:tr2bl w:val="nil"/>
                  </w:tcBorders>
                  <w:shd w:val="clear" w:color="auto" w:fill="auto"/>
                  <w:noWrap/>
                  <w:vAlign w:val="center"/>
                </w:tcPr>
                <w:p w14:paraId="0E410226">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663" w:type="dxa"/>
                  <w:tcBorders>
                    <w:tl2br w:val="nil"/>
                    <w:tr2bl w:val="nil"/>
                  </w:tcBorders>
                  <w:noWrap/>
                  <w:vAlign w:val="center"/>
                </w:tcPr>
                <w:p w14:paraId="44FEC066">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c>
                <w:tcPr>
                  <w:tcW w:w="371" w:type="dxa"/>
                  <w:tcBorders>
                    <w:tl2br w:val="nil"/>
                    <w:tr2bl w:val="nil"/>
                  </w:tcBorders>
                  <w:noWrap/>
                  <w:vAlign w:val="center"/>
                </w:tcPr>
                <w:p w14:paraId="08785E08">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r>
            <w:tr w14:paraId="0C8EEF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44" w:type="dxa"/>
                  <w:vMerge w:val="continue"/>
                  <w:tcBorders>
                    <w:tl2br w:val="nil"/>
                    <w:tr2bl w:val="nil"/>
                  </w:tcBorders>
                  <w:noWrap/>
                  <w:vAlign w:val="center"/>
                </w:tcPr>
                <w:p w14:paraId="15DD2EC3">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645" w:type="dxa"/>
                  <w:vMerge w:val="continue"/>
                  <w:tcBorders>
                    <w:tl2br w:val="nil"/>
                    <w:tr2bl w:val="nil"/>
                  </w:tcBorders>
                  <w:noWrap/>
                  <w:vAlign w:val="center"/>
                </w:tcPr>
                <w:p w14:paraId="6FF547B2">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1245" w:type="dxa"/>
                  <w:tcBorders>
                    <w:tl2br w:val="nil"/>
                    <w:tr2bl w:val="nil"/>
                  </w:tcBorders>
                  <w:noWrap/>
                  <w:vAlign w:val="center"/>
                </w:tcPr>
                <w:p w14:paraId="1A02CB90">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74kW推土机（Ⅳ类土，20~30m）</w:t>
                  </w:r>
                </w:p>
              </w:tc>
              <w:tc>
                <w:tcPr>
                  <w:tcW w:w="831" w:type="dxa"/>
                  <w:tcBorders>
                    <w:tl2br w:val="nil"/>
                    <w:tr2bl w:val="nil"/>
                  </w:tcBorders>
                  <w:shd w:val="clear" w:color="auto" w:fill="auto"/>
                  <w:noWrap/>
                  <w:vAlign w:val="center"/>
                </w:tcPr>
                <w:p w14:paraId="761983F0">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2524.82</w:t>
                  </w:r>
                </w:p>
              </w:tc>
              <w:tc>
                <w:tcPr>
                  <w:tcW w:w="900" w:type="dxa"/>
                  <w:tcBorders>
                    <w:tl2br w:val="nil"/>
                    <w:tr2bl w:val="nil"/>
                  </w:tcBorders>
                  <w:shd w:val="clear" w:color="auto" w:fill="auto"/>
                  <w:noWrap/>
                  <w:vAlign w:val="center"/>
                </w:tcPr>
                <w:p w14:paraId="0B70BE84">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2524.82</w:t>
                  </w:r>
                </w:p>
              </w:tc>
              <w:tc>
                <w:tcPr>
                  <w:tcW w:w="675" w:type="dxa"/>
                  <w:tcBorders>
                    <w:tl2br w:val="nil"/>
                    <w:tr2bl w:val="nil"/>
                  </w:tcBorders>
                  <w:shd w:val="clear" w:color="auto" w:fill="auto"/>
                  <w:noWrap/>
                  <w:vAlign w:val="center"/>
                </w:tcPr>
                <w:p w14:paraId="77A46B46">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1817.87 </w:t>
                  </w:r>
                </w:p>
              </w:tc>
              <w:tc>
                <w:tcPr>
                  <w:tcW w:w="838" w:type="dxa"/>
                  <w:vMerge w:val="continue"/>
                  <w:tcBorders>
                    <w:tl2br w:val="nil"/>
                    <w:tr2bl w:val="nil"/>
                  </w:tcBorders>
                  <w:shd w:val="clear" w:color="auto" w:fill="auto"/>
                  <w:noWrap/>
                  <w:vAlign w:val="center"/>
                </w:tcPr>
                <w:p w14:paraId="7BC6514A">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662" w:type="dxa"/>
                  <w:tcBorders>
                    <w:tl2br w:val="nil"/>
                    <w:tr2bl w:val="nil"/>
                  </w:tcBorders>
                  <w:shd w:val="clear" w:color="auto" w:fill="auto"/>
                  <w:noWrap/>
                  <w:vAlign w:val="center"/>
                </w:tcPr>
                <w:p w14:paraId="48FE46E6">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1817.87 </w:t>
                  </w:r>
                </w:p>
              </w:tc>
              <w:tc>
                <w:tcPr>
                  <w:tcW w:w="775" w:type="dxa"/>
                  <w:vMerge w:val="continue"/>
                  <w:tcBorders>
                    <w:tl2br w:val="nil"/>
                    <w:tr2bl w:val="nil"/>
                  </w:tcBorders>
                  <w:shd w:val="clear" w:color="auto" w:fill="auto"/>
                  <w:noWrap/>
                  <w:vAlign w:val="center"/>
                </w:tcPr>
                <w:p w14:paraId="773BCF40">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663" w:type="dxa"/>
                  <w:tcBorders>
                    <w:tl2br w:val="nil"/>
                    <w:tr2bl w:val="nil"/>
                  </w:tcBorders>
                  <w:noWrap/>
                  <w:vAlign w:val="center"/>
                </w:tcPr>
                <w:p w14:paraId="0EEA6E67">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c>
                <w:tcPr>
                  <w:tcW w:w="371" w:type="dxa"/>
                  <w:tcBorders>
                    <w:tl2br w:val="nil"/>
                    <w:tr2bl w:val="nil"/>
                  </w:tcBorders>
                  <w:noWrap/>
                  <w:vAlign w:val="center"/>
                </w:tcPr>
                <w:p w14:paraId="7B72BC3C">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r>
            <w:tr w14:paraId="2F6861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44" w:type="dxa"/>
                  <w:vMerge w:val="continue"/>
                  <w:tcBorders>
                    <w:tl2br w:val="nil"/>
                    <w:tr2bl w:val="nil"/>
                  </w:tcBorders>
                  <w:noWrap/>
                  <w:vAlign w:val="center"/>
                </w:tcPr>
                <w:p w14:paraId="6EF483A1">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645" w:type="dxa"/>
                  <w:vMerge w:val="continue"/>
                  <w:tcBorders>
                    <w:tl2br w:val="nil"/>
                    <w:tr2bl w:val="nil"/>
                  </w:tcBorders>
                  <w:noWrap/>
                  <w:vAlign w:val="center"/>
                </w:tcPr>
                <w:p w14:paraId="5B07D6DF">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1245" w:type="dxa"/>
                  <w:tcBorders>
                    <w:tl2br w:val="nil"/>
                    <w:tr2bl w:val="nil"/>
                  </w:tcBorders>
                  <w:noWrap/>
                  <w:vAlign w:val="center"/>
                </w:tcPr>
                <w:p w14:paraId="47C25DC7">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小计</w:t>
                  </w:r>
                </w:p>
              </w:tc>
              <w:tc>
                <w:tcPr>
                  <w:tcW w:w="831" w:type="dxa"/>
                  <w:tcBorders>
                    <w:tl2br w:val="nil"/>
                    <w:tr2bl w:val="nil"/>
                  </w:tcBorders>
                  <w:shd w:val="clear" w:color="auto" w:fill="auto"/>
                  <w:noWrap/>
                  <w:vAlign w:val="center"/>
                </w:tcPr>
                <w:p w14:paraId="6AC11FD2">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5049.64</w:t>
                  </w:r>
                </w:p>
              </w:tc>
              <w:tc>
                <w:tcPr>
                  <w:tcW w:w="900" w:type="dxa"/>
                  <w:tcBorders>
                    <w:tl2br w:val="nil"/>
                    <w:tr2bl w:val="nil"/>
                  </w:tcBorders>
                  <w:shd w:val="clear" w:color="auto" w:fill="auto"/>
                  <w:noWrap/>
                  <w:vAlign w:val="center"/>
                </w:tcPr>
                <w:p w14:paraId="6472CE55">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5049.64</w:t>
                  </w:r>
                </w:p>
              </w:tc>
              <w:tc>
                <w:tcPr>
                  <w:tcW w:w="675" w:type="dxa"/>
                  <w:tcBorders>
                    <w:tl2br w:val="nil"/>
                    <w:tr2bl w:val="nil"/>
                  </w:tcBorders>
                  <w:shd w:val="clear" w:color="auto" w:fill="auto"/>
                  <w:noWrap/>
                  <w:vAlign w:val="center"/>
                </w:tcPr>
                <w:p w14:paraId="6D9C75E4">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3635.74 </w:t>
                  </w:r>
                </w:p>
              </w:tc>
              <w:tc>
                <w:tcPr>
                  <w:tcW w:w="838" w:type="dxa"/>
                  <w:tcBorders>
                    <w:tl2br w:val="nil"/>
                    <w:tr2bl w:val="nil"/>
                  </w:tcBorders>
                  <w:shd w:val="clear" w:color="auto" w:fill="auto"/>
                  <w:noWrap/>
                  <w:vAlign w:val="center"/>
                </w:tcPr>
                <w:p w14:paraId="33B42E9C">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62" w:type="dxa"/>
                  <w:tcBorders>
                    <w:tl2br w:val="nil"/>
                    <w:tr2bl w:val="nil"/>
                  </w:tcBorders>
                  <w:shd w:val="clear" w:color="auto" w:fill="auto"/>
                  <w:noWrap/>
                  <w:vAlign w:val="center"/>
                </w:tcPr>
                <w:p w14:paraId="1823531D">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3635.74 </w:t>
                  </w:r>
                </w:p>
              </w:tc>
              <w:tc>
                <w:tcPr>
                  <w:tcW w:w="775" w:type="dxa"/>
                  <w:tcBorders>
                    <w:tl2br w:val="nil"/>
                    <w:tr2bl w:val="nil"/>
                  </w:tcBorders>
                  <w:shd w:val="clear" w:color="auto" w:fill="auto"/>
                  <w:noWrap/>
                  <w:vAlign w:val="center"/>
                </w:tcPr>
                <w:p w14:paraId="5FD4A06D">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63" w:type="dxa"/>
                  <w:tcBorders>
                    <w:tl2br w:val="nil"/>
                    <w:tr2bl w:val="nil"/>
                  </w:tcBorders>
                  <w:noWrap/>
                  <w:vAlign w:val="center"/>
                </w:tcPr>
                <w:p w14:paraId="4C654E05">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c>
                <w:tcPr>
                  <w:tcW w:w="371" w:type="dxa"/>
                  <w:tcBorders>
                    <w:tl2br w:val="nil"/>
                    <w:tr2bl w:val="nil"/>
                  </w:tcBorders>
                  <w:noWrap/>
                  <w:vAlign w:val="center"/>
                </w:tcPr>
                <w:p w14:paraId="60D40825">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r>
            <w:tr w14:paraId="775457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44" w:type="dxa"/>
                  <w:vMerge w:val="continue"/>
                  <w:tcBorders>
                    <w:tl2br w:val="nil"/>
                    <w:tr2bl w:val="nil"/>
                  </w:tcBorders>
                  <w:noWrap/>
                  <w:vAlign w:val="center"/>
                </w:tcPr>
                <w:p w14:paraId="3A00D03A">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645" w:type="dxa"/>
                  <w:vMerge w:val="restart"/>
                  <w:tcBorders>
                    <w:tl2br w:val="nil"/>
                    <w:tr2bl w:val="nil"/>
                  </w:tcBorders>
                  <w:noWrap/>
                  <w:vAlign w:val="center"/>
                </w:tcPr>
                <w:p w14:paraId="233F64E8">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矿产品清理</w:t>
                  </w:r>
                </w:p>
              </w:tc>
              <w:tc>
                <w:tcPr>
                  <w:tcW w:w="1245" w:type="dxa"/>
                  <w:vMerge w:val="restart"/>
                  <w:tcBorders>
                    <w:tl2br w:val="nil"/>
                    <w:tr2bl w:val="nil"/>
                  </w:tcBorders>
                  <w:noWrap/>
                  <w:vAlign w:val="center"/>
                </w:tcPr>
                <w:p w14:paraId="1E6ECE02">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矿产品</w:t>
                  </w:r>
                </w:p>
              </w:tc>
              <w:tc>
                <w:tcPr>
                  <w:tcW w:w="831" w:type="dxa"/>
                  <w:tcBorders>
                    <w:tl2br w:val="nil"/>
                    <w:tr2bl w:val="nil"/>
                  </w:tcBorders>
                  <w:shd w:val="clear" w:color="auto" w:fill="auto"/>
                  <w:noWrap/>
                  <w:vAlign w:val="center"/>
                </w:tcPr>
                <w:p w14:paraId="0AC98249">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3635.74</w:t>
                  </w:r>
                </w:p>
              </w:tc>
              <w:tc>
                <w:tcPr>
                  <w:tcW w:w="900" w:type="dxa"/>
                  <w:tcBorders>
                    <w:tl2br w:val="nil"/>
                    <w:tr2bl w:val="nil"/>
                  </w:tcBorders>
                  <w:shd w:val="clear" w:color="auto" w:fill="auto"/>
                  <w:noWrap/>
                  <w:vAlign w:val="center"/>
                </w:tcPr>
                <w:p w14:paraId="4AC26A78">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w:t>
                  </w:r>
                </w:p>
              </w:tc>
              <w:tc>
                <w:tcPr>
                  <w:tcW w:w="675" w:type="dxa"/>
                  <w:tcBorders>
                    <w:tl2br w:val="nil"/>
                    <w:tr2bl w:val="nil"/>
                  </w:tcBorders>
                  <w:shd w:val="clear" w:color="auto" w:fill="auto"/>
                  <w:noWrap/>
                  <w:vAlign w:val="center"/>
                </w:tcPr>
                <w:p w14:paraId="5B158161">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w:t>
                  </w:r>
                </w:p>
              </w:tc>
              <w:tc>
                <w:tcPr>
                  <w:tcW w:w="838" w:type="dxa"/>
                  <w:tcBorders>
                    <w:tl2br w:val="nil"/>
                    <w:tr2bl w:val="nil"/>
                  </w:tcBorders>
                  <w:shd w:val="clear" w:color="auto" w:fill="auto"/>
                  <w:noWrap/>
                  <w:vAlign w:val="center"/>
                </w:tcPr>
                <w:p w14:paraId="762E9ACB">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62" w:type="dxa"/>
                  <w:tcBorders>
                    <w:tl2br w:val="nil"/>
                    <w:tr2bl w:val="nil"/>
                  </w:tcBorders>
                  <w:shd w:val="clear" w:color="auto" w:fill="auto"/>
                  <w:noWrap/>
                  <w:vAlign w:val="center"/>
                </w:tcPr>
                <w:p w14:paraId="0BA65162">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3635.74</w:t>
                  </w:r>
                </w:p>
              </w:tc>
              <w:tc>
                <w:tcPr>
                  <w:tcW w:w="775" w:type="dxa"/>
                  <w:tcBorders>
                    <w:tl2br w:val="nil"/>
                    <w:tr2bl w:val="nil"/>
                  </w:tcBorders>
                  <w:shd w:val="clear" w:color="auto" w:fill="auto"/>
                  <w:noWrap/>
                  <w:vAlign w:val="center"/>
                </w:tcPr>
                <w:p w14:paraId="1AA88B82">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场区平整</w:t>
                  </w:r>
                </w:p>
              </w:tc>
              <w:tc>
                <w:tcPr>
                  <w:tcW w:w="663" w:type="dxa"/>
                  <w:tcBorders>
                    <w:tl2br w:val="nil"/>
                    <w:tr2bl w:val="nil"/>
                  </w:tcBorders>
                  <w:shd w:val="clear" w:color="auto" w:fill="auto"/>
                  <w:noWrap/>
                  <w:vAlign w:val="center"/>
                </w:tcPr>
                <w:p w14:paraId="445A4DAD">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c>
                <w:tcPr>
                  <w:tcW w:w="371" w:type="dxa"/>
                  <w:tcBorders>
                    <w:tl2br w:val="nil"/>
                    <w:tr2bl w:val="nil"/>
                  </w:tcBorders>
                  <w:shd w:val="clear" w:color="auto" w:fill="auto"/>
                  <w:noWrap/>
                  <w:vAlign w:val="center"/>
                </w:tcPr>
                <w:p w14:paraId="3F0327E1">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r>
            <w:tr w14:paraId="345E99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44" w:type="dxa"/>
                  <w:vMerge w:val="continue"/>
                  <w:tcBorders>
                    <w:tl2br w:val="nil"/>
                    <w:tr2bl w:val="nil"/>
                  </w:tcBorders>
                  <w:noWrap/>
                  <w:vAlign w:val="center"/>
                </w:tcPr>
                <w:p w14:paraId="31D9FF11">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645" w:type="dxa"/>
                  <w:vMerge w:val="continue"/>
                  <w:tcBorders>
                    <w:tl2br w:val="nil"/>
                    <w:tr2bl w:val="nil"/>
                  </w:tcBorders>
                  <w:noWrap/>
                  <w:vAlign w:val="center"/>
                </w:tcPr>
                <w:p w14:paraId="4945824A">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1245" w:type="dxa"/>
                  <w:vMerge w:val="continue"/>
                  <w:tcBorders>
                    <w:tl2br w:val="nil"/>
                    <w:tr2bl w:val="nil"/>
                  </w:tcBorders>
                  <w:noWrap/>
                  <w:vAlign w:val="center"/>
                </w:tcPr>
                <w:p w14:paraId="78C1FE99">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831" w:type="dxa"/>
                  <w:tcBorders>
                    <w:tl2br w:val="nil"/>
                    <w:tr2bl w:val="nil"/>
                  </w:tcBorders>
                  <w:shd w:val="clear" w:color="auto" w:fill="auto"/>
                  <w:noWrap/>
                  <w:vAlign w:val="center"/>
                </w:tcPr>
                <w:p w14:paraId="33D2CB41">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2923.78</w:t>
                  </w:r>
                </w:p>
              </w:tc>
              <w:tc>
                <w:tcPr>
                  <w:tcW w:w="900" w:type="dxa"/>
                  <w:tcBorders>
                    <w:tl2br w:val="nil"/>
                    <w:tr2bl w:val="nil"/>
                  </w:tcBorders>
                  <w:shd w:val="clear" w:color="auto" w:fill="auto"/>
                  <w:noWrap/>
                  <w:vAlign w:val="center"/>
                </w:tcPr>
                <w:p w14:paraId="167150F7">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c>
                <w:tcPr>
                  <w:tcW w:w="675" w:type="dxa"/>
                  <w:tcBorders>
                    <w:tl2br w:val="nil"/>
                    <w:tr2bl w:val="nil"/>
                  </w:tcBorders>
                  <w:shd w:val="clear" w:color="auto" w:fill="auto"/>
                  <w:noWrap/>
                  <w:vAlign w:val="center"/>
                </w:tcPr>
                <w:p w14:paraId="0EB4F4D7">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c>
                <w:tcPr>
                  <w:tcW w:w="838" w:type="dxa"/>
                  <w:tcBorders>
                    <w:tl2br w:val="nil"/>
                    <w:tr2bl w:val="nil"/>
                  </w:tcBorders>
                  <w:shd w:val="clear" w:color="auto" w:fill="auto"/>
                  <w:noWrap/>
                  <w:vAlign w:val="center"/>
                </w:tcPr>
                <w:p w14:paraId="08035B89">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62" w:type="dxa"/>
                  <w:tcBorders>
                    <w:tl2br w:val="nil"/>
                    <w:tr2bl w:val="nil"/>
                  </w:tcBorders>
                  <w:shd w:val="clear" w:color="auto" w:fill="auto"/>
                  <w:noWrap/>
                  <w:vAlign w:val="center"/>
                </w:tcPr>
                <w:p w14:paraId="41BEBCDE">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2923.78</w:t>
                  </w:r>
                </w:p>
              </w:tc>
              <w:tc>
                <w:tcPr>
                  <w:tcW w:w="775" w:type="dxa"/>
                  <w:tcBorders>
                    <w:tl2br w:val="nil"/>
                    <w:tr2bl w:val="nil"/>
                  </w:tcBorders>
                  <w:shd w:val="clear" w:color="auto" w:fill="auto"/>
                  <w:noWrap/>
                  <w:vAlign w:val="center"/>
                </w:tcPr>
                <w:p w14:paraId="70012C51">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坡面培坡</w:t>
                  </w:r>
                </w:p>
              </w:tc>
              <w:tc>
                <w:tcPr>
                  <w:tcW w:w="663" w:type="dxa"/>
                  <w:tcBorders>
                    <w:tl2br w:val="nil"/>
                    <w:tr2bl w:val="nil"/>
                  </w:tcBorders>
                  <w:shd w:val="clear" w:color="auto" w:fill="auto"/>
                  <w:noWrap/>
                  <w:vAlign w:val="center"/>
                </w:tcPr>
                <w:p w14:paraId="09CD491F">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c>
                <w:tcPr>
                  <w:tcW w:w="371" w:type="dxa"/>
                  <w:tcBorders>
                    <w:tl2br w:val="nil"/>
                    <w:tr2bl w:val="nil"/>
                  </w:tcBorders>
                  <w:shd w:val="clear" w:color="auto" w:fill="auto"/>
                  <w:noWrap/>
                  <w:vAlign w:val="center"/>
                </w:tcPr>
                <w:p w14:paraId="64651D62">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r>
            <w:tr w14:paraId="5A5497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44" w:type="dxa"/>
                  <w:vMerge w:val="continue"/>
                  <w:tcBorders>
                    <w:tl2br w:val="nil"/>
                    <w:tr2bl w:val="nil"/>
                  </w:tcBorders>
                  <w:noWrap/>
                  <w:vAlign w:val="center"/>
                </w:tcPr>
                <w:p w14:paraId="120F42E9">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645" w:type="dxa"/>
                  <w:vMerge w:val="continue"/>
                  <w:tcBorders>
                    <w:tl2br w:val="nil"/>
                    <w:tr2bl w:val="nil"/>
                  </w:tcBorders>
                  <w:noWrap/>
                  <w:vAlign w:val="center"/>
                </w:tcPr>
                <w:p w14:paraId="6817D212">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1245" w:type="dxa"/>
                  <w:vMerge w:val="continue"/>
                  <w:tcBorders>
                    <w:tl2br w:val="nil"/>
                    <w:tr2bl w:val="nil"/>
                  </w:tcBorders>
                  <w:noWrap/>
                  <w:vAlign w:val="center"/>
                </w:tcPr>
                <w:p w14:paraId="1C91CBCA">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831" w:type="dxa"/>
                  <w:tcBorders>
                    <w:tl2br w:val="nil"/>
                    <w:tr2bl w:val="nil"/>
                  </w:tcBorders>
                  <w:shd w:val="clear" w:color="auto" w:fill="auto"/>
                  <w:noWrap/>
                  <w:vAlign w:val="center"/>
                </w:tcPr>
                <w:p w14:paraId="08D71F67">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766.50</w:t>
                  </w:r>
                </w:p>
              </w:tc>
              <w:tc>
                <w:tcPr>
                  <w:tcW w:w="900" w:type="dxa"/>
                  <w:tcBorders>
                    <w:tl2br w:val="nil"/>
                    <w:tr2bl w:val="nil"/>
                  </w:tcBorders>
                  <w:shd w:val="clear" w:color="auto" w:fill="auto"/>
                  <w:noWrap/>
                  <w:vAlign w:val="center"/>
                </w:tcPr>
                <w:p w14:paraId="1C1FFE74">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c>
                <w:tcPr>
                  <w:tcW w:w="675" w:type="dxa"/>
                  <w:tcBorders>
                    <w:tl2br w:val="nil"/>
                    <w:tr2bl w:val="nil"/>
                  </w:tcBorders>
                  <w:shd w:val="clear" w:color="auto" w:fill="auto"/>
                  <w:noWrap/>
                  <w:vAlign w:val="center"/>
                </w:tcPr>
                <w:p w14:paraId="3275220D">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c>
                <w:tcPr>
                  <w:tcW w:w="838" w:type="dxa"/>
                  <w:tcBorders>
                    <w:tl2br w:val="nil"/>
                    <w:tr2bl w:val="nil"/>
                  </w:tcBorders>
                  <w:shd w:val="clear" w:color="auto" w:fill="auto"/>
                  <w:noWrap/>
                  <w:vAlign w:val="center"/>
                </w:tcPr>
                <w:p w14:paraId="6CEC7B0C">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62" w:type="dxa"/>
                  <w:tcBorders>
                    <w:tl2br w:val="nil"/>
                    <w:tr2bl w:val="nil"/>
                  </w:tcBorders>
                  <w:shd w:val="clear" w:color="auto" w:fill="auto"/>
                  <w:noWrap/>
                  <w:vAlign w:val="center"/>
                </w:tcPr>
                <w:p w14:paraId="71D484AE">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766.50</w:t>
                  </w:r>
                </w:p>
              </w:tc>
              <w:tc>
                <w:tcPr>
                  <w:tcW w:w="775" w:type="dxa"/>
                  <w:tcBorders>
                    <w:tl2br w:val="nil"/>
                    <w:tr2bl w:val="nil"/>
                  </w:tcBorders>
                  <w:shd w:val="clear" w:color="auto" w:fill="auto"/>
                  <w:noWrap/>
                  <w:vAlign w:val="center"/>
                </w:tcPr>
                <w:p w14:paraId="5583589A">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截水埂修筑</w:t>
                  </w:r>
                </w:p>
              </w:tc>
              <w:tc>
                <w:tcPr>
                  <w:tcW w:w="663" w:type="dxa"/>
                  <w:tcBorders>
                    <w:tl2br w:val="nil"/>
                    <w:tr2bl w:val="nil"/>
                  </w:tcBorders>
                  <w:shd w:val="clear" w:color="auto" w:fill="auto"/>
                  <w:noWrap/>
                  <w:vAlign w:val="center"/>
                </w:tcPr>
                <w:p w14:paraId="1D350ED8">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c>
                <w:tcPr>
                  <w:tcW w:w="371" w:type="dxa"/>
                  <w:tcBorders>
                    <w:tl2br w:val="nil"/>
                    <w:tr2bl w:val="nil"/>
                  </w:tcBorders>
                  <w:shd w:val="clear" w:color="auto" w:fill="auto"/>
                  <w:noWrap/>
                  <w:vAlign w:val="center"/>
                </w:tcPr>
                <w:p w14:paraId="71A5388C">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r>
            <w:tr w14:paraId="1938FC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44" w:type="dxa"/>
                  <w:vMerge w:val="continue"/>
                  <w:tcBorders>
                    <w:tl2br w:val="nil"/>
                    <w:tr2bl w:val="nil"/>
                  </w:tcBorders>
                  <w:noWrap/>
                  <w:vAlign w:val="center"/>
                </w:tcPr>
                <w:p w14:paraId="55E58D53">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645" w:type="dxa"/>
                  <w:vMerge w:val="continue"/>
                  <w:tcBorders>
                    <w:tl2br w:val="nil"/>
                    <w:tr2bl w:val="nil"/>
                  </w:tcBorders>
                  <w:noWrap/>
                  <w:vAlign w:val="center"/>
                </w:tcPr>
                <w:p w14:paraId="1492EC3C">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1245" w:type="dxa"/>
                  <w:tcBorders>
                    <w:tl2br w:val="nil"/>
                    <w:tr2bl w:val="nil"/>
                  </w:tcBorders>
                  <w:noWrap/>
                  <w:vAlign w:val="center"/>
                </w:tcPr>
                <w:p w14:paraId="75A5F32B">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小计</w:t>
                  </w:r>
                </w:p>
              </w:tc>
              <w:tc>
                <w:tcPr>
                  <w:tcW w:w="831" w:type="dxa"/>
                  <w:tcBorders>
                    <w:tl2br w:val="nil"/>
                    <w:tr2bl w:val="nil"/>
                  </w:tcBorders>
                  <w:shd w:val="clear" w:color="auto" w:fill="auto"/>
                  <w:noWrap/>
                  <w:vAlign w:val="center"/>
                </w:tcPr>
                <w:p w14:paraId="6CE8A513">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7326.02</w:t>
                  </w:r>
                </w:p>
              </w:tc>
              <w:tc>
                <w:tcPr>
                  <w:tcW w:w="900" w:type="dxa"/>
                  <w:tcBorders>
                    <w:tl2br w:val="nil"/>
                    <w:tr2bl w:val="nil"/>
                  </w:tcBorders>
                  <w:shd w:val="clear" w:color="auto" w:fill="auto"/>
                  <w:noWrap/>
                  <w:vAlign w:val="center"/>
                </w:tcPr>
                <w:p w14:paraId="617F1420">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w:t>
                  </w:r>
                </w:p>
              </w:tc>
              <w:tc>
                <w:tcPr>
                  <w:tcW w:w="675" w:type="dxa"/>
                  <w:tcBorders>
                    <w:tl2br w:val="nil"/>
                    <w:tr2bl w:val="nil"/>
                  </w:tcBorders>
                  <w:shd w:val="clear" w:color="auto" w:fill="auto"/>
                  <w:noWrap/>
                  <w:vAlign w:val="center"/>
                </w:tcPr>
                <w:p w14:paraId="73740618">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w:t>
                  </w:r>
                </w:p>
              </w:tc>
              <w:tc>
                <w:tcPr>
                  <w:tcW w:w="838" w:type="dxa"/>
                  <w:tcBorders>
                    <w:tl2br w:val="nil"/>
                    <w:tr2bl w:val="nil"/>
                  </w:tcBorders>
                  <w:shd w:val="clear" w:color="auto" w:fill="auto"/>
                  <w:noWrap/>
                  <w:vAlign w:val="center"/>
                </w:tcPr>
                <w:p w14:paraId="4454936B">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62" w:type="dxa"/>
                  <w:tcBorders>
                    <w:tl2br w:val="nil"/>
                    <w:tr2bl w:val="nil"/>
                  </w:tcBorders>
                  <w:shd w:val="clear" w:color="auto" w:fill="auto"/>
                  <w:noWrap/>
                  <w:vAlign w:val="center"/>
                </w:tcPr>
                <w:p w14:paraId="56A7E95F">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7326.02</w:t>
                  </w:r>
                </w:p>
              </w:tc>
              <w:tc>
                <w:tcPr>
                  <w:tcW w:w="775" w:type="dxa"/>
                  <w:tcBorders>
                    <w:tl2br w:val="nil"/>
                    <w:tr2bl w:val="nil"/>
                  </w:tcBorders>
                  <w:shd w:val="clear" w:color="auto" w:fill="auto"/>
                  <w:noWrap/>
                  <w:vAlign w:val="center"/>
                </w:tcPr>
                <w:p w14:paraId="6630AD82">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63" w:type="dxa"/>
                  <w:tcBorders>
                    <w:tl2br w:val="nil"/>
                    <w:tr2bl w:val="nil"/>
                  </w:tcBorders>
                  <w:shd w:val="clear" w:color="auto" w:fill="auto"/>
                  <w:noWrap/>
                  <w:vAlign w:val="center"/>
                </w:tcPr>
                <w:p w14:paraId="45F3B07E">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c>
                <w:tcPr>
                  <w:tcW w:w="371" w:type="dxa"/>
                  <w:tcBorders>
                    <w:tl2br w:val="nil"/>
                    <w:tr2bl w:val="nil"/>
                  </w:tcBorders>
                  <w:shd w:val="clear" w:color="auto" w:fill="auto"/>
                  <w:noWrap/>
                  <w:vAlign w:val="center"/>
                </w:tcPr>
                <w:p w14:paraId="742B6555">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r>
            <w:tr w14:paraId="79659C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44" w:type="dxa"/>
                  <w:vMerge w:val="continue"/>
                  <w:tcBorders>
                    <w:tl2br w:val="nil"/>
                    <w:tr2bl w:val="nil"/>
                  </w:tcBorders>
                  <w:noWrap/>
                  <w:vAlign w:val="center"/>
                </w:tcPr>
                <w:p w14:paraId="50435DC7">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645" w:type="dxa"/>
                  <w:vMerge w:val="restart"/>
                  <w:tcBorders>
                    <w:tl2br w:val="nil"/>
                    <w:tr2bl w:val="nil"/>
                  </w:tcBorders>
                  <w:noWrap/>
                  <w:vAlign w:val="center"/>
                </w:tcPr>
                <w:p w14:paraId="222444D8">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坡面修整</w:t>
                  </w:r>
                </w:p>
              </w:tc>
              <w:tc>
                <w:tcPr>
                  <w:tcW w:w="1245" w:type="dxa"/>
                  <w:vMerge w:val="restart"/>
                  <w:tcBorders>
                    <w:tl2br w:val="nil"/>
                    <w:tr2bl w:val="nil"/>
                  </w:tcBorders>
                  <w:noWrap/>
                  <w:vAlign w:val="center"/>
                </w:tcPr>
                <w:p w14:paraId="12C255E1">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坡面渣石清理与坡面培坡</w:t>
                  </w:r>
                </w:p>
              </w:tc>
              <w:tc>
                <w:tcPr>
                  <w:tcW w:w="831" w:type="dxa"/>
                  <w:vMerge w:val="restart"/>
                  <w:tcBorders>
                    <w:tl2br w:val="nil"/>
                    <w:tr2bl w:val="nil"/>
                  </w:tcBorders>
                  <w:shd w:val="clear" w:color="auto" w:fill="auto"/>
                  <w:noWrap/>
                  <w:vAlign w:val="center"/>
                </w:tcPr>
                <w:p w14:paraId="60BB19CA">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16057.22</w:t>
                  </w:r>
                </w:p>
              </w:tc>
              <w:tc>
                <w:tcPr>
                  <w:tcW w:w="900" w:type="dxa"/>
                  <w:tcBorders>
                    <w:tl2br w:val="nil"/>
                    <w:tr2bl w:val="nil"/>
                  </w:tcBorders>
                  <w:shd w:val="clear" w:color="auto" w:fill="auto"/>
                  <w:noWrap/>
                  <w:vAlign w:val="center"/>
                </w:tcPr>
                <w:p w14:paraId="1CCE9019">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16057.22</w:t>
                  </w:r>
                </w:p>
              </w:tc>
              <w:tc>
                <w:tcPr>
                  <w:tcW w:w="675" w:type="dxa"/>
                  <w:tcBorders>
                    <w:tl2br w:val="nil"/>
                    <w:tr2bl w:val="nil"/>
                  </w:tcBorders>
                  <w:shd w:val="clear" w:color="auto" w:fill="auto"/>
                  <w:noWrap/>
                  <w:vAlign w:val="center"/>
                </w:tcPr>
                <w:p w14:paraId="79233209">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c>
                <w:tcPr>
                  <w:tcW w:w="838" w:type="dxa"/>
                  <w:tcBorders>
                    <w:tl2br w:val="nil"/>
                    <w:tr2bl w:val="nil"/>
                  </w:tcBorders>
                  <w:shd w:val="clear" w:color="auto" w:fill="auto"/>
                  <w:noWrap/>
                  <w:vAlign w:val="center"/>
                </w:tcPr>
                <w:p w14:paraId="4CF5BBA4">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就地培坡回填</w:t>
                  </w:r>
                </w:p>
              </w:tc>
              <w:tc>
                <w:tcPr>
                  <w:tcW w:w="662" w:type="dxa"/>
                  <w:tcBorders>
                    <w:tl2br w:val="nil"/>
                    <w:tr2bl w:val="nil"/>
                  </w:tcBorders>
                  <w:shd w:val="clear" w:color="auto" w:fill="auto"/>
                  <w:noWrap/>
                  <w:vAlign w:val="center"/>
                </w:tcPr>
                <w:p w14:paraId="03968037">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c>
                <w:tcPr>
                  <w:tcW w:w="775" w:type="dxa"/>
                  <w:tcBorders>
                    <w:tl2br w:val="nil"/>
                    <w:tr2bl w:val="nil"/>
                  </w:tcBorders>
                  <w:shd w:val="clear" w:color="auto" w:fill="auto"/>
                  <w:noWrap/>
                  <w:vAlign w:val="center"/>
                </w:tcPr>
                <w:p w14:paraId="1C69A3E2">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63" w:type="dxa"/>
                  <w:tcBorders>
                    <w:tl2br w:val="nil"/>
                    <w:tr2bl w:val="nil"/>
                  </w:tcBorders>
                  <w:shd w:val="clear" w:color="auto" w:fill="auto"/>
                  <w:noWrap/>
                  <w:vAlign w:val="center"/>
                </w:tcPr>
                <w:p w14:paraId="17C8C4F5">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c>
                <w:tcPr>
                  <w:tcW w:w="371" w:type="dxa"/>
                  <w:tcBorders>
                    <w:tl2br w:val="nil"/>
                    <w:tr2bl w:val="nil"/>
                  </w:tcBorders>
                  <w:shd w:val="clear" w:color="auto" w:fill="auto"/>
                  <w:noWrap/>
                  <w:vAlign w:val="center"/>
                </w:tcPr>
                <w:p w14:paraId="6E7CE17E">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r>
            <w:tr w14:paraId="17C644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44" w:type="dxa"/>
                  <w:vMerge w:val="continue"/>
                  <w:tcBorders>
                    <w:tl2br w:val="nil"/>
                    <w:tr2bl w:val="nil"/>
                  </w:tcBorders>
                  <w:noWrap/>
                  <w:vAlign w:val="center"/>
                </w:tcPr>
                <w:p w14:paraId="6AE11300">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645" w:type="dxa"/>
                  <w:vMerge w:val="continue"/>
                  <w:tcBorders>
                    <w:tl2br w:val="nil"/>
                    <w:tr2bl w:val="nil"/>
                  </w:tcBorders>
                  <w:noWrap/>
                  <w:vAlign w:val="center"/>
                </w:tcPr>
                <w:p w14:paraId="16EAD671">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1245" w:type="dxa"/>
                  <w:vMerge w:val="continue"/>
                  <w:tcBorders>
                    <w:tl2br w:val="nil"/>
                    <w:tr2bl w:val="nil"/>
                  </w:tcBorders>
                  <w:noWrap/>
                  <w:vAlign w:val="center"/>
                </w:tcPr>
                <w:p w14:paraId="0F2C72B5">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831" w:type="dxa"/>
                  <w:vMerge w:val="continue"/>
                  <w:tcBorders>
                    <w:tl2br w:val="nil"/>
                    <w:tr2bl w:val="nil"/>
                  </w:tcBorders>
                  <w:shd w:val="clear" w:color="auto" w:fill="auto"/>
                  <w:noWrap/>
                  <w:vAlign w:val="center"/>
                </w:tcPr>
                <w:p w14:paraId="14E63C62">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900" w:type="dxa"/>
                  <w:tcBorders>
                    <w:tl2br w:val="nil"/>
                    <w:tr2bl w:val="nil"/>
                  </w:tcBorders>
                  <w:shd w:val="clear" w:color="auto" w:fill="auto"/>
                  <w:noWrap/>
                  <w:vAlign w:val="center"/>
                </w:tcPr>
                <w:p w14:paraId="7F7C820C">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3635.74</w:t>
                  </w:r>
                </w:p>
              </w:tc>
              <w:tc>
                <w:tcPr>
                  <w:tcW w:w="675" w:type="dxa"/>
                  <w:tcBorders>
                    <w:tl2br w:val="nil"/>
                    <w:tr2bl w:val="nil"/>
                  </w:tcBorders>
                  <w:shd w:val="clear" w:color="auto" w:fill="auto"/>
                  <w:noWrap/>
                  <w:vAlign w:val="center"/>
                </w:tcPr>
                <w:p w14:paraId="3C7BC98C">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3635.74</w:t>
                  </w:r>
                </w:p>
              </w:tc>
              <w:tc>
                <w:tcPr>
                  <w:tcW w:w="838" w:type="dxa"/>
                  <w:tcBorders>
                    <w:tl2br w:val="nil"/>
                    <w:tr2bl w:val="nil"/>
                  </w:tcBorders>
                  <w:shd w:val="clear" w:color="auto" w:fill="auto"/>
                  <w:noWrap/>
                  <w:vAlign w:val="center"/>
                </w:tcPr>
                <w:p w14:paraId="4083E8D3">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场区平整</w:t>
                  </w:r>
                </w:p>
              </w:tc>
              <w:tc>
                <w:tcPr>
                  <w:tcW w:w="662" w:type="dxa"/>
                  <w:tcBorders>
                    <w:tl2br w:val="nil"/>
                    <w:tr2bl w:val="nil"/>
                  </w:tcBorders>
                  <w:shd w:val="clear" w:color="auto" w:fill="auto"/>
                  <w:noWrap/>
                  <w:vAlign w:val="center"/>
                </w:tcPr>
                <w:p w14:paraId="10E476B9">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w:t>
                  </w:r>
                </w:p>
              </w:tc>
              <w:tc>
                <w:tcPr>
                  <w:tcW w:w="775" w:type="dxa"/>
                  <w:tcBorders>
                    <w:tl2br w:val="nil"/>
                    <w:tr2bl w:val="nil"/>
                  </w:tcBorders>
                  <w:shd w:val="clear" w:color="auto" w:fill="auto"/>
                  <w:noWrap/>
                  <w:vAlign w:val="center"/>
                </w:tcPr>
                <w:p w14:paraId="4DE90EB1">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63" w:type="dxa"/>
                  <w:tcBorders>
                    <w:tl2br w:val="nil"/>
                    <w:tr2bl w:val="nil"/>
                  </w:tcBorders>
                  <w:shd w:val="clear" w:color="auto" w:fill="auto"/>
                  <w:noWrap/>
                  <w:vAlign w:val="center"/>
                </w:tcPr>
                <w:p w14:paraId="1B6E3EC1">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c>
                <w:tcPr>
                  <w:tcW w:w="371" w:type="dxa"/>
                  <w:tcBorders>
                    <w:tl2br w:val="nil"/>
                    <w:tr2bl w:val="nil"/>
                  </w:tcBorders>
                  <w:shd w:val="clear" w:color="auto" w:fill="auto"/>
                  <w:noWrap/>
                  <w:vAlign w:val="center"/>
                </w:tcPr>
                <w:p w14:paraId="3FF66032">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r>
            <w:tr w14:paraId="4B7EBD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44" w:type="dxa"/>
                  <w:vMerge w:val="continue"/>
                  <w:tcBorders>
                    <w:tl2br w:val="nil"/>
                    <w:tr2bl w:val="nil"/>
                  </w:tcBorders>
                  <w:noWrap/>
                  <w:vAlign w:val="center"/>
                </w:tcPr>
                <w:p w14:paraId="7BFC80A4">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645" w:type="dxa"/>
                  <w:vMerge w:val="continue"/>
                  <w:tcBorders>
                    <w:tl2br w:val="nil"/>
                    <w:tr2bl w:val="nil"/>
                  </w:tcBorders>
                  <w:noWrap/>
                  <w:vAlign w:val="center"/>
                </w:tcPr>
                <w:p w14:paraId="2407EEA2">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1245" w:type="dxa"/>
                  <w:vMerge w:val="continue"/>
                  <w:tcBorders>
                    <w:tl2br w:val="nil"/>
                    <w:tr2bl w:val="nil"/>
                  </w:tcBorders>
                  <w:noWrap/>
                  <w:vAlign w:val="center"/>
                </w:tcPr>
                <w:p w14:paraId="4A6EF216">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cs="Times New Roman"/>
                      <w:color w:val="000000" w:themeColor="text1"/>
                      <w:highlight w:val="none"/>
                      <w:lang w:val="en-US" w:eastAsia="zh-CN"/>
                      <w14:textFill>
                        <w14:solidFill>
                          <w14:schemeClr w14:val="tx1"/>
                        </w14:solidFill>
                      </w14:textFill>
                    </w:rPr>
                  </w:pPr>
                </w:p>
              </w:tc>
              <w:tc>
                <w:tcPr>
                  <w:tcW w:w="831" w:type="dxa"/>
                  <w:vMerge w:val="continue"/>
                  <w:tcBorders>
                    <w:tl2br w:val="nil"/>
                    <w:tr2bl w:val="nil"/>
                  </w:tcBorders>
                  <w:shd w:val="clear" w:color="auto" w:fill="auto"/>
                  <w:noWrap/>
                  <w:vAlign w:val="center"/>
                </w:tcPr>
                <w:p w14:paraId="5850F2E5">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900" w:type="dxa"/>
                  <w:tcBorders>
                    <w:tl2br w:val="nil"/>
                    <w:tr2bl w:val="nil"/>
                  </w:tcBorders>
                  <w:shd w:val="clear" w:color="auto" w:fill="auto"/>
                  <w:noWrap/>
                  <w:vAlign w:val="center"/>
                </w:tcPr>
                <w:p w14:paraId="744FA971">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2923.78</w:t>
                  </w:r>
                </w:p>
              </w:tc>
              <w:tc>
                <w:tcPr>
                  <w:tcW w:w="675" w:type="dxa"/>
                  <w:tcBorders>
                    <w:tl2br w:val="nil"/>
                    <w:tr2bl w:val="nil"/>
                  </w:tcBorders>
                  <w:shd w:val="clear" w:color="auto" w:fill="auto"/>
                  <w:noWrap/>
                  <w:vAlign w:val="center"/>
                </w:tcPr>
                <w:p w14:paraId="48433933">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2923.78</w:t>
                  </w:r>
                </w:p>
              </w:tc>
              <w:tc>
                <w:tcPr>
                  <w:tcW w:w="838" w:type="dxa"/>
                  <w:tcBorders>
                    <w:tl2br w:val="nil"/>
                    <w:tr2bl w:val="nil"/>
                  </w:tcBorders>
                  <w:shd w:val="clear" w:color="auto" w:fill="auto"/>
                  <w:noWrap/>
                  <w:vAlign w:val="center"/>
                </w:tcPr>
                <w:p w14:paraId="4459A2CF">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矿产品清理</w:t>
                  </w:r>
                </w:p>
              </w:tc>
              <w:tc>
                <w:tcPr>
                  <w:tcW w:w="662" w:type="dxa"/>
                  <w:tcBorders>
                    <w:tl2br w:val="nil"/>
                    <w:tr2bl w:val="nil"/>
                  </w:tcBorders>
                  <w:shd w:val="clear" w:color="auto" w:fill="auto"/>
                  <w:noWrap/>
                  <w:vAlign w:val="center"/>
                </w:tcPr>
                <w:p w14:paraId="3C3B901C">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c>
                <w:tcPr>
                  <w:tcW w:w="775" w:type="dxa"/>
                  <w:tcBorders>
                    <w:tl2br w:val="nil"/>
                    <w:tr2bl w:val="nil"/>
                  </w:tcBorders>
                  <w:shd w:val="clear" w:color="auto" w:fill="auto"/>
                  <w:noWrap/>
                  <w:vAlign w:val="center"/>
                </w:tcPr>
                <w:p w14:paraId="0BD27C43">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63" w:type="dxa"/>
                  <w:tcBorders>
                    <w:tl2br w:val="nil"/>
                    <w:tr2bl w:val="nil"/>
                  </w:tcBorders>
                  <w:shd w:val="clear" w:color="auto" w:fill="auto"/>
                  <w:noWrap/>
                  <w:vAlign w:val="center"/>
                </w:tcPr>
                <w:p w14:paraId="484BD5FD">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c>
                <w:tcPr>
                  <w:tcW w:w="371" w:type="dxa"/>
                  <w:tcBorders>
                    <w:tl2br w:val="nil"/>
                    <w:tr2bl w:val="nil"/>
                  </w:tcBorders>
                  <w:shd w:val="clear" w:color="auto" w:fill="auto"/>
                  <w:noWrap/>
                  <w:vAlign w:val="center"/>
                </w:tcPr>
                <w:p w14:paraId="2FAB1D16">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r>
            <w:tr w14:paraId="3DE727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44" w:type="dxa"/>
                  <w:vMerge w:val="continue"/>
                  <w:tcBorders>
                    <w:tl2br w:val="nil"/>
                    <w:tr2bl w:val="nil"/>
                  </w:tcBorders>
                  <w:noWrap/>
                  <w:vAlign w:val="center"/>
                </w:tcPr>
                <w:p w14:paraId="65A1EB12">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645" w:type="dxa"/>
                  <w:vMerge w:val="continue"/>
                  <w:tcBorders>
                    <w:tl2br w:val="nil"/>
                    <w:tr2bl w:val="nil"/>
                  </w:tcBorders>
                  <w:noWrap/>
                  <w:vAlign w:val="center"/>
                </w:tcPr>
                <w:p w14:paraId="70EF2FBC">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1245" w:type="dxa"/>
                  <w:vMerge w:val="continue"/>
                  <w:tcBorders>
                    <w:tl2br w:val="nil"/>
                    <w:tr2bl w:val="nil"/>
                  </w:tcBorders>
                  <w:noWrap/>
                  <w:vAlign w:val="center"/>
                </w:tcPr>
                <w:p w14:paraId="7B18DACB">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eastAsia" w:cs="Times New Roman"/>
                      <w:color w:val="000000" w:themeColor="text1"/>
                      <w:highlight w:val="none"/>
                      <w:lang w:val="en-US" w:eastAsia="zh-CN"/>
                      <w14:textFill>
                        <w14:solidFill>
                          <w14:schemeClr w14:val="tx1"/>
                        </w14:solidFill>
                      </w14:textFill>
                    </w:rPr>
                  </w:pPr>
                </w:p>
              </w:tc>
              <w:tc>
                <w:tcPr>
                  <w:tcW w:w="831" w:type="dxa"/>
                  <w:vMerge w:val="continue"/>
                  <w:tcBorders>
                    <w:tl2br w:val="nil"/>
                    <w:tr2bl w:val="nil"/>
                  </w:tcBorders>
                  <w:shd w:val="clear" w:color="auto" w:fill="auto"/>
                  <w:noWrap/>
                  <w:vAlign w:val="center"/>
                </w:tcPr>
                <w:p w14:paraId="12DBBEBC">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900" w:type="dxa"/>
                  <w:tcBorders>
                    <w:tl2br w:val="nil"/>
                    <w:tr2bl w:val="nil"/>
                  </w:tcBorders>
                  <w:shd w:val="clear" w:color="auto" w:fill="auto"/>
                  <w:noWrap/>
                  <w:vAlign w:val="center"/>
                </w:tcPr>
                <w:p w14:paraId="3DAA1D83">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3235.00</w:t>
                  </w:r>
                </w:p>
              </w:tc>
              <w:tc>
                <w:tcPr>
                  <w:tcW w:w="675" w:type="dxa"/>
                  <w:tcBorders>
                    <w:tl2br w:val="nil"/>
                    <w:tr2bl w:val="nil"/>
                  </w:tcBorders>
                  <w:shd w:val="clear" w:color="auto" w:fill="auto"/>
                  <w:noWrap/>
                  <w:vAlign w:val="center"/>
                </w:tcPr>
                <w:p w14:paraId="397B7725">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3235.00</w:t>
                  </w:r>
                </w:p>
              </w:tc>
              <w:tc>
                <w:tcPr>
                  <w:tcW w:w="838" w:type="dxa"/>
                  <w:tcBorders>
                    <w:tl2br w:val="nil"/>
                    <w:tr2bl w:val="nil"/>
                  </w:tcBorders>
                  <w:shd w:val="clear" w:color="auto" w:fill="auto"/>
                  <w:noWrap/>
                  <w:vAlign w:val="center"/>
                </w:tcPr>
                <w:p w14:paraId="0C898F16">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导流槽开挖</w:t>
                  </w:r>
                </w:p>
              </w:tc>
              <w:tc>
                <w:tcPr>
                  <w:tcW w:w="662" w:type="dxa"/>
                  <w:tcBorders>
                    <w:tl2br w:val="nil"/>
                    <w:tr2bl w:val="nil"/>
                  </w:tcBorders>
                  <w:shd w:val="clear" w:color="auto" w:fill="auto"/>
                  <w:noWrap/>
                  <w:vAlign w:val="center"/>
                </w:tcPr>
                <w:p w14:paraId="740F774A">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c>
                <w:tcPr>
                  <w:tcW w:w="775" w:type="dxa"/>
                  <w:tcBorders>
                    <w:tl2br w:val="nil"/>
                    <w:tr2bl w:val="nil"/>
                  </w:tcBorders>
                  <w:shd w:val="clear" w:color="auto" w:fill="auto"/>
                  <w:noWrap/>
                  <w:vAlign w:val="center"/>
                </w:tcPr>
                <w:p w14:paraId="1CB19AFA">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63" w:type="dxa"/>
                  <w:tcBorders>
                    <w:tl2br w:val="nil"/>
                    <w:tr2bl w:val="nil"/>
                  </w:tcBorders>
                  <w:shd w:val="clear" w:color="auto" w:fill="auto"/>
                  <w:noWrap/>
                  <w:vAlign w:val="center"/>
                </w:tcPr>
                <w:p w14:paraId="299AF295">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c>
                <w:tcPr>
                  <w:tcW w:w="371" w:type="dxa"/>
                  <w:tcBorders>
                    <w:tl2br w:val="nil"/>
                    <w:tr2bl w:val="nil"/>
                  </w:tcBorders>
                  <w:shd w:val="clear" w:color="auto" w:fill="auto"/>
                  <w:noWrap/>
                  <w:vAlign w:val="center"/>
                </w:tcPr>
                <w:p w14:paraId="296C02A4">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r>
            <w:tr w14:paraId="6C2326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44" w:type="dxa"/>
                  <w:vMerge w:val="continue"/>
                  <w:tcBorders>
                    <w:tl2br w:val="nil"/>
                    <w:tr2bl w:val="nil"/>
                  </w:tcBorders>
                  <w:noWrap/>
                  <w:vAlign w:val="center"/>
                </w:tcPr>
                <w:p w14:paraId="0348CB14">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645" w:type="dxa"/>
                  <w:vMerge w:val="continue"/>
                  <w:tcBorders>
                    <w:tl2br w:val="nil"/>
                    <w:tr2bl w:val="nil"/>
                  </w:tcBorders>
                  <w:noWrap/>
                  <w:vAlign w:val="center"/>
                </w:tcPr>
                <w:p w14:paraId="2502FA2F">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1245" w:type="dxa"/>
                  <w:tcBorders>
                    <w:tl2br w:val="nil"/>
                    <w:tr2bl w:val="nil"/>
                  </w:tcBorders>
                  <w:noWrap/>
                  <w:vAlign w:val="center"/>
                </w:tcPr>
                <w:p w14:paraId="523F157F">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小计</w:t>
                  </w:r>
                </w:p>
              </w:tc>
              <w:tc>
                <w:tcPr>
                  <w:tcW w:w="831" w:type="dxa"/>
                  <w:tcBorders>
                    <w:tl2br w:val="nil"/>
                    <w:tr2bl w:val="nil"/>
                  </w:tcBorders>
                  <w:shd w:val="clear" w:color="auto" w:fill="auto"/>
                  <w:noWrap/>
                  <w:vAlign w:val="center"/>
                </w:tcPr>
                <w:p w14:paraId="2013F1D6">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16057.22</w:t>
                  </w:r>
                </w:p>
              </w:tc>
              <w:tc>
                <w:tcPr>
                  <w:tcW w:w="900" w:type="dxa"/>
                  <w:tcBorders>
                    <w:tl2br w:val="nil"/>
                    <w:tr2bl w:val="nil"/>
                  </w:tcBorders>
                  <w:shd w:val="clear" w:color="auto" w:fill="auto"/>
                  <w:noWrap/>
                  <w:vAlign w:val="center"/>
                </w:tcPr>
                <w:p w14:paraId="77343178">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25851.74</w:t>
                  </w:r>
                </w:p>
              </w:tc>
              <w:tc>
                <w:tcPr>
                  <w:tcW w:w="675" w:type="dxa"/>
                  <w:tcBorders>
                    <w:tl2br w:val="nil"/>
                    <w:tr2bl w:val="nil"/>
                  </w:tcBorders>
                  <w:shd w:val="clear" w:color="auto" w:fill="auto"/>
                  <w:noWrap/>
                  <w:vAlign w:val="center"/>
                </w:tcPr>
                <w:p w14:paraId="29F02F4E">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9794.52</w:t>
                  </w:r>
                </w:p>
              </w:tc>
              <w:tc>
                <w:tcPr>
                  <w:tcW w:w="838" w:type="dxa"/>
                  <w:tcBorders>
                    <w:tl2br w:val="nil"/>
                    <w:tr2bl w:val="nil"/>
                  </w:tcBorders>
                  <w:shd w:val="clear" w:color="auto" w:fill="auto"/>
                  <w:noWrap/>
                  <w:vAlign w:val="center"/>
                </w:tcPr>
                <w:p w14:paraId="20684637">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62" w:type="dxa"/>
                  <w:tcBorders>
                    <w:tl2br w:val="nil"/>
                    <w:tr2bl w:val="nil"/>
                  </w:tcBorders>
                  <w:shd w:val="clear" w:color="auto" w:fill="auto"/>
                  <w:noWrap/>
                  <w:vAlign w:val="center"/>
                </w:tcPr>
                <w:p w14:paraId="2657C985">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c>
                <w:tcPr>
                  <w:tcW w:w="775" w:type="dxa"/>
                  <w:tcBorders>
                    <w:tl2br w:val="nil"/>
                    <w:tr2bl w:val="nil"/>
                  </w:tcBorders>
                  <w:shd w:val="clear" w:color="auto" w:fill="auto"/>
                  <w:noWrap/>
                  <w:vAlign w:val="center"/>
                </w:tcPr>
                <w:p w14:paraId="37CF0561">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63" w:type="dxa"/>
                  <w:tcBorders>
                    <w:tl2br w:val="nil"/>
                    <w:tr2bl w:val="nil"/>
                  </w:tcBorders>
                  <w:shd w:val="clear" w:color="auto" w:fill="auto"/>
                  <w:noWrap/>
                  <w:vAlign w:val="center"/>
                </w:tcPr>
                <w:p w14:paraId="2DF792E4">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c>
                <w:tcPr>
                  <w:tcW w:w="371" w:type="dxa"/>
                  <w:tcBorders>
                    <w:tl2br w:val="nil"/>
                    <w:tr2bl w:val="nil"/>
                  </w:tcBorders>
                  <w:shd w:val="clear" w:color="auto" w:fill="auto"/>
                  <w:noWrap/>
                  <w:vAlign w:val="center"/>
                </w:tcPr>
                <w:p w14:paraId="7AD0A61E">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r>
            <w:tr w14:paraId="49DD09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44" w:type="dxa"/>
                  <w:vMerge w:val="continue"/>
                  <w:tcBorders>
                    <w:tl2br w:val="nil"/>
                    <w:tr2bl w:val="nil"/>
                  </w:tcBorders>
                  <w:noWrap/>
                  <w:vAlign w:val="center"/>
                </w:tcPr>
                <w:p w14:paraId="08E41B1F">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1890" w:type="dxa"/>
                  <w:gridSpan w:val="2"/>
                  <w:tcBorders>
                    <w:tl2br w:val="nil"/>
                    <w:tr2bl w:val="nil"/>
                  </w:tcBorders>
                  <w:noWrap/>
                  <w:vAlign w:val="center"/>
                </w:tcPr>
                <w:p w14:paraId="46A31422">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合</w:t>
                  </w:r>
                  <w:r>
                    <w:rPr>
                      <w:rFonts w:hint="default" w:ascii="Times New Roman" w:hAnsi="Times New Roman" w:eastAsia="宋体" w:cs="Times New Roman"/>
                      <w:color w:val="000000" w:themeColor="text1"/>
                      <w:highlight w:val="none"/>
                      <w:lang w:val="en-US" w:eastAsia="zh-CN"/>
                      <w14:textFill>
                        <w14:solidFill>
                          <w14:schemeClr w14:val="tx1"/>
                        </w14:solidFill>
                      </w14:textFill>
                    </w:rPr>
                    <w:t>计</w:t>
                  </w:r>
                </w:p>
              </w:tc>
              <w:tc>
                <w:tcPr>
                  <w:tcW w:w="831" w:type="dxa"/>
                  <w:tcBorders>
                    <w:tl2br w:val="nil"/>
                    <w:tr2bl w:val="nil"/>
                  </w:tcBorders>
                  <w:shd w:val="clear" w:color="auto" w:fill="auto"/>
                  <w:noWrap/>
                  <w:vAlign w:val="center"/>
                </w:tcPr>
                <w:p w14:paraId="1DF78D13">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28432.88</w:t>
                  </w:r>
                </w:p>
              </w:tc>
              <w:tc>
                <w:tcPr>
                  <w:tcW w:w="900" w:type="dxa"/>
                  <w:tcBorders>
                    <w:tl2br w:val="nil"/>
                    <w:tr2bl w:val="nil"/>
                  </w:tcBorders>
                  <w:shd w:val="clear" w:color="auto" w:fill="auto"/>
                  <w:noWrap/>
                  <w:vAlign w:val="center"/>
                </w:tcPr>
                <w:p w14:paraId="59462ED8">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30901.38</w:t>
                  </w:r>
                </w:p>
              </w:tc>
              <w:tc>
                <w:tcPr>
                  <w:tcW w:w="675" w:type="dxa"/>
                  <w:tcBorders>
                    <w:tl2br w:val="nil"/>
                    <w:tr2bl w:val="nil"/>
                  </w:tcBorders>
                  <w:shd w:val="clear" w:color="auto" w:fill="auto"/>
                  <w:noWrap/>
                  <w:vAlign w:val="center"/>
                </w:tcPr>
                <w:p w14:paraId="2827D395">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13430.26</w:t>
                  </w:r>
                </w:p>
              </w:tc>
              <w:tc>
                <w:tcPr>
                  <w:tcW w:w="838" w:type="dxa"/>
                  <w:tcBorders>
                    <w:tl2br w:val="nil"/>
                    <w:tr2bl w:val="nil"/>
                  </w:tcBorders>
                  <w:shd w:val="clear" w:color="auto" w:fill="auto"/>
                  <w:noWrap/>
                  <w:vAlign w:val="center"/>
                </w:tcPr>
                <w:p w14:paraId="10223314">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62" w:type="dxa"/>
                  <w:tcBorders>
                    <w:tl2br w:val="nil"/>
                    <w:tr2bl w:val="nil"/>
                  </w:tcBorders>
                  <w:shd w:val="clear" w:color="auto" w:fill="auto"/>
                  <w:noWrap/>
                  <w:vAlign w:val="center"/>
                </w:tcPr>
                <w:p w14:paraId="33B1BF39">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10961.76</w:t>
                  </w:r>
                </w:p>
              </w:tc>
              <w:tc>
                <w:tcPr>
                  <w:tcW w:w="775" w:type="dxa"/>
                  <w:tcBorders>
                    <w:tl2br w:val="nil"/>
                    <w:tr2bl w:val="nil"/>
                  </w:tcBorders>
                  <w:shd w:val="clear" w:color="auto" w:fill="auto"/>
                  <w:noWrap/>
                  <w:vAlign w:val="center"/>
                </w:tcPr>
                <w:p w14:paraId="72495687">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63" w:type="dxa"/>
                  <w:tcBorders>
                    <w:tl2br w:val="nil"/>
                    <w:tr2bl w:val="nil"/>
                  </w:tcBorders>
                  <w:noWrap/>
                  <w:vAlign w:val="center"/>
                </w:tcPr>
                <w:p w14:paraId="63B8573E">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c>
                <w:tcPr>
                  <w:tcW w:w="371" w:type="dxa"/>
                  <w:tcBorders>
                    <w:tl2br w:val="nil"/>
                    <w:tr2bl w:val="nil"/>
                  </w:tcBorders>
                  <w:noWrap/>
                  <w:vAlign w:val="center"/>
                </w:tcPr>
                <w:p w14:paraId="22C836CF">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r>
            <w:tr w14:paraId="34DCEA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44" w:type="dxa"/>
                  <w:vMerge w:val="restart"/>
                  <w:tcBorders>
                    <w:tl2br w:val="nil"/>
                    <w:tr2bl w:val="nil"/>
                  </w:tcBorders>
                  <w:noWrap/>
                  <w:vAlign w:val="center"/>
                </w:tcPr>
                <w:p w14:paraId="6CC2214D">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截水导流工程</w:t>
                  </w:r>
                </w:p>
              </w:tc>
              <w:tc>
                <w:tcPr>
                  <w:tcW w:w="1890" w:type="dxa"/>
                  <w:gridSpan w:val="2"/>
                  <w:tcBorders>
                    <w:tl2br w:val="nil"/>
                    <w:tr2bl w:val="nil"/>
                  </w:tcBorders>
                  <w:noWrap/>
                  <w:vAlign w:val="center"/>
                </w:tcPr>
                <w:p w14:paraId="59ECCE68">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截水埂</w:t>
                  </w:r>
                </w:p>
              </w:tc>
              <w:tc>
                <w:tcPr>
                  <w:tcW w:w="831" w:type="dxa"/>
                  <w:tcBorders>
                    <w:tl2br w:val="nil"/>
                    <w:tr2bl w:val="nil"/>
                  </w:tcBorders>
                  <w:shd w:val="clear" w:color="auto" w:fill="auto"/>
                  <w:noWrap/>
                  <w:vAlign w:val="center"/>
                </w:tcPr>
                <w:p w14:paraId="04033255">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w:t>
                  </w:r>
                </w:p>
              </w:tc>
              <w:tc>
                <w:tcPr>
                  <w:tcW w:w="900" w:type="dxa"/>
                  <w:tcBorders>
                    <w:tl2br w:val="nil"/>
                    <w:tr2bl w:val="nil"/>
                  </w:tcBorders>
                  <w:shd w:val="clear" w:color="auto" w:fill="auto"/>
                  <w:noWrap/>
                  <w:vAlign w:val="center"/>
                </w:tcPr>
                <w:p w14:paraId="6F0EC354">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766.50</w:t>
                  </w:r>
                </w:p>
              </w:tc>
              <w:tc>
                <w:tcPr>
                  <w:tcW w:w="675" w:type="dxa"/>
                  <w:tcBorders>
                    <w:tl2br w:val="nil"/>
                    <w:tr2bl w:val="nil"/>
                  </w:tcBorders>
                  <w:shd w:val="clear" w:color="auto" w:fill="auto"/>
                  <w:noWrap/>
                  <w:vAlign w:val="center"/>
                </w:tcPr>
                <w:p w14:paraId="3057AA24">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766.50</w:t>
                  </w:r>
                </w:p>
              </w:tc>
              <w:tc>
                <w:tcPr>
                  <w:tcW w:w="838" w:type="dxa"/>
                  <w:tcBorders>
                    <w:tl2br w:val="nil"/>
                    <w:tr2bl w:val="nil"/>
                  </w:tcBorders>
                  <w:shd w:val="clear" w:color="auto" w:fill="auto"/>
                  <w:noWrap/>
                  <w:vAlign w:val="center"/>
                </w:tcPr>
                <w:p w14:paraId="60732B4C">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矿产品夯筑</w:t>
                  </w:r>
                </w:p>
              </w:tc>
              <w:tc>
                <w:tcPr>
                  <w:tcW w:w="662" w:type="dxa"/>
                  <w:tcBorders>
                    <w:tl2br w:val="nil"/>
                    <w:tr2bl w:val="nil"/>
                  </w:tcBorders>
                  <w:shd w:val="clear" w:color="auto" w:fill="auto"/>
                  <w:noWrap/>
                  <w:vAlign w:val="center"/>
                </w:tcPr>
                <w:p w14:paraId="122B9475">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w:t>
                  </w:r>
                </w:p>
              </w:tc>
              <w:tc>
                <w:tcPr>
                  <w:tcW w:w="775" w:type="dxa"/>
                  <w:tcBorders>
                    <w:tl2br w:val="nil"/>
                    <w:tr2bl w:val="nil"/>
                  </w:tcBorders>
                  <w:shd w:val="clear" w:color="auto" w:fill="auto"/>
                  <w:noWrap/>
                  <w:vAlign w:val="center"/>
                </w:tcPr>
                <w:p w14:paraId="33610AF5">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63" w:type="dxa"/>
                  <w:tcBorders>
                    <w:tl2br w:val="nil"/>
                    <w:tr2bl w:val="nil"/>
                  </w:tcBorders>
                  <w:noWrap/>
                  <w:vAlign w:val="center"/>
                </w:tcPr>
                <w:p w14:paraId="0316288E">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c>
                <w:tcPr>
                  <w:tcW w:w="371" w:type="dxa"/>
                  <w:tcBorders>
                    <w:tl2br w:val="nil"/>
                    <w:tr2bl w:val="nil"/>
                  </w:tcBorders>
                  <w:noWrap/>
                  <w:vAlign w:val="center"/>
                </w:tcPr>
                <w:p w14:paraId="22F172C4">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r>
            <w:tr w14:paraId="3072F4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44" w:type="dxa"/>
                  <w:vMerge w:val="continue"/>
                  <w:tcBorders>
                    <w:tl2br w:val="nil"/>
                    <w:tr2bl w:val="nil"/>
                  </w:tcBorders>
                  <w:noWrap/>
                  <w:vAlign w:val="center"/>
                </w:tcPr>
                <w:p w14:paraId="78EE688F">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1890" w:type="dxa"/>
                  <w:gridSpan w:val="2"/>
                  <w:tcBorders>
                    <w:tl2br w:val="nil"/>
                    <w:tr2bl w:val="nil"/>
                  </w:tcBorders>
                  <w:noWrap/>
                  <w:vAlign w:val="center"/>
                </w:tcPr>
                <w:p w14:paraId="7C00B04D">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导流槽</w:t>
                  </w:r>
                </w:p>
              </w:tc>
              <w:tc>
                <w:tcPr>
                  <w:tcW w:w="831" w:type="dxa"/>
                  <w:tcBorders>
                    <w:tl2br w:val="nil"/>
                    <w:tr2bl w:val="nil"/>
                  </w:tcBorders>
                  <w:shd w:val="clear" w:color="auto" w:fill="auto"/>
                  <w:noWrap/>
                  <w:vAlign w:val="center"/>
                </w:tcPr>
                <w:p w14:paraId="0D3E35FE">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3235</w:t>
                  </w:r>
                  <w:r>
                    <w:rPr>
                      <w:rFonts w:hint="eastAsia" w:cs="Times New Roman"/>
                      <w:color w:val="000000" w:themeColor="text1"/>
                      <w:highlight w:val="none"/>
                      <w:lang w:val="en-US" w:eastAsia="zh-CN"/>
                      <w14:textFill>
                        <w14:solidFill>
                          <w14:schemeClr w14:val="tx1"/>
                        </w14:solidFill>
                      </w14:textFill>
                    </w:rPr>
                    <w:t>.00</w:t>
                  </w:r>
                </w:p>
              </w:tc>
              <w:tc>
                <w:tcPr>
                  <w:tcW w:w="900" w:type="dxa"/>
                  <w:tcBorders>
                    <w:tl2br w:val="nil"/>
                    <w:tr2bl w:val="nil"/>
                  </w:tcBorders>
                  <w:shd w:val="clear" w:color="auto" w:fill="auto"/>
                  <w:noWrap/>
                  <w:vAlign w:val="center"/>
                </w:tcPr>
                <w:p w14:paraId="1BE4299A">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w:t>
                  </w:r>
                </w:p>
              </w:tc>
              <w:tc>
                <w:tcPr>
                  <w:tcW w:w="675" w:type="dxa"/>
                  <w:tcBorders>
                    <w:tl2br w:val="nil"/>
                    <w:tr2bl w:val="nil"/>
                  </w:tcBorders>
                  <w:shd w:val="clear" w:color="auto" w:fill="auto"/>
                  <w:noWrap/>
                  <w:vAlign w:val="center"/>
                </w:tcPr>
                <w:p w14:paraId="40FCC77A">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w:t>
                  </w:r>
                </w:p>
              </w:tc>
              <w:tc>
                <w:tcPr>
                  <w:tcW w:w="838" w:type="dxa"/>
                  <w:tcBorders>
                    <w:tl2br w:val="nil"/>
                    <w:tr2bl w:val="nil"/>
                  </w:tcBorders>
                  <w:shd w:val="clear" w:color="auto" w:fill="auto"/>
                  <w:noWrap/>
                  <w:vAlign w:val="center"/>
                </w:tcPr>
                <w:p w14:paraId="19D9B666">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62" w:type="dxa"/>
                  <w:tcBorders>
                    <w:tl2br w:val="nil"/>
                    <w:tr2bl w:val="nil"/>
                  </w:tcBorders>
                  <w:shd w:val="clear" w:color="auto" w:fill="auto"/>
                  <w:noWrap/>
                  <w:vAlign w:val="center"/>
                </w:tcPr>
                <w:p w14:paraId="3E3064C6">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3235</w:t>
                  </w:r>
                  <w:r>
                    <w:rPr>
                      <w:rFonts w:hint="eastAsia" w:cs="Times New Roman"/>
                      <w:color w:val="000000" w:themeColor="text1"/>
                      <w:highlight w:val="none"/>
                      <w:lang w:val="en-US" w:eastAsia="zh-CN"/>
                      <w14:textFill>
                        <w14:solidFill>
                          <w14:schemeClr w14:val="tx1"/>
                        </w14:solidFill>
                      </w14:textFill>
                    </w:rPr>
                    <w:t>.00</w:t>
                  </w:r>
                </w:p>
              </w:tc>
              <w:tc>
                <w:tcPr>
                  <w:tcW w:w="775" w:type="dxa"/>
                  <w:tcBorders>
                    <w:tl2br w:val="nil"/>
                    <w:tr2bl w:val="nil"/>
                  </w:tcBorders>
                  <w:shd w:val="clear" w:color="auto" w:fill="auto"/>
                  <w:noWrap/>
                  <w:vAlign w:val="center"/>
                </w:tcPr>
                <w:p w14:paraId="69B6A820">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边坡培坡</w:t>
                  </w:r>
                </w:p>
              </w:tc>
              <w:tc>
                <w:tcPr>
                  <w:tcW w:w="663" w:type="dxa"/>
                  <w:tcBorders>
                    <w:tl2br w:val="nil"/>
                    <w:tr2bl w:val="nil"/>
                  </w:tcBorders>
                  <w:noWrap/>
                  <w:vAlign w:val="center"/>
                </w:tcPr>
                <w:p w14:paraId="20731C17">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c>
                <w:tcPr>
                  <w:tcW w:w="371" w:type="dxa"/>
                  <w:tcBorders>
                    <w:tl2br w:val="nil"/>
                    <w:tr2bl w:val="nil"/>
                  </w:tcBorders>
                  <w:noWrap/>
                  <w:vAlign w:val="center"/>
                </w:tcPr>
                <w:p w14:paraId="49C2F7D2">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r>
            <w:tr w14:paraId="6DAE53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44" w:type="dxa"/>
                  <w:vMerge w:val="continue"/>
                  <w:tcBorders>
                    <w:tl2br w:val="nil"/>
                    <w:tr2bl w:val="nil"/>
                  </w:tcBorders>
                  <w:noWrap/>
                  <w:vAlign w:val="center"/>
                </w:tcPr>
                <w:p w14:paraId="3F953B0D">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1890" w:type="dxa"/>
                  <w:gridSpan w:val="2"/>
                  <w:tcBorders>
                    <w:tl2br w:val="nil"/>
                    <w:tr2bl w:val="nil"/>
                  </w:tcBorders>
                  <w:noWrap/>
                  <w:vAlign w:val="center"/>
                </w:tcPr>
                <w:p w14:paraId="01B1A43B">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合</w:t>
                  </w:r>
                  <w:r>
                    <w:rPr>
                      <w:rFonts w:hint="default" w:ascii="Times New Roman" w:hAnsi="Times New Roman" w:eastAsia="宋体" w:cs="Times New Roman"/>
                      <w:color w:val="000000" w:themeColor="text1"/>
                      <w:highlight w:val="none"/>
                      <w:lang w:val="en-US" w:eastAsia="zh-CN"/>
                      <w14:textFill>
                        <w14:solidFill>
                          <w14:schemeClr w14:val="tx1"/>
                        </w14:solidFill>
                      </w14:textFill>
                    </w:rPr>
                    <w:t>计</w:t>
                  </w:r>
                </w:p>
              </w:tc>
              <w:tc>
                <w:tcPr>
                  <w:tcW w:w="831" w:type="dxa"/>
                  <w:tcBorders>
                    <w:tl2br w:val="nil"/>
                    <w:tr2bl w:val="nil"/>
                  </w:tcBorders>
                  <w:shd w:val="clear" w:color="auto" w:fill="auto"/>
                  <w:noWrap/>
                  <w:vAlign w:val="center"/>
                </w:tcPr>
                <w:p w14:paraId="7BDDD2A0">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3235</w:t>
                  </w:r>
                  <w:r>
                    <w:rPr>
                      <w:rFonts w:hint="eastAsia" w:cs="Times New Roman"/>
                      <w:color w:val="000000" w:themeColor="text1"/>
                      <w:highlight w:val="none"/>
                      <w:lang w:val="en-US" w:eastAsia="zh-CN"/>
                      <w14:textFill>
                        <w14:solidFill>
                          <w14:schemeClr w14:val="tx1"/>
                        </w14:solidFill>
                      </w14:textFill>
                    </w:rPr>
                    <w:t>.00</w:t>
                  </w:r>
                </w:p>
              </w:tc>
              <w:tc>
                <w:tcPr>
                  <w:tcW w:w="900" w:type="dxa"/>
                  <w:tcBorders>
                    <w:tl2br w:val="nil"/>
                    <w:tr2bl w:val="nil"/>
                  </w:tcBorders>
                  <w:shd w:val="clear" w:color="auto" w:fill="auto"/>
                  <w:noWrap/>
                  <w:vAlign w:val="center"/>
                </w:tcPr>
                <w:p w14:paraId="34552549">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766.50</w:t>
                  </w:r>
                </w:p>
              </w:tc>
              <w:tc>
                <w:tcPr>
                  <w:tcW w:w="675" w:type="dxa"/>
                  <w:tcBorders>
                    <w:tl2br w:val="nil"/>
                    <w:tr2bl w:val="nil"/>
                  </w:tcBorders>
                  <w:shd w:val="clear" w:color="auto" w:fill="auto"/>
                  <w:noWrap/>
                  <w:vAlign w:val="center"/>
                </w:tcPr>
                <w:p w14:paraId="0FBA7015">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766.50</w:t>
                  </w:r>
                </w:p>
              </w:tc>
              <w:tc>
                <w:tcPr>
                  <w:tcW w:w="838" w:type="dxa"/>
                  <w:tcBorders>
                    <w:tl2br w:val="nil"/>
                    <w:tr2bl w:val="nil"/>
                  </w:tcBorders>
                  <w:shd w:val="clear" w:color="auto" w:fill="auto"/>
                  <w:noWrap/>
                  <w:vAlign w:val="center"/>
                </w:tcPr>
                <w:p w14:paraId="24051236">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62" w:type="dxa"/>
                  <w:tcBorders>
                    <w:tl2br w:val="nil"/>
                    <w:tr2bl w:val="nil"/>
                  </w:tcBorders>
                  <w:shd w:val="clear" w:color="auto" w:fill="auto"/>
                  <w:noWrap/>
                  <w:vAlign w:val="center"/>
                </w:tcPr>
                <w:p w14:paraId="31FA454B">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3235</w:t>
                  </w:r>
                  <w:r>
                    <w:rPr>
                      <w:rFonts w:hint="eastAsia" w:cs="Times New Roman"/>
                      <w:color w:val="000000" w:themeColor="text1"/>
                      <w:highlight w:val="none"/>
                      <w:lang w:val="en-US" w:eastAsia="zh-CN"/>
                      <w14:textFill>
                        <w14:solidFill>
                          <w14:schemeClr w14:val="tx1"/>
                        </w14:solidFill>
                      </w14:textFill>
                    </w:rPr>
                    <w:t>.00</w:t>
                  </w:r>
                </w:p>
              </w:tc>
              <w:tc>
                <w:tcPr>
                  <w:tcW w:w="775" w:type="dxa"/>
                  <w:tcBorders>
                    <w:tl2br w:val="nil"/>
                    <w:tr2bl w:val="nil"/>
                  </w:tcBorders>
                  <w:shd w:val="clear" w:color="auto" w:fill="auto"/>
                  <w:noWrap/>
                  <w:vAlign w:val="center"/>
                </w:tcPr>
                <w:p w14:paraId="75332D25">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63" w:type="dxa"/>
                  <w:tcBorders>
                    <w:tl2br w:val="nil"/>
                    <w:tr2bl w:val="nil"/>
                  </w:tcBorders>
                  <w:noWrap/>
                  <w:vAlign w:val="center"/>
                </w:tcPr>
                <w:p w14:paraId="07347172">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c>
                <w:tcPr>
                  <w:tcW w:w="371" w:type="dxa"/>
                  <w:tcBorders>
                    <w:tl2br w:val="nil"/>
                    <w:tr2bl w:val="nil"/>
                  </w:tcBorders>
                  <w:noWrap/>
                  <w:vAlign w:val="center"/>
                </w:tcPr>
                <w:p w14:paraId="064AFC50">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r>
            <w:tr w14:paraId="26B618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44" w:type="dxa"/>
                  <w:vMerge w:val="restart"/>
                  <w:tcBorders>
                    <w:tl2br w:val="nil"/>
                    <w:tr2bl w:val="nil"/>
                  </w:tcBorders>
                  <w:noWrap/>
                  <w:vAlign w:val="center"/>
                </w:tcPr>
                <w:p w14:paraId="7EC66B37">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生态恢复工程</w:t>
                  </w:r>
                </w:p>
              </w:tc>
              <w:tc>
                <w:tcPr>
                  <w:tcW w:w="1890" w:type="dxa"/>
                  <w:gridSpan w:val="2"/>
                  <w:tcBorders>
                    <w:tl2br w:val="nil"/>
                    <w:tr2bl w:val="nil"/>
                  </w:tcBorders>
                  <w:noWrap/>
                  <w:vAlign w:val="center"/>
                </w:tcPr>
                <w:p w14:paraId="0BA751EA">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覆土</w:t>
                  </w:r>
                </w:p>
              </w:tc>
              <w:tc>
                <w:tcPr>
                  <w:tcW w:w="831" w:type="dxa"/>
                  <w:tcBorders>
                    <w:tl2br w:val="nil"/>
                    <w:tr2bl w:val="nil"/>
                  </w:tcBorders>
                  <w:shd w:val="clear" w:color="auto" w:fill="auto"/>
                  <w:noWrap/>
                  <w:vAlign w:val="center"/>
                </w:tcPr>
                <w:p w14:paraId="1E47C2F6">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w:t>
                  </w:r>
                </w:p>
              </w:tc>
              <w:tc>
                <w:tcPr>
                  <w:tcW w:w="900" w:type="dxa"/>
                  <w:tcBorders>
                    <w:tl2br w:val="nil"/>
                    <w:tr2bl w:val="nil"/>
                  </w:tcBorders>
                  <w:shd w:val="clear" w:color="auto" w:fill="auto"/>
                  <w:noWrap/>
                  <w:vAlign w:val="center"/>
                </w:tcPr>
                <w:p w14:paraId="5159457B">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4961.12</w:t>
                  </w:r>
                </w:p>
              </w:tc>
              <w:tc>
                <w:tcPr>
                  <w:tcW w:w="675" w:type="dxa"/>
                  <w:tcBorders>
                    <w:tl2br w:val="nil"/>
                    <w:tr2bl w:val="nil"/>
                  </w:tcBorders>
                  <w:shd w:val="clear" w:color="auto" w:fill="auto"/>
                  <w:noWrap/>
                  <w:vAlign w:val="center"/>
                </w:tcPr>
                <w:p w14:paraId="30E4A9CA">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4961.12</w:t>
                  </w:r>
                </w:p>
              </w:tc>
              <w:tc>
                <w:tcPr>
                  <w:tcW w:w="838" w:type="dxa"/>
                  <w:tcBorders>
                    <w:tl2br w:val="nil"/>
                    <w:tr2bl w:val="nil"/>
                  </w:tcBorders>
                  <w:shd w:val="clear" w:color="auto" w:fill="auto"/>
                  <w:noWrap/>
                  <w:vAlign w:val="center"/>
                </w:tcPr>
                <w:p w14:paraId="212B8503">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外购土方</w:t>
                  </w:r>
                </w:p>
              </w:tc>
              <w:tc>
                <w:tcPr>
                  <w:tcW w:w="662" w:type="dxa"/>
                  <w:tcBorders>
                    <w:tl2br w:val="nil"/>
                    <w:tr2bl w:val="nil"/>
                  </w:tcBorders>
                  <w:shd w:val="clear" w:color="auto" w:fill="auto"/>
                  <w:noWrap/>
                  <w:vAlign w:val="center"/>
                </w:tcPr>
                <w:p w14:paraId="2EDF2190">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w:t>
                  </w:r>
                </w:p>
              </w:tc>
              <w:tc>
                <w:tcPr>
                  <w:tcW w:w="775" w:type="dxa"/>
                  <w:tcBorders>
                    <w:tl2br w:val="nil"/>
                    <w:tr2bl w:val="nil"/>
                  </w:tcBorders>
                  <w:shd w:val="clear" w:color="auto" w:fill="auto"/>
                  <w:noWrap/>
                  <w:vAlign w:val="center"/>
                </w:tcPr>
                <w:p w14:paraId="0A5A338A">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63" w:type="dxa"/>
                  <w:tcBorders>
                    <w:tl2br w:val="nil"/>
                    <w:tr2bl w:val="nil"/>
                  </w:tcBorders>
                  <w:noWrap/>
                  <w:vAlign w:val="center"/>
                </w:tcPr>
                <w:p w14:paraId="6FDAC039">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4961.12</w:t>
                  </w:r>
                </w:p>
              </w:tc>
              <w:tc>
                <w:tcPr>
                  <w:tcW w:w="371" w:type="dxa"/>
                  <w:tcBorders>
                    <w:tl2br w:val="nil"/>
                    <w:tr2bl w:val="nil"/>
                  </w:tcBorders>
                  <w:noWrap/>
                  <w:vAlign w:val="center"/>
                </w:tcPr>
                <w:p w14:paraId="134F7BF3">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r>
            <w:tr w14:paraId="04B06A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44" w:type="dxa"/>
                  <w:vMerge w:val="continue"/>
                  <w:tcBorders>
                    <w:tl2br w:val="nil"/>
                    <w:tr2bl w:val="nil"/>
                  </w:tcBorders>
                  <w:noWrap/>
                  <w:vAlign w:val="center"/>
                </w:tcPr>
                <w:p w14:paraId="4AEDA651">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1890" w:type="dxa"/>
                  <w:gridSpan w:val="2"/>
                  <w:tcBorders>
                    <w:tl2br w:val="nil"/>
                    <w:tr2bl w:val="nil"/>
                  </w:tcBorders>
                  <w:noWrap/>
                  <w:vAlign w:val="center"/>
                </w:tcPr>
                <w:p w14:paraId="135E52E6">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合</w:t>
                  </w:r>
                  <w:r>
                    <w:rPr>
                      <w:rFonts w:hint="default" w:ascii="Times New Roman" w:hAnsi="Times New Roman" w:eastAsia="宋体" w:cs="Times New Roman"/>
                      <w:color w:val="000000" w:themeColor="text1"/>
                      <w:highlight w:val="none"/>
                      <w:lang w:val="en-US" w:eastAsia="zh-CN"/>
                      <w14:textFill>
                        <w14:solidFill>
                          <w14:schemeClr w14:val="tx1"/>
                        </w14:solidFill>
                      </w14:textFill>
                    </w:rPr>
                    <w:t>计</w:t>
                  </w:r>
                </w:p>
              </w:tc>
              <w:tc>
                <w:tcPr>
                  <w:tcW w:w="831" w:type="dxa"/>
                  <w:tcBorders>
                    <w:tl2br w:val="nil"/>
                    <w:tr2bl w:val="nil"/>
                  </w:tcBorders>
                  <w:shd w:val="clear" w:color="auto" w:fill="auto"/>
                  <w:noWrap/>
                  <w:vAlign w:val="center"/>
                </w:tcPr>
                <w:p w14:paraId="6D303855">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w:t>
                  </w:r>
                </w:p>
              </w:tc>
              <w:tc>
                <w:tcPr>
                  <w:tcW w:w="900" w:type="dxa"/>
                  <w:tcBorders>
                    <w:tl2br w:val="nil"/>
                    <w:tr2bl w:val="nil"/>
                  </w:tcBorders>
                  <w:shd w:val="clear" w:color="auto" w:fill="auto"/>
                  <w:noWrap/>
                  <w:vAlign w:val="center"/>
                </w:tcPr>
                <w:p w14:paraId="67BDE64F">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4961.12</w:t>
                  </w:r>
                </w:p>
              </w:tc>
              <w:tc>
                <w:tcPr>
                  <w:tcW w:w="675" w:type="dxa"/>
                  <w:tcBorders>
                    <w:tl2br w:val="nil"/>
                    <w:tr2bl w:val="nil"/>
                  </w:tcBorders>
                  <w:shd w:val="clear" w:color="auto" w:fill="auto"/>
                  <w:noWrap/>
                  <w:vAlign w:val="center"/>
                </w:tcPr>
                <w:p w14:paraId="1E948532">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4961.12</w:t>
                  </w:r>
                </w:p>
              </w:tc>
              <w:tc>
                <w:tcPr>
                  <w:tcW w:w="838" w:type="dxa"/>
                  <w:tcBorders>
                    <w:tl2br w:val="nil"/>
                    <w:tr2bl w:val="nil"/>
                  </w:tcBorders>
                  <w:shd w:val="clear" w:color="auto" w:fill="auto"/>
                  <w:noWrap/>
                  <w:vAlign w:val="center"/>
                </w:tcPr>
                <w:p w14:paraId="451F41C6">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62" w:type="dxa"/>
                  <w:tcBorders>
                    <w:tl2br w:val="nil"/>
                    <w:tr2bl w:val="nil"/>
                  </w:tcBorders>
                  <w:shd w:val="clear" w:color="auto" w:fill="auto"/>
                  <w:noWrap/>
                  <w:vAlign w:val="center"/>
                </w:tcPr>
                <w:p w14:paraId="52BEFF79">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w:t>
                  </w:r>
                </w:p>
              </w:tc>
              <w:tc>
                <w:tcPr>
                  <w:tcW w:w="775" w:type="dxa"/>
                  <w:tcBorders>
                    <w:tl2br w:val="nil"/>
                    <w:tr2bl w:val="nil"/>
                  </w:tcBorders>
                  <w:shd w:val="clear" w:color="auto" w:fill="auto"/>
                  <w:noWrap/>
                  <w:vAlign w:val="center"/>
                </w:tcPr>
                <w:p w14:paraId="2EF761FF">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63" w:type="dxa"/>
                  <w:tcBorders>
                    <w:tl2br w:val="nil"/>
                    <w:tr2bl w:val="nil"/>
                  </w:tcBorders>
                  <w:noWrap/>
                  <w:vAlign w:val="center"/>
                </w:tcPr>
                <w:p w14:paraId="6C8CB789">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4961.12</w:t>
                  </w:r>
                </w:p>
              </w:tc>
              <w:tc>
                <w:tcPr>
                  <w:tcW w:w="371" w:type="dxa"/>
                  <w:tcBorders>
                    <w:tl2br w:val="nil"/>
                    <w:tr2bl w:val="nil"/>
                  </w:tcBorders>
                  <w:noWrap/>
                  <w:vAlign w:val="center"/>
                </w:tcPr>
                <w:p w14:paraId="0B555B54">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r>
            <w:tr w14:paraId="2BE0A2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2534" w:type="dxa"/>
                  <w:gridSpan w:val="3"/>
                  <w:tcBorders>
                    <w:tl2br w:val="nil"/>
                    <w:tr2bl w:val="nil"/>
                  </w:tcBorders>
                  <w:noWrap/>
                  <w:vAlign w:val="center"/>
                </w:tcPr>
                <w:p w14:paraId="172F2378">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总</w:t>
                  </w:r>
                  <w:r>
                    <w:rPr>
                      <w:rFonts w:hint="default" w:ascii="Times New Roman" w:hAnsi="Times New Roman" w:eastAsia="宋体" w:cs="Times New Roman"/>
                      <w:color w:val="000000" w:themeColor="text1"/>
                      <w:highlight w:val="none"/>
                      <w:lang w:val="en-US" w:eastAsia="zh-CN"/>
                      <w14:textFill>
                        <w14:solidFill>
                          <w14:schemeClr w14:val="tx1"/>
                        </w14:solidFill>
                      </w14:textFill>
                    </w:rPr>
                    <w:t>计</w:t>
                  </w:r>
                </w:p>
              </w:tc>
              <w:tc>
                <w:tcPr>
                  <w:tcW w:w="831" w:type="dxa"/>
                  <w:tcBorders>
                    <w:tl2br w:val="nil"/>
                    <w:tr2bl w:val="nil"/>
                  </w:tcBorders>
                  <w:shd w:val="clear" w:color="auto" w:fill="auto"/>
                  <w:noWrap/>
                  <w:vAlign w:val="center"/>
                </w:tcPr>
                <w:p w14:paraId="7DC8CE3D">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31667.88</w:t>
                  </w:r>
                </w:p>
              </w:tc>
              <w:tc>
                <w:tcPr>
                  <w:tcW w:w="900" w:type="dxa"/>
                  <w:tcBorders>
                    <w:tl2br w:val="nil"/>
                    <w:tr2bl w:val="nil"/>
                  </w:tcBorders>
                  <w:shd w:val="clear" w:color="auto" w:fill="auto"/>
                  <w:noWrap/>
                  <w:vAlign w:val="center"/>
                </w:tcPr>
                <w:p w14:paraId="7D4E3E15">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36629</w:t>
                  </w:r>
                  <w:r>
                    <w:rPr>
                      <w:rFonts w:hint="eastAsia" w:cs="Times New Roman"/>
                      <w:color w:val="000000" w:themeColor="text1"/>
                      <w:highlight w:val="none"/>
                      <w:lang w:val="en-US" w:eastAsia="zh-CN"/>
                      <w14:textFill>
                        <w14:solidFill>
                          <w14:schemeClr w14:val="tx1"/>
                        </w14:solidFill>
                      </w14:textFill>
                    </w:rPr>
                    <w:t>.00</w:t>
                  </w:r>
                </w:p>
              </w:tc>
              <w:tc>
                <w:tcPr>
                  <w:tcW w:w="675" w:type="dxa"/>
                  <w:tcBorders>
                    <w:tl2br w:val="nil"/>
                    <w:tr2bl w:val="nil"/>
                  </w:tcBorders>
                  <w:shd w:val="clear" w:color="auto" w:fill="auto"/>
                  <w:noWrap/>
                  <w:vAlign w:val="center"/>
                </w:tcPr>
                <w:p w14:paraId="333B2B84">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19157.88</w:t>
                  </w:r>
                </w:p>
              </w:tc>
              <w:tc>
                <w:tcPr>
                  <w:tcW w:w="838" w:type="dxa"/>
                  <w:tcBorders>
                    <w:tl2br w:val="nil"/>
                    <w:tr2bl w:val="nil"/>
                  </w:tcBorders>
                  <w:shd w:val="clear" w:color="auto" w:fill="auto"/>
                  <w:noWrap/>
                  <w:vAlign w:val="center"/>
                </w:tcPr>
                <w:p w14:paraId="01AC9A47">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62" w:type="dxa"/>
                  <w:tcBorders>
                    <w:tl2br w:val="nil"/>
                    <w:tr2bl w:val="nil"/>
                  </w:tcBorders>
                  <w:shd w:val="clear" w:color="auto" w:fill="auto"/>
                  <w:noWrap/>
                  <w:vAlign w:val="center"/>
                </w:tcPr>
                <w:p w14:paraId="5BA0C5A3">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14196.76</w:t>
                  </w:r>
                </w:p>
              </w:tc>
              <w:tc>
                <w:tcPr>
                  <w:tcW w:w="775" w:type="dxa"/>
                  <w:tcBorders>
                    <w:tl2br w:val="nil"/>
                    <w:tr2bl w:val="nil"/>
                  </w:tcBorders>
                  <w:shd w:val="clear" w:color="auto" w:fill="auto"/>
                  <w:noWrap/>
                  <w:vAlign w:val="center"/>
                </w:tcPr>
                <w:p w14:paraId="50AD9B1A">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63" w:type="dxa"/>
                  <w:tcBorders>
                    <w:tl2br w:val="nil"/>
                    <w:tr2bl w:val="nil"/>
                  </w:tcBorders>
                  <w:shd w:val="clear" w:color="auto" w:fill="auto"/>
                  <w:noWrap/>
                  <w:vAlign w:val="center"/>
                </w:tcPr>
                <w:p w14:paraId="339218FF">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4961.12</w:t>
                  </w:r>
                </w:p>
              </w:tc>
              <w:tc>
                <w:tcPr>
                  <w:tcW w:w="371" w:type="dxa"/>
                  <w:tcBorders>
                    <w:tl2br w:val="nil"/>
                    <w:tr2bl w:val="nil"/>
                  </w:tcBorders>
                  <w:shd w:val="clear" w:color="auto" w:fill="auto"/>
                  <w:noWrap/>
                  <w:vAlign w:val="center"/>
                </w:tcPr>
                <w:p w14:paraId="6E16FD8C">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r>
          </w:tbl>
          <w:p w14:paraId="2EAC6D11">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firstLine="0" w:firstLineChars="0"/>
              <w:jc w:val="center"/>
              <w:textAlignment w:val="auto"/>
              <w:rPr>
                <w:rFonts w:hint="eastAsia" w:ascii="Times New Roman" w:hAnsi="Times New Roman" w:eastAsia="黑体" w:cs="Times New Roman"/>
                <w:color w:val="000000" w:themeColor="text1"/>
                <w:kern w:val="0"/>
                <w:sz w:val="24"/>
                <w:szCs w:val="20"/>
                <w:highlight w:val="none"/>
                <w:lang w:val="en-US" w:eastAsia="zh-CN"/>
                <w14:textFill>
                  <w14:solidFill>
                    <w14:schemeClr w14:val="tx1"/>
                  </w14:solidFill>
                </w14:textFill>
              </w:rPr>
            </w:pPr>
            <w:r>
              <w:rPr>
                <w:rFonts w:hint="eastAsia" w:ascii="Times New Roman" w:hAnsi="Times New Roman" w:eastAsia="宋体" w:cs="Times New Roman"/>
                <w:b/>
                <w:bCs/>
                <w:snapToGrid w:val="0"/>
                <w:color w:val="000000" w:themeColor="text1"/>
                <w:kern w:val="0"/>
                <w:sz w:val="24"/>
                <w:szCs w:val="24"/>
                <w:highlight w:val="none"/>
                <w:lang w:val="en-US" w:eastAsia="zh-CN"/>
                <w14:textFill>
                  <w14:solidFill>
                    <w14:schemeClr w14:val="tx1"/>
                  </w14:solidFill>
                </w14:textFill>
              </w:rPr>
              <w:object>
                <v:shape id="_x0000_i1025" o:spt="75" type="#_x0000_t75" style="height:296.15pt;width:419pt;" o:ole="t" filled="f" o:preferrelative="t" stroked="f" coordsize="21600,21600">
                  <v:path/>
                  <v:fill on="f" focussize="0,0"/>
                  <v:stroke on="f"/>
                  <v:imagedata r:id="rId10" o:title=""/>
                  <o:lock v:ext="edit" aspectratio="f"/>
                  <w10:wrap type="none"/>
                  <w10:anchorlock/>
                </v:shape>
                <o:OLEObject Type="Embed" ProgID="Visio.Drawing.11" ShapeID="_x0000_i1025" DrawAspect="Content" ObjectID="_1468075725" r:id="rId9">
                  <o:LockedField>false</o:LockedField>
                </o:OLEObject>
              </w:object>
            </w:r>
            <w:r>
              <w:rPr>
                <w:rFonts w:hint="eastAsia" w:ascii="Times New Roman" w:hAnsi="Times New Roman" w:eastAsia="黑体" w:cs="Times New Roman"/>
                <w:color w:val="000000" w:themeColor="text1"/>
                <w:kern w:val="0"/>
                <w:sz w:val="24"/>
                <w:szCs w:val="20"/>
                <w:highlight w:val="none"/>
                <w:lang w:val="en-US" w:eastAsia="zh-CN"/>
                <w14:textFill>
                  <w14:solidFill>
                    <w14:schemeClr w14:val="tx1"/>
                  </w14:solidFill>
                </w14:textFill>
              </w:rPr>
              <w:t>图2-</w:t>
            </w:r>
            <w:r>
              <w:rPr>
                <w:rFonts w:hint="eastAsia" w:eastAsia="黑体" w:cs="Times New Roman"/>
                <w:color w:val="000000" w:themeColor="text1"/>
                <w:kern w:val="0"/>
                <w:sz w:val="24"/>
                <w:szCs w:val="20"/>
                <w:highlight w:val="none"/>
                <w:lang w:val="en-US" w:eastAsia="zh-CN"/>
                <w14:textFill>
                  <w14:solidFill>
                    <w14:schemeClr w14:val="tx1"/>
                  </w14:solidFill>
                </w14:textFill>
              </w:rPr>
              <w:t>1</w:t>
            </w:r>
            <w:r>
              <w:rPr>
                <w:rFonts w:hint="eastAsia" w:ascii="Times New Roman" w:hAnsi="Times New Roman" w:eastAsia="黑体" w:cs="Times New Roman"/>
                <w:color w:val="000000" w:themeColor="text1"/>
                <w:kern w:val="0"/>
                <w:sz w:val="24"/>
                <w:szCs w:val="20"/>
                <w:highlight w:val="none"/>
                <w:lang w:val="en-US" w:eastAsia="zh-CN"/>
                <w14:textFill>
                  <w14:solidFill>
                    <w14:schemeClr w14:val="tx1"/>
                  </w14:solidFill>
                </w14:textFill>
              </w:rPr>
              <w:t xml:space="preserve">  土石方平衡及流向框图   单位：m</w:t>
            </w:r>
            <w:r>
              <w:rPr>
                <w:rFonts w:hint="eastAsia" w:ascii="Times New Roman" w:hAnsi="Times New Roman" w:eastAsia="黑体" w:cs="Times New Roman"/>
                <w:color w:val="000000" w:themeColor="text1"/>
                <w:kern w:val="0"/>
                <w:sz w:val="24"/>
                <w:szCs w:val="20"/>
                <w:highlight w:val="none"/>
                <w:vertAlign w:val="superscript"/>
                <w:lang w:val="en-US" w:eastAsia="zh-CN"/>
                <w14:textFill>
                  <w14:solidFill>
                    <w14:schemeClr w14:val="tx1"/>
                  </w14:solidFill>
                </w14:textFill>
              </w:rPr>
              <w:t>3</w:t>
            </w:r>
          </w:p>
          <w:p w14:paraId="281677B4">
            <w:pPr>
              <w:keepNext/>
              <w:keepLines w:val="0"/>
              <w:widowControl w:val="0"/>
              <w:suppressLineNumbers w:val="0"/>
              <w:overflowPunct w:val="0"/>
              <w:bidi w:val="0"/>
              <w:spacing w:before="240" w:beforeAutospacing="0" w:after="60" w:afterAutospacing="0"/>
              <w:ind w:left="0" w:right="0" w:firstLine="0" w:firstLineChars="0"/>
              <w:jc w:val="left"/>
              <w:outlineLvl w:val="0"/>
              <w:rPr>
                <w:rFonts w:hint="default" w:ascii="Times New Roman" w:hAnsi="Times New Roman" w:eastAsia="黑体" w:cs="Times New Roman"/>
                <w:bCs/>
                <w:color w:val="000000" w:themeColor="text1"/>
                <w:kern w:val="44"/>
                <w:sz w:val="24"/>
                <w:szCs w:val="30"/>
                <w:highlight w:val="none"/>
                <w:lang w:val="en-US" w:eastAsia="zh-CN" w:bidi="ar-SA"/>
                <w14:textFill>
                  <w14:solidFill>
                    <w14:schemeClr w14:val="tx1"/>
                  </w14:solidFill>
                </w14:textFill>
              </w:rPr>
            </w:pPr>
            <w:r>
              <w:rPr>
                <w:rFonts w:hint="eastAsia" w:eastAsia="黑体" w:cs="Times New Roman"/>
                <w:bCs/>
                <w:color w:val="000000" w:themeColor="text1"/>
                <w:kern w:val="44"/>
                <w:sz w:val="24"/>
                <w:szCs w:val="30"/>
                <w:highlight w:val="none"/>
                <w:lang w:val="en-US" w:eastAsia="zh-CN" w:bidi="ar-SA"/>
                <w14:textFill>
                  <w14:solidFill>
                    <w14:schemeClr w14:val="tx1"/>
                  </w14:solidFill>
                </w14:textFill>
              </w:rPr>
              <w:t>7、公用工程</w:t>
            </w:r>
          </w:p>
          <w:p w14:paraId="45D7C102">
            <w:pPr>
              <w:wordWrap w:val="0"/>
              <w:ind w:firstLine="454" w:firstLineChars="200"/>
              <w:textAlignment w:val="baseline"/>
              <w:rPr>
                <w:rFonts w:hint="default" w:ascii="Times New Roman" w:hAnsi="Times New Roman" w:cs="Times New Roman"/>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⑴</w:t>
            </w:r>
            <w:r>
              <w:rPr>
                <w:rFonts w:hint="default" w:ascii="Times New Roman" w:hAnsi="Times New Roman" w:cs="Times New Roman"/>
                <w:color w:val="000000" w:themeColor="text1"/>
                <w:sz w:val="24"/>
                <w:highlight w:val="none"/>
                <w14:textFill>
                  <w14:solidFill>
                    <w14:schemeClr w14:val="tx1"/>
                  </w14:solidFill>
                </w14:textFill>
              </w:rPr>
              <w:t>供水</w:t>
            </w:r>
          </w:p>
          <w:p w14:paraId="5563DED2">
            <w:pPr>
              <w:widowControl/>
              <w:wordWrap w:val="0"/>
              <w:ind w:firstLine="454" w:firstLineChars="20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①施工期</w:t>
            </w:r>
          </w:p>
          <w:p w14:paraId="5FA8BF07">
            <w:pPr>
              <w:widowControl/>
              <w:wordWrap w:val="0"/>
              <w:ind w:firstLine="454"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施工用水购自周边村镇，由水罐车拉运</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现场设置1个12m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不锈钢水箱，用水能够满足项目用水需求。</w:t>
            </w:r>
          </w:p>
          <w:p w14:paraId="1BAEC70C">
            <w:pPr>
              <w:widowControl/>
              <w:wordWrap w:val="0"/>
              <w:ind w:firstLine="454" w:firstLineChars="20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②运营期</w:t>
            </w:r>
          </w:p>
          <w:p w14:paraId="4CBD1BA1">
            <w:pPr>
              <w:widowControl/>
              <w:wordWrap w:val="0"/>
              <w:ind w:firstLine="454"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运营期草地养护用水</w:t>
            </w:r>
            <w:r>
              <w:rPr>
                <w:rFonts w:hint="eastAsia" w:cs="Times New Roman"/>
                <w:color w:val="000000" w:themeColor="text1"/>
                <w:sz w:val="24"/>
                <w:highlight w:val="none"/>
                <w:lang w:val="en-US" w:eastAsia="zh-CN"/>
                <w14:textFill>
                  <w14:solidFill>
                    <w14:schemeClr w14:val="tx1"/>
                  </w14:solidFill>
                </w14:textFill>
              </w:rPr>
              <w:t>取</w:t>
            </w:r>
            <w:r>
              <w:rPr>
                <w:rFonts w:hint="default" w:ascii="Times New Roman" w:hAnsi="Times New Roman" w:cs="Times New Roman"/>
                <w:color w:val="000000" w:themeColor="text1"/>
                <w:sz w:val="24"/>
                <w:highlight w:val="none"/>
                <w14:textFill>
                  <w14:solidFill>
                    <w14:schemeClr w14:val="tx1"/>
                  </w14:solidFill>
                </w14:textFill>
              </w:rPr>
              <w:t>自周边取水点，补水方式采用水罐车拉水，利用软管进行人工浇水。</w:t>
            </w:r>
            <w:r>
              <w:rPr>
                <w:rFonts w:hint="eastAsia" w:cs="Times New Roman"/>
                <w:color w:val="000000" w:themeColor="text1"/>
                <w:sz w:val="24"/>
                <w:highlight w:val="none"/>
                <w:lang w:val="en-US" w:eastAsia="zh-CN"/>
                <w14:textFill>
                  <w14:solidFill>
                    <w14:schemeClr w14:val="tx1"/>
                  </w14:solidFill>
                </w14:textFill>
              </w:rPr>
              <w:t>根据《</w:t>
            </w:r>
            <w:r>
              <w:rPr>
                <w:rFonts w:hint="default" w:ascii="Times New Roman" w:hAnsi="Times New Roman" w:cs="Times New Roman"/>
                <w:color w:val="000000" w:themeColor="text1"/>
                <w:sz w:val="24"/>
                <w:highlight w:val="none"/>
                <w14:textFill>
                  <w14:solidFill>
                    <w14:schemeClr w14:val="tx1"/>
                  </w14:solidFill>
                </w14:textFill>
              </w:rPr>
              <w:t>关于印发宁夏回族自治区有关行业用水定额（修订）的通知</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中中部干旱带绿化用水定额为0.2m</w:t>
            </w:r>
            <w:r>
              <w:rPr>
                <w:rFonts w:hint="eastAsia" w:cs="Times New Roman"/>
                <w:color w:val="000000" w:themeColor="text1"/>
                <w:sz w:val="24"/>
                <w:highlight w:val="none"/>
                <w:vertAlign w:val="superscript"/>
                <w:lang w:val="en-US" w:eastAsia="zh-CN"/>
                <w14:textFill>
                  <w14:solidFill>
                    <w14:schemeClr w14:val="tx1"/>
                  </w14:solidFill>
                </w14:textFill>
              </w:rPr>
              <w:t>3</w:t>
            </w:r>
            <w:r>
              <w:rPr>
                <w:rFonts w:hint="eastAsia" w:cs="Times New Roman"/>
                <w:color w:val="000000" w:themeColor="text1"/>
                <w:sz w:val="24"/>
                <w:highlight w:val="none"/>
                <w:lang w:val="en-US" w:eastAsia="zh-CN"/>
                <w14:textFill>
                  <w14:solidFill>
                    <w14:schemeClr w14:val="tx1"/>
                  </w14:solidFill>
                </w14:textFill>
              </w:rPr>
              <w:t>/（m</w:t>
            </w:r>
            <w:r>
              <w:rPr>
                <w:rFonts w:hint="eastAsia" w:cs="Times New Roman"/>
                <w:color w:val="000000" w:themeColor="text1"/>
                <w:sz w:val="24"/>
                <w:highlight w:val="none"/>
                <w:vertAlign w:val="superscript"/>
                <w:lang w:val="en-US" w:eastAsia="zh-CN"/>
                <w14:textFill>
                  <w14:solidFill>
                    <w14:schemeClr w14:val="tx1"/>
                  </w14:solidFill>
                </w14:textFill>
              </w:rPr>
              <w:t>2</w:t>
            </w:r>
            <w:r>
              <w:rPr>
                <w:rFonts w:hint="eastAsia" w:cs="Times New Roman"/>
                <w:color w:val="000000" w:themeColor="text1"/>
                <w:sz w:val="24"/>
                <w:highlight w:val="none"/>
                <w:lang w:val="en-US" w:eastAsia="zh-CN"/>
                <w14:textFill>
                  <w14:solidFill>
                    <w14:schemeClr w14:val="tx1"/>
                  </w14:solidFill>
                </w14:textFill>
              </w:rPr>
              <w:t>·a），本项目穴播草籽面积27.22hm</w:t>
            </w:r>
            <w:r>
              <w:rPr>
                <w:rFonts w:hint="eastAsia" w:cs="Times New Roman"/>
                <w:color w:val="000000" w:themeColor="text1"/>
                <w:sz w:val="24"/>
                <w:highlight w:val="none"/>
                <w:vertAlign w:val="superscript"/>
                <w:lang w:val="en-US" w:eastAsia="zh-CN"/>
                <w14:textFill>
                  <w14:solidFill>
                    <w14:schemeClr w14:val="tx1"/>
                  </w14:solidFill>
                </w14:textFill>
              </w:rPr>
              <w:t>2</w:t>
            </w:r>
            <w:r>
              <w:rPr>
                <w:rFonts w:hint="eastAsia" w:cs="Times New Roman"/>
                <w:color w:val="000000" w:themeColor="text1"/>
                <w:sz w:val="24"/>
                <w:highlight w:val="none"/>
                <w:lang w:val="en-US" w:eastAsia="zh-CN"/>
                <w14:textFill>
                  <w14:solidFill>
                    <w14:schemeClr w14:val="tx1"/>
                  </w14:solidFill>
                </w14:textFill>
              </w:rPr>
              <w:t>，额定用水量为54440m</w:t>
            </w:r>
            <w:r>
              <w:rPr>
                <w:rFonts w:hint="eastAsia" w:cs="Times New Roman"/>
                <w:color w:val="000000" w:themeColor="text1"/>
                <w:sz w:val="24"/>
                <w:highlight w:val="none"/>
                <w:vertAlign w:val="superscript"/>
                <w:lang w:val="en-US" w:eastAsia="zh-CN"/>
                <w14:textFill>
                  <w14:solidFill>
                    <w14:schemeClr w14:val="tx1"/>
                  </w14:solidFill>
                </w14:textFill>
              </w:rPr>
              <w:t>3</w:t>
            </w:r>
            <w:r>
              <w:rPr>
                <w:rFonts w:hint="eastAsia" w:cs="Times New Roman"/>
                <w:color w:val="000000" w:themeColor="text1"/>
                <w:sz w:val="24"/>
                <w:highlight w:val="none"/>
                <w:lang w:val="en-US" w:eastAsia="zh-CN"/>
                <w14:textFill>
                  <w14:solidFill>
                    <w14:schemeClr w14:val="tx1"/>
                  </w14:solidFill>
                </w14:textFill>
              </w:rPr>
              <w:t>/a。</w:t>
            </w:r>
            <w:r>
              <w:rPr>
                <w:rFonts w:hint="default" w:ascii="Times New Roman" w:hAnsi="Times New Roman" w:cs="Times New Roman"/>
                <w:color w:val="000000" w:themeColor="text1"/>
                <w:sz w:val="24"/>
                <w:highlight w:val="none"/>
                <w14:textFill>
                  <w14:solidFill>
                    <w14:schemeClr w14:val="tx1"/>
                  </w14:solidFill>
                </w14:textFill>
              </w:rPr>
              <w:t>本项目设计草地养护期为3年，每年灌水量1850m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/hm</w:t>
            </w:r>
            <w:r>
              <w:rPr>
                <w:rFonts w:hint="default" w:ascii="Times New Roman" w:hAnsi="Times New Roman" w:cs="Times New Roman"/>
                <w:color w:val="000000" w:themeColor="text1"/>
                <w:sz w:val="24"/>
                <w:highlight w:val="none"/>
                <w:vertAlign w:val="superscript"/>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，养护期总需水量为151071</w:t>
            </w:r>
            <w:r>
              <w:rPr>
                <w:rFonts w:hint="eastAsia" w:cs="Times New Roman"/>
                <w:color w:val="000000" w:themeColor="text1"/>
                <w:sz w:val="24"/>
                <w:highlight w:val="none"/>
                <w:lang w:val="en-US" w:eastAsia="zh-CN"/>
                <w14:textFill>
                  <w14:solidFill>
                    <w14:schemeClr w14:val="tx1"/>
                  </w14:solidFill>
                </w14:textFill>
              </w:rPr>
              <w:t>.00</w:t>
            </w:r>
            <w:r>
              <w:rPr>
                <w:rFonts w:hint="default" w:ascii="Times New Roman" w:hAnsi="Times New Roman" w:cs="Times New Roman"/>
                <w:color w:val="000000" w:themeColor="text1"/>
                <w:sz w:val="24"/>
                <w:highlight w:val="none"/>
                <w14:textFill>
                  <w14:solidFill>
                    <w14:schemeClr w14:val="tx1"/>
                  </w14:solidFill>
                </w14:textFill>
              </w:rPr>
              <w:t>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不超过额定用水量。</w:t>
            </w:r>
          </w:p>
          <w:p w14:paraId="13C0C150">
            <w:pPr>
              <w:widowControl/>
              <w:wordWrap w:val="0"/>
              <w:ind w:firstLine="454" w:firstLineChars="200"/>
              <w:rPr>
                <w:rFonts w:hint="default" w:ascii="Times New Roman" w:hAnsi="Times New Roman" w:cs="Times New Roman"/>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⑵</w:t>
            </w:r>
            <w:r>
              <w:rPr>
                <w:rFonts w:hint="default" w:ascii="Times New Roman" w:hAnsi="Times New Roman" w:cs="Times New Roman"/>
                <w:color w:val="000000" w:themeColor="text1"/>
                <w:sz w:val="24"/>
                <w:highlight w:val="none"/>
                <w14:textFill>
                  <w14:solidFill>
                    <w14:schemeClr w14:val="tx1"/>
                  </w14:solidFill>
                </w14:textFill>
              </w:rPr>
              <w:t>排水</w:t>
            </w:r>
          </w:p>
          <w:p w14:paraId="0DBF33C5">
            <w:pPr>
              <w:widowControl/>
              <w:wordWrap w:val="0"/>
              <w:ind w:firstLine="454"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施工期生活污水依托周边村庄现有旱厕处理，无废水排放。车辆</w:t>
            </w:r>
            <w:r>
              <w:rPr>
                <w:rFonts w:hint="eastAsia"/>
                <w:color w:val="000000" w:themeColor="text1"/>
                <w:highlight w:val="none"/>
                <w:lang w:val="en-US" w:eastAsia="zh-CN"/>
                <w14:textFill>
                  <w14:solidFill>
                    <w14:schemeClr w14:val="tx1"/>
                  </w14:solidFill>
                </w14:textFill>
              </w:rPr>
              <w:t>及施工机械</w:t>
            </w:r>
            <w:r>
              <w:rPr>
                <w:rFonts w:hint="default" w:ascii="Times New Roman" w:hAnsi="Times New Roman" w:cs="Times New Roman"/>
                <w:color w:val="000000" w:themeColor="text1"/>
                <w:sz w:val="24"/>
                <w:highlight w:val="none"/>
                <w14:textFill>
                  <w14:solidFill>
                    <w14:schemeClr w14:val="tx1"/>
                  </w14:solidFill>
                </w14:textFill>
              </w:rPr>
              <w:t>冲洗废水经1座5m</w:t>
            </w:r>
            <w:r>
              <w:rPr>
                <w:rFonts w:hint="eastAsia"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沉淀池处置后用于治理区洒水降尘，不外排。</w:t>
            </w:r>
          </w:p>
          <w:p w14:paraId="2342D12D">
            <w:pPr>
              <w:widowControl/>
              <w:wordWrap w:val="0"/>
              <w:ind w:firstLine="454"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运营期无废水排放。</w:t>
            </w:r>
          </w:p>
          <w:p w14:paraId="795D89DB">
            <w:pPr>
              <w:wordWrap w:val="0"/>
              <w:ind w:firstLine="454" w:firstLineChars="200"/>
              <w:textAlignment w:val="baseline"/>
              <w:rPr>
                <w:rFonts w:hint="default" w:ascii="Times New Roman" w:hAnsi="Times New Roman" w:cs="Times New Roman"/>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⑶</w:t>
            </w:r>
            <w:r>
              <w:rPr>
                <w:rFonts w:hint="default" w:ascii="Times New Roman" w:hAnsi="Times New Roman" w:cs="Times New Roman"/>
                <w:color w:val="000000" w:themeColor="text1"/>
                <w:sz w:val="24"/>
                <w:highlight w:val="none"/>
                <w14:textFill>
                  <w14:solidFill>
                    <w14:schemeClr w14:val="tx1"/>
                  </w14:solidFill>
                </w14:textFill>
              </w:rPr>
              <w:t>供电</w:t>
            </w:r>
          </w:p>
          <w:p w14:paraId="4FD0659E">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施工期、运营期用电由附近供电电网接入。</w:t>
            </w:r>
          </w:p>
          <w:p w14:paraId="68EBF959">
            <w:pPr>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⑷</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燃料供应</w:t>
            </w:r>
          </w:p>
          <w:p w14:paraId="06B15F90">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本项目施工期在公共加油站进行燃料补给，不贮存柴油。</w:t>
            </w:r>
          </w:p>
          <w:p w14:paraId="0D38E1F4">
            <w:pPr>
              <w:pStyle w:val="2"/>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8、工程占地</w:t>
            </w:r>
          </w:p>
          <w:p w14:paraId="3E4DEC3B">
            <w:pPr>
              <w:bidi w:val="0"/>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根据中卫市沙坡头区自然资源局提供的2022年国土变更调查成果数据，项目区总治理面积为</w:t>
            </w:r>
            <w:r>
              <w:rPr>
                <w:rFonts w:hint="eastAsia" w:cs="Times New Roman"/>
                <w:color w:val="000000" w:themeColor="text1"/>
                <w:highlight w:val="none"/>
                <w:lang w:val="en-US" w:eastAsia="zh-CN"/>
                <w14:textFill>
                  <w14:solidFill>
                    <w14:schemeClr w14:val="tx1"/>
                  </w14:solidFill>
                </w14:textFill>
              </w:rPr>
              <w:t>94.17</w:t>
            </w:r>
            <w:r>
              <w:rPr>
                <w:rFonts w:hint="eastAsia" w:ascii="Times New Roman" w:hAnsi="Times New Roman" w:eastAsia="宋体" w:cs="Times New Roman"/>
                <w:color w:val="000000" w:themeColor="text1"/>
                <w:highlight w:val="none"/>
                <w14:textFill>
                  <w14:solidFill>
                    <w14:schemeClr w14:val="tx1"/>
                  </w14:solidFill>
                </w14:textFill>
              </w:rPr>
              <w:t>hm</w:t>
            </w:r>
            <w:r>
              <w:rPr>
                <w:rFonts w:hint="eastAsia" w:ascii="Times New Roman" w:hAnsi="Times New Roman" w:eastAsia="宋体" w:cs="Times New Roman"/>
                <w:color w:val="000000" w:themeColor="text1"/>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highlight w:val="none"/>
                <w14:textFill>
                  <w14:solidFill>
                    <w14:schemeClr w14:val="tx1"/>
                  </w14:solidFill>
                </w14:textFill>
              </w:rPr>
              <w:t>。其中，草地面积为</w:t>
            </w:r>
            <w:r>
              <w:rPr>
                <w:rFonts w:hint="eastAsia" w:cs="Times New Roman"/>
                <w:color w:val="000000" w:themeColor="text1"/>
                <w:highlight w:val="none"/>
                <w:lang w:val="en-US" w:eastAsia="zh-CN"/>
                <w14:textFill>
                  <w14:solidFill>
                    <w14:schemeClr w14:val="tx1"/>
                  </w14:solidFill>
                </w14:textFill>
              </w:rPr>
              <w:t>18.08</w:t>
            </w:r>
            <w:r>
              <w:rPr>
                <w:rFonts w:hint="eastAsia" w:ascii="Times New Roman" w:hAnsi="Times New Roman" w:eastAsia="宋体" w:cs="Times New Roman"/>
                <w:color w:val="000000" w:themeColor="text1"/>
                <w:highlight w:val="none"/>
                <w14:textFill>
                  <w14:solidFill>
                    <w14:schemeClr w14:val="tx1"/>
                  </w14:solidFill>
                </w14:textFill>
              </w:rPr>
              <w:t>hm</w:t>
            </w:r>
            <w:r>
              <w:rPr>
                <w:rFonts w:hint="eastAsia" w:ascii="Times New Roman" w:hAnsi="Times New Roman" w:eastAsia="宋体" w:cs="Times New Roman"/>
                <w:color w:val="000000" w:themeColor="text1"/>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highlight w:val="none"/>
                <w14:textFill>
                  <w14:solidFill>
                    <w14:schemeClr w14:val="tx1"/>
                  </w14:solidFill>
                </w14:textFill>
              </w:rPr>
              <w:t>，占总面积的</w:t>
            </w:r>
            <w:r>
              <w:rPr>
                <w:rFonts w:hint="eastAsia" w:cs="Times New Roman"/>
                <w:color w:val="000000" w:themeColor="text1"/>
                <w:highlight w:val="none"/>
                <w:lang w:val="en-US" w:eastAsia="zh-CN"/>
                <w14:textFill>
                  <w14:solidFill>
                    <w14:schemeClr w14:val="tx1"/>
                  </w14:solidFill>
                </w14:textFill>
              </w:rPr>
              <w:t>19.20</w:t>
            </w:r>
            <w:r>
              <w:rPr>
                <w:rFonts w:hint="eastAsia" w:ascii="Times New Roman" w:hAnsi="Times New Roman" w:eastAsia="宋体" w:cs="Times New Roman"/>
                <w:color w:val="000000" w:themeColor="text1"/>
                <w:highlight w:val="none"/>
                <w14:textFill>
                  <w14:solidFill>
                    <w14:schemeClr w14:val="tx1"/>
                  </w14:solidFill>
                </w14:textFill>
              </w:rPr>
              <w:t>%；工矿用地面积为</w:t>
            </w:r>
            <w:r>
              <w:rPr>
                <w:rFonts w:hint="eastAsia" w:cs="Times New Roman"/>
                <w:color w:val="000000" w:themeColor="text1"/>
                <w:highlight w:val="none"/>
                <w:lang w:val="en-US" w:eastAsia="zh-CN"/>
                <w14:textFill>
                  <w14:solidFill>
                    <w14:schemeClr w14:val="tx1"/>
                  </w14:solidFill>
                </w14:textFill>
              </w:rPr>
              <w:t>71.46</w:t>
            </w:r>
            <w:r>
              <w:rPr>
                <w:rFonts w:hint="eastAsia" w:ascii="Times New Roman" w:hAnsi="Times New Roman" w:eastAsia="宋体" w:cs="Times New Roman"/>
                <w:color w:val="000000" w:themeColor="text1"/>
                <w:highlight w:val="none"/>
                <w14:textFill>
                  <w14:solidFill>
                    <w14:schemeClr w14:val="tx1"/>
                  </w14:solidFill>
                </w14:textFill>
              </w:rPr>
              <w:t>hm</w:t>
            </w:r>
            <w:r>
              <w:rPr>
                <w:rFonts w:hint="eastAsia" w:ascii="Times New Roman" w:hAnsi="Times New Roman" w:eastAsia="宋体" w:cs="Times New Roman"/>
                <w:color w:val="000000" w:themeColor="text1"/>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highlight w:val="none"/>
                <w14:textFill>
                  <w14:solidFill>
                    <w14:schemeClr w14:val="tx1"/>
                  </w14:solidFill>
                </w14:textFill>
              </w:rPr>
              <w:t>，占总面积的</w:t>
            </w:r>
            <w:r>
              <w:rPr>
                <w:rFonts w:hint="eastAsia" w:cs="Times New Roman"/>
                <w:color w:val="000000" w:themeColor="text1"/>
                <w:highlight w:val="none"/>
                <w:lang w:val="en-US" w:eastAsia="zh-CN"/>
                <w14:textFill>
                  <w14:solidFill>
                    <w14:schemeClr w14:val="tx1"/>
                  </w14:solidFill>
                </w14:textFill>
              </w:rPr>
              <w:t>75.88</w:t>
            </w:r>
            <w:r>
              <w:rPr>
                <w:rFonts w:hint="eastAsia" w:ascii="Times New Roman" w:hAnsi="Times New Roman" w:eastAsia="宋体" w:cs="Times New Roman"/>
                <w:color w:val="000000" w:themeColor="text1"/>
                <w:highlight w:val="none"/>
                <w14:textFill>
                  <w14:solidFill>
                    <w14:schemeClr w14:val="tx1"/>
                  </w14:solidFill>
                </w14:textFill>
              </w:rPr>
              <w:t>%；交通运输用地面积为</w:t>
            </w:r>
            <w:r>
              <w:rPr>
                <w:rFonts w:hint="eastAsia" w:cs="Times New Roman"/>
                <w:color w:val="000000" w:themeColor="text1"/>
                <w:highlight w:val="none"/>
                <w:lang w:val="en-US" w:eastAsia="zh-CN"/>
                <w14:textFill>
                  <w14:solidFill>
                    <w14:schemeClr w14:val="tx1"/>
                  </w14:solidFill>
                </w14:textFill>
              </w:rPr>
              <w:t>2.24</w:t>
            </w:r>
            <w:r>
              <w:rPr>
                <w:rFonts w:hint="eastAsia" w:ascii="Times New Roman" w:hAnsi="Times New Roman" w:eastAsia="宋体" w:cs="Times New Roman"/>
                <w:color w:val="000000" w:themeColor="text1"/>
                <w:highlight w:val="none"/>
                <w14:textFill>
                  <w14:solidFill>
                    <w14:schemeClr w14:val="tx1"/>
                  </w14:solidFill>
                </w14:textFill>
              </w:rPr>
              <w:t>hm</w:t>
            </w:r>
            <w:r>
              <w:rPr>
                <w:rFonts w:hint="eastAsia" w:ascii="Times New Roman" w:hAnsi="Times New Roman" w:eastAsia="宋体" w:cs="Times New Roman"/>
                <w:color w:val="000000" w:themeColor="text1"/>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highlight w:val="none"/>
                <w14:textFill>
                  <w14:solidFill>
                    <w14:schemeClr w14:val="tx1"/>
                  </w14:solidFill>
                </w14:textFill>
              </w:rPr>
              <w:t>，占总面积的</w:t>
            </w:r>
            <w:r>
              <w:rPr>
                <w:rFonts w:hint="eastAsia" w:cs="Times New Roman"/>
                <w:color w:val="000000" w:themeColor="text1"/>
                <w:highlight w:val="none"/>
                <w:lang w:val="en-US" w:eastAsia="zh-CN"/>
                <w14:textFill>
                  <w14:solidFill>
                    <w14:schemeClr w14:val="tx1"/>
                  </w14:solidFill>
                </w14:textFill>
              </w:rPr>
              <w:t>2.38</w:t>
            </w:r>
            <w:r>
              <w:rPr>
                <w:rFonts w:hint="eastAsia" w:ascii="Times New Roman" w:hAnsi="Times New Roman" w:eastAsia="宋体"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林地</w:t>
            </w:r>
            <w:r>
              <w:rPr>
                <w:rFonts w:hint="eastAsia" w:ascii="Times New Roman" w:hAnsi="Times New Roman" w:eastAsia="宋体" w:cs="Times New Roman"/>
                <w:color w:val="000000" w:themeColor="text1"/>
                <w:highlight w:val="none"/>
                <w14:textFill>
                  <w14:solidFill>
                    <w14:schemeClr w14:val="tx1"/>
                  </w14:solidFill>
                </w14:textFill>
              </w:rPr>
              <w:t>面积为</w:t>
            </w:r>
            <w:r>
              <w:rPr>
                <w:rFonts w:hint="eastAsia" w:cs="Times New Roman"/>
                <w:color w:val="000000" w:themeColor="text1"/>
                <w:highlight w:val="none"/>
                <w:lang w:val="en-US" w:eastAsia="zh-CN"/>
                <w14:textFill>
                  <w14:solidFill>
                    <w14:schemeClr w14:val="tx1"/>
                  </w14:solidFill>
                </w14:textFill>
              </w:rPr>
              <w:t>0.36</w:t>
            </w:r>
            <w:r>
              <w:rPr>
                <w:rFonts w:hint="eastAsia" w:ascii="Times New Roman" w:hAnsi="Times New Roman" w:eastAsia="宋体" w:cs="Times New Roman"/>
                <w:color w:val="000000" w:themeColor="text1"/>
                <w:highlight w:val="none"/>
                <w14:textFill>
                  <w14:solidFill>
                    <w14:schemeClr w14:val="tx1"/>
                  </w14:solidFill>
                </w14:textFill>
              </w:rPr>
              <w:t>hm</w:t>
            </w:r>
            <w:r>
              <w:rPr>
                <w:rFonts w:hint="eastAsia" w:ascii="Times New Roman" w:hAnsi="Times New Roman" w:eastAsia="宋体" w:cs="Times New Roman"/>
                <w:color w:val="000000" w:themeColor="text1"/>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highlight w:val="none"/>
                <w14:textFill>
                  <w14:solidFill>
                    <w14:schemeClr w14:val="tx1"/>
                  </w14:solidFill>
                </w14:textFill>
              </w:rPr>
              <w:t>，占总面积的</w:t>
            </w:r>
            <w:r>
              <w:rPr>
                <w:rFonts w:hint="eastAsia" w:cs="Times New Roman"/>
                <w:color w:val="000000" w:themeColor="text1"/>
                <w:highlight w:val="none"/>
                <w:lang w:val="en-US" w:eastAsia="zh-CN"/>
                <w14:textFill>
                  <w14:solidFill>
                    <w14:schemeClr w14:val="tx1"/>
                  </w14:solidFill>
                </w14:textFill>
              </w:rPr>
              <w:t>0.38</w:t>
            </w:r>
            <w:r>
              <w:rPr>
                <w:rFonts w:hint="eastAsia" w:ascii="Times New Roman" w:hAnsi="Times New Roman" w:eastAsia="宋体"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特殊用地</w:t>
            </w:r>
            <w:r>
              <w:rPr>
                <w:rFonts w:hint="eastAsia" w:ascii="Times New Roman" w:hAnsi="Times New Roman" w:eastAsia="宋体" w:cs="Times New Roman"/>
                <w:color w:val="000000" w:themeColor="text1"/>
                <w:highlight w:val="none"/>
                <w14:textFill>
                  <w14:solidFill>
                    <w14:schemeClr w14:val="tx1"/>
                  </w14:solidFill>
                </w14:textFill>
              </w:rPr>
              <w:t>面积为</w:t>
            </w:r>
            <w:r>
              <w:rPr>
                <w:rFonts w:hint="eastAsia" w:cs="Times New Roman"/>
                <w:color w:val="000000" w:themeColor="text1"/>
                <w:highlight w:val="none"/>
                <w:lang w:val="en-US" w:eastAsia="zh-CN"/>
                <w14:textFill>
                  <w14:solidFill>
                    <w14:schemeClr w14:val="tx1"/>
                  </w14:solidFill>
                </w14:textFill>
              </w:rPr>
              <w:t>0.87</w:t>
            </w:r>
            <w:r>
              <w:rPr>
                <w:rFonts w:hint="eastAsia" w:ascii="Times New Roman" w:hAnsi="Times New Roman" w:eastAsia="宋体" w:cs="Times New Roman"/>
                <w:color w:val="000000" w:themeColor="text1"/>
                <w:highlight w:val="none"/>
                <w14:textFill>
                  <w14:solidFill>
                    <w14:schemeClr w14:val="tx1"/>
                  </w14:solidFill>
                </w14:textFill>
              </w:rPr>
              <w:t>hm</w:t>
            </w:r>
            <w:r>
              <w:rPr>
                <w:rFonts w:hint="eastAsia" w:ascii="Times New Roman" w:hAnsi="Times New Roman" w:eastAsia="宋体" w:cs="Times New Roman"/>
                <w:color w:val="000000" w:themeColor="text1"/>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highlight w:val="none"/>
                <w14:textFill>
                  <w14:solidFill>
                    <w14:schemeClr w14:val="tx1"/>
                  </w14:solidFill>
                </w14:textFill>
              </w:rPr>
              <w:t>，占总面积的</w:t>
            </w:r>
            <w:r>
              <w:rPr>
                <w:rFonts w:hint="eastAsia" w:cs="Times New Roman"/>
                <w:color w:val="000000" w:themeColor="text1"/>
                <w:highlight w:val="none"/>
                <w:lang w:val="en-US" w:eastAsia="zh-CN"/>
                <w14:textFill>
                  <w14:solidFill>
                    <w14:schemeClr w14:val="tx1"/>
                  </w14:solidFill>
                </w14:textFill>
              </w:rPr>
              <w:t>0.92</w:t>
            </w:r>
            <w:r>
              <w:rPr>
                <w:rFonts w:hint="eastAsia" w:ascii="Times New Roman" w:hAnsi="Times New Roman" w:eastAsia="宋体"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其他土地</w:t>
            </w:r>
            <w:r>
              <w:rPr>
                <w:rFonts w:hint="eastAsia" w:ascii="Times New Roman" w:hAnsi="Times New Roman" w:eastAsia="宋体" w:cs="Times New Roman"/>
                <w:color w:val="000000" w:themeColor="text1"/>
                <w:highlight w:val="none"/>
                <w14:textFill>
                  <w14:solidFill>
                    <w14:schemeClr w14:val="tx1"/>
                  </w14:solidFill>
                </w14:textFill>
              </w:rPr>
              <w:t>用地面积为</w:t>
            </w:r>
            <w:r>
              <w:rPr>
                <w:rFonts w:hint="eastAsia" w:cs="Times New Roman"/>
                <w:color w:val="000000" w:themeColor="text1"/>
                <w:highlight w:val="none"/>
                <w:lang w:val="en-US" w:eastAsia="zh-CN"/>
                <w14:textFill>
                  <w14:solidFill>
                    <w14:schemeClr w14:val="tx1"/>
                  </w14:solidFill>
                </w14:textFill>
              </w:rPr>
              <w:t>1.16</w:t>
            </w:r>
            <w:r>
              <w:rPr>
                <w:rFonts w:hint="eastAsia" w:ascii="Times New Roman" w:hAnsi="Times New Roman" w:eastAsia="宋体" w:cs="Times New Roman"/>
                <w:color w:val="000000" w:themeColor="text1"/>
                <w:highlight w:val="none"/>
                <w14:textFill>
                  <w14:solidFill>
                    <w14:schemeClr w14:val="tx1"/>
                  </w14:solidFill>
                </w14:textFill>
              </w:rPr>
              <w:t>hm</w:t>
            </w:r>
            <w:r>
              <w:rPr>
                <w:rFonts w:hint="eastAsia" w:ascii="Times New Roman" w:hAnsi="Times New Roman" w:eastAsia="宋体" w:cs="Times New Roman"/>
                <w:color w:val="000000" w:themeColor="text1"/>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highlight w:val="none"/>
                <w14:textFill>
                  <w14:solidFill>
                    <w14:schemeClr w14:val="tx1"/>
                  </w14:solidFill>
                </w14:textFill>
              </w:rPr>
              <w:t>，占总面积的</w:t>
            </w:r>
            <w:r>
              <w:rPr>
                <w:rFonts w:hint="eastAsia" w:cs="Times New Roman"/>
                <w:color w:val="000000" w:themeColor="text1"/>
                <w:highlight w:val="none"/>
                <w:lang w:val="en-US" w:eastAsia="zh-CN"/>
                <w14:textFill>
                  <w14:solidFill>
                    <w14:schemeClr w14:val="tx1"/>
                  </w14:solidFill>
                </w14:textFill>
              </w:rPr>
              <w:t>1.24</w:t>
            </w:r>
            <w:r>
              <w:rPr>
                <w:rFonts w:hint="eastAsia" w:ascii="Times New Roman" w:hAnsi="Times New Roman" w:eastAsia="宋体" w:cs="Times New Roman"/>
                <w:color w:val="000000" w:themeColor="text1"/>
                <w:highlight w:val="none"/>
                <w14:textFill>
                  <w14:solidFill>
                    <w14:schemeClr w14:val="tx1"/>
                  </w14:solidFill>
                </w14:textFill>
              </w:rPr>
              <w:t>%。项目实施后，工矿用地、其他土地将转变为草地</w:t>
            </w:r>
            <w:r>
              <w:rPr>
                <w:rFonts w:hint="eastAsia" w:cs="Times New Roman"/>
                <w:color w:val="000000" w:themeColor="text1"/>
                <w:highlight w:val="none"/>
                <w:lang w:eastAsia="zh-CN"/>
                <w14:textFill>
                  <w14:solidFill>
                    <w14:schemeClr w14:val="tx1"/>
                  </w14:solidFill>
                </w14:textFill>
              </w:rPr>
              <w:t>。</w:t>
            </w:r>
          </w:p>
          <w:p w14:paraId="0E646430">
            <w:pPr>
              <w:pStyle w:val="3"/>
              <w:bidi w:val="0"/>
              <w:rPr>
                <w:rFonts w:hint="eastAsia" w:ascii="Times New Roman" w:hAnsi="Times New Roman" w:cs="宋体"/>
                <w:color w:val="000000" w:themeColor="text1"/>
                <w:highlight w:val="none"/>
                <w:lang w:val="en-US" w:eastAsia="zh-CN"/>
                <w14:textFill>
                  <w14:solidFill>
                    <w14:schemeClr w14:val="tx1"/>
                  </w14:solidFill>
                </w14:textFill>
              </w:rPr>
            </w:pPr>
            <w:r>
              <w:rPr>
                <w:rFonts w:hint="default" w:ascii="Times New Roman" w:hAnsi="Times New Roman" w:cs="宋体"/>
                <w:color w:val="000000" w:themeColor="text1"/>
                <w:highlight w:val="none"/>
                <w:lang w:val="en-US" w:eastAsia="zh-CN"/>
                <w14:textFill>
                  <w14:solidFill>
                    <w14:schemeClr w14:val="tx1"/>
                  </w14:solidFill>
                </w14:textFill>
              </w:rPr>
              <w:t>表2-</w:t>
            </w:r>
            <w:r>
              <w:rPr>
                <w:rFonts w:hint="eastAsia" w:ascii="Times New Roman" w:hAnsi="Times New Roman" w:cs="宋体"/>
                <w:color w:val="000000" w:themeColor="text1"/>
                <w:highlight w:val="none"/>
                <w:lang w:val="en-US" w:eastAsia="zh-CN"/>
                <w14:textFill>
                  <w14:solidFill>
                    <w14:schemeClr w14:val="tx1"/>
                  </w14:solidFill>
                </w14:textFill>
              </w:rPr>
              <w:t>5</w:t>
            </w:r>
            <w:r>
              <w:rPr>
                <w:rFonts w:hint="default" w:ascii="Times New Roman" w:hAnsi="Times New Roman" w:cs="宋体"/>
                <w:color w:val="000000" w:themeColor="text1"/>
                <w:highlight w:val="none"/>
                <w:lang w:val="en-US" w:eastAsia="zh-CN"/>
                <w14:textFill>
                  <w14:solidFill>
                    <w14:schemeClr w14:val="tx1"/>
                  </w14:solidFill>
                </w14:textFill>
              </w:rPr>
              <w:t xml:space="preserve">  </w:t>
            </w:r>
            <w:r>
              <w:rPr>
                <w:rFonts w:hint="eastAsia" w:ascii="Times New Roman" w:hAnsi="Times New Roman" w:cs="宋体"/>
                <w:color w:val="000000" w:themeColor="text1"/>
                <w:highlight w:val="none"/>
                <w:lang w:val="en-US" w:eastAsia="zh-CN"/>
                <w14:textFill>
                  <w14:solidFill>
                    <w14:schemeClr w14:val="tx1"/>
                  </w14:solidFill>
                </w14:textFill>
              </w:rPr>
              <w:t>项目</w:t>
            </w:r>
            <w:r>
              <w:rPr>
                <w:rFonts w:hint="default" w:ascii="Times New Roman" w:hAnsi="Times New Roman" w:cs="宋体"/>
                <w:color w:val="000000" w:themeColor="text1"/>
                <w:highlight w:val="none"/>
                <w:lang w:val="en-US" w:eastAsia="zh-CN"/>
                <w14:textFill>
                  <w14:solidFill>
                    <w14:schemeClr w14:val="tx1"/>
                  </w14:solidFill>
                </w14:textFill>
              </w:rPr>
              <w:t>土地利用现状表</w:t>
            </w:r>
          </w:p>
          <w:tbl>
            <w:tblPr>
              <w:tblStyle w:val="28"/>
              <w:tblW w:w="4998" w:type="pct"/>
              <w:tblInd w:w="-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2481"/>
              <w:gridCol w:w="2484"/>
              <w:gridCol w:w="1755"/>
              <w:gridCol w:w="1475"/>
            </w:tblGrid>
            <w:tr w14:paraId="2AA2FB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3029" w:type="pct"/>
                  <w:gridSpan w:val="2"/>
                  <w:tcBorders>
                    <w:tl2br w:val="nil"/>
                    <w:tr2bl w:val="nil"/>
                  </w:tcBorders>
                  <w:shd w:val="clear" w:color="auto" w:fill="auto"/>
                  <w:vAlign w:val="center"/>
                </w:tcPr>
                <w:p w14:paraId="07ED38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地类名称</w:t>
                  </w:r>
                </w:p>
              </w:tc>
              <w:tc>
                <w:tcPr>
                  <w:tcW w:w="1070" w:type="pct"/>
                  <w:vMerge w:val="restart"/>
                  <w:tcBorders>
                    <w:tl2br w:val="nil"/>
                    <w:tr2bl w:val="nil"/>
                  </w:tcBorders>
                  <w:shd w:val="clear" w:color="auto" w:fill="auto"/>
                  <w:vAlign w:val="center"/>
                </w:tcPr>
                <w:p w14:paraId="78FEA1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面积（hm</w:t>
                  </w:r>
                  <w:r>
                    <w:rPr>
                      <w:rFonts w:hint="eastAsia" w:ascii="Times New Roman" w:hAnsi="Times New Roman" w:eastAsia="宋体" w:cs="Times New Roman"/>
                      <w:b/>
                      <w:bCs/>
                      <w:color w:val="000000" w:themeColor="text1"/>
                      <w:kern w:val="0"/>
                      <w:sz w:val="21"/>
                      <w:szCs w:val="21"/>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w:t>
                  </w:r>
                </w:p>
              </w:tc>
              <w:tc>
                <w:tcPr>
                  <w:tcW w:w="899" w:type="pct"/>
                  <w:vMerge w:val="restart"/>
                  <w:tcBorders>
                    <w:tl2br w:val="nil"/>
                    <w:tr2bl w:val="nil"/>
                  </w:tcBorders>
                  <w:shd w:val="clear" w:color="auto" w:fill="auto"/>
                  <w:vAlign w:val="center"/>
                </w:tcPr>
                <w:p w14:paraId="4A6B37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比例（</w:t>
                  </w: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w:t>
                  </w:r>
                </w:p>
              </w:tc>
            </w:tr>
            <w:tr w14:paraId="639CCB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13" w:type="pct"/>
                  <w:tcBorders>
                    <w:tl2br w:val="nil"/>
                    <w:tr2bl w:val="nil"/>
                  </w:tcBorders>
                  <w:shd w:val="clear" w:color="auto" w:fill="auto"/>
                  <w:vAlign w:val="center"/>
                </w:tcPr>
                <w:p w14:paraId="4EA5DB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一级地类</w:t>
                  </w:r>
                </w:p>
              </w:tc>
              <w:tc>
                <w:tcPr>
                  <w:tcW w:w="1515" w:type="pct"/>
                  <w:tcBorders>
                    <w:tl2br w:val="nil"/>
                    <w:tr2bl w:val="nil"/>
                  </w:tcBorders>
                  <w:shd w:val="clear" w:color="auto" w:fill="auto"/>
                  <w:vAlign w:val="center"/>
                </w:tcPr>
                <w:p w14:paraId="51CCDF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二级地类</w:t>
                  </w:r>
                </w:p>
              </w:tc>
              <w:tc>
                <w:tcPr>
                  <w:tcW w:w="1070" w:type="pct"/>
                  <w:vMerge w:val="continue"/>
                  <w:tcBorders>
                    <w:tl2br w:val="nil"/>
                    <w:tr2bl w:val="nil"/>
                  </w:tcBorders>
                  <w:shd w:val="clear" w:color="auto" w:fill="auto"/>
                  <w:vAlign w:val="center"/>
                </w:tcPr>
                <w:p w14:paraId="225EED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p>
              </w:tc>
              <w:tc>
                <w:tcPr>
                  <w:tcW w:w="899" w:type="pct"/>
                  <w:vMerge w:val="continue"/>
                  <w:tcBorders>
                    <w:tl2br w:val="nil"/>
                    <w:tr2bl w:val="nil"/>
                  </w:tcBorders>
                  <w:shd w:val="clear" w:color="auto" w:fill="auto"/>
                  <w:vAlign w:val="center"/>
                </w:tcPr>
                <w:p w14:paraId="52FAB1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p>
              </w:tc>
            </w:tr>
            <w:tr w14:paraId="6D3C0E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13" w:type="pct"/>
                  <w:vMerge w:val="restart"/>
                  <w:tcBorders>
                    <w:tl2br w:val="nil"/>
                    <w:tr2bl w:val="nil"/>
                  </w:tcBorders>
                  <w:shd w:val="clear" w:color="auto" w:fill="auto"/>
                  <w:vAlign w:val="center"/>
                </w:tcPr>
                <w:p w14:paraId="184083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林地（03）</w:t>
                  </w:r>
                </w:p>
              </w:tc>
              <w:tc>
                <w:tcPr>
                  <w:tcW w:w="1515" w:type="pct"/>
                  <w:tcBorders>
                    <w:tl2br w:val="nil"/>
                    <w:tr2bl w:val="nil"/>
                  </w:tcBorders>
                  <w:shd w:val="clear" w:color="auto" w:fill="auto"/>
                  <w:vAlign w:val="center"/>
                </w:tcPr>
                <w:p w14:paraId="44F3AD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灌木林</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地（</w:t>
                  </w:r>
                  <w:r>
                    <w:rPr>
                      <w:rFonts w:hint="eastAsia" w:cs="Times New Roman"/>
                      <w:color w:val="000000" w:themeColor="text1"/>
                      <w:kern w:val="0"/>
                      <w:sz w:val="21"/>
                      <w:szCs w:val="21"/>
                      <w:highlight w:val="none"/>
                      <w:lang w:val="en-US" w:eastAsia="zh-CN" w:bidi="ar-SA"/>
                      <w14:textFill>
                        <w14:solidFill>
                          <w14:schemeClr w14:val="tx1"/>
                        </w14:solidFill>
                      </w14:textFill>
                    </w:rPr>
                    <w:t>0305</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1070" w:type="pct"/>
                  <w:tcBorders>
                    <w:tl2br w:val="nil"/>
                    <w:tr2bl w:val="nil"/>
                  </w:tcBorders>
                  <w:shd w:val="clear" w:color="auto" w:fill="auto"/>
                  <w:noWrap/>
                  <w:vAlign w:val="center"/>
                </w:tcPr>
                <w:p w14:paraId="2F687A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0.36</w:t>
                  </w:r>
                </w:p>
              </w:tc>
              <w:tc>
                <w:tcPr>
                  <w:tcW w:w="899" w:type="pct"/>
                  <w:tcBorders>
                    <w:tl2br w:val="nil"/>
                    <w:tr2bl w:val="nil"/>
                  </w:tcBorders>
                  <w:shd w:val="clear" w:color="auto" w:fill="auto"/>
                  <w:noWrap/>
                  <w:vAlign w:val="center"/>
                </w:tcPr>
                <w:p w14:paraId="276E6C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0.38</w:t>
                  </w:r>
                </w:p>
              </w:tc>
            </w:tr>
            <w:tr w14:paraId="62B568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13" w:type="pct"/>
                  <w:vMerge w:val="continue"/>
                  <w:tcBorders>
                    <w:tl2br w:val="nil"/>
                    <w:tr2bl w:val="nil"/>
                  </w:tcBorders>
                  <w:shd w:val="clear" w:color="auto" w:fill="auto"/>
                  <w:vAlign w:val="center"/>
                </w:tcPr>
                <w:p w14:paraId="23766E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1515" w:type="pct"/>
                  <w:tcBorders>
                    <w:tl2br w:val="nil"/>
                    <w:tr2bl w:val="nil"/>
                  </w:tcBorders>
                  <w:shd w:val="clear" w:color="auto" w:fill="auto"/>
                  <w:vAlign w:val="center"/>
                </w:tcPr>
                <w:p w14:paraId="7CC15B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小计</w:t>
                  </w:r>
                </w:p>
              </w:tc>
              <w:tc>
                <w:tcPr>
                  <w:tcW w:w="1070" w:type="pct"/>
                  <w:tcBorders>
                    <w:tl2br w:val="nil"/>
                    <w:tr2bl w:val="nil"/>
                  </w:tcBorders>
                  <w:shd w:val="clear" w:color="auto" w:fill="auto"/>
                  <w:noWrap/>
                  <w:vAlign w:val="center"/>
                </w:tcPr>
                <w:p w14:paraId="7D80E8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0.36</w:t>
                  </w:r>
                </w:p>
              </w:tc>
              <w:tc>
                <w:tcPr>
                  <w:tcW w:w="899" w:type="pct"/>
                  <w:tcBorders>
                    <w:tl2br w:val="nil"/>
                    <w:tr2bl w:val="nil"/>
                  </w:tcBorders>
                  <w:shd w:val="clear" w:color="auto" w:fill="auto"/>
                  <w:noWrap/>
                  <w:vAlign w:val="center"/>
                </w:tcPr>
                <w:p w14:paraId="60E1B6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0.38</w:t>
                  </w:r>
                </w:p>
              </w:tc>
            </w:tr>
            <w:tr w14:paraId="4B60BD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13" w:type="pct"/>
                  <w:vMerge w:val="restart"/>
                  <w:tcBorders>
                    <w:tl2br w:val="nil"/>
                    <w:tr2bl w:val="nil"/>
                  </w:tcBorders>
                  <w:shd w:val="clear" w:color="auto" w:fill="auto"/>
                  <w:vAlign w:val="center"/>
                </w:tcPr>
                <w:p w14:paraId="1D8A1F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草地（</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04</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1515" w:type="pct"/>
                  <w:tcBorders>
                    <w:tl2br w:val="nil"/>
                    <w:tr2bl w:val="nil"/>
                  </w:tcBorders>
                  <w:shd w:val="clear" w:color="auto" w:fill="auto"/>
                  <w:vAlign w:val="center"/>
                </w:tcPr>
                <w:p w14:paraId="210141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天然牧草地（</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0401</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1070" w:type="pct"/>
                  <w:tcBorders>
                    <w:tl2br w:val="nil"/>
                    <w:tr2bl w:val="nil"/>
                  </w:tcBorders>
                  <w:shd w:val="clear" w:color="auto" w:fill="auto"/>
                  <w:noWrap/>
                  <w:vAlign w:val="center"/>
                </w:tcPr>
                <w:p w14:paraId="19F6BB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18.07</w:t>
                  </w:r>
                </w:p>
              </w:tc>
              <w:tc>
                <w:tcPr>
                  <w:tcW w:w="899" w:type="pct"/>
                  <w:tcBorders>
                    <w:tl2br w:val="nil"/>
                    <w:tr2bl w:val="nil"/>
                  </w:tcBorders>
                  <w:shd w:val="clear" w:color="auto" w:fill="auto"/>
                  <w:noWrap/>
                  <w:vAlign w:val="center"/>
                </w:tcPr>
                <w:p w14:paraId="7053EF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19.19</w:t>
                  </w:r>
                </w:p>
              </w:tc>
            </w:tr>
            <w:tr w14:paraId="152808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13" w:type="pct"/>
                  <w:vMerge w:val="continue"/>
                  <w:tcBorders>
                    <w:tl2br w:val="nil"/>
                    <w:tr2bl w:val="nil"/>
                  </w:tcBorders>
                  <w:shd w:val="clear" w:color="auto" w:fill="auto"/>
                  <w:vAlign w:val="center"/>
                </w:tcPr>
                <w:p w14:paraId="30F8BC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1515" w:type="pct"/>
                  <w:tcBorders>
                    <w:tl2br w:val="nil"/>
                    <w:tr2bl w:val="nil"/>
                  </w:tcBorders>
                  <w:shd w:val="clear" w:color="auto" w:fill="auto"/>
                  <w:vAlign w:val="center"/>
                </w:tcPr>
                <w:p w14:paraId="261938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其他草地（0404）</w:t>
                  </w:r>
                </w:p>
              </w:tc>
              <w:tc>
                <w:tcPr>
                  <w:tcW w:w="1070" w:type="pct"/>
                  <w:tcBorders>
                    <w:tl2br w:val="nil"/>
                    <w:tr2bl w:val="nil"/>
                  </w:tcBorders>
                  <w:shd w:val="clear" w:color="auto" w:fill="auto"/>
                  <w:noWrap/>
                  <w:vAlign w:val="center"/>
                </w:tcPr>
                <w:p w14:paraId="232BEF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0.01</w:t>
                  </w:r>
                </w:p>
              </w:tc>
              <w:tc>
                <w:tcPr>
                  <w:tcW w:w="899" w:type="pct"/>
                  <w:tcBorders>
                    <w:tl2br w:val="nil"/>
                    <w:tr2bl w:val="nil"/>
                  </w:tcBorders>
                  <w:shd w:val="clear" w:color="auto" w:fill="auto"/>
                  <w:noWrap/>
                  <w:vAlign w:val="center"/>
                </w:tcPr>
                <w:p w14:paraId="0692C5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0.01</w:t>
                  </w:r>
                </w:p>
              </w:tc>
            </w:tr>
            <w:tr w14:paraId="25A79E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13" w:type="pct"/>
                  <w:vMerge w:val="continue"/>
                  <w:tcBorders>
                    <w:tl2br w:val="nil"/>
                    <w:tr2bl w:val="nil"/>
                  </w:tcBorders>
                  <w:shd w:val="clear" w:color="auto" w:fill="auto"/>
                  <w:vAlign w:val="center"/>
                </w:tcPr>
                <w:p w14:paraId="416F7D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1515" w:type="pct"/>
                  <w:tcBorders>
                    <w:tl2br w:val="nil"/>
                    <w:tr2bl w:val="nil"/>
                  </w:tcBorders>
                  <w:shd w:val="clear" w:color="auto" w:fill="auto"/>
                  <w:vAlign w:val="center"/>
                </w:tcPr>
                <w:p w14:paraId="2527B5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小计</w:t>
                  </w:r>
                </w:p>
              </w:tc>
              <w:tc>
                <w:tcPr>
                  <w:tcW w:w="1070" w:type="pct"/>
                  <w:tcBorders>
                    <w:tl2br w:val="nil"/>
                    <w:tr2bl w:val="nil"/>
                  </w:tcBorders>
                  <w:shd w:val="clear" w:color="auto" w:fill="auto"/>
                  <w:noWrap/>
                  <w:vAlign w:val="center"/>
                </w:tcPr>
                <w:p w14:paraId="245E6C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18.08</w:t>
                  </w:r>
                </w:p>
              </w:tc>
              <w:tc>
                <w:tcPr>
                  <w:tcW w:w="899" w:type="pct"/>
                  <w:tcBorders>
                    <w:tl2br w:val="nil"/>
                    <w:tr2bl w:val="nil"/>
                  </w:tcBorders>
                  <w:shd w:val="clear" w:color="auto" w:fill="auto"/>
                  <w:noWrap/>
                  <w:vAlign w:val="center"/>
                </w:tcPr>
                <w:p w14:paraId="503472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18.08</w:t>
                  </w:r>
                </w:p>
              </w:tc>
            </w:tr>
            <w:tr w14:paraId="185495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13" w:type="pct"/>
                  <w:vMerge w:val="restart"/>
                  <w:tcBorders>
                    <w:tl2br w:val="nil"/>
                    <w:tr2bl w:val="nil"/>
                  </w:tcBorders>
                  <w:shd w:val="clear" w:color="auto" w:fill="auto"/>
                  <w:vAlign w:val="center"/>
                </w:tcPr>
                <w:p w14:paraId="1FCD3A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工矿用地（</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06</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1515" w:type="pct"/>
                  <w:tcBorders>
                    <w:tl2br w:val="nil"/>
                    <w:tr2bl w:val="nil"/>
                  </w:tcBorders>
                  <w:shd w:val="clear" w:color="auto" w:fill="auto"/>
                  <w:vAlign w:val="center"/>
                </w:tcPr>
                <w:p w14:paraId="101751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采矿用地（</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0602</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1070" w:type="pct"/>
                  <w:tcBorders>
                    <w:tl2br w:val="nil"/>
                    <w:tr2bl w:val="nil"/>
                  </w:tcBorders>
                  <w:shd w:val="clear" w:color="auto" w:fill="auto"/>
                  <w:noWrap/>
                  <w:vAlign w:val="center"/>
                </w:tcPr>
                <w:p w14:paraId="0AF6C4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71.46</w:t>
                  </w:r>
                </w:p>
              </w:tc>
              <w:tc>
                <w:tcPr>
                  <w:tcW w:w="899" w:type="pct"/>
                  <w:tcBorders>
                    <w:tl2br w:val="nil"/>
                    <w:tr2bl w:val="nil"/>
                  </w:tcBorders>
                  <w:shd w:val="clear" w:color="auto" w:fill="auto"/>
                  <w:noWrap/>
                  <w:vAlign w:val="center"/>
                </w:tcPr>
                <w:p w14:paraId="57795B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75.88</w:t>
                  </w:r>
                </w:p>
              </w:tc>
            </w:tr>
            <w:tr w14:paraId="21156F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13" w:type="pct"/>
                  <w:vMerge w:val="continue"/>
                  <w:tcBorders>
                    <w:tl2br w:val="nil"/>
                    <w:tr2bl w:val="nil"/>
                  </w:tcBorders>
                  <w:shd w:val="clear" w:color="auto" w:fill="auto"/>
                  <w:vAlign w:val="center"/>
                </w:tcPr>
                <w:p w14:paraId="4A1054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1515" w:type="pct"/>
                  <w:tcBorders>
                    <w:tl2br w:val="nil"/>
                    <w:tr2bl w:val="nil"/>
                  </w:tcBorders>
                  <w:shd w:val="clear" w:color="auto" w:fill="auto"/>
                  <w:vAlign w:val="center"/>
                </w:tcPr>
                <w:p w14:paraId="3D0F2B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小计</w:t>
                  </w:r>
                </w:p>
              </w:tc>
              <w:tc>
                <w:tcPr>
                  <w:tcW w:w="1070" w:type="pct"/>
                  <w:tcBorders>
                    <w:tl2br w:val="nil"/>
                    <w:tr2bl w:val="nil"/>
                  </w:tcBorders>
                  <w:shd w:val="clear" w:color="auto" w:fill="auto"/>
                  <w:noWrap/>
                  <w:vAlign w:val="center"/>
                </w:tcPr>
                <w:p w14:paraId="615CBD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71.46</w:t>
                  </w:r>
                </w:p>
              </w:tc>
              <w:tc>
                <w:tcPr>
                  <w:tcW w:w="899" w:type="pct"/>
                  <w:tcBorders>
                    <w:tl2br w:val="nil"/>
                    <w:tr2bl w:val="nil"/>
                  </w:tcBorders>
                  <w:shd w:val="clear" w:color="auto" w:fill="auto"/>
                  <w:noWrap/>
                  <w:vAlign w:val="center"/>
                </w:tcPr>
                <w:p w14:paraId="1E28D1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75.88</w:t>
                  </w:r>
                </w:p>
              </w:tc>
            </w:tr>
            <w:tr w14:paraId="2EDDE7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13" w:type="pct"/>
                  <w:vMerge w:val="restart"/>
                  <w:tcBorders>
                    <w:tl2br w:val="nil"/>
                    <w:tr2bl w:val="nil"/>
                  </w:tcBorders>
                  <w:shd w:val="clear" w:color="auto" w:fill="auto"/>
                  <w:vAlign w:val="center"/>
                </w:tcPr>
                <w:p w14:paraId="005FED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特殊用地（09）</w:t>
                  </w:r>
                </w:p>
              </w:tc>
              <w:tc>
                <w:tcPr>
                  <w:tcW w:w="1515" w:type="pct"/>
                  <w:tcBorders>
                    <w:tl2br w:val="nil"/>
                    <w:tr2bl w:val="nil"/>
                  </w:tcBorders>
                  <w:shd w:val="clear" w:color="auto" w:fill="auto"/>
                  <w:vAlign w:val="center"/>
                </w:tcPr>
                <w:p w14:paraId="6B7250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特殊用地（09）</w:t>
                  </w:r>
                </w:p>
              </w:tc>
              <w:tc>
                <w:tcPr>
                  <w:tcW w:w="1070" w:type="pct"/>
                  <w:tcBorders>
                    <w:tl2br w:val="nil"/>
                    <w:tr2bl w:val="nil"/>
                  </w:tcBorders>
                  <w:shd w:val="clear" w:color="auto" w:fill="auto"/>
                  <w:noWrap/>
                  <w:vAlign w:val="center"/>
                </w:tcPr>
                <w:p w14:paraId="50B517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0.87</w:t>
                  </w:r>
                </w:p>
              </w:tc>
              <w:tc>
                <w:tcPr>
                  <w:tcW w:w="899" w:type="pct"/>
                  <w:tcBorders>
                    <w:tl2br w:val="nil"/>
                    <w:tr2bl w:val="nil"/>
                  </w:tcBorders>
                  <w:shd w:val="clear" w:color="auto" w:fill="auto"/>
                  <w:noWrap/>
                  <w:vAlign w:val="center"/>
                </w:tcPr>
                <w:p w14:paraId="0246FC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0.92</w:t>
                  </w:r>
                </w:p>
              </w:tc>
            </w:tr>
            <w:tr w14:paraId="643058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13" w:type="pct"/>
                  <w:vMerge w:val="continue"/>
                  <w:tcBorders>
                    <w:tl2br w:val="nil"/>
                    <w:tr2bl w:val="nil"/>
                  </w:tcBorders>
                  <w:shd w:val="clear" w:color="auto" w:fill="auto"/>
                  <w:vAlign w:val="center"/>
                </w:tcPr>
                <w:p w14:paraId="404FE2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1515" w:type="pct"/>
                  <w:tcBorders>
                    <w:tl2br w:val="nil"/>
                    <w:tr2bl w:val="nil"/>
                  </w:tcBorders>
                  <w:shd w:val="clear" w:color="auto" w:fill="auto"/>
                  <w:vAlign w:val="center"/>
                </w:tcPr>
                <w:p w14:paraId="218070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小计</w:t>
                  </w:r>
                </w:p>
              </w:tc>
              <w:tc>
                <w:tcPr>
                  <w:tcW w:w="1070" w:type="pct"/>
                  <w:tcBorders>
                    <w:tl2br w:val="nil"/>
                    <w:tr2bl w:val="nil"/>
                  </w:tcBorders>
                  <w:shd w:val="clear" w:color="auto" w:fill="auto"/>
                  <w:noWrap/>
                  <w:vAlign w:val="center"/>
                </w:tcPr>
                <w:p w14:paraId="344DCF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0.87</w:t>
                  </w:r>
                </w:p>
              </w:tc>
              <w:tc>
                <w:tcPr>
                  <w:tcW w:w="899" w:type="pct"/>
                  <w:tcBorders>
                    <w:tl2br w:val="nil"/>
                    <w:tr2bl w:val="nil"/>
                  </w:tcBorders>
                  <w:shd w:val="clear" w:color="auto" w:fill="auto"/>
                  <w:noWrap/>
                  <w:vAlign w:val="center"/>
                </w:tcPr>
                <w:p w14:paraId="6240FF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0.92</w:t>
                  </w:r>
                </w:p>
              </w:tc>
            </w:tr>
            <w:tr w14:paraId="1DBB91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13" w:type="pct"/>
                  <w:vMerge w:val="restart"/>
                  <w:tcBorders>
                    <w:tl2br w:val="nil"/>
                    <w:tr2bl w:val="nil"/>
                  </w:tcBorders>
                  <w:shd w:val="clear" w:color="auto" w:fill="auto"/>
                  <w:vAlign w:val="center"/>
                </w:tcPr>
                <w:p w14:paraId="2816B7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交通运输用地（</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1515" w:type="pct"/>
                  <w:tcBorders>
                    <w:tl2br w:val="nil"/>
                    <w:tr2bl w:val="nil"/>
                  </w:tcBorders>
                  <w:shd w:val="clear" w:color="auto" w:fill="auto"/>
                  <w:vAlign w:val="center"/>
                </w:tcPr>
                <w:p w14:paraId="4D8A61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公路用地</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100</w:t>
                  </w:r>
                  <w:r>
                    <w:rPr>
                      <w:rFonts w:hint="eastAsia" w:cs="Times New Roman"/>
                      <w:color w:val="000000" w:themeColor="text1"/>
                      <w:kern w:val="0"/>
                      <w:sz w:val="21"/>
                      <w:szCs w:val="21"/>
                      <w:highlight w:val="none"/>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1070" w:type="pct"/>
                  <w:tcBorders>
                    <w:tl2br w:val="nil"/>
                    <w:tr2bl w:val="nil"/>
                  </w:tcBorders>
                  <w:shd w:val="clear" w:color="auto" w:fill="auto"/>
                  <w:noWrap/>
                  <w:vAlign w:val="center"/>
                </w:tcPr>
                <w:p w14:paraId="5A7E8B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0.89</w:t>
                  </w:r>
                </w:p>
              </w:tc>
              <w:tc>
                <w:tcPr>
                  <w:tcW w:w="899" w:type="pct"/>
                  <w:tcBorders>
                    <w:tl2br w:val="nil"/>
                    <w:tr2bl w:val="nil"/>
                  </w:tcBorders>
                  <w:shd w:val="clear" w:color="auto" w:fill="auto"/>
                  <w:noWrap/>
                  <w:vAlign w:val="center"/>
                </w:tcPr>
                <w:p w14:paraId="341A3A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0.95</w:t>
                  </w:r>
                </w:p>
              </w:tc>
            </w:tr>
            <w:tr w14:paraId="00EE00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13" w:type="pct"/>
                  <w:vMerge w:val="continue"/>
                  <w:tcBorders>
                    <w:tl2br w:val="nil"/>
                    <w:tr2bl w:val="nil"/>
                  </w:tcBorders>
                  <w:shd w:val="clear" w:color="auto" w:fill="auto"/>
                  <w:vAlign w:val="center"/>
                </w:tcPr>
                <w:p w14:paraId="6DDF20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1515" w:type="pct"/>
                  <w:tcBorders>
                    <w:tl2br w:val="nil"/>
                    <w:tr2bl w:val="nil"/>
                  </w:tcBorders>
                  <w:shd w:val="clear" w:color="auto" w:fill="auto"/>
                  <w:vAlign w:val="center"/>
                </w:tcPr>
                <w:p w14:paraId="263749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农村道路（</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1006</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1070" w:type="pct"/>
                  <w:tcBorders>
                    <w:tl2br w:val="nil"/>
                    <w:tr2bl w:val="nil"/>
                  </w:tcBorders>
                  <w:shd w:val="clear" w:color="auto" w:fill="auto"/>
                  <w:noWrap/>
                  <w:vAlign w:val="center"/>
                </w:tcPr>
                <w:p w14:paraId="14F2F1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1.35</w:t>
                  </w:r>
                </w:p>
              </w:tc>
              <w:tc>
                <w:tcPr>
                  <w:tcW w:w="899" w:type="pct"/>
                  <w:tcBorders>
                    <w:tl2br w:val="nil"/>
                    <w:tr2bl w:val="nil"/>
                  </w:tcBorders>
                  <w:shd w:val="clear" w:color="auto" w:fill="auto"/>
                  <w:noWrap/>
                  <w:vAlign w:val="center"/>
                </w:tcPr>
                <w:p w14:paraId="6FAD56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1.43</w:t>
                  </w:r>
                </w:p>
              </w:tc>
            </w:tr>
            <w:tr w14:paraId="7E175A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13" w:type="pct"/>
                  <w:vMerge w:val="continue"/>
                  <w:tcBorders>
                    <w:tl2br w:val="nil"/>
                    <w:tr2bl w:val="nil"/>
                  </w:tcBorders>
                  <w:shd w:val="clear" w:color="auto" w:fill="auto"/>
                  <w:vAlign w:val="center"/>
                </w:tcPr>
                <w:p w14:paraId="53CA07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1515" w:type="pct"/>
                  <w:tcBorders>
                    <w:tl2br w:val="nil"/>
                    <w:tr2bl w:val="nil"/>
                  </w:tcBorders>
                  <w:shd w:val="clear" w:color="auto" w:fill="auto"/>
                  <w:vAlign w:val="center"/>
                </w:tcPr>
                <w:p w14:paraId="29D65B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小计</w:t>
                  </w:r>
                </w:p>
              </w:tc>
              <w:tc>
                <w:tcPr>
                  <w:tcW w:w="1070" w:type="pct"/>
                  <w:tcBorders>
                    <w:tl2br w:val="nil"/>
                    <w:tr2bl w:val="nil"/>
                  </w:tcBorders>
                  <w:shd w:val="clear" w:color="auto" w:fill="auto"/>
                  <w:noWrap/>
                  <w:vAlign w:val="center"/>
                </w:tcPr>
                <w:p w14:paraId="3DE5B2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2.24</w:t>
                  </w:r>
                </w:p>
              </w:tc>
              <w:tc>
                <w:tcPr>
                  <w:tcW w:w="899" w:type="pct"/>
                  <w:tcBorders>
                    <w:tl2br w:val="nil"/>
                    <w:tr2bl w:val="nil"/>
                  </w:tcBorders>
                  <w:shd w:val="clear" w:color="auto" w:fill="auto"/>
                  <w:noWrap/>
                  <w:vAlign w:val="center"/>
                </w:tcPr>
                <w:p w14:paraId="010713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2.38</w:t>
                  </w:r>
                </w:p>
              </w:tc>
            </w:tr>
            <w:tr w14:paraId="7034E4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13" w:type="pct"/>
                  <w:vMerge w:val="restart"/>
                  <w:tcBorders>
                    <w:tl2br w:val="nil"/>
                    <w:tr2bl w:val="nil"/>
                  </w:tcBorders>
                  <w:shd w:val="clear" w:color="auto" w:fill="auto"/>
                  <w:vAlign w:val="center"/>
                </w:tcPr>
                <w:p w14:paraId="378993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其他土地（12）</w:t>
                  </w:r>
                </w:p>
              </w:tc>
              <w:tc>
                <w:tcPr>
                  <w:tcW w:w="1515" w:type="pct"/>
                  <w:tcBorders>
                    <w:tl2br w:val="nil"/>
                    <w:tr2bl w:val="nil"/>
                  </w:tcBorders>
                  <w:shd w:val="clear" w:color="auto" w:fill="auto"/>
                  <w:vAlign w:val="center"/>
                </w:tcPr>
                <w:p w14:paraId="337A39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裸土地（1206）</w:t>
                  </w:r>
                </w:p>
              </w:tc>
              <w:tc>
                <w:tcPr>
                  <w:tcW w:w="1070" w:type="pct"/>
                  <w:tcBorders>
                    <w:tl2br w:val="nil"/>
                    <w:tr2bl w:val="nil"/>
                  </w:tcBorders>
                  <w:shd w:val="clear" w:color="auto" w:fill="auto"/>
                  <w:noWrap/>
                  <w:vAlign w:val="center"/>
                </w:tcPr>
                <w:p w14:paraId="289786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1.16</w:t>
                  </w:r>
                </w:p>
              </w:tc>
              <w:tc>
                <w:tcPr>
                  <w:tcW w:w="899" w:type="pct"/>
                  <w:tcBorders>
                    <w:tl2br w:val="nil"/>
                    <w:tr2bl w:val="nil"/>
                  </w:tcBorders>
                  <w:shd w:val="clear" w:color="auto" w:fill="auto"/>
                  <w:noWrap/>
                  <w:vAlign w:val="center"/>
                </w:tcPr>
                <w:p w14:paraId="25F654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1.24</w:t>
                  </w:r>
                </w:p>
              </w:tc>
            </w:tr>
            <w:tr w14:paraId="6C7CED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13" w:type="pct"/>
                  <w:vMerge w:val="continue"/>
                  <w:tcBorders>
                    <w:tl2br w:val="nil"/>
                    <w:tr2bl w:val="nil"/>
                  </w:tcBorders>
                  <w:shd w:val="clear" w:color="auto" w:fill="auto"/>
                  <w:vAlign w:val="center"/>
                </w:tcPr>
                <w:p w14:paraId="2D301D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1515" w:type="pct"/>
                  <w:tcBorders>
                    <w:tl2br w:val="nil"/>
                    <w:tr2bl w:val="nil"/>
                  </w:tcBorders>
                  <w:shd w:val="clear" w:color="auto" w:fill="auto"/>
                  <w:vAlign w:val="center"/>
                </w:tcPr>
                <w:p w14:paraId="212657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小计</w:t>
                  </w:r>
                </w:p>
              </w:tc>
              <w:tc>
                <w:tcPr>
                  <w:tcW w:w="1070" w:type="pct"/>
                  <w:tcBorders>
                    <w:tl2br w:val="nil"/>
                    <w:tr2bl w:val="nil"/>
                  </w:tcBorders>
                  <w:shd w:val="clear" w:color="auto" w:fill="auto"/>
                  <w:noWrap/>
                  <w:vAlign w:val="center"/>
                </w:tcPr>
                <w:p w14:paraId="7CD4E1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1.16</w:t>
                  </w:r>
                </w:p>
              </w:tc>
              <w:tc>
                <w:tcPr>
                  <w:tcW w:w="899" w:type="pct"/>
                  <w:tcBorders>
                    <w:tl2br w:val="nil"/>
                    <w:tr2bl w:val="nil"/>
                  </w:tcBorders>
                  <w:shd w:val="clear" w:color="auto" w:fill="auto"/>
                  <w:noWrap/>
                  <w:vAlign w:val="center"/>
                </w:tcPr>
                <w:p w14:paraId="2CF421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1.24</w:t>
                  </w:r>
                </w:p>
              </w:tc>
            </w:tr>
            <w:tr w14:paraId="374045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29" w:type="pct"/>
                  <w:gridSpan w:val="2"/>
                  <w:tcBorders>
                    <w:tl2br w:val="nil"/>
                    <w:tr2bl w:val="nil"/>
                  </w:tcBorders>
                  <w:shd w:val="clear" w:color="auto" w:fill="auto"/>
                  <w:noWrap/>
                  <w:vAlign w:val="center"/>
                </w:tcPr>
                <w:p w14:paraId="346920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合计</w:t>
                  </w:r>
                </w:p>
              </w:tc>
              <w:tc>
                <w:tcPr>
                  <w:tcW w:w="1070" w:type="pct"/>
                  <w:tcBorders>
                    <w:tl2br w:val="nil"/>
                    <w:tr2bl w:val="nil"/>
                  </w:tcBorders>
                  <w:shd w:val="clear" w:color="auto" w:fill="auto"/>
                  <w:noWrap/>
                  <w:vAlign w:val="center"/>
                </w:tcPr>
                <w:p w14:paraId="2F1F10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94.17</w:t>
                  </w:r>
                </w:p>
              </w:tc>
              <w:tc>
                <w:tcPr>
                  <w:tcW w:w="899" w:type="pct"/>
                  <w:tcBorders>
                    <w:tl2br w:val="nil"/>
                    <w:tr2bl w:val="nil"/>
                  </w:tcBorders>
                  <w:shd w:val="clear" w:color="auto" w:fill="auto"/>
                  <w:noWrap/>
                  <w:vAlign w:val="center"/>
                </w:tcPr>
                <w:p w14:paraId="033AD0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100.00</w:t>
                  </w:r>
                </w:p>
              </w:tc>
            </w:tr>
          </w:tbl>
          <w:p w14:paraId="25E3D127">
            <w:pPr>
              <w:pStyle w:val="2"/>
              <w:bidi w:val="0"/>
              <w:rPr>
                <w:rFonts w:hint="eastAsia"/>
                <w:color w:val="000000" w:themeColor="text1"/>
                <w:highlight w:val="none"/>
                <w:lang w:val="en-US" w:eastAsia="zh-CN"/>
                <w14:textFill>
                  <w14:solidFill>
                    <w14:schemeClr w14:val="tx1"/>
                  </w14:solidFill>
                </w14:textFill>
              </w:rPr>
            </w:pPr>
          </w:p>
          <w:p w14:paraId="6CB11E99">
            <w:pPr>
              <w:pStyle w:val="2"/>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9、主要施工机械设备</w:t>
            </w:r>
          </w:p>
          <w:p w14:paraId="08031034">
            <w:pPr>
              <w:pStyle w:val="2"/>
              <w:bidi w:val="0"/>
              <w:ind w:firstLine="454" w:firstLineChars="20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本项目通过地形地貌恢复工程、截排水工程、生态恢复工程等对项目区灰石矿山进行生态恢复治理。本项目主要施工机械设备见表2-6。</w:t>
            </w:r>
          </w:p>
          <w:p w14:paraId="6F4BBACD">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表2-</w:t>
            </w:r>
            <w:r>
              <w:rPr>
                <w:rFonts w:hint="eastAsia"/>
                <w:color w:val="000000" w:themeColor="text1"/>
                <w:highlight w:val="none"/>
                <w:lang w:val="en-US" w:eastAsia="zh-CN"/>
                <w14:textFill>
                  <w14:solidFill>
                    <w14:schemeClr w14:val="tx1"/>
                  </w14:solidFill>
                </w14:textFill>
              </w:rPr>
              <w:t>6</w:t>
            </w:r>
            <w:r>
              <w:rPr>
                <w:color w:val="000000" w:themeColor="text1"/>
                <w:highlight w:val="none"/>
                <w14:textFill>
                  <w14:solidFill>
                    <w14:schemeClr w14:val="tx1"/>
                  </w14:solidFill>
                </w14:textFill>
              </w:rPr>
              <w:t xml:space="preserve">  主要</w:t>
            </w:r>
            <w:r>
              <w:rPr>
                <w:rFonts w:hint="eastAsia"/>
                <w:color w:val="000000" w:themeColor="text1"/>
                <w:highlight w:val="none"/>
                <w:lang w:val="en-US" w:eastAsia="zh-CN"/>
                <w14:textFill>
                  <w14:solidFill>
                    <w14:schemeClr w14:val="tx1"/>
                  </w14:solidFill>
                </w14:textFill>
              </w:rPr>
              <w:t>施工机械设备</w:t>
            </w:r>
            <w:r>
              <w:rPr>
                <w:color w:val="000000" w:themeColor="text1"/>
                <w:highlight w:val="none"/>
                <w14:textFill>
                  <w14:solidFill>
                    <w14:schemeClr w14:val="tx1"/>
                  </w14:solidFill>
                </w14:textFill>
              </w:rPr>
              <w:t>一览表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90"/>
              <w:gridCol w:w="984"/>
              <w:gridCol w:w="2185"/>
              <w:gridCol w:w="1746"/>
              <w:gridCol w:w="1393"/>
            </w:tblGrid>
            <w:tr w14:paraId="73EB1A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noWrap w:val="0"/>
                  <w:vAlign w:val="center"/>
                </w:tcPr>
                <w:p w14:paraId="1F8182B1">
                  <w:pPr>
                    <w:pStyle w:val="93"/>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设施名称</w:t>
                  </w:r>
                </w:p>
              </w:tc>
              <w:tc>
                <w:tcPr>
                  <w:tcW w:w="600" w:type="pct"/>
                  <w:noWrap w:val="0"/>
                  <w:vAlign w:val="center"/>
                </w:tcPr>
                <w:p w14:paraId="60CE1E42">
                  <w:pPr>
                    <w:pStyle w:val="93"/>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数量</w:t>
                  </w:r>
                </w:p>
              </w:tc>
              <w:tc>
                <w:tcPr>
                  <w:tcW w:w="1332" w:type="pct"/>
                  <w:noWrap w:val="0"/>
                  <w:vAlign w:val="center"/>
                </w:tcPr>
                <w:p w14:paraId="1E6C5AD0">
                  <w:pPr>
                    <w:pStyle w:val="93"/>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参数名称</w:t>
                  </w:r>
                </w:p>
              </w:tc>
              <w:tc>
                <w:tcPr>
                  <w:tcW w:w="1064" w:type="pct"/>
                  <w:noWrap w:val="0"/>
                  <w:vAlign w:val="center"/>
                </w:tcPr>
                <w:p w14:paraId="03441B54">
                  <w:pPr>
                    <w:pStyle w:val="93"/>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计量单位</w:t>
                  </w:r>
                </w:p>
              </w:tc>
              <w:tc>
                <w:tcPr>
                  <w:tcW w:w="849" w:type="pct"/>
                  <w:noWrap w:val="0"/>
                  <w:vAlign w:val="center"/>
                </w:tcPr>
                <w:p w14:paraId="57A3FE8D">
                  <w:pPr>
                    <w:pStyle w:val="93"/>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设计值</w:t>
                  </w:r>
                </w:p>
              </w:tc>
            </w:tr>
            <w:tr w14:paraId="62D273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noWrap w:val="0"/>
                  <w:vAlign w:val="center"/>
                </w:tcPr>
                <w:p w14:paraId="66C3FB91">
                  <w:pPr>
                    <w:pStyle w:val="93"/>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挖掘机</w:t>
                  </w:r>
                </w:p>
              </w:tc>
              <w:tc>
                <w:tcPr>
                  <w:tcW w:w="600" w:type="pct"/>
                  <w:noWrap w:val="0"/>
                  <w:vAlign w:val="center"/>
                </w:tcPr>
                <w:p w14:paraId="56FB0C88">
                  <w:pPr>
                    <w:pStyle w:val="93"/>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p>
              </w:tc>
              <w:tc>
                <w:tcPr>
                  <w:tcW w:w="1332" w:type="pct"/>
                  <w:noWrap w:val="0"/>
                  <w:vAlign w:val="center"/>
                </w:tcPr>
                <w:p w14:paraId="4B426BA9">
                  <w:pPr>
                    <w:pStyle w:val="93"/>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吨位</w:t>
                  </w:r>
                </w:p>
              </w:tc>
              <w:tc>
                <w:tcPr>
                  <w:tcW w:w="1064" w:type="pct"/>
                  <w:noWrap w:val="0"/>
                  <w:vAlign w:val="center"/>
                </w:tcPr>
                <w:p w14:paraId="02002756">
                  <w:pPr>
                    <w:pStyle w:val="93"/>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t</w:t>
                  </w:r>
                </w:p>
              </w:tc>
              <w:tc>
                <w:tcPr>
                  <w:tcW w:w="849" w:type="pct"/>
                  <w:noWrap w:val="0"/>
                  <w:vAlign w:val="center"/>
                </w:tcPr>
                <w:p w14:paraId="0A44AD61">
                  <w:pPr>
                    <w:pStyle w:val="93"/>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p>
              </w:tc>
            </w:tr>
            <w:tr w14:paraId="464CE3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noWrap w:val="0"/>
                  <w:vAlign w:val="center"/>
                </w:tcPr>
                <w:p w14:paraId="19543DA1">
                  <w:pPr>
                    <w:pStyle w:val="93"/>
                    <w:jc w:val="center"/>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推土机</w:t>
                  </w:r>
                </w:p>
              </w:tc>
              <w:tc>
                <w:tcPr>
                  <w:tcW w:w="600" w:type="pct"/>
                  <w:noWrap w:val="0"/>
                  <w:vAlign w:val="center"/>
                </w:tcPr>
                <w:p w14:paraId="488B71C4">
                  <w:pPr>
                    <w:pStyle w:val="93"/>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p>
              </w:tc>
              <w:tc>
                <w:tcPr>
                  <w:tcW w:w="1332" w:type="pct"/>
                  <w:noWrap w:val="0"/>
                  <w:vAlign w:val="center"/>
                </w:tcPr>
                <w:p w14:paraId="086B27D5">
                  <w:pPr>
                    <w:pStyle w:val="93"/>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额定功率</w:t>
                  </w:r>
                </w:p>
              </w:tc>
              <w:tc>
                <w:tcPr>
                  <w:tcW w:w="1064" w:type="pct"/>
                  <w:noWrap w:val="0"/>
                  <w:vAlign w:val="center"/>
                </w:tcPr>
                <w:p w14:paraId="62E6F142">
                  <w:pPr>
                    <w:pStyle w:val="93"/>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kW</w:t>
                  </w:r>
                </w:p>
              </w:tc>
              <w:tc>
                <w:tcPr>
                  <w:tcW w:w="849" w:type="pct"/>
                  <w:noWrap w:val="0"/>
                  <w:vAlign w:val="center"/>
                </w:tcPr>
                <w:p w14:paraId="70A99164">
                  <w:pPr>
                    <w:pStyle w:val="93"/>
                    <w:jc w:val="center"/>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74</w:t>
                  </w:r>
                </w:p>
              </w:tc>
            </w:tr>
            <w:tr w14:paraId="028665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noWrap w:val="0"/>
                  <w:vAlign w:val="center"/>
                </w:tcPr>
                <w:p w14:paraId="79F5312E">
                  <w:pPr>
                    <w:pStyle w:val="93"/>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运输车辆</w:t>
                  </w:r>
                </w:p>
              </w:tc>
              <w:tc>
                <w:tcPr>
                  <w:tcW w:w="600" w:type="pct"/>
                  <w:noWrap w:val="0"/>
                  <w:vAlign w:val="center"/>
                </w:tcPr>
                <w:p w14:paraId="19C00755">
                  <w:pPr>
                    <w:pStyle w:val="93"/>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p>
              </w:tc>
              <w:tc>
                <w:tcPr>
                  <w:tcW w:w="1332" w:type="pct"/>
                  <w:noWrap w:val="0"/>
                  <w:vAlign w:val="center"/>
                </w:tcPr>
                <w:p w14:paraId="05E6EB53">
                  <w:pPr>
                    <w:pStyle w:val="93"/>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容积</w:t>
                  </w:r>
                </w:p>
              </w:tc>
              <w:tc>
                <w:tcPr>
                  <w:tcW w:w="1064" w:type="pct"/>
                  <w:noWrap w:val="0"/>
                  <w:vAlign w:val="center"/>
                </w:tcPr>
                <w:p w14:paraId="18700B4B">
                  <w:pPr>
                    <w:pStyle w:val="93"/>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t</w:t>
                  </w:r>
                </w:p>
              </w:tc>
              <w:tc>
                <w:tcPr>
                  <w:tcW w:w="849" w:type="pct"/>
                  <w:noWrap w:val="0"/>
                  <w:vAlign w:val="center"/>
                </w:tcPr>
                <w:p w14:paraId="79B3060E">
                  <w:pPr>
                    <w:pStyle w:val="93"/>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p>
              </w:tc>
            </w:tr>
            <w:tr w14:paraId="463DFE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noWrap w:val="0"/>
                  <w:vAlign w:val="center"/>
                </w:tcPr>
                <w:p w14:paraId="65EAC03E">
                  <w:pPr>
                    <w:pStyle w:val="93"/>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洒水车</w:t>
                  </w:r>
                </w:p>
              </w:tc>
              <w:tc>
                <w:tcPr>
                  <w:tcW w:w="600" w:type="pct"/>
                  <w:noWrap w:val="0"/>
                  <w:vAlign w:val="center"/>
                </w:tcPr>
                <w:p w14:paraId="59269D97">
                  <w:pPr>
                    <w:pStyle w:val="93"/>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1332" w:type="pct"/>
                  <w:noWrap w:val="0"/>
                  <w:vAlign w:val="center"/>
                </w:tcPr>
                <w:p w14:paraId="626208A4">
                  <w:pPr>
                    <w:pStyle w:val="93"/>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1064" w:type="pct"/>
                  <w:noWrap w:val="0"/>
                  <w:vAlign w:val="center"/>
                </w:tcPr>
                <w:p w14:paraId="57A1C8AE">
                  <w:pPr>
                    <w:pStyle w:val="93"/>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849" w:type="pct"/>
                  <w:noWrap w:val="0"/>
                  <w:vAlign w:val="center"/>
                </w:tcPr>
                <w:p w14:paraId="6F366920">
                  <w:pPr>
                    <w:pStyle w:val="93"/>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r>
          </w:tbl>
          <w:p w14:paraId="588033C1">
            <w:pPr>
              <w:pStyle w:val="2"/>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10、矿产品</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坡面渣石回填的可行性分析</w:t>
            </w:r>
          </w:p>
          <w:p w14:paraId="18ADF82E">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根据《固体废物鉴别标准通则》（GB 34330-2025）第8.4条规定，以下利用或处置方式所涉及的物质不属于固体废物：b）金属矿、非金属矿和煤炭采选过程中（不包括化学选矿），符合GB 18599要求直接留存或返回到采空区的采矿弃石、尾矿和煤矸石；c）采矿或其他工程施工中产生的弃土、弃石等，按照法规或国家、地方、行业标准要求就地处置后的物质。同时，《一般工业固体废物贮存和填埋污染控制标准》（GB 18599-2020）第8.1条中明确，第Ⅰ类一般工业固体废物可通过以下途径进行充填或回填作业：c）尾矿、矿山废石等可在原矿开采区的矿井、矿坑等采空区中充填或回填。</w:t>
            </w:r>
          </w:p>
          <w:p w14:paraId="190C4F6C">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主要对2处矿产品堆存区域进行清理，堆存物料来源于天景山峁圪垯梁灰石矿开采过程中剥离的尾矿，主要成分为碳酸钙。此外，项目区内存在部分坡度稳定但坡面不平整的边坡区域，主要包括渣堆堆放形成的不规则边坡以及受雨水冲蚀的边坡。对于渣堆形成的不规则边坡，需先进行渣堆清理，再将清理出的渣石用于后续培坡回填。该类渣石属于矿山开采产生的废石。</w:t>
            </w:r>
          </w:p>
          <w:p w14:paraId="3BF93D7E">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综上所述，本项目清运的尾矿及渣石均属于采矿过程中产生的矿物类物料，其回填至原矿开采区或用于场地平整与边坡修复，符合上述国家标准中关于不属于固体废物的情形及充填回填污染控制要求。因此，上述物料可不作为固体废物管理，允许用于本项目回填作业。</w:t>
            </w:r>
          </w:p>
          <w:p w14:paraId="7516269B">
            <w:pPr>
              <w:bidi w:val="0"/>
              <w:rPr>
                <w:rFonts w:hint="default"/>
                <w:color w:val="000000" w:themeColor="text1"/>
                <w:highlight w:val="none"/>
                <w:lang w:val="en-US" w:eastAsia="zh-CN"/>
                <w14:textFill>
                  <w14:solidFill>
                    <w14:schemeClr w14:val="tx1"/>
                  </w14:solidFill>
                </w14:textFill>
              </w:rPr>
            </w:pPr>
          </w:p>
        </w:tc>
      </w:tr>
      <w:tr w14:paraId="70E4E9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646" w:type="dxa"/>
            <w:noWrap w:val="0"/>
            <w:vAlign w:val="center"/>
          </w:tcPr>
          <w:p w14:paraId="2B23E06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000000" w:themeColor="text1"/>
                <w:kern w:val="0"/>
                <w:sz w:val="24"/>
                <w:szCs w:val="21"/>
                <w:highlight w:val="none"/>
                <w14:textFill>
                  <w14:solidFill>
                    <w14:schemeClr w14:val="tx1"/>
                  </w14:solidFill>
                </w14:textFill>
              </w:rPr>
            </w:pPr>
            <w:r>
              <w:rPr>
                <w:b/>
                <w:bCs/>
                <w:color w:val="000000" w:themeColor="text1"/>
                <w:kern w:val="0"/>
                <w:sz w:val="24"/>
                <w:szCs w:val="21"/>
                <w:highlight w:val="none"/>
                <w14:textFill>
                  <w14:solidFill>
                    <w14:schemeClr w14:val="tx1"/>
                  </w14:solidFill>
                </w14:textFill>
              </w:rPr>
              <w:t>总平面及现场布置</w:t>
            </w:r>
          </w:p>
        </w:tc>
        <w:tc>
          <w:tcPr>
            <w:tcW w:w="8444" w:type="dxa"/>
            <w:noWrap w:val="0"/>
            <w:vAlign w:val="center"/>
          </w:tcPr>
          <w:p w14:paraId="141768A2">
            <w:pPr>
              <w:pStyle w:val="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1、总平面布置</w:t>
            </w:r>
          </w:p>
          <w:p w14:paraId="6354D681">
            <w:pPr>
              <w:widowControl/>
              <w:ind w:firstLine="454" w:firstLineChars="20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中卫市宣和镇天景山</w:t>
            </w:r>
            <w:r>
              <w:rPr>
                <w:rFonts w:hint="eastAsia" w:cs="Times New Roman"/>
                <w:color w:val="000000" w:themeColor="text1"/>
                <w:kern w:val="0"/>
                <w:sz w:val="24"/>
                <w:highlight w:val="none"/>
                <w:lang w:eastAsia="zh-CN"/>
                <w14:textFill>
                  <w14:solidFill>
                    <w14:schemeClr w14:val="tx1"/>
                  </w14:solidFill>
                </w14:textFill>
              </w:rPr>
              <w:t>山峁圪垯梁</w:t>
            </w:r>
            <w:r>
              <w:rPr>
                <w:rFonts w:hint="default" w:ascii="Times New Roman" w:hAnsi="Times New Roman" w:cs="Times New Roman"/>
                <w:color w:val="000000" w:themeColor="text1"/>
                <w:kern w:val="0"/>
                <w:sz w:val="24"/>
                <w:highlight w:val="none"/>
                <w14:textFill>
                  <w14:solidFill>
                    <w14:schemeClr w14:val="tx1"/>
                  </w14:solidFill>
                </w14:textFill>
              </w:rPr>
              <w:t>灰石矿矿山生态修复治理项目位于宁夏回族自治区中卫市沙坡头区宣和镇天景山北麓，周边已形成以公路运输为主的交通运输网络。项目区内有砂石路与项目区外的三党公路、</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永大路</w:t>
            </w:r>
            <w:r>
              <w:rPr>
                <w:rFonts w:hint="default" w:ascii="Times New Roman" w:hAnsi="Times New Roman" w:cs="Times New Roman"/>
                <w:color w:val="000000" w:themeColor="text1"/>
                <w:kern w:val="0"/>
                <w:sz w:val="24"/>
                <w:highlight w:val="none"/>
                <w14:textFill>
                  <w14:solidFill>
                    <w14:schemeClr w14:val="tx1"/>
                  </w14:solidFill>
                </w14:textFill>
              </w:rPr>
              <w:t>相通，对外交通便利。</w:t>
            </w:r>
          </w:p>
          <w:p w14:paraId="0DF43DD7">
            <w:pPr>
              <w:widowControl/>
              <w:ind w:firstLine="454"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运营期不存在工程措施，只针对草地进行养护。设计草地养护期为3年。养护的主要内容是浇水，针对项目治理区内</w:t>
            </w:r>
            <w:r>
              <w:rPr>
                <w:rFonts w:hint="eastAsia" w:cs="Times New Roman"/>
                <w:color w:val="000000" w:themeColor="text1"/>
                <w:kern w:val="0"/>
                <w:sz w:val="24"/>
                <w:highlight w:val="none"/>
                <w:lang w:val="en-US" w:eastAsia="zh-CN"/>
                <w14:textFill>
                  <w14:solidFill>
                    <w14:schemeClr w14:val="tx1"/>
                  </w14:solidFill>
                </w14:textFill>
              </w:rPr>
              <w:t>7</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处种草区域。</w:t>
            </w:r>
          </w:p>
          <w:p w14:paraId="6B843413">
            <w:pPr>
              <w:widowControl/>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根据治理区周边多年植草经验，结合区域内降水量小，蒸发量大的特点，在6-8月份需进行人工补水。养护期结束后，逐步引导自然恢复。补水方式采用水罐车拉水，利用软管进行人工浇水。</w:t>
            </w:r>
          </w:p>
          <w:p w14:paraId="0C646A2D">
            <w:pPr>
              <w:pStyle w:val="2"/>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2、工程布局情况</w:t>
            </w:r>
          </w:p>
          <w:p w14:paraId="1ABD5532">
            <w:pPr>
              <w:bidi w:val="0"/>
              <w:rPr>
                <w:rFonts w:hint="eastAsia"/>
                <w:color w:val="000000" w:themeColor="text1"/>
                <w:highlight w:val="none"/>
                <w:lang w:val="en-US" w:eastAsia="zh-CN"/>
                <w14:textFill>
                  <w14:solidFill>
                    <w14:schemeClr w14:val="tx1"/>
                  </w14:solidFill>
                </w14:textFill>
              </w:rPr>
            </w:pPr>
            <w:r>
              <w:rPr>
                <w:rFonts w:hint="eastAsia"/>
                <w:color w:val="000000" w:themeColor="text1"/>
                <w:kern w:val="0"/>
                <w:sz w:val="24"/>
                <w:highlight w:val="none"/>
                <w:lang w:val="en-US" w:eastAsia="zh-CN"/>
                <w14:textFill>
                  <w14:solidFill>
                    <w14:schemeClr w14:val="tx1"/>
                  </w14:solidFill>
                </w14:textFill>
              </w:rPr>
              <w:t>本</w:t>
            </w:r>
            <w:r>
              <w:rPr>
                <w:color w:val="000000" w:themeColor="text1"/>
                <w:kern w:val="0"/>
                <w:sz w:val="24"/>
                <w:highlight w:val="none"/>
                <w14:textFill>
                  <w14:solidFill>
                    <w14:schemeClr w14:val="tx1"/>
                  </w14:solidFill>
                </w14:textFill>
              </w:rPr>
              <w:t>项目位于</w:t>
            </w:r>
            <w:r>
              <w:rPr>
                <w:rFonts w:hint="eastAsia"/>
                <w:color w:val="000000" w:themeColor="text1"/>
                <w:sz w:val="24"/>
                <w:highlight w:val="none"/>
                <w:lang w:eastAsia="zh-CN"/>
                <w14:textFill>
                  <w14:solidFill>
                    <w14:schemeClr w14:val="tx1"/>
                  </w14:solidFill>
                </w14:textFill>
              </w:rPr>
              <w:t>中</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卫</w:t>
            </w:r>
            <w:r>
              <w:rPr>
                <w:rFonts w:hint="default" w:ascii="Times New Roman" w:hAnsi="Times New Roman" w:cs="Times New Roman"/>
                <w:color w:val="000000" w:themeColor="text1"/>
                <w:sz w:val="24"/>
                <w:szCs w:val="24"/>
                <w:highlight w:val="none"/>
                <w:u w:val="none"/>
                <w14:textFill>
                  <w14:solidFill>
                    <w14:schemeClr w14:val="tx1"/>
                  </w14:solidFill>
                </w14:textFill>
              </w:rPr>
              <w:t>市沙坡头区</w:t>
            </w:r>
            <w:r>
              <w:rPr>
                <w:rFonts w:hint="eastAsia" w:cs="Times New Roman"/>
                <w:color w:val="000000" w:themeColor="text1"/>
                <w:sz w:val="24"/>
                <w:szCs w:val="24"/>
                <w:highlight w:val="none"/>
                <w:u w:val="none"/>
                <w:lang w:val="en-US" w:eastAsia="zh-CN"/>
                <w14:textFill>
                  <w14:solidFill>
                    <w14:schemeClr w14:val="tx1"/>
                  </w14:solidFill>
                </w14:textFill>
              </w:rPr>
              <w:t>宣和镇</w:t>
            </w:r>
            <w:r>
              <w:rPr>
                <w:rFonts w:hint="eastAsia"/>
                <w:color w:val="000000" w:themeColor="text1"/>
                <w:kern w:val="0"/>
                <w:sz w:val="24"/>
                <w:highlight w:val="none"/>
                <w:lang w:val="en-US" w:eastAsia="zh-CN"/>
                <w14:textFill>
                  <w14:solidFill>
                    <w14:schemeClr w14:val="tx1"/>
                  </w14:solidFill>
                </w14:textFill>
              </w:rPr>
              <w:t>，总治理面积94.17hm</w:t>
            </w:r>
            <w:r>
              <w:rPr>
                <w:rFonts w:hint="eastAsia"/>
                <w:color w:val="000000" w:themeColor="text1"/>
                <w:kern w:val="0"/>
                <w:sz w:val="24"/>
                <w:highlight w:val="none"/>
                <w:vertAlign w:val="superscript"/>
                <w:lang w:val="en-US" w:eastAsia="zh-CN"/>
                <w14:textFill>
                  <w14:solidFill>
                    <w14:schemeClr w14:val="tx1"/>
                  </w14:solidFill>
                </w14:textFill>
              </w:rPr>
              <w:t>2</w:t>
            </w:r>
            <w:r>
              <w:rPr>
                <w:rFonts w:hint="eastAsia"/>
                <w:color w:val="000000" w:themeColor="text1"/>
                <w:kern w:val="0"/>
                <w:sz w:val="24"/>
                <w:highlight w:val="none"/>
                <w:lang w:val="en-US" w:eastAsia="zh-CN"/>
                <w14:textFill>
                  <w14:solidFill>
                    <w14:schemeClr w14:val="tx1"/>
                  </w14:solidFill>
                </w14:textFill>
              </w:rPr>
              <w:t>，均为临时占地。</w:t>
            </w:r>
            <w:r>
              <w:rPr>
                <w:rFonts w:hint="eastAsia"/>
                <w:color w:val="000000" w:themeColor="text1"/>
                <w:highlight w:val="none"/>
                <w:lang w:val="en-US" w:eastAsia="zh-CN"/>
                <w14:textFill>
                  <w14:solidFill>
                    <w14:schemeClr w14:val="tx1"/>
                  </w14:solidFill>
                </w14:textFill>
              </w:rPr>
              <w:t>主要进行地貌恢复工程及边坡治理、截水埂修建及导流槽开挖、生态植被恢复等。</w:t>
            </w:r>
          </w:p>
          <w:p w14:paraId="25477721">
            <w:pPr>
              <w:widowControl/>
              <w:ind w:firstLine="454"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⑴</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地形</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地貌</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恢复工程</w:t>
            </w:r>
          </w:p>
          <w:p w14:paraId="62CE76BE">
            <w:pPr>
              <w:widowControl/>
              <w:ind w:firstLine="454" w:firstLineChars="200"/>
              <w:rPr>
                <w:rFonts w:hint="default" w:ascii="Times New Roman" w:hAnsi="Times New Roman" w:cs="Times New Roman"/>
                <w:color w:val="000000" w:themeColor="text1"/>
                <w:kern w:val="0"/>
                <w:sz w:val="24"/>
                <w:highlight w:val="none"/>
                <w14:textFill>
                  <w14:solidFill>
                    <w14:schemeClr w14:val="tx1"/>
                  </w14:solidFill>
                </w14:textFill>
              </w:rPr>
            </w:pPr>
            <w:r>
              <w:rPr>
                <w:rFonts w:hint="eastAsia" w:cs="Times New Roman"/>
                <w:color w:val="000000" w:themeColor="text1"/>
                <w:kern w:val="0"/>
                <w:sz w:val="24"/>
                <w:highlight w:val="none"/>
                <w:lang w:val="en-US" w:eastAsia="zh-CN"/>
                <w14:textFill>
                  <w14:solidFill>
                    <w14:schemeClr w14:val="tx1"/>
                  </w14:solidFill>
                </w14:textFill>
              </w:rPr>
              <w:t>矿产品清运</w:t>
            </w:r>
            <w:r>
              <w:rPr>
                <w:rFonts w:hint="default" w:ascii="Times New Roman" w:hAnsi="Times New Roman" w:cs="Times New Roman"/>
                <w:color w:val="000000" w:themeColor="text1"/>
                <w:kern w:val="0"/>
                <w:sz w:val="24"/>
                <w:highlight w:val="none"/>
                <w:lang w:eastAsia="zh-CN"/>
                <w14:textFill>
                  <w14:solidFill>
                    <w14:schemeClr w14:val="tx1"/>
                  </w14:solidFill>
                </w14:textFill>
              </w:rPr>
              <w:t>：项目区内有</w:t>
            </w:r>
            <w:r>
              <w:rPr>
                <w:rFonts w:hint="eastAsia" w:cs="Times New Roman"/>
                <w:color w:val="000000" w:themeColor="text1"/>
                <w:kern w:val="0"/>
                <w:sz w:val="24"/>
                <w:highlight w:val="none"/>
                <w:lang w:val="en-US" w:eastAsia="zh-CN"/>
                <w14:textFill>
                  <w14:solidFill>
                    <w14:schemeClr w14:val="tx1"/>
                  </w14:solidFill>
                </w14:textFill>
              </w:rPr>
              <w:t>2</w:t>
            </w:r>
            <w:r>
              <w:rPr>
                <w:rFonts w:hint="default" w:ascii="Times New Roman" w:hAnsi="Times New Roman" w:cs="Times New Roman"/>
                <w:color w:val="000000" w:themeColor="text1"/>
                <w:kern w:val="0"/>
                <w:sz w:val="24"/>
                <w:highlight w:val="none"/>
                <w:lang w:eastAsia="zh-CN"/>
                <w14:textFill>
                  <w14:solidFill>
                    <w14:schemeClr w14:val="tx1"/>
                  </w14:solidFill>
                </w14:textFill>
              </w:rPr>
              <w:t>处</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矿产品</w:t>
            </w:r>
            <w:r>
              <w:rPr>
                <w:rFonts w:hint="eastAsia" w:cs="Times New Roman"/>
                <w:color w:val="000000" w:themeColor="text1"/>
                <w:kern w:val="0"/>
                <w:sz w:val="24"/>
                <w:highlight w:val="none"/>
                <w:lang w:val="en-US" w:eastAsia="zh-CN"/>
                <w14:textFill>
                  <w14:solidFill>
                    <w14:schemeClr w14:val="tx1"/>
                  </w14:solidFill>
                </w14:textFill>
              </w:rPr>
              <w:t>堆存区</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需清理，清理需按照“由上至下、分区作业、先清隐患后运料”的原则有序推进</w:t>
            </w:r>
            <w:r>
              <w:rPr>
                <w:rFonts w:hint="eastAsia" w:ascii="Times New Roman" w:hAnsi="Times New Roman" w:cs="Times New Roman"/>
                <w:color w:val="000000" w:themeColor="text1"/>
                <w:kern w:val="0"/>
                <w:sz w:val="24"/>
                <w:highlight w:val="none"/>
                <w:lang w:eastAsia="zh-CN"/>
                <w14:textFill>
                  <w14:solidFill>
                    <w14:schemeClr w14:val="tx1"/>
                  </w14:solidFill>
                </w14:textFill>
              </w:rPr>
              <w:t>，</w:t>
            </w:r>
            <w:r>
              <w:rPr>
                <w:rFonts w:hint="eastAsia" w:cs="Times New Roman"/>
                <w:color w:val="000000" w:themeColor="text1"/>
                <w:kern w:val="0"/>
                <w:sz w:val="24"/>
                <w:highlight w:val="none"/>
                <w:lang w:val="en-US" w:eastAsia="zh-CN"/>
                <w14:textFill>
                  <w14:solidFill>
                    <w14:schemeClr w14:val="tx1"/>
                  </w14:solidFill>
                </w14:textFill>
              </w:rPr>
              <w:t>1处</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位于治理区</w:t>
            </w:r>
            <w:r>
              <w:rPr>
                <w:rFonts w:hint="eastAsia" w:cs="Times New Roman"/>
                <w:color w:val="000000" w:themeColor="text1"/>
                <w:kern w:val="0"/>
                <w:sz w:val="24"/>
                <w:highlight w:val="none"/>
                <w:lang w:val="en-US" w:eastAsia="zh-CN"/>
                <w14:textFill>
                  <w14:solidFill>
                    <w14:schemeClr w14:val="tx1"/>
                  </w14:solidFill>
                </w14:textFill>
              </w:rPr>
              <w:t>北</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侧</w:t>
            </w:r>
            <w:r>
              <w:rPr>
                <w:rFonts w:hint="eastAsia" w:cs="Times New Roman"/>
                <w:color w:val="000000" w:themeColor="text1"/>
                <w:kern w:val="0"/>
                <w:sz w:val="24"/>
                <w:highlight w:val="none"/>
                <w:lang w:val="en-US" w:eastAsia="zh-CN"/>
                <w14:textFill>
                  <w14:solidFill>
                    <w14:schemeClr w14:val="tx1"/>
                  </w14:solidFill>
                </w14:textFill>
              </w:rPr>
              <w:t>，1处位于治理区中部</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0"/>
                <w:sz w:val="24"/>
                <w:highlight w:val="none"/>
                <w14:textFill>
                  <w14:solidFill>
                    <w14:schemeClr w14:val="tx1"/>
                  </w14:solidFill>
                </w14:textFill>
              </w:rPr>
              <w:t>清理作业完成后，确保与周边地形地貌相协调。</w:t>
            </w:r>
          </w:p>
          <w:p w14:paraId="56C3F225">
            <w:pPr>
              <w:widowControl/>
              <w:ind w:firstLine="454"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坡面修整：项目治理区共有</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3</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处边坡需要修整，1处位于治理区</w:t>
            </w:r>
            <w:r>
              <w:rPr>
                <w:rFonts w:hint="eastAsia" w:cs="Times New Roman"/>
                <w:color w:val="000000" w:themeColor="text1"/>
                <w:kern w:val="0"/>
                <w:sz w:val="24"/>
                <w:highlight w:val="none"/>
                <w:lang w:val="en-US" w:eastAsia="zh-CN"/>
                <w14:textFill>
                  <w14:solidFill>
                    <w14:schemeClr w14:val="tx1"/>
                  </w14:solidFill>
                </w14:textFill>
              </w:rPr>
              <w:t>东北</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侧，1处位于治理区</w:t>
            </w:r>
            <w:r>
              <w:rPr>
                <w:rFonts w:hint="eastAsia" w:cs="Times New Roman"/>
                <w:color w:val="000000" w:themeColor="text1"/>
                <w:kern w:val="0"/>
                <w:sz w:val="24"/>
                <w:highlight w:val="none"/>
                <w:lang w:val="en-US" w:eastAsia="zh-CN"/>
                <w14:textFill>
                  <w14:solidFill>
                    <w14:schemeClr w14:val="tx1"/>
                  </w14:solidFill>
                </w14:textFill>
              </w:rPr>
              <w:t>西</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侧，1处位于治理区</w:t>
            </w:r>
            <w:r>
              <w:rPr>
                <w:rFonts w:hint="eastAsia" w:cs="Times New Roman"/>
                <w:color w:val="000000" w:themeColor="text1"/>
                <w:kern w:val="0"/>
                <w:sz w:val="24"/>
                <w:highlight w:val="none"/>
                <w:lang w:val="en-US" w:eastAsia="zh-CN"/>
                <w14:textFill>
                  <w14:solidFill>
                    <w14:schemeClr w14:val="tx1"/>
                  </w14:solidFill>
                </w14:textFill>
              </w:rPr>
              <w:t>南侧</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位置。</w:t>
            </w:r>
          </w:p>
          <w:p w14:paraId="03C1C080">
            <w:pPr>
              <w:widowControl/>
              <w:ind w:firstLine="454" w:firstLineChars="200"/>
              <w:rPr>
                <w:rFonts w:hint="eastAsia"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场区平整：项目区涉及土地平整区域3</w:t>
            </w:r>
            <w:r>
              <w:rPr>
                <w:rFonts w:hint="eastAsia" w:cs="Times New Roman"/>
                <w:color w:val="000000" w:themeColor="text1"/>
                <w:kern w:val="0"/>
                <w:sz w:val="24"/>
                <w:highlight w:val="none"/>
                <w:lang w:val="en-US" w:eastAsia="zh-CN"/>
                <w14:textFill>
                  <w14:solidFill>
                    <w14:schemeClr w14:val="tx1"/>
                  </w14:solidFill>
                </w14:textFill>
              </w:rPr>
              <w:t>处，面积为50468m</w:t>
            </w:r>
            <w:r>
              <w:rPr>
                <w:rFonts w:hint="eastAsia" w:cs="Times New Roman"/>
                <w:color w:val="000000" w:themeColor="text1"/>
                <w:kern w:val="0"/>
                <w:sz w:val="24"/>
                <w:highlight w:val="none"/>
                <w:vertAlign w:val="superscript"/>
                <w:lang w:val="en-US" w:eastAsia="zh-CN"/>
                <w14:textFill>
                  <w14:solidFill>
                    <w14:schemeClr w14:val="tx1"/>
                  </w14:solidFill>
                </w14:textFill>
              </w:rPr>
              <w:t>2</w:t>
            </w:r>
            <w:r>
              <w:rPr>
                <w:rFonts w:hint="eastAsia" w:cs="Times New Roman"/>
                <w:color w:val="000000" w:themeColor="text1"/>
                <w:kern w:val="0"/>
                <w:sz w:val="24"/>
                <w:highlight w:val="none"/>
                <w:lang w:val="en-US" w:eastAsia="zh-CN"/>
                <w14:textFill>
                  <w14:solidFill>
                    <w14:schemeClr w14:val="tx1"/>
                  </w14:solidFill>
                </w14:textFill>
              </w:rPr>
              <w:t>。本次治理对该区域进行土地平整，后续覆土工程不包含平整区域。</w:t>
            </w:r>
          </w:p>
          <w:p w14:paraId="5C453A46">
            <w:pPr>
              <w:widowControl/>
              <w:ind w:firstLine="454"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⑵</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截水导流工程</w:t>
            </w:r>
          </w:p>
          <w:p w14:paraId="0B9AFCBB">
            <w:pPr>
              <w:widowControl/>
              <w:ind w:firstLine="454"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截水埂：马道外侧设置截水埂，并且采用反坡设计，防止坡面集水形成的地面径流造成下级坡面的破坏</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w:t>
            </w:r>
          </w:p>
          <w:p w14:paraId="3C70D829">
            <w:pPr>
              <w:widowControl/>
              <w:ind w:firstLine="454"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eastAsia" w:cs="Times New Roman"/>
                <w:color w:val="000000" w:themeColor="text1"/>
                <w:kern w:val="0"/>
                <w:sz w:val="24"/>
                <w:highlight w:val="none"/>
                <w:lang w:val="en-US" w:eastAsia="zh-CN"/>
                <w14:textFill>
                  <w14:solidFill>
                    <w14:schemeClr w14:val="tx1"/>
                  </w14:solidFill>
                </w14:textFill>
              </w:rPr>
              <w:t>坡面</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导流槽：设计在土石方培坡的坡脚与原山体交界处设置导流槽，防止上游来水冲刷培坡区造成下切，使边坡失稳而塌方。</w:t>
            </w:r>
          </w:p>
          <w:p w14:paraId="54F2BFCA">
            <w:pPr>
              <w:widowControl/>
              <w:ind w:firstLine="454"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⑶</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生态植被恢复工程</w:t>
            </w:r>
          </w:p>
          <w:p w14:paraId="544B2480">
            <w:pPr>
              <w:widowControl/>
              <w:ind w:firstLine="454"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覆土工程、土地翻松：项目治理区内部分区域</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因</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渣石料</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长时间</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堆积，</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已</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不具备植被生长条件，共</w:t>
            </w:r>
            <w:r>
              <w:rPr>
                <w:rFonts w:hint="eastAsia" w:cs="Times New Roman"/>
                <w:color w:val="000000" w:themeColor="text1"/>
                <w:kern w:val="0"/>
                <w:sz w:val="24"/>
                <w:highlight w:val="none"/>
                <w:lang w:val="en-US" w:eastAsia="zh-CN"/>
                <w14:textFill>
                  <w14:solidFill>
                    <w14:schemeClr w14:val="tx1"/>
                  </w14:solidFill>
                </w14:textFill>
              </w:rPr>
              <w:t>4</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处</w:t>
            </w:r>
            <w:r>
              <w:rPr>
                <w:rFonts w:hint="eastAsia" w:cs="Times New Roman"/>
                <w:color w:val="000000" w:themeColor="text1"/>
                <w:kern w:val="0"/>
                <w:sz w:val="24"/>
                <w:highlight w:val="none"/>
                <w:lang w:val="en-US" w:eastAsia="zh-CN"/>
                <w14:textFill>
                  <w14:solidFill>
                    <w14:schemeClr w14:val="tx1"/>
                  </w14:solidFill>
                </w14:textFill>
              </w:rPr>
              <w:t>，其中2处为边坡区域，2处为矿产品堆积区域。因此对以上4处区域进行覆土翻松，土源为外购土方</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w:t>
            </w:r>
          </w:p>
          <w:p w14:paraId="69D431A1">
            <w:pPr>
              <w:widowControl/>
              <w:ind w:firstLine="454"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穴播种草：治理区经过多年的自然恢复和人工干预，部分区域自然恢复情况较好，该区域不进行工程措施，只针对恢复效果较差区域进行生态植被恢复工程。项目治理区内共</w:t>
            </w:r>
            <w:r>
              <w:rPr>
                <w:rFonts w:hint="eastAsia" w:cs="Times New Roman"/>
                <w:color w:val="000000" w:themeColor="text1"/>
                <w:kern w:val="0"/>
                <w:sz w:val="24"/>
                <w:highlight w:val="none"/>
                <w:lang w:val="en-US" w:eastAsia="zh-CN"/>
                <w14:textFill>
                  <w14:solidFill>
                    <w14:schemeClr w14:val="tx1"/>
                  </w14:solidFill>
                </w14:textFill>
              </w:rPr>
              <w:t>7</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处需要种草，基本覆盖项目区域全部。</w:t>
            </w:r>
          </w:p>
          <w:p w14:paraId="41913414">
            <w:pPr>
              <w:widowControl/>
              <w:ind w:firstLine="454" w:firstLineChars="200"/>
              <w:rPr>
                <w:rFonts w:hint="eastAsia" w:ascii="Times New Roman" w:hAnsi="Times New Roman"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项目工程布置图详见附图</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2-</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2。</w:t>
            </w:r>
          </w:p>
          <w:p w14:paraId="33F40029">
            <w:pPr>
              <w:pStyle w:val="2"/>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3、施工布置情况</w:t>
            </w:r>
          </w:p>
          <w:p w14:paraId="1FA24A6D">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为了便于管理，根据项目的分项工程合理安排施工顺序，依据工程特点和施工条件，研究和解决主要工程施工期间所需要的各种施工设施在平面和立面上的问题，建立健全施工组织，以便在施工总进度规定的期限内，完成整个工程的建设任务。</w:t>
            </w:r>
          </w:p>
          <w:p w14:paraId="182FD7D7">
            <w:pPr>
              <w:keepNext w:val="0"/>
              <w:keepLines w:val="0"/>
              <w:suppressLineNumbers w:val="0"/>
              <w:bidi w:val="0"/>
              <w:spacing w:before="0" w:beforeAutospacing="0" w:after="0" w:afterAutospacing="0"/>
              <w:ind w:left="0" w:right="0"/>
              <w:rPr>
                <w:rFonts w:hint="eastAsia" w:eastAsia="宋体"/>
                <w:color w:val="000000" w:themeColor="text1"/>
                <w:highlight w:val="none"/>
                <w:lang w:eastAsia="zh-CN"/>
                <w14:textFill>
                  <w14:solidFill>
                    <w14:schemeClr w14:val="tx1"/>
                  </w14:solidFill>
                </w14:textFill>
              </w:rPr>
            </w:pPr>
            <w:r>
              <w:rPr>
                <w:rFonts w:hint="default"/>
                <w:color w:val="000000" w:themeColor="text1"/>
                <w:highlight w:val="none"/>
                <w14:textFill>
                  <w14:solidFill>
                    <w14:schemeClr w14:val="tx1"/>
                  </w14:solidFill>
                </w14:textFill>
              </w:rPr>
              <w:t>总的布置原则应遵循因地制宜、利于施工、易于管理、方便生活、安全经济的原则。</w:t>
            </w:r>
          </w:p>
          <w:p w14:paraId="56056CFD">
            <w:pPr>
              <w:keepNext w:val="0"/>
              <w:keepLines w:val="0"/>
              <w:suppressLineNumbers w:val="0"/>
              <w:bidi w:val="0"/>
              <w:spacing w:before="0" w:beforeAutospacing="0" w:after="0" w:afterAutospacing="0"/>
              <w:ind w:left="0" w:right="0"/>
              <w:rPr>
                <w:rFonts w:hint="default"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fldChar w:fldCharType="begin"/>
            </w:r>
            <w:r>
              <w:rPr>
                <w:rFonts w:hint="default" w:ascii="Times New Roman" w:hAnsi="Times New Roman" w:cs="Times New Roman"/>
                <w:color w:val="000000" w:themeColor="text1"/>
                <w:highlight w:val="none"/>
                <w:lang w:val="en-US" w:eastAsia="zh-CN"/>
                <w14:textFill>
                  <w14:solidFill>
                    <w14:schemeClr w14:val="tx1"/>
                  </w14:solidFill>
                </w14:textFill>
              </w:rPr>
              <w:instrText xml:space="preserve"> = 1 \* GB2 \* MERGEFORMAT </w:instrTex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⑴</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end"/>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施工区、生活区划分</w:t>
            </w:r>
          </w:p>
          <w:p w14:paraId="180EE1BF">
            <w:pPr>
              <w:keepNext w:val="0"/>
              <w:keepLines w:val="0"/>
              <w:suppressLineNumbers w:val="0"/>
              <w:bidi w:val="0"/>
              <w:spacing w:before="0" w:beforeAutospacing="0" w:after="0" w:afterAutospacing="0"/>
              <w:ind w:left="0" w:right="0"/>
              <w:rPr>
                <w:rFonts w:hint="default"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default" w:ascii="宋体" w:hAnsi="宋体" w:eastAsia="宋体" w:cs="宋体"/>
                <w:b w:val="0"/>
                <w:bCs w:val="0"/>
                <w:color w:val="000000" w:themeColor="text1"/>
                <w:sz w:val="24"/>
                <w:szCs w:val="24"/>
                <w:highlight w:val="none"/>
                <w:lang w:val="en-US" w:eastAsia="zh-CN"/>
                <w14:textFill>
                  <w14:solidFill>
                    <w14:schemeClr w14:val="tx1"/>
                  </w14:solidFill>
                </w14:textFill>
              </w:rPr>
              <w:t>项目施工人员不在施工区域内住宿，不设置临时施工</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生活</w:t>
            </w:r>
            <w:r>
              <w:rPr>
                <w:rFonts w:hint="default" w:ascii="宋体" w:hAnsi="宋体" w:eastAsia="宋体" w:cs="宋体"/>
                <w:b w:val="0"/>
                <w:bCs w:val="0"/>
                <w:color w:val="000000" w:themeColor="text1"/>
                <w:sz w:val="24"/>
                <w:szCs w:val="24"/>
                <w:highlight w:val="none"/>
                <w:lang w:val="en-US" w:eastAsia="zh-CN"/>
                <w14:textFill>
                  <w14:solidFill>
                    <w14:schemeClr w14:val="tx1"/>
                  </w14:solidFill>
                </w14:textFill>
              </w:rPr>
              <w:t>营地，施工</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生活</w:t>
            </w:r>
            <w:r>
              <w:rPr>
                <w:rFonts w:hint="default" w:ascii="宋体" w:hAnsi="宋体" w:eastAsia="宋体" w:cs="宋体"/>
                <w:b w:val="0"/>
                <w:bCs w:val="0"/>
                <w:color w:val="000000" w:themeColor="text1"/>
                <w:sz w:val="24"/>
                <w:szCs w:val="24"/>
                <w:highlight w:val="none"/>
                <w:lang w:val="en-US" w:eastAsia="zh-CN"/>
                <w14:textFill>
                  <w14:solidFill>
                    <w14:schemeClr w14:val="tx1"/>
                  </w14:solidFill>
                </w14:textFill>
              </w:rPr>
              <w:t>营地依托项目区周边村庄</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w:t>
            </w:r>
          </w:p>
          <w:p w14:paraId="2D31D4C8">
            <w:pPr>
              <w:keepNext w:val="0"/>
              <w:keepLines w:val="0"/>
              <w:suppressLineNumbers w:val="0"/>
              <w:bidi w:val="0"/>
              <w:spacing w:before="0" w:beforeAutospacing="0" w:after="0" w:afterAutospacing="0"/>
              <w:ind w:left="0" w:right="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fldChar w:fldCharType="begin"/>
            </w:r>
            <w:r>
              <w:rPr>
                <w:rFonts w:hint="default" w:ascii="Times New Roman" w:hAnsi="Times New Roman" w:cs="Times New Roman"/>
                <w:color w:val="000000" w:themeColor="text1"/>
                <w:highlight w:val="none"/>
                <w:lang w:val="en-US" w:eastAsia="zh-CN"/>
                <w14:textFill>
                  <w14:solidFill>
                    <w14:schemeClr w14:val="tx1"/>
                  </w14:solidFill>
                </w14:textFill>
              </w:rPr>
              <w:instrText xml:space="preserve"> = 2 \* GB2 \* MERGEFORMAT </w:instrTex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⑵</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end"/>
            </w:r>
            <w:r>
              <w:rPr>
                <w:rFonts w:hint="eastAsia" w:ascii="Times New Roman" w:hAnsi="Times New Roman" w:cs="Times New Roman"/>
                <w:color w:val="000000" w:themeColor="text1"/>
                <w:highlight w:val="none"/>
                <w:lang w:val="en-US" w:eastAsia="zh-CN"/>
                <w14:textFill>
                  <w14:solidFill>
                    <w14:schemeClr w14:val="tx1"/>
                  </w14:solidFill>
                </w14:textFill>
              </w:rPr>
              <w:t>施工道路</w:t>
            </w:r>
          </w:p>
          <w:p w14:paraId="6D216CFC">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治理区周边分布有县道、乡道等交通运输道路，交通便利。同时治理区范围内设有</w:t>
            </w:r>
            <w:r>
              <w:rPr>
                <w:rFonts w:hint="eastAsia"/>
                <w:color w:val="000000" w:themeColor="text1"/>
                <w:highlight w:val="none"/>
                <w:lang w:val="en-US" w:eastAsia="zh-CN"/>
                <w14:textFill>
                  <w14:solidFill>
                    <w14:schemeClr w14:val="tx1"/>
                  </w14:solidFill>
                </w14:textFill>
              </w:rPr>
              <w:t>原矿区运输道路</w:t>
            </w:r>
            <w:r>
              <w:rPr>
                <w:rFonts w:hint="default"/>
                <w:color w:val="000000" w:themeColor="text1"/>
                <w:highlight w:val="none"/>
                <w:lang w:val="en-US" w:eastAsia="zh-CN"/>
                <w14:textFill>
                  <w14:solidFill>
                    <w14:schemeClr w14:val="tx1"/>
                  </w14:solidFill>
                </w14:textFill>
              </w:rPr>
              <w:t>。</w:t>
            </w:r>
          </w:p>
          <w:p w14:paraId="6CE48874">
            <w:pPr>
              <w:keepNext w:val="0"/>
              <w:keepLines w:val="0"/>
              <w:suppressLineNumbers w:val="0"/>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fldChar w:fldCharType="begin"/>
            </w:r>
            <w:r>
              <w:rPr>
                <w:rFonts w:hint="default" w:ascii="Times New Roman" w:hAnsi="Times New Roman" w:cs="Times New Roman"/>
                <w:color w:val="000000" w:themeColor="text1"/>
                <w:highlight w:val="none"/>
                <w:lang w:val="en-US" w:eastAsia="zh-CN"/>
                <w14:textFill>
                  <w14:solidFill>
                    <w14:schemeClr w14:val="tx1"/>
                  </w14:solidFill>
                </w14:textFill>
              </w:rPr>
              <w:instrText xml:space="preserve"> = 3 \* GB2 \* MERGEFORMAT </w:instrTex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⑶</w:t>
            </w:r>
            <w:r>
              <w:rPr>
                <w:rFonts w:hint="default" w:ascii="Times New Roman" w:hAnsi="Times New Roman" w:cs="Times New Roman"/>
                <w:color w:val="000000" w:themeColor="text1"/>
                <w:highlight w:val="none"/>
                <w:lang w:val="en-US" w:eastAsia="zh-CN"/>
                <w14:textFill>
                  <w14:solidFill>
                    <w14:schemeClr w14:val="tx1"/>
                  </w14:solidFill>
                </w14:textFill>
              </w:rPr>
              <w:fldChar w:fldCharType="end"/>
            </w:r>
            <w:r>
              <w:rPr>
                <w:rFonts w:hint="default"/>
                <w:color w:val="000000" w:themeColor="text1"/>
                <w:highlight w:val="none"/>
                <w:lang w:val="en-US" w:eastAsia="zh-CN"/>
                <w14:textFill>
                  <w14:solidFill>
                    <w14:schemeClr w14:val="tx1"/>
                  </w14:solidFill>
                </w14:textFill>
              </w:rPr>
              <w:t>供水</w:t>
            </w:r>
          </w:p>
          <w:p w14:paraId="2ECE1FF3">
            <w:pPr>
              <w:widowControl/>
              <w:wordWrap w:val="0"/>
              <w:ind w:firstLine="454"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施工用水购自周边村镇，由水罐车拉运</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现场设置1个12m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不锈钢水箱，用水能够满足项目用水需求。</w:t>
            </w:r>
          </w:p>
          <w:p w14:paraId="0EC2896B">
            <w:pPr>
              <w:keepNext w:val="0"/>
              <w:keepLines w:val="0"/>
              <w:suppressLineNumbers w:val="0"/>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fldChar w:fldCharType="begin"/>
            </w:r>
            <w:r>
              <w:rPr>
                <w:rFonts w:hint="default"/>
                <w:color w:val="000000" w:themeColor="text1"/>
                <w:highlight w:val="none"/>
                <w:lang w:val="en-US" w:eastAsia="zh-CN"/>
                <w14:textFill>
                  <w14:solidFill>
                    <w14:schemeClr w14:val="tx1"/>
                  </w14:solidFill>
                </w14:textFill>
              </w:rPr>
              <w:instrText xml:space="preserve"> = 4 \* GB2 \* MERGEFORMAT </w:instrText>
            </w:r>
            <w:r>
              <w:rPr>
                <w:rFonts w:hint="default"/>
                <w:color w:val="000000" w:themeColor="text1"/>
                <w:highlight w:val="none"/>
                <w:lang w:val="en-US" w:eastAsia="zh-CN"/>
                <w14:textFill>
                  <w14:solidFill>
                    <w14:schemeClr w14:val="tx1"/>
                  </w14:solidFill>
                </w14:textFill>
              </w:rPr>
              <w:fldChar w:fldCharType="separate"/>
            </w:r>
            <w:r>
              <w:rPr>
                <w:rFonts w:hint="default"/>
                <w:color w:val="000000" w:themeColor="text1"/>
                <w:highlight w:val="none"/>
                <w14:textFill>
                  <w14:solidFill>
                    <w14:schemeClr w14:val="tx1"/>
                  </w14:solidFill>
                </w14:textFill>
              </w:rPr>
              <w:t>⑷</w:t>
            </w:r>
            <w:r>
              <w:rPr>
                <w:rFonts w:hint="default"/>
                <w:color w:val="000000" w:themeColor="text1"/>
                <w:highlight w:val="none"/>
                <w:lang w:val="en-US" w:eastAsia="zh-CN"/>
                <w14:textFill>
                  <w14:solidFill>
                    <w14:schemeClr w14:val="tx1"/>
                  </w14:solidFill>
                </w14:textFill>
              </w:rPr>
              <w:fldChar w:fldCharType="end"/>
            </w:r>
            <w:r>
              <w:rPr>
                <w:rFonts w:hint="default"/>
                <w:color w:val="000000" w:themeColor="text1"/>
                <w:highlight w:val="none"/>
                <w:lang w:val="en-US" w:eastAsia="zh-CN"/>
                <w14:textFill>
                  <w14:solidFill>
                    <w14:schemeClr w14:val="tx1"/>
                  </w14:solidFill>
                </w14:textFill>
              </w:rPr>
              <w:t>供电</w:t>
            </w:r>
          </w:p>
          <w:p w14:paraId="7D647370">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施工期用电由附近供电电网接入。</w:t>
            </w:r>
          </w:p>
          <w:p w14:paraId="7ABAC3BE">
            <w:pPr>
              <w:keepNext w:val="0"/>
              <w:keepLines w:val="0"/>
              <w:suppressLineNumbers w:val="0"/>
              <w:bidi w:val="0"/>
              <w:spacing w:before="0" w:beforeAutospacing="0" w:after="0" w:afterAutospacing="0"/>
              <w:ind w:left="0" w:right="0"/>
              <w:rPr>
                <w:rFonts w:hint="default" w:ascii="宋体" w:hAnsi="宋体" w:eastAsia="宋体" w:cs="宋体"/>
                <w:b w:val="0"/>
                <w:bCs w:val="0"/>
                <w:color w:val="000000" w:themeColor="text1"/>
                <w:sz w:val="24"/>
                <w:szCs w:val="24"/>
                <w:highlight w:val="none"/>
                <w14:textFill>
                  <w14:solidFill>
                    <w14:schemeClr w14:val="tx1"/>
                  </w14:solidFill>
                </w14:textFill>
              </w:rPr>
            </w:pPr>
            <w:r>
              <w:rPr>
                <w:rFonts w:hint="default" w:ascii="宋体" w:hAnsi="宋体" w:eastAsia="宋体" w:cs="宋体"/>
                <w:b w:val="0"/>
                <w:bCs w:val="0"/>
                <w:color w:val="000000" w:themeColor="text1"/>
                <w:sz w:val="24"/>
                <w:szCs w:val="24"/>
                <w:highlight w:val="none"/>
                <w14:textFill>
                  <w14:solidFill>
                    <w14:schemeClr w14:val="tx1"/>
                  </w14:solidFill>
                </w14:textFill>
              </w:rPr>
              <w:fldChar w:fldCharType="begin"/>
            </w:r>
            <w:r>
              <w:rPr>
                <w:rFonts w:hint="default" w:ascii="宋体" w:hAnsi="宋体" w:eastAsia="宋体" w:cs="宋体"/>
                <w:b w:val="0"/>
                <w:bCs w:val="0"/>
                <w:color w:val="000000" w:themeColor="text1"/>
                <w:sz w:val="24"/>
                <w:szCs w:val="24"/>
                <w:highlight w:val="none"/>
                <w14:textFill>
                  <w14:solidFill>
                    <w14:schemeClr w14:val="tx1"/>
                  </w14:solidFill>
                </w14:textFill>
              </w:rPr>
              <w:instrText xml:space="preserve"> = 5 \* GB2 \* MERGEFORMAT </w:instrText>
            </w:r>
            <w:r>
              <w:rPr>
                <w:rFonts w:hint="default" w:ascii="宋体" w:hAnsi="宋体" w:eastAsia="宋体" w:cs="宋体"/>
                <w:b w:val="0"/>
                <w:bCs w:val="0"/>
                <w:color w:val="000000" w:themeColor="text1"/>
                <w:sz w:val="24"/>
                <w:szCs w:val="24"/>
                <w:highlight w:val="none"/>
                <w14:textFill>
                  <w14:solidFill>
                    <w14:schemeClr w14:val="tx1"/>
                  </w14:solidFill>
                </w14:textFill>
              </w:rPr>
              <w:fldChar w:fldCharType="separate"/>
            </w:r>
            <w:r>
              <w:rPr>
                <w:rFonts w:hint="default"/>
                <w:color w:val="000000" w:themeColor="text1"/>
                <w:highlight w:val="none"/>
                <w14:textFill>
                  <w14:solidFill>
                    <w14:schemeClr w14:val="tx1"/>
                  </w14:solidFill>
                </w14:textFill>
              </w:rPr>
              <w:t>⑸</w:t>
            </w:r>
            <w:r>
              <w:rPr>
                <w:rFonts w:hint="default" w:ascii="宋体" w:hAnsi="宋体" w:eastAsia="宋体" w:cs="宋体"/>
                <w:b w:val="0"/>
                <w:bCs w:val="0"/>
                <w:color w:val="000000" w:themeColor="text1"/>
                <w:sz w:val="24"/>
                <w:szCs w:val="24"/>
                <w:highlight w:val="none"/>
                <w14:textFill>
                  <w14:solidFill>
                    <w14:schemeClr w14:val="tx1"/>
                  </w14:solidFill>
                </w14:textFill>
              </w:rPr>
              <w:fldChar w:fldCharType="end"/>
            </w:r>
            <w:r>
              <w:rPr>
                <w:rFonts w:hint="default" w:ascii="宋体" w:hAnsi="宋体" w:eastAsia="宋体" w:cs="宋体"/>
                <w:b w:val="0"/>
                <w:bCs w:val="0"/>
                <w:color w:val="000000" w:themeColor="text1"/>
                <w:sz w:val="24"/>
                <w:szCs w:val="24"/>
                <w:highlight w:val="none"/>
                <w14:textFill>
                  <w14:solidFill>
                    <w14:schemeClr w14:val="tx1"/>
                  </w14:solidFill>
                </w14:textFill>
              </w:rPr>
              <w:t>施工技术、设备供应</w:t>
            </w:r>
          </w:p>
          <w:p w14:paraId="51C8F03B">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ascii="宋体" w:hAnsi="宋体" w:eastAsia="宋体" w:cs="宋体"/>
                <w:b w:val="0"/>
                <w:bCs w:val="0"/>
                <w:color w:val="000000" w:themeColor="text1"/>
                <w:sz w:val="24"/>
                <w:szCs w:val="24"/>
                <w:highlight w:val="none"/>
                <w14:textFill>
                  <w14:solidFill>
                    <w14:schemeClr w14:val="tx1"/>
                  </w14:solidFill>
                </w14:textFill>
              </w:rPr>
              <w:t>施工技术供应是保证施工</w:t>
            </w:r>
            <w:r>
              <w:rPr>
                <w:rFonts w:hint="eastAsia" w:ascii="宋体" w:hAnsi="宋体" w:cs="宋体"/>
                <w:b w:val="0"/>
                <w:bCs w:val="0"/>
                <w:color w:val="000000" w:themeColor="text1"/>
                <w:sz w:val="24"/>
                <w:szCs w:val="24"/>
                <w:highlight w:val="none"/>
                <w:lang w:eastAsia="zh-CN"/>
                <w14:textFill>
                  <w14:solidFill>
                    <w14:schemeClr w14:val="tx1"/>
                  </w14:solidFill>
                </w14:textFill>
              </w:rPr>
              <w:t>顺利开展</w:t>
            </w:r>
            <w:r>
              <w:rPr>
                <w:rFonts w:hint="default" w:ascii="宋体" w:hAnsi="宋体" w:eastAsia="宋体" w:cs="宋体"/>
                <w:b w:val="0"/>
                <w:bCs w:val="0"/>
                <w:color w:val="000000" w:themeColor="text1"/>
                <w:sz w:val="24"/>
                <w:szCs w:val="24"/>
                <w:highlight w:val="none"/>
                <w14:textFill>
                  <w14:solidFill>
                    <w14:schemeClr w14:val="tx1"/>
                  </w14:solidFill>
                </w14:textFill>
              </w:rPr>
              <w:t>的关键。施工机械的先进程度和完好率，是保证整个工程能否按计划进度要求完成的基础。因此，必须根据技术要求和施工进度计划，及时</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做好</w:t>
            </w:r>
            <w:r>
              <w:rPr>
                <w:rFonts w:hint="default" w:ascii="宋体" w:hAnsi="宋体" w:eastAsia="宋体" w:cs="宋体"/>
                <w:b w:val="0"/>
                <w:bCs w:val="0"/>
                <w:color w:val="000000" w:themeColor="text1"/>
                <w:sz w:val="24"/>
                <w:szCs w:val="24"/>
                <w:highlight w:val="none"/>
                <w14:textFill>
                  <w14:solidFill>
                    <w14:schemeClr w14:val="tx1"/>
                  </w14:solidFill>
                </w14:textFill>
              </w:rPr>
              <w:t>技术供应和机械保养等工作。</w:t>
            </w:r>
          </w:p>
          <w:p w14:paraId="51BFFFBA">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fldChar w:fldCharType="begin"/>
            </w:r>
            <w:r>
              <w:rPr>
                <w:rFonts w:hint="default"/>
                <w:color w:val="000000" w:themeColor="text1"/>
                <w:highlight w:val="none"/>
                <w:lang w:val="en-US" w:eastAsia="zh-CN"/>
                <w14:textFill>
                  <w14:solidFill>
                    <w14:schemeClr w14:val="tx1"/>
                  </w14:solidFill>
                </w14:textFill>
              </w:rPr>
              <w:instrText xml:space="preserve"> = 6 \* GB2 \* MERGEFORMAT </w:instrText>
            </w:r>
            <w:r>
              <w:rPr>
                <w:rFonts w:hint="default"/>
                <w:color w:val="000000" w:themeColor="text1"/>
                <w:highlight w:val="none"/>
                <w:lang w:val="en-US" w:eastAsia="zh-CN"/>
                <w14:textFill>
                  <w14:solidFill>
                    <w14:schemeClr w14:val="tx1"/>
                  </w14:solidFill>
                </w14:textFill>
              </w:rPr>
              <w:fldChar w:fldCharType="separate"/>
            </w:r>
            <w:r>
              <w:rPr>
                <w:rFonts w:hint="default"/>
                <w:color w:val="000000" w:themeColor="text1"/>
                <w:highlight w:val="none"/>
                <w14:textFill>
                  <w14:solidFill>
                    <w14:schemeClr w14:val="tx1"/>
                  </w14:solidFill>
                </w14:textFill>
              </w:rPr>
              <w:t>⑹</w:t>
            </w:r>
            <w:r>
              <w:rPr>
                <w:rFonts w:hint="default"/>
                <w:color w:val="000000" w:themeColor="text1"/>
                <w:highlight w:val="none"/>
                <w:lang w:val="en-US" w:eastAsia="zh-CN"/>
                <w14:textFill>
                  <w14:solidFill>
                    <w14:schemeClr w14:val="tx1"/>
                  </w14:solidFill>
                </w14:textFill>
              </w:rPr>
              <w:fldChar w:fldCharType="end"/>
            </w:r>
            <w:r>
              <w:rPr>
                <w:rFonts w:hint="eastAsia"/>
                <w:color w:val="000000" w:themeColor="text1"/>
                <w:highlight w:val="none"/>
                <w:lang w:val="en-US" w:eastAsia="zh-CN"/>
                <w14:textFill>
                  <w14:solidFill>
                    <w14:schemeClr w14:val="tx1"/>
                  </w14:solidFill>
                </w14:textFill>
              </w:rPr>
              <w:t>临时工程</w:t>
            </w:r>
          </w:p>
          <w:p w14:paraId="4C7DD01B">
            <w:pPr>
              <w:keepNext w:val="0"/>
              <w:keepLines w:val="0"/>
              <w:suppressLineNumbers w:val="0"/>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施工</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生活</w:t>
            </w:r>
            <w:r>
              <w:rPr>
                <w:rFonts w:hint="default"/>
                <w:color w:val="000000" w:themeColor="text1"/>
                <w:highlight w:val="none"/>
                <w:lang w:val="en-US" w:eastAsia="zh-CN"/>
                <w14:textFill>
                  <w14:solidFill>
                    <w14:schemeClr w14:val="tx1"/>
                  </w14:solidFill>
                </w14:textFill>
              </w:rPr>
              <w:t>营地</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项目施工人员不在施工区域内住宿，不设置临时施工</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生活</w:t>
            </w:r>
            <w:r>
              <w:rPr>
                <w:rFonts w:hint="default"/>
                <w:color w:val="000000" w:themeColor="text1"/>
                <w:highlight w:val="none"/>
                <w:lang w:val="en-US" w:eastAsia="zh-CN"/>
                <w14:textFill>
                  <w14:solidFill>
                    <w14:schemeClr w14:val="tx1"/>
                  </w14:solidFill>
                </w14:textFill>
              </w:rPr>
              <w:t>营地，施工</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生活</w:t>
            </w:r>
            <w:r>
              <w:rPr>
                <w:rFonts w:hint="default"/>
                <w:color w:val="000000" w:themeColor="text1"/>
                <w:highlight w:val="none"/>
                <w:lang w:val="en-US" w:eastAsia="zh-CN"/>
                <w14:textFill>
                  <w14:solidFill>
                    <w14:schemeClr w14:val="tx1"/>
                  </w14:solidFill>
                </w14:textFill>
              </w:rPr>
              <w:t>营地依托项目区周边村庄</w:t>
            </w:r>
            <w:r>
              <w:rPr>
                <w:rFonts w:hint="eastAsia"/>
                <w:color w:val="000000" w:themeColor="text1"/>
                <w:highlight w:val="none"/>
                <w:lang w:val="en-US" w:eastAsia="zh-CN"/>
                <w14:textFill>
                  <w14:solidFill>
                    <w14:schemeClr w14:val="tx1"/>
                  </w14:solidFill>
                </w14:textFill>
              </w:rPr>
              <w:t>。</w:t>
            </w:r>
          </w:p>
          <w:p w14:paraId="3032EC4A">
            <w:pPr>
              <w:keepNext w:val="0"/>
              <w:keepLines w:val="0"/>
              <w:suppressLineNumbers w:val="0"/>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施工便道</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治理区周边分布有道、乡道等交通运输道路，交通便利。同时治理区范围内设有</w:t>
            </w:r>
            <w:r>
              <w:rPr>
                <w:rFonts w:hint="eastAsia"/>
                <w:color w:val="000000" w:themeColor="text1"/>
                <w:highlight w:val="none"/>
                <w:lang w:val="en-US" w:eastAsia="zh-CN"/>
                <w14:textFill>
                  <w14:solidFill>
                    <w14:schemeClr w14:val="tx1"/>
                  </w14:solidFill>
                </w14:textFill>
              </w:rPr>
              <w:t>原矿区运输道路。</w:t>
            </w:r>
          </w:p>
        </w:tc>
      </w:tr>
      <w:tr w14:paraId="7F45D8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92" w:hRule="atLeast"/>
          <w:jc w:val="center"/>
        </w:trPr>
        <w:tc>
          <w:tcPr>
            <w:tcW w:w="646" w:type="dxa"/>
            <w:noWrap w:val="0"/>
            <w:vAlign w:val="center"/>
          </w:tcPr>
          <w:p w14:paraId="6B2E3FD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000000" w:themeColor="text1"/>
                <w:kern w:val="0"/>
                <w:szCs w:val="21"/>
                <w:highlight w:val="none"/>
                <w14:textFill>
                  <w14:solidFill>
                    <w14:schemeClr w14:val="tx1"/>
                  </w14:solidFill>
                </w14:textFill>
              </w:rPr>
            </w:pPr>
            <w:r>
              <w:rPr>
                <w:b/>
                <w:bCs/>
                <w:color w:val="000000" w:themeColor="text1"/>
                <w:kern w:val="0"/>
                <w:sz w:val="24"/>
                <w:szCs w:val="21"/>
                <w:highlight w:val="none"/>
                <w14:textFill>
                  <w14:solidFill>
                    <w14:schemeClr w14:val="tx1"/>
                  </w14:solidFill>
                </w14:textFill>
              </w:rPr>
              <w:t>施工方案</w:t>
            </w:r>
          </w:p>
        </w:tc>
        <w:tc>
          <w:tcPr>
            <w:tcW w:w="8444" w:type="dxa"/>
            <w:noWrap w:val="0"/>
            <w:vAlign w:val="center"/>
          </w:tcPr>
          <w:p w14:paraId="393012F1">
            <w:pPr>
              <w:pStyle w:val="2"/>
              <w:numPr>
                <w:ilvl w:val="0"/>
                <w:numId w:val="2"/>
              </w:num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施工工艺</w:t>
            </w:r>
          </w:p>
          <w:p w14:paraId="2F85D8DA">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根据治理区生态环境问题特点，本次治理包括</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地形地貌恢复工程、截排水工程、生态恢复工程</w:t>
            </w:r>
            <w:r>
              <w:rPr>
                <w:rFonts w:hint="eastAsia"/>
                <w:color w:val="000000" w:themeColor="text1"/>
                <w:highlight w:val="none"/>
                <w:lang w:val="en-US" w:eastAsia="zh-CN"/>
                <w14:textFill>
                  <w14:solidFill>
                    <w14:schemeClr w14:val="tx1"/>
                  </w14:solidFill>
                </w14:textFill>
              </w:rPr>
              <w:t>等工程措施。结合治理区现状问题因施工方案因地制宜的选取不同的工程治理措施。施工期工艺流程及产污环节见图2-2。</w:t>
            </w:r>
          </w:p>
          <w:p w14:paraId="61AD4F34">
            <w:pPr>
              <w:ind w:left="0" w:leftChars="0" w:firstLine="0" w:firstLineChars="0"/>
              <w:jc w:val="center"/>
              <w:rPr>
                <w:b/>
                <w:bCs/>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object>
                <v:shape id="_x0000_i1026" o:spt="75" type="#_x0000_t75" style="height:211.55pt;width:415.65pt;" o:ole="t" filled="f" o:preferrelative="t" stroked="f" coordsize="21600,21600">
                  <v:path/>
                  <v:fill on="f" focussize="0,0"/>
                  <v:stroke on="f"/>
                  <v:imagedata r:id="rId12" o:title=""/>
                  <o:lock v:ext="edit" aspectratio="f"/>
                  <w10:wrap type="none"/>
                  <w10:anchorlock/>
                </v:shape>
                <o:OLEObject Type="Embed" ProgID="Visio.Drawing.11" ShapeID="_x0000_i1026" DrawAspect="Content" ObjectID="_1468075726" r:id="rId11">
                  <o:LockedField>false</o:LockedField>
                </o:OLEObject>
              </w:object>
            </w:r>
            <w:r>
              <w:rPr>
                <w:rFonts w:hint="eastAsia" w:eastAsia="黑体"/>
                <w:color w:val="000000" w:themeColor="text1"/>
                <w:kern w:val="0"/>
                <w:sz w:val="24"/>
                <w:szCs w:val="20"/>
                <w:highlight w:val="none"/>
                <w14:textFill>
                  <w14:solidFill>
                    <w14:schemeClr w14:val="tx1"/>
                  </w14:solidFill>
                </w14:textFill>
              </w:rPr>
              <w:t>图2-</w:t>
            </w:r>
            <w:r>
              <w:rPr>
                <w:rFonts w:hint="eastAsia" w:eastAsia="黑体"/>
                <w:color w:val="000000" w:themeColor="text1"/>
                <w:kern w:val="0"/>
                <w:sz w:val="24"/>
                <w:szCs w:val="20"/>
                <w:highlight w:val="none"/>
                <w:lang w:val="en-US" w:eastAsia="zh-CN"/>
                <w14:textFill>
                  <w14:solidFill>
                    <w14:schemeClr w14:val="tx1"/>
                  </w14:solidFill>
                </w14:textFill>
              </w:rPr>
              <w:t>2</w:t>
            </w:r>
            <w:r>
              <w:rPr>
                <w:rFonts w:eastAsia="黑体"/>
                <w:color w:val="000000" w:themeColor="text1"/>
                <w:kern w:val="0"/>
                <w:sz w:val="24"/>
                <w:szCs w:val="20"/>
                <w:highlight w:val="none"/>
                <w14:textFill>
                  <w14:solidFill>
                    <w14:schemeClr w14:val="tx1"/>
                  </w14:solidFill>
                </w14:textFill>
              </w:rPr>
              <w:t xml:space="preserve"> </w:t>
            </w:r>
            <w:r>
              <w:rPr>
                <w:rFonts w:hint="eastAsia" w:eastAsia="黑体"/>
                <w:color w:val="000000" w:themeColor="text1"/>
                <w:kern w:val="0"/>
                <w:sz w:val="24"/>
                <w:szCs w:val="20"/>
                <w:highlight w:val="none"/>
                <w14:textFill>
                  <w14:solidFill>
                    <w14:schemeClr w14:val="tx1"/>
                  </w14:solidFill>
                </w14:textFill>
              </w:rPr>
              <w:t xml:space="preserve"> 施工工艺流程图</w:t>
            </w:r>
          </w:p>
          <w:p w14:paraId="131902AD">
            <w:pPr>
              <w:bidi w:val="0"/>
              <w:rPr>
                <w:rFonts w:hint="default"/>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⑴</w:t>
            </w:r>
            <w:r>
              <w:rPr>
                <w:rFonts w:hint="eastAsia" w:eastAsia="宋体"/>
                <w:color w:val="000000" w:themeColor="text1"/>
                <w:highlight w:val="none"/>
                <w:lang w:val="en-US" w:eastAsia="zh-CN"/>
                <w14:textFill>
                  <w14:solidFill>
                    <w14:schemeClr w14:val="tx1"/>
                  </w14:solidFill>
                </w14:textFill>
              </w:rPr>
              <w:t>地形地貌恢复</w:t>
            </w:r>
            <w:r>
              <w:rPr>
                <w:rFonts w:hint="default"/>
                <w:color w:val="000000" w:themeColor="text1"/>
                <w:highlight w:val="none"/>
                <w14:textFill>
                  <w14:solidFill>
                    <w14:schemeClr w14:val="tx1"/>
                  </w14:solidFill>
                </w14:textFill>
              </w:rPr>
              <w:t>工程</w:t>
            </w:r>
          </w:p>
          <w:p w14:paraId="48C6001A">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①矿产品清运</w:t>
            </w:r>
          </w:p>
          <w:p w14:paraId="303F4FE0">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治理区有2处矿产品需清理，清理需按照“由上至下、分区作业、先清隐患后运料”的原则有序推进，利用挖掘机、自卸汽车等机械设备对矿产品清运，清运过程中采取湿式作业，配备洒水车降尘，运输车辆进行密闭处理，清理作业完成后，确保与周边地形地貌相协调。</w:t>
            </w:r>
          </w:p>
          <w:p w14:paraId="4DCA06CC">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矿产品</w:t>
            </w:r>
            <w:r>
              <w:rPr>
                <w:rFonts w:hint="default"/>
                <w:color w:val="000000" w:themeColor="text1"/>
                <w:highlight w:val="none"/>
                <w:lang w:val="en-US" w:eastAsia="zh-CN"/>
                <w14:textFill>
                  <w14:solidFill>
                    <w14:schemeClr w14:val="tx1"/>
                  </w14:solidFill>
                </w14:textFill>
              </w:rPr>
              <w:t>占地面积4604.27m</w:t>
            </w:r>
            <w:r>
              <w:rPr>
                <w:rFonts w:hint="default"/>
                <w:color w:val="000000" w:themeColor="text1"/>
                <w:highlight w:val="none"/>
                <w:vertAlign w:val="superscript"/>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，工程量为7326.02m</w:t>
            </w:r>
            <w:r>
              <w:rPr>
                <w:rFonts w:hint="default"/>
                <w:color w:val="000000" w:themeColor="text1"/>
                <w:highlight w:val="none"/>
                <w:vertAlign w:val="superscript"/>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w:t>
            </w:r>
          </w:p>
          <w:p w14:paraId="2D4D3575">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②坡面修整</w:t>
            </w:r>
          </w:p>
          <w:p w14:paraId="25FB40C1">
            <w:pPr>
              <w:bidi w:val="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存在一些坡度稳定但坡面不平整的区域，渣堆堆放形成的不规则边坡，以及雨水冲毁的边坡，针对该部分区域，采取机械修整坡面、坡面转角处及坡顶棱角，使坡面稳定平直，无较大的凸起和凹陷，使坡面与周围坡面连接平滑、协调。</w:t>
            </w:r>
          </w:p>
          <w:p w14:paraId="149A3A3D">
            <w:pPr>
              <w:bidi w:val="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修整</w:t>
            </w:r>
            <w:r>
              <w:rPr>
                <w:rFonts w:hint="default" w:ascii="Times New Roman" w:hAnsi="Times New Roman" w:eastAsia="宋体" w:cs="Times New Roman"/>
                <w:color w:val="000000" w:themeColor="text1"/>
                <w:highlight w:val="none"/>
                <w:lang w:val="en-US" w:eastAsia="zh-CN"/>
                <w14:textFill>
                  <w14:solidFill>
                    <w14:schemeClr w14:val="tx1"/>
                  </w14:solidFill>
                </w14:textFill>
              </w:rPr>
              <w:t>后，坡脚需进行场地平整，使场地整齐美观，最后采用机械和人工相结合的方式统一压实。</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项目区内有3处坡面需要修整，面积共7689.69m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，工程量为25851.74m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14:paraId="0F309A70">
            <w:pPr>
              <w:bidi w:val="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项目区共有3处边坡需要修整，面积7689.69m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，土石方量25851.74m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14:paraId="0723F80E">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③场区平整</w:t>
            </w:r>
          </w:p>
          <w:p w14:paraId="752A3727">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项目区涉及土地平整区域3个，面积为50468m</w:t>
            </w:r>
            <w:r>
              <w:rPr>
                <w:rFonts w:hint="default"/>
                <w:color w:val="000000" w:themeColor="text1"/>
                <w:highlight w:val="none"/>
                <w:vertAlign w:val="superscript"/>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现状为废弃矿渣随意堆放，压占土地，造成土地资源浪费，形成地形地貌景观破坏、土地资源破坏。部分区域渣堆地形起伏较大，坡度一般为55°以上，且土质松散，不稳定。本次治理对该区域进行土地平整，部分采用场区内堆积矿产品换填</w:t>
            </w:r>
            <w:r>
              <w:rPr>
                <w:rFonts w:hint="eastAsia"/>
                <w:color w:val="000000" w:themeColor="text1"/>
                <w:highlight w:val="none"/>
                <w:lang w:val="en-US" w:eastAsia="zh-CN"/>
                <w14:textFill>
                  <w14:solidFill>
                    <w14:schemeClr w14:val="tx1"/>
                  </w14:solidFill>
                </w14:textFill>
              </w:rPr>
              <w:t>。</w:t>
            </w:r>
          </w:p>
          <w:p w14:paraId="2889FD97">
            <w:pPr>
              <w:bidi w:val="0"/>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⑵</w:t>
            </w:r>
            <w:r>
              <w:rPr>
                <w:rFonts w:hint="default"/>
                <w:color w:val="000000" w:themeColor="text1"/>
                <w:highlight w:val="none"/>
                <w:lang w:val="en-US" w:eastAsia="zh-CN"/>
                <w14:textFill>
                  <w14:solidFill>
                    <w14:schemeClr w14:val="tx1"/>
                  </w14:solidFill>
                </w14:textFill>
              </w:rPr>
              <w:t>截排水工程</w:t>
            </w:r>
          </w:p>
          <w:p w14:paraId="4D9C43AF">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w:t>
            </w:r>
            <w:r>
              <w:rPr>
                <w:rFonts w:hint="default"/>
                <w:color w:val="000000" w:themeColor="text1"/>
                <w:highlight w:val="none"/>
                <w:lang w:val="en-US" w:eastAsia="zh-CN"/>
                <w14:textFill>
                  <w14:solidFill>
                    <w14:schemeClr w14:val="tx1"/>
                  </w14:solidFill>
                </w14:textFill>
              </w:rPr>
              <w:t>截水埂</w:t>
            </w:r>
            <w:r>
              <w:rPr>
                <w:rFonts w:hint="eastAsia"/>
                <w:color w:val="000000" w:themeColor="text1"/>
                <w:highlight w:val="none"/>
                <w:lang w:val="en-US" w:eastAsia="zh-CN"/>
                <w14:textFill>
                  <w14:solidFill>
                    <w14:schemeClr w14:val="tx1"/>
                  </w14:solidFill>
                </w14:textFill>
              </w:rPr>
              <w:t>参数</w:t>
            </w:r>
          </w:p>
          <w:p w14:paraId="4A2498DE">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截水埂截短坡长，将长坡分割为若干短坡，有效降低地表径流的流速；分段截流，拦截上方坡面汇集的径流，防止其集中下泄冲刷坡脚；就地入渗，为雨水创造短暂的停留时间，促进水分下渗，滋养坡面植被；稳定坡面，减少水土流失，为植物生长创造稳定的土壤环境。</w:t>
            </w:r>
          </w:p>
          <w:p w14:paraId="19770F7B">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具体参数为</w:t>
            </w:r>
            <w:r>
              <w:rPr>
                <w:rFonts w:hint="default"/>
                <w:color w:val="000000" w:themeColor="text1"/>
                <w:highlight w:val="none"/>
                <w:lang w:val="en-US" w:eastAsia="zh-CN"/>
                <w14:textFill>
                  <w14:solidFill>
                    <w14:schemeClr w14:val="tx1"/>
                  </w14:solidFill>
                </w14:textFill>
              </w:rPr>
              <w:t>埂高：0.4m；顶宽：0.4m；内外侧坡度：1:0.75</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埝坑：在截水埂内侧（迎水侧）形成一个自然洼地，可增强蓄水能力。项目区内增加截水埂</w:t>
            </w:r>
            <w:r>
              <w:rPr>
                <w:rFonts w:hint="eastAsia"/>
                <w:color w:val="000000" w:themeColor="text1"/>
                <w:highlight w:val="none"/>
                <w:lang w:val="en-US" w:eastAsia="zh-CN"/>
                <w14:textFill>
                  <w14:solidFill>
                    <w14:schemeClr w14:val="tx1"/>
                  </w14:solidFill>
                </w14:textFill>
              </w:rPr>
              <w:t>3066</w:t>
            </w:r>
            <w:r>
              <w:rPr>
                <w:rFonts w:hint="default"/>
                <w:color w:val="000000" w:themeColor="text1"/>
                <w:highlight w:val="none"/>
                <w:lang w:val="en-US" w:eastAsia="zh-CN"/>
                <w14:textFill>
                  <w14:solidFill>
                    <w14:schemeClr w14:val="tx1"/>
                  </w14:solidFill>
                </w14:textFill>
              </w:rPr>
              <w:t>m。</w:t>
            </w:r>
          </w:p>
          <w:p w14:paraId="1BD555CC">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w:t>
            </w:r>
            <w:r>
              <w:rPr>
                <w:rFonts w:hint="default"/>
                <w:color w:val="000000" w:themeColor="text1"/>
                <w:highlight w:val="none"/>
                <w:lang w:val="en-US" w:eastAsia="zh-CN"/>
                <w14:textFill>
                  <w14:solidFill>
                    <w14:schemeClr w14:val="tx1"/>
                  </w14:solidFill>
                </w14:textFill>
              </w:rPr>
              <w:t>导流槽布置</w:t>
            </w:r>
          </w:p>
          <w:p w14:paraId="20D77AF5">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导流槽的作用将高处汇集的地面径流安全、高效、平稳、无冲刷地引导至坡脚或稳定区域，防止坡面被冲刷导致水土流失，形成冲沟，坡面受到水流侵蚀，导致整体失稳。</w:t>
            </w:r>
          </w:p>
          <w:p w14:paraId="55E6AE96">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在土石方培坡的坡脚与原山体交界处设置导流槽，防止上游来水冲刷培坡区造成下切，使边坡失稳而塌方。坡面设计坡度为1:1.5。治理区设置导流槽</w:t>
            </w:r>
            <w:r>
              <w:rPr>
                <w:rFonts w:hint="eastAsia"/>
                <w:color w:val="000000" w:themeColor="text1"/>
                <w:highlight w:val="none"/>
                <w:lang w:val="en-US" w:eastAsia="zh-CN"/>
                <w14:textFill>
                  <w14:solidFill>
                    <w14:schemeClr w14:val="tx1"/>
                  </w14:solidFill>
                </w14:textFill>
              </w:rPr>
              <w:t>1294</w:t>
            </w:r>
            <w:r>
              <w:rPr>
                <w:rFonts w:hint="default"/>
                <w:color w:val="000000" w:themeColor="text1"/>
                <w:highlight w:val="none"/>
                <w:lang w:val="en-US" w:eastAsia="zh-CN"/>
                <w14:textFill>
                  <w14:solidFill>
                    <w14:schemeClr w14:val="tx1"/>
                  </w14:solidFill>
                </w14:textFill>
              </w:rPr>
              <w:t>m。</w:t>
            </w:r>
          </w:p>
          <w:p w14:paraId="6C4E0B80">
            <w:pPr>
              <w:bidi w:val="0"/>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⑶</w:t>
            </w:r>
            <w:r>
              <w:rPr>
                <w:rFonts w:hint="default"/>
                <w:color w:val="000000" w:themeColor="text1"/>
                <w:highlight w:val="none"/>
                <w:lang w:val="en-US" w:eastAsia="zh-CN"/>
                <w14:textFill>
                  <w14:solidFill>
                    <w14:schemeClr w14:val="tx1"/>
                  </w14:solidFill>
                </w14:textFill>
              </w:rPr>
              <w:t>生态植被恢复工程</w:t>
            </w:r>
          </w:p>
          <w:p w14:paraId="10F2CA30">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w:t>
            </w:r>
            <w:r>
              <w:rPr>
                <w:rFonts w:hint="default"/>
                <w:color w:val="000000" w:themeColor="text1"/>
                <w:highlight w:val="none"/>
                <w:lang w:val="en-US" w:eastAsia="zh-CN"/>
                <w14:textFill>
                  <w14:solidFill>
                    <w14:schemeClr w14:val="tx1"/>
                  </w14:solidFill>
                </w14:textFill>
              </w:rPr>
              <w:t>覆土工程</w:t>
            </w:r>
          </w:p>
          <w:p w14:paraId="5BA69BFA">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治理区内部分区域为渣石料堆积，不具备植被生长条件，故对该区域进行平整后覆土。土源为</w:t>
            </w:r>
            <w:r>
              <w:rPr>
                <w:rFonts w:hint="eastAsia"/>
                <w:color w:val="000000" w:themeColor="text1"/>
                <w:highlight w:val="none"/>
                <w:lang w:val="en-US" w:eastAsia="zh-CN"/>
                <w14:textFill>
                  <w14:solidFill>
                    <w14:schemeClr w14:val="tx1"/>
                  </w14:solidFill>
                </w14:textFill>
              </w:rPr>
              <w:t>外购土方</w:t>
            </w:r>
            <w:r>
              <w:rPr>
                <w:rFonts w:hint="default"/>
                <w:color w:val="000000" w:themeColor="text1"/>
                <w:highlight w:val="none"/>
                <w:lang w:val="en-US" w:eastAsia="zh-CN"/>
                <w14:textFill>
                  <w14:solidFill>
                    <w14:schemeClr w14:val="tx1"/>
                  </w14:solidFill>
                </w14:textFill>
              </w:rPr>
              <w:t>。根据该区域多年矿山生态修复的经验，砂砾土较黄黏土更具备植被生长条件，黏土灌水后容易板结，不利于植被出苗。故覆土选用砂砾土。利用治理区内河道砂砾土作为表土进行覆土，确保表层土壤能够满足植被生长需求最小土层厚度。根据现场条件，覆土平均厚度按15cm计，覆土面积为</w:t>
            </w:r>
            <w:r>
              <w:rPr>
                <w:rFonts w:hint="eastAsia"/>
                <w:color w:val="000000" w:themeColor="text1"/>
                <w:highlight w:val="none"/>
                <w:lang w:val="en-US" w:eastAsia="zh-CN"/>
                <w14:textFill>
                  <w14:solidFill>
                    <w14:schemeClr w14:val="tx1"/>
                  </w14:solidFill>
                </w14:textFill>
              </w:rPr>
              <w:t>33074.11m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，覆土量为4961.12m</w:t>
            </w:r>
            <w:r>
              <w:rPr>
                <w:rFonts w:hint="eastAsia"/>
                <w:color w:val="000000" w:themeColor="text1"/>
                <w:highlight w:val="none"/>
                <w:vertAlign w:val="superscript"/>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w:t>
            </w:r>
          </w:p>
          <w:p w14:paraId="25E193D2">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②土地翻松</w:t>
            </w:r>
          </w:p>
          <w:p w14:paraId="60122AC8">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土地翻松是确保穴播植草成功建植的关键基础步骤，它直接影响草种的发芽率、根系发育以及未来草地的整体健康和美观。人工清除场地内的石块等大型杂物，必要时用铁锹或镐头挖除。翻松。打破原有的板结层，改善土壤的通气性和透水性，为草根向下生长创造空间。翻松深度根据种草条件，为10cm。治理区内土地翻松面积为</w:t>
            </w:r>
            <w:r>
              <w:rPr>
                <w:rFonts w:hint="eastAsia"/>
                <w:color w:val="000000" w:themeColor="text1"/>
                <w:highlight w:val="none"/>
                <w:lang w:val="en-US" w:eastAsia="zh-CN"/>
                <w14:textFill>
                  <w14:solidFill>
                    <w14:schemeClr w14:val="tx1"/>
                  </w14:solidFill>
                </w14:textFill>
              </w:rPr>
              <w:t>2.09</w:t>
            </w:r>
            <w:r>
              <w:rPr>
                <w:rFonts w:hint="eastAsia"/>
                <w:color w:val="000000" w:themeColor="text1"/>
                <w:highlight w:val="none"/>
                <w:lang w:eastAsia="zh-CN"/>
                <w14:textFill>
                  <w14:solidFill>
                    <w14:schemeClr w14:val="tx1"/>
                  </w14:solidFill>
                </w14:textFill>
              </w:rPr>
              <w:t>hm</w:t>
            </w:r>
            <w:r>
              <w:rPr>
                <w:rFonts w:hint="eastAsia"/>
                <w:color w:val="000000" w:themeColor="text1"/>
                <w:highlight w:val="none"/>
                <w:vertAlign w:val="superscript"/>
                <w:lang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w:t>
            </w:r>
          </w:p>
          <w:p w14:paraId="117816AB">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w:t>
            </w:r>
            <w:r>
              <w:rPr>
                <w:rFonts w:hint="default"/>
                <w:color w:val="000000" w:themeColor="text1"/>
                <w:highlight w:val="none"/>
                <w:lang w:val="en-US" w:eastAsia="zh-CN"/>
                <w14:textFill>
                  <w14:solidFill>
                    <w14:schemeClr w14:val="tx1"/>
                  </w14:solidFill>
                </w14:textFill>
              </w:rPr>
              <w:t>穴播种草</w:t>
            </w:r>
          </w:p>
          <w:p w14:paraId="7D7E3A2C">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在播种前1-2天，对整理好的土地进行一次彻底的低水量灌溉。为降低植草成本，可在下雨后1-2天抢墒种草。</w:t>
            </w:r>
          </w:p>
          <w:p w14:paraId="193DF483">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治理区经过多年的自然恢复和人工干预，部分区域自然恢复情况较好，该区域不进行工程措施，只针对恢复效果较差区域进行生态植被恢复工程。草籽选择狗尾草、短花针茅、蒙古冰草，比例为4:3:3，穴播种量为15kg/hm</w:t>
            </w:r>
            <w:r>
              <w:rPr>
                <w:rFonts w:hint="default"/>
                <w:color w:val="000000" w:themeColor="text1"/>
                <w:highlight w:val="none"/>
                <w:vertAlign w:val="superscript"/>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草籽必须是优质种子。为确保植草的出苗率，可在项目区周边人工采集适宜当地生产的植物种子，作为先锋物种。穴播时，采用草籽与细质砂壤土按照1：5的比例混合，然后用于种植，同时需满足林草其他相关种植技术要求。以混播建植为主，对项目区退化草原选用狼尾草、短花针茅、蒙古冰草，按照4:3:3穴播，坑穴株行距为60cm×60cm，播种标准为15kg/hm</w:t>
            </w:r>
            <w:r>
              <w:rPr>
                <w:rFonts w:hint="default"/>
                <w:color w:val="000000" w:themeColor="text1"/>
                <w:highlight w:val="none"/>
                <w:vertAlign w:val="superscript"/>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，穴播草籽面积</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27.22hm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。种草时间在5月中旬至7月底播种，播种期安排在降雨前或土壤湿润时。</w:t>
            </w:r>
          </w:p>
          <w:p w14:paraId="4E14914D">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针对斑秃或稀疏区域进行补播，补植依然采用穴播方式，草籽应在雨季抢墒播种。播种后及时浇水，保持土壤湿润（含水量约60%），可覆盖秸秆或无纺布保湿、防冲刷，待幼苗出土后移除覆盖物。每次浇水标准为185m</w:t>
            </w:r>
            <w:r>
              <w:rPr>
                <w:rFonts w:hint="default"/>
                <w:color w:val="000000" w:themeColor="text1"/>
                <w:highlight w:val="none"/>
                <w:vertAlign w:val="superscript"/>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/hm</w:t>
            </w:r>
            <w:r>
              <w:rPr>
                <w:rFonts w:hint="default"/>
                <w:color w:val="000000" w:themeColor="text1"/>
                <w:highlight w:val="none"/>
                <w:vertAlign w:val="superscript"/>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，可根据草地生长情况和天气情况调整浇水次数。</w:t>
            </w:r>
          </w:p>
          <w:p w14:paraId="067659B2">
            <w:pPr>
              <w:pStyle w:val="2"/>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施工时序</w:t>
            </w:r>
          </w:p>
          <w:p w14:paraId="48E43E1F">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本项目施工期30天，预计2026年3月底完成。矿山生态修复责任主体企业组织施工单位进场，完成“三通一平”，施工期3天；</w:t>
            </w:r>
          </w:p>
          <w:p w14:paraId="1E4F9F7B">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完成地形地貌恢复工程、截水导流工程，施工期20天；</w:t>
            </w:r>
          </w:p>
          <w:p w14:paraId="4793EE06">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完成覆土、播种草籽工作，播种草籽可选择5月中旬至7月底，施工期7天；</w:t>
            </w:r>
          </w:p>
          <w:p w14:paraId="41431037">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2026年7月底完成初步验收工作；</w:t>
            </w:r>
          </w:p>
          <w:p w14:paraId="6E82B07F">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植被恢复区工程管护期为3年，2026年~2028年；</w:t>
            </w:r>
          </w:p>
          <w:p w14:paraId="58D3EA99">
            <w:pPr>
              <w:keepNext w:val="0"/>
              <w:keepLines w:val="0"/>
              <w:suppressLineNumbers w:val="0"/>
              <w:bidi w:val="0"/>
              <w:spacing w:before="0" w:beforeAutospacing="0" w:after="0" w:afterAutospacing="0"/>
              <w:ind w:left="0" w:right="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项目终验时间根据沙坡头区自然资源局统筹安排确定。</w:t>
            </w:r>
          </w:p>
          <w:p w14:paraId="60A950E3">
            <w:pPr>
              <w:keepNext w:val="0"/>
              <w:keepLines w:val="0"/>
              <w:suppressLineNumbers w:val="0"/>
              <w:bidi w:val="0"/>
              <w:spacing w:before="0" w:beforeAutospacing="0" w:after="0" w:afterAutospacing="0"/>
              <w:ind w:left="0" w:leftChars="0" w:right="0" w:firstLine="0" w:firstLineChars="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3、建</w:t>
            </w:r>
            <w:r>
              <w:rPr>
                <w:rFonts w:hint="eastAsia" w:ascii="Times New Roman" w:hAnsi="Times New Roman" w:eastAsia="黑体" w:cs="Times New Roman"/>
                <w:bCs/>
                <w:color w:val="000000" w:themeColor="text1"/>
                <w:kern w:val="44"/>
                <w:sz w:val="24"/>
                <w:szCs w:val="30"/>
                <w:highlight w:val="none"/>
                <w:lang w:val="en-US" w:eastAsia="zh-CN" w:bidi="ar-SA"/>
                <w14:textFill>
                  <w14:solidFill>
                    <w14:schemeClr w14:val="tx1"/>
                  </w14:solidFill>
                </w14:textFill>
              </w:rPr>
              <w:t>设周期</w:t>
            </w:r>
          </w:p>
          <w:p w14:paraId="1F64CEA3">
            <w:pPr>
              <w:bidi w:val="0"/>
              <w:rPr>
                <w:color w:val="000000" w:themeColor="text1"/>
                <w:szCs w:val="22"/>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预计2026年7月底完成。</w:t>
            </w:r>
          </w:p>
        </w:tc>
      </w:tr>
      <w:tr w14:paraId="7DBB5A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68" w:hRule="atLeast"/>
          <w:jc w:val="center"/>
        </w:trPr>
        <w:tc>
          <w:tcPr>
            <w:tcW w:w="646" w:type="dxa"/>
            <w:noWrap w:val="0"/>
            <w:vAlign w:val="center"/>
          </w:tcPr>
          <w:p w14:paraId="68F6DD7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其他</w:t>
            </w:r>
          </w:p>
        </w:tc>
        <w:tc>
          <w:tcPr>
            <w:tcW w:w="8444" w:type="dxa"/>
            <w:noWrap w:val="0"/>
            <w:vAlign w:val="center"/>
          </w:tcPr>
          <w:p w14:paraId="56A37AF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无</w:t>
            </w:r>
          </w:p>
        </w:tc>
      </w:tr>
    </w:tbl>
    <w:p w14:paraId="4B68B88D">
      <w:pPr>
        <w:pStyle w:val="4"/>
        <w:bidi w:val="0"/>
        <w:jc w:val="left"/>
        <w:rPr>
          <w:rStyle w:val="42"/>
          <w:bCs/>
          <w:color w:val="000000" w:themeColor="text1"/>
          <w:highlight w:val="none"/>
          <w14:textFill>
            <w14:solidFill>
              <w14:schemeClr w14:val="tx1"/>
            </w14:solidFill>
          </w14:textFill>
        </w:rPr>
      </w:pPr>
      <w:r>
        <w:rPr>
          <w:rFonts w:ascii="Times New Roman" w:hAnsi="Times New Roman" w:eastAsia="仿宋_GB2312"/>
          <w:b/>
          <w:bCs w:val="0"/>
          <w:color w:val="000000" w:themeColor="text1"/>
          <w:highlight w:val="none"/>
          <w14:textFill>
            <w14:solidFill>
              <w14:schemeClr w14:val="tx1"/>
            </w14:solidFill>
          </w14:textFill>
        </w:rPr>
        <w:br w:type="page"/>
      </w:r>
      <w:r>
        <w:rPr>
          <w:color w:val="000000" w:themeColor="text1"/>
          <w:highlight w:val="none"/>
          <w14:textFill>
            <w14:solidFill>
              <w14:schemeClr w14:val="tx1"/>
            </w14:solidFill>
          </w14:textFill>
        </w:rPr>
        <w:t>三、</w:t>
      </w:r>
      <w:r>
        <w:rPr>
          <w:rFonts w:hint="eastAsia"/>
          <w:color w:val="000000" w:themeColor="text1"/>
          <w:highlight w:val="none"/>
          <w14:textFill>
            <w14:solidFill>
              <w14:schemeClr w14:val="tx1"/>
            </w14:solidFill>
          </w14:textFill>
        </w:rPr>
        <w:t>生态环境现状、保护目标及评价标准</w:t>
      </w:r>
    </w:p>
    <w:tbl>
      <w:tblPr>
        <w:tblStyle w:val="28"/>
        <w:tblW w:w="915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2"/>
        <w:gridCol w:w="8325"/>
      </w:tblGrid>
      <w:tr w14:paraId="1E7DF0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5" w:hRule="atLeast"/>
        </w:trPr>
        <w:tc>
          <w:tcPr>
            <w:tcW w:w="832" w:type="dxa"/>
            <w:noWrap w:val="0"/>
            <w:vAlign w:val="center"/>
          </w:tcPr>
          <w:p w14:paraId="508A75A0">
            <w:pPr>
              <w:keepNext w:val="0"/>
              <w:keepLines w:val="0"/>
              <w:suppressLineNumbers w:val="0"/>
              <w:adjustRightInd w:val="0"/>
              <w:snapToGrid w:val="0"/>
              <w:spacing w:before="0" w:beforeAutospacing="0" w:after="0" w:afterAutospacing="0"/>
              <w:ind w:left="0" w:leftChars="0" w:right="0" w:firstLine="0" w:firstLineChars="0"/>
              <w:jc w:val="center"/>
              <w:rPr>
                <w:rFonts w:hint="default" w:cs="Times New Roman"/>
                <w:color w:val="000000" w:themeColor="text1"/>
                <w:kern w:val="0"/>
                <w:szCs w:val="21"/>
                <w:highlight w:val="none"/>
                <w14:textFill>
                  <w14:solidFill>
                    <w14:schemeClr w14:val="tx1"/>
                  </w14:solidFill>
                </w14:textFill>
              </w:rPr>
            </w:pPr>
            <w:r>
              <w:rPr>
                <w:rFonts w:hint="eastAsia" w:eastAsia="宋体"/>
                <w:b/>
                <w:bCs/>
                <w:color w:val="000000" w:themeColor="text1"/>
                <w:highlight w:val="none"/>
                <w:lang w:val="en-US" w:eastAsia="zh-CN"/>
                <w14:textFill>
                  <w14:solidFill>
                    <w14:schemeClr w14:val="tx1"/>
                  </w14:solidFill>
                </w14:textFill>
              </w:rPr>
              <w:t>生</w:t>
            </w:r>
            <w:r>
              <w:rPr>
                <w:rFonts w:hint="default" w:eastAsia="宋体"/>
                <w:b/>
                <w:bCs/>
                <w:color w:val="000000" w:themeColor="text1"/>
                <w:highlight w:val="none"/>
                <w14:textFill>
                  <w14:solidFill>
                    <w14:schemeClr w14:val="tx1"/>
                  </w14:solidFill>
                </w14:textFill>
              </w:rPr>
              <w:t>态环境现状</w:t>
            </w:r>
          </w:p>
        </w:tc>
        <w:tc>
          <w:tcPr>
            <w:tcW w:w="8325" w:type="dxa"/>
            <w:noWrap w:val="0"/>
            <w:vAlign w:val="center"/>
          </w:tcPr>
          <w:p w14:paraId="3F2B3394">
            <w:pPr>
              <w:pStyle w:val="2"/>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生态环境现状</w:t>
            </w:r>
          </w:p>
          <w:p w14:paraId="45D7F48E">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 1 \* GB2 \* MERGEFORMAT </w:instrText>
            </w:r>
            <w:r>
              <w:rPr>
                <w:rFonts w:hint="eastAsia"/>
                <w:color w:val="000000" w:themeColor="text1"/>
                <w:highlight w:val="none"/>
                <w:lang w:val="en-US" w:eastAsia="zh-CN"/>
                <w14:textFill>
                  <w14:solidFill>
                    <w14:schemeClr w14:val="tx1"/>
                  </w14:solidFill>
                </w14:textFill>
              </w:rPr>
              <w:fldChar w:fldCharType="separate"/>
            </w:r>
            <w:r>
              <w:rPr>
                <w:color w:val="000000" w:themeColor="text1"/>
                <w:highlight w:val="none"/>
                <w14:textFill>
                  <w14:solidFill>
                    <w14:schemeClr w14:val="tx1"/>
                  </w14:solidFill>
                </w14:textFill>
              </w:rPr>
              <w:t>⑴</w:t>
            </w:r>
            <w:r>
              <w:rPr>
                <w:rFonts w:hint="eastAsia"/>
                <w:color w:val="000000" w:themeColor="text1"/>
                <w:highlight w:val="none"/>
                <w:lang w:val="en-US" w:eastAsia="zh-CN"/>
                <w14:textFill>
                  <w14:solidFill>
                    <w14:schemeClr w14:val="tx1"/>
                  </w14:solidFill>
                </w14:textFill>
              </w:rPr>
              <w:fldChar w:fldCharType="end"/>
            </w:r>
            <w:r>
              <w:rPr>
                <w:rFonts w:hint="default"/>
                <w:color w:val="000000" w:themeColor="text1"/>
                <w:highlight w:val="none"/>
                <w:lang w:val="en-US" w:eastAsia="zh-CN"/>
                <w14:textFill>
                  <w14:solidFill>
                    <w14:schemeClr w14:val="tx1"/>
                  </w14:solidFill>
                </w14:textFill>
              </w:rPr>
              <w:t>主体功能区规划</w:t>
            </w:r>
          </w:p>
          <w:p w14:paraId="5B97615D">
            <w:pPr>
              <w:keepNext w:val="0"/>
              <w:keepLines w:val="0"/>
              <w:suppressLineNumbers w:val="0"/>
              <w:bidi w:val="0"/>
              <w:spacing w:before="0" w:beforeAutospacing="0" w:after="0" w:afterAutospacing="0"/>
              <w:ind w:left="0" w:right="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本项目位于中卫市</w:t>
            </w:r>
            <w:r>
              <w:rPr>
                <w:rFonts w:hint="eastAsia" w:cs="Times New Roman"/>
                <w:color w:val="000000" w:themeColor="text1"/>
                <w:highlight w:val="none"/>
                <w14:textFill>
                  <w14:solidFill>
                    <w14:schemeClr w14:val="tx1"/>
                  </w14:solidFill>
                </w14:textFill>
              </w:rPr>
              <w:t>沙坡头区</w:t>
            </w:r>
            <w:r>
              <w:rPr>
                <w:rFonts w:hint="default"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根据宁夏回族自治区主体功能区规划图，本项目位于</w:t>
            </w:r>
            <w:r>
              <w:rPr>
                <w:rFonts w:hint="default" w:cs="Times New Roman"/>
                <w:color w:val="000000" w:themeColor="text1"/>
                <w:highlight w:val="none"/>
                <w:lang w:val="en-US" w:eastAsia="zh-CN"/>
                <w14:textFill>
                  <w14:solidFill>
                    <w14:schemeClr w14:val="tx1"/>
                  </w14:solidFill>
                </w14:textFill>
              </w:rPr>
              <w:t>国家农产品主产区</w:t>
            </w:r>
            <w:r>
              <w:rPr>
                <w:rFonts w:hint="eastAsia" w:cs="Times New Roman"/>
                <w:color w:val="000000" w:themeColor="text1"/>
                <w:highlight w:val="none"/>
                <w:lang w:val="en-US" w:eastAsia="zh-CN"/>
                <w14:textFill>
                  <w14:solidFill>
                    <w14:schemeClr w14:val="tx1"/>
                  </w14:solidFill>
                </w14:textFill>
              </w:rPr>
              <w:t>。</w:t>
            </w:r>
          </w:p>
          <w:p w14:paraId="4BD88570">
            <w:pPr>
              <w:keepNext w:val="0"/>
              <w:keepLines w:val="0"/>
              <w:suppressLineNumbers w:val="0"/>
              <w:bidi w:val="0"/>
              <w:spacing w:before="0" w:beforeAutospacing="0" w:after="0" w:afterAutospacing="0"/>
              <w:ind w:left="0" w:right="0"/>
              <w:rPr>
                <w:rFonts w:hint="eastAsia"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国家农产品主产区</w:t>
            </w:r>
            <w:r>
              <w:rPr>
                <w:rFonts w:hint="eastAsia" w:cs="Times New Roman"/>
                <w:color w:val="000000" w:themeColor="text1"/>
                <w:highlight w:val="none"/>
                <w:lang w:val="en-US" w:eastAsia="zh-CN"/>
                <w14:textFill>
                  <w14:solidFill>
                    <w14:schemeClr w14:val="tx1"/>
                  </w14:solidFill>
                </w14:textFill>
              </w:rPr>
              <w:t>要求为：农产品主产区应着力保护耕地，稳定粮食生产，增强农业综合生产能力，发展现代农业，增加农民收入，加快社会主义新农村建设，保障农产品供给，确保地区粮食安全和食物安全。本项目的建设不占用耕地，且对项目区域进行</w:t>
            </w:r>
            <w:r>
              <w:rPr>
                <w:rFonts w:hint="eastAsia"/>
                <w:color w:val="000000" w:themeColor="text1"/>
                <w:highlight w:val="none"/>
                <w:lang w:val="en-US" w:eastAsia="zh-CN"/>
                <w14:textFill>
                  <w14:solidFill>
                    <w14:schemeClr w14:val="tx1"/>
                  </w14:solidFill>
                </w14:textFill>
              </w:rPr>
              <w:t>土地平整、地形地貌恢复</w:t>
            </w:r>
            <w:r>
              <w:rPr>
                <w:rFonts w:hint="eastAsia" w:cs="Times New Roman"/>
                <w:color w:val="000000" w:themeColor="text1"/>
                <w:highlight w:val="none"/>
                <w:lang w:val="en-US" w:eastAsia="zh-CN"/>
                <w14:textFill>
                  <w14:solidFill>
                    <w14:schemeClr w14:val="tx1"/>
                  </w14:solidFill>
                </w14:textFill>
              </w:rPr>
              <w:t>。因此</w:t>
            </w:r>
            <w:r>
              <w:rPr>
                <w:rFonts w:hint="eastAsia" w:cs="Times New Roman"/>
                <w:b w:val="0"/>
                <w:bCs w:val="0"/>
                <w:snapToGrid w:val="0"/>
                <w:color w:val="000000" w:themeColor="text1"/>
                <w:kern w:val="0"/>
                <w:sz w:val="24"/>
                <w:szCs w:val="22"/>
                <w:highlight w:val="none"/>
                <w14:textFill>
                  <w14:solidFill>
                    <w14:schemeClr w14:val="tx1"/>
                  </w14:solidFill>
                </w14:textFill>
              </w:rPr>
              <w:t>项目的功能定位符合</w:t>
            </w:r>
            <w:r>
              <w:rPr>
                <w:rFonts w:hint="default" w:cs="Times New Roman"/>
                <w:color w:val="000000" w:themeColor="text1"/>
                <w:highlight w:val="none"/>
                <w:lang w:val="en-US" w:eastAsia="zh-CN"/>
                <w14:textFill>
                  <w14:solidFill>
                    <w14:schemeClr w14:val="tx1"/>
                  </w14:solidFill>
                </w14:textFill>
              </w:rPr>
              <w:t>国家农产品主产区</w:t>
            </w:r>
            <w:r>
              <w:rPr>
                <w:rFonts w:hint="eastAsia" w:cs="Times New Roman"/>
                <w:color w:val="000000" w:themeColor="text1"/>
                <w:highlight w:val="none"/>
                <w:lang w:val="en-US" w:eastAsia="zh-CN"/>
                <w14:textFill>
                  <w14:solidFill>
                    <w14:schemeClr w14:val="tx1"/>
                  </w14:solidFill>
                </w14:textFill>
              </w:rPr>
              <w:t>要求。</w:t>
            </w:r>
          </w:p>
          <w:p w14:paraId="64DB7E21">
            <w:pPr>
              <w:keepNext w:val="0"/>
              <w:keepLines w:val="0"/>
              <w:suppressLineNumbers w:val="0"/>
              <w:spacing w:before="0" w:beforeAutospacing="0" w:after="0" w:afterAutospacing="0"/>
              <w:ind w:left="0" w:right="0" w:firstLine="454" w:firstLineChars="200"/>
              <w:rPr>
                <w:rFonts w:hint="default" w:cs="Times New Roman"/>
                <w:color w:val="000000" w:themeColor="text1"/>
                <w:highlight w:val="none"/>
                <w:lang w:val="en-US"/>
                <w14:textFill>
                  <w14:solidFill>
                    <w14:schemeClr w14:val="tx1"/>
                  </w14:solidFill>
                </w14:textFill>
              </w:rPr>
            </w:pPr>
            <w:r>
              <w:rPr>
                <w:rFonts w:hint="eastAsia" w:cs="Times New Roman"/>
                <w:color w:val="000000" w:themeColor="text1"/>
                <w:sz w:val="24"/>
                <w:highlight w:val="none"/>
                <w14:textFill>
                  <w14:solidFill>
                    <w14:schemeClr w14:val="tx1"/>
                  </w14:solidFill>
                </w14:textFill>
              </w:rPr>
              <w:t>本项目主要</w:t>
            </w:r>
            <w:r>
              <w:rPr>
                <w:rFonts w:hint="eastAsia" w:cs="Times New Roman"/>
                <w:color w:val="000000" w:themeColor="text1"/>
                <w:sz w:val="24"/>
                <w:highlight w:val="none"/>
                <w:lang w:val="en-US" w:eastAsia="zh-CN"/>
                <w14:textFill>
                  <w14:solidFill>
                    <w14:schemeClr w14:val="tx1"/>
                  </w14:solidFill>
                </w14:textFill>
              </w:rPr>
              <w:t>通过地形地貌恢复工程、截排水工程、生态恢复工程等工程措施</w:t>
            </w:r>
            <w:r>
              <w:rPr>
                <w:rFonts w:hint="eastAsia" w:cs="Times New Roman"/>
                <w:color w:val="000000" w:themeColor="text1"/>
                <w:sz w:val="24"/>
                <w:highlight w:val="none"/>
                <w14:textFill>
                  <w14:solidFill>
                    <w14:schemeClr w14:val="tx1"/>
                  </w14:solidFill>
                </w14:textFill>
              </w:rPr>
              <w:t>对</w:t>
            </w:r>
            <w:r>
              <w:rPr>
                <w:rFonts w:hint="eastAsia" w:cs="Times New Roman"/>
                <w:color w:val="000000" w:themeColor="text1"/>
                <w:sz w:val="24"/>
                <w:highlight w:val="none"/>
                <w:lang w:val="en-US" w:eastAsia="zh-CN"/>
                <w14:textFill>
                  <w14:solidFill>
                    <w14:schemeClr w14:val="tx1"/>
                  </w14:solidFill>
                </w14:textFill>
              </w:rPr>
              <w:t>天景山山峁圪垯梁灰石</w:t>
            </w:r>
            <w:r>
              <w:rPr>
                <w:rFonts w:hint="eastAsia" w:cs="Times New Roman"/>
                <w:color w:val="000000" w:themeColor="text1"/>
                <w:sz w:val="24"/>
                <w:highlight w:val="none"/>
                <w14:textFill>
                  <w14:solidFill>
                    <w14:schemeClr w14:val="tx1"/>
                  </w14:solidFill>
                </w14:textFill>
              </w:rPr>
              <w:t>矿山进行生态修复治理</w:t>
            </w:r>
            <w:r>
              <w:rPr>
                <w:rFonts w:hint="default" w:cs="Times New Roman"/>
                <w:color w:val="000000" w:themeColor="text1"/>
                <w:sz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符合《宁夏回族自治区主体功能区规划》要求</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本项目与宁夏主体功能区规划图位置关系图见生态专项评价。</w:t>
            </w:r>
          </w:p>
          <w:p w14:paraId="05F62F63">
            <w:pPr>
              <w:bidi w:val="0"/>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fldChar w:fldCharType="begin"/>
            </w:r>
            <w:r>
              <w:rPr>
                <w:rFonts w:hint="default"/>
                <w:color w:val="000000" w:themeColor="text1"/>
                <w:highlight w:val="none"/>
                <w:lang w:val="en-US" w:eastAsia="zh-CN"/>
                <w14:textFill>
                  <w14:solidFill>
                    <w14:schemeClr w14:val="tx1"/>
                  </w14:solidFill>
                </w14:textFill>
              </w:rPr>
              <w:instrText xml:space="preserve"> = 2 \* GB2 \* MERGEFORMAT </w:instrText>
            </w:r>
            <w:r>
              <w:rPr>
                <w:rFonts w:hint="default"/>
                <w:color w:val="000000" w:themeColor="text1"/>
                <w:highlight w:val="none"/>
                <w:lang w:val="en-US" w:eastAsia="zh-CN"/>
                <w14:textFill>
                  <w14:solidFill>
                    <w14:schemeClr w14:val="tx1"/>
                  </w14:solidFill>
                </w14:textFill>
              </w:rPr>
              <w:fldChar w:fldCharType="separate"/>
            </w:r>
            <w:r>
              <w:rPr>
                <w:color w:val="000000" w:themeColor="text1"/>
                <w:highlight w:val="none"/>
                <w14:textFill>
                  <w14:solidFill>
                    <w14:schemeClr w14:val="tx1"/>
                  </w14:solidFill>
                </w14:textFill>
              </w:rPr>
              <w:t>⑵</w:t>
            </w:r>
            <w:r>
              <w:rPr>
                <w:rFonts w:hint="default"/>
                <w:color w:val="000000" w:themeColor="text1"/>
                <w:highlight w:val="none"/>
                <w:lang w:val="en-US" w:eastAsia="zh-CN"/>
                <w14:textFill>
                  <w14:solidFill>
                    <w14:schemeClr w14:val="tx1"/>
                  </w14:solidFill>
                </w14:textFill>
              </w:rPr>
              <w:fldChar w:fldCharType="end"/>
            </w:r>
            <w:r>
              <w:rPr>
                <w:rFonts w:hint="default"/>
                <w:color w:val="000000" w:themeColor="text1"/>
                <w:highlight w:val="none"/>
                <w:lang w:val="en-US" w:eastAsia="zh-CN"/>
                <w14:textFill>
                  <w14:solidFill>
                    <w14:schemeClr w14:val="tx1"/>
                  </w14:solidFill>
                </w14:textFill>
              </w:rPr>
              <w:t>生态功能区划</w:t>
            </w:r>
          </w:p>
          <w:p w14:paraId="37E2DF1F">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根据《宁夏生态功能区划》（</w:t>
            </w:r>
            <w:r>
              <w:rPr>
                <w:rFonts w:hint="default"/>
                <w:color w:val="000000" w:themeColor="text1"/>
                <w:highlight w:val="none"/>
                <w:lang w:val="en-US" w:eastAsia="zh-CN"/>
                <w14:textFill>
                  <w14:solidFill>
                    <w14:schemeClr w14:val="tx1"/>
                  </w14:solidFill>
                </w14:textFill>
              </w:rPr>
              <w:t>2003.12</w:t>
            </w:r>
            <w:r>
              <w:rPr>
                <w:rFonts w:hint="eastAsia"/>
                <w:color w:val="000000" w:themeColor="text1"/>
                <w:highlight w:val="none"/>
                <w:lang w:val="en-US" w:eastAsia="zh-CN"/>
                <w14:textFill>
                  <w14:solidFill>
                    <w14:schemeClr w14:val="tx1"/>
                  </w14:solidFill>
                </w14:textFill>
              </w:rPr>
              <w:t>），宁夏生态功能区划共划分</w:t>
            </w:r>
            <w:r>
              <w:rPr>
                <w:rFonts w:hint="default"/>
                <w:color w:val="000000" w:themeColor="text1"/>
                <w:highlight w:val="none"/>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个一级区，</w:t>
            </w:r>
            <w:r>
              <w:rPr>
                <w:rFonts w:hint="default"/>
                <w:color w:val="000000" w:themeColor="text1"/>
                <w:highlight w:val="none"/>
                <w:lang w:val="en-US" w:eastAsia="zh-CN"/>
                <w14:textFill>
                  <w14:solidFill>
                    <w14:schemeClr w14:val="tx1"/>
                  </w14:solidFill>
                </w14:textFill>
              </w:rPr>
              <w:t>10</w:t>
            </w:r>
            <w:r>
              <w:rPr>
                <w:rFonts w:hint="eastAsia"/>
                <w:color w:val="000000" w:themeColor="text1"/>
                <w:highlight w:val="none"/>
                <w:lang w:val="en-US" w:eastAsia="zh-CN"/>
                <w14:textFill>
                  <w14:solidFill>
                    <w14:schemeClr w14:val="tx1"/>
                  </w14:solidFill>
                </w14:textFill>
              </w:rPr>
              <w:t>个二级区，</w:t>
            </w:r>
            <w:r>
              <w:rPr>
                <w:rFonts w:hint="default"/>
                <w:color w:val="000000" w:themeColor="text1"/>
                <w:highlight w:val="none"/>
                <w:lang w:val="en-US" w:eastAsia="zh-CN"/>
                <w14:textFill>
                  <w14:solidFill>
                    <w14:schemeClr w14:val="tx1"/>
                  </w14:solidFill>
                </w14:textFill>
              </w:rPr>
              <w:t>37</w:t>
            </w:r>
            <w:r>
              <w:rPr>
                <w:rFonts w:hint="eastAsia"/>
                <w:color w:val="000000" w:themeColor="text1"/>
                <w:highlight w:val="none"/>
                <w:lang w:val="en-US" w:eastAsia="zh-CN"/>
                <w14:textFill>
                  <w14:solidFill>
                    <w14:schemeClr w14:val="tx1"/>
                  </w14:solidFill>
                </w14:textFill>
              </w:rPr>
              <w:t>个三级区。本项目位于</w:t>
            </w:r>
            <w:r>
              <w:rPr>
                <w:rFonts w:hint="default"/>
                <w:color w:val="000000" w:themeColor="text1"/>
                <w:highlight w:val="none"/>
                <w:lang w:val="en-US" w:eastAsia="zh-CN"/>
                <w14:textFill>
                  <w14:solidFill>
                    <w14:schemeClr w14:val="tx1"/>
                  </w14:solidFill>
                </w14:textFill>
              </w:rPr>
              <w:t>II</w:t>
            </w:r>
            <w:r>
              <w:rPr>
                <w:rFonts w:hint="eastAsia"/>
                <w:color w:val="000000" w:themeColor="text1"/>
                <w:highlight w:val="none"/>
                <w:lang w:val="en-US" w:eastAsia="zh-CN"/>
                <w14:textFill>
                  <w14:solidFill>
                    <w14:schemeClr w14:val="tx1"/>
                  </w14:solidFill>
                </w14:textFill>
              </w:rPr>
              <w:t>2-5香山低山丘陵荒漠草原保护、中卫山羊保种生态功能区。功能区特性见表3-1。本项目与宁夏生态功能区划位置关系图见附图。</w:t>
            </w:r>
          </w:p>
          <w:p w14:paraId="026DBE3F">
            <w:pPr>
              <w:pStyle w:val="6"/>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表3-1  生态功能分区特征表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6516"/>
            </w:tblGrid>
            <w:tr w14:paraId="6FDDB4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tcBorders>
                    <w:tl2br w:val="nil"/>
                    <w:tr2bl w:val="nil"/>
                  </w:tcBorders>
                  <w:vAlign w:val="center"/>
                </w:tcPr>
                <w:p w14:paraId="68D78F03">
                  <w:pPr>
                    <w:pStyle w:val="39"/>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功能区代号</w:t>
                  </w:r>
                </w:p>
                <w:p w14:paraId="51DE206B">
                  <w:pPr>
                    <w:pStyle w:val="39"/>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及名称</w:t>
                  </w:r>
                </w:p>
              </w:tc>
              <w:tc>
                <w:tcPr>
                  <w:tcW w:w="6660" w:type="dxa"/>
                  <w:tcBorders>
                    <w:tl2br w:val="nil"/>
                    <w:tr2bl w:val="nil"/>
                  </w:tcBorders>
                  <w:vAlign w:val="center"/>
                </w:tcPr>
                <w:p w14:paraId="7EA83A6C">
                  <w:pPr>
                    <w:pStyle w:val="39"/>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主要生态特点、问题及措施</w:t>
                  </w:r>
                </w:p>
              </w:tc>
            </w:tr>
            <w:tr w14:paraId="12D043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tcBorders>
                    <w:tl2br w:val="nil"/>
                    <w:tr2bl w:val="nil"/>
                  </w:tcBorders>
                  <w:vAlign w:val="center"/>
                </w:tcPr>
                <w:p w14:paraId="10603C79">
                  <w:pPr>
                    <w:pStyle w:val="39"/>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II</w:t>
                  </w:r>
                  <w:r>
                    <w:rPr>
                      <w:rFonts w:hint="eastAsia"/>
                      <w:color w:val="000000" w:themeColor="text1"/>
                      <w:highlight w:val="none"/>
                      <w:lang w:val="en-US" w:eastAsia="zh-CN"/>
                      <w14:textFill>
                        <w14:solidFill>
                          <w14:schemeClr w14:val="tx1"/>
                        </w14:solidFill>
                      </w14:textFill>
                    </w:rPr>
                    <w:t>2-5香山低山丘陵荒漠草原保护、中卫山羊保种生态功能区</w:t>
                  </w:r>
                </w:p>
              </w:tc>
              <w:tc>
                <w:tcPr>
                  <w:tcW w:w="6660" w:type="dxa"/>
                  <w:tcBorders>
                    <w:tl2br w:val="nil"/>
                    <w:tr2bl w:val="nil"/>
                  </w:tcBorders>
                  <w:vAlign w:val="center"/>
                </w:tcPr>
                <w:p w14:paraId="544814DE">
                  <w:pPr>
                    <w:pStyle w:val="39"/>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香山属中低山地貌，植被为荒漠草原类型，以猫头刺、短花针茅等旱生植物为主，覆盖度只有</w:t>
                  </w:r>
                  <w:r>
                    <w:rPr>
                      <w:color w:val="000000" w:themeColor="text1"/>
                      <w:highlight w:val="none"/>
                      <w14:textFill>
                        <w14:solidFill>
                          <w14:schemeClr w14:val="tx1"/>
                        </w14:solidFill>
                      </w14:textFill>
                    </w:rPr>
                    <w:t>10~30%</w:t>
                  </w:r>
                  <w:r>
                    <w:rPr>
                      <w:rFonts w:hint="eastAsia"/>
                      <w:color w:val="000000" w:themeColor="text1"/>
                      <w:highlight w:val="none"/>
                      <w14:textFill>
                        <w14:solidFill>
                          <w14:schemeClr w14:val="tx1"/>
                        </w14:solidFill>
                      </w14:textFill>
                    </w:rPr>
                    <w:t>，香山地区有大面积干旱草场，是中卫山羊的放牧基地，保护好荒漠草原和保护中卫山羊物种资源十分重要。本区的生态敏感问题是草场退化，其治理措施是先禁牧，雨季补种优质牧草，提高草场质量。香山地区三乡的坡耕地应全部退耕种草，建立人工草场，保护和发展中卫山羊的传统优势</w:t>
                  </w:r>
                </w:p>
              </w:tc>
            </w:tr>
          </w:tbl>
          <w:p w14:paraId="04259162">
            <w:pPr>
              <w:bidi w:val="0"/>
              <w:rPr>
                <w:rFonts w:hint="eastAsia" w:eastAsia="宋体"/>
                <w:color w:val="000000" w:themeColor="text1"/>
                <w:highlight w:val="none"/>
                <w:lang w:val="en-US" w:eastAsia="zh-CN"/>
                <w14:textFill>
                  <w14:solidFill>
                    <w14:schemeClr w14:val="tx1"/>
                  </w14:solidFill>
                </w14:textFill>
              </w:rPr>
            </w:pPr>
            <w:r>
              <w:rPr>
                <w:rFonts w:hint="eastAsia" w:cs="Times New Roman"/>
                <w:color w:val="000000" w:themeColor="text1"/>
                <w:sz w:val="24"/>
                <w:highlight w:val="none"/>
                <w14:textFill>
                  <w14:solidFill>
                    <w14:schemeClr w14:val="tx1"/>
                  </w14:solidFill>
                </w14:textFill>
              </w:rPr>
              <w:t>本项目主要</w:t>
            </w:r>
            <w:r>
              <w:rPr>
                <w:rFonts w:hint="eastAsia" w:cs="Times New Roman"/>
                <w:color w:val="000000" w:themeColor="text1"/>
                <w:sz w:val="24"/>
                <w:highlight w:val="none"/>
                <w:lang w:val="en-US" w:eastAsia="zh-CN"/>
                <w14:textFill>
                  <w14:solidFill>
                    <w14:schemeClr w14:val="tx1"/>
                  </w14:solidFill>
                </w14:textFill>
              </w:rPr>
              <w:t>通过地形地貌恢复工程、截排水工程、生态恢复工程等工程措施</w:t>
            </w:r>
            <w:r>
              <w:rPr>
                <w:rFonts w:hint="eastAsia" w:cs="Times New Roman"/>
                <w:color w:val="000000" w:themeColor="text1"/>
                <w:sz w:val="24"/>
                <w:highlight w:val="none"/>
                <w14:textFill>
                  <w14:solidFill>
                    <w14:schemeClr w14:val="tx1"/>
                  </w14:solidFill>
                </w14:textFill>
              </w:rPr>
              <w:t>对</w:t>
            </w:r>
            <w:r>
              <w:rPr>
                <w:rFonts w:hint="eastAsia" w:cs="Times New Roman"/>
                <w:color w:val="000000" w:themeColor="text1"/>
                <w:sz w:val="24"/>
                <w:highlight w:val="none"/>
                <w:lang w:val="en-US" w:eastAsia="zh-CN"/>
                <w14:textFill>
                  <w14:solidFill>
                    <w14:schemeClr w14:val="tx1"/>
                  </w14:solidFill>
                </w14:textFill>
              </w:rPr>
              <w:t>天景山山峁圪垯梁灰石</w:t>
            </w:r>
            <w:r>
              <w:rPr>
                <w:rFonts w:hint="eastAsia" w:cs="Times New Roman"/>
                <w:color w:val="000000" w:themeColor="text1"/>
                <w:sz w:val="24"/>
                <w:highlight w:val="none"/>
                <w14:textFill>
                  <w14:solidFill>
                    <w14:schemeClr w14:val="tx1"/>
                  </w14:solidFill>
                </w14:textFill>
              </w:rPr>
              <w:t>矿山进行生态修复治理</w:t>
            </w:r>
            <w:r>
              <w:rPr>
                <w:rFonts w:ascii="宋体" w:hAnsi="宋体" w:eastAsia="宋体" w:cs="宋体"/>
                <w:color w:val="000000" w:themeColor="text1"/>
                <w:sz w:val="24"/>
                <w:szCs w:val="24"/>
                <w:highlight w:val="none"/>
                <w14:textFill>
                  <w14:solidFill>
                    <w14:schemeClr w14:val="tx1"/>
                  </w14:solidFill>
                </w14:textFill>
              </w:rPr>
              <w:t>。项目建成后将促进生态环境提升</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符合《宁夏生态功能区规划》功能区生态保护措施要求</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0BF21CE4">
            <w:pP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 3 \* GB2 \* MERGEFORMAT </w:instrText>
            </w:r>
            <w:r>
              <w:rPr>
                <w:rFonts w:hint="eastAsia"/>
                <w:color w:val="000000" w:themeColor="text1"/>
                <w:highlight w:val="none"/>
                <w:lang w:val="en-US" w:eastAsia="zh-CN"/>
                <w14:textFill>
                  <w14:solidFill>
                    <w14:schemeClr w14:val="tx1"/>
                  </w14:solidFill>
                </w14:textFill>
              </w:rPr>
              <w:fldChar w:fldCharType="separate"/>
            </w:r>
            <w:r>
              <w:rPr>
                <w:color w:val="000000" w:themeColor="text1"/>
                <w:highlight w:val="none"/>
                <w14:textFill>
                  <w14:solidFill>
                    <w14:schemeClr w14:val="tx1"/>
                  </w14:solidFill>
                </w14:textFill>
              </w:rPr>
              <w:t>⑶</w:t>
            </w:r>
            <w:r>
              <w:rPr>
                <w:rFonts w:hint="eastAsia"/>
                <w:color w:val="000000" w:themeColor="text1"/>
                <w:highlight w:val="none"/>
                <w:lang w:val="en-US" w:eastAsia="zh-CN"/>
                <w14:textFill>
                  <w14:solidFill>
                    <w14:schemeClr w14:val="tx1"/>
                  </w14:solidFill>
                </w14:textFill>
              </w:rPr>
              <w:fldChar w:fldCharType="end"/>
            </w:r>
            <w:r>
              <w:rPr>
                <w:rFonts w:hint="default"/>
                <w:color w:val="000000" w:themeColor="text1"/>
                <w:highlight w:val="none"/>
                <w14:textFill>
                  <w14:solidFill>
                    <w14:schemeClr w14:val="tx1"/>
                  </w14:solidFill>
                </w14:textFill>
              </w:rPr>
              <w:t>生态环境</w:t>
            </w:r>
          </w:p>
          <w:p w14:paraId="3E8837D9">
            <w:pPr>
              <w:keepNext w:val="0"/>
              <w:keepLines w:val="0"/>
              <w:suppressLineNumbers w:val="0"/>
              <w:spacing w:before="0" w:beforeAutospacing="0" w:after="0" w:afterAutospacing="0"/>
              <w:ind w:left="0" w:right="0" w:firstLine="454" w:firstLineChars="200"/>
              <w:rPr>
                <w:rFonts w:hint="default"/>
                <w:color w:val="000000" w:themeColor="text1"/>
                <w:sz w:val="24"/>
                <w:highlight w:val="none"/>
                <w:lang w:bidi="ar"/>
                <w14:textFill>
                  <w14:solidFill>
                    <w14:schemeClr w14:val="tx1"/>
                  </w14:solidFill>
                </w14:textFill>
              </w:rPr>
            </w:pPr>
            <w:r>
              <w:rPr>
                <w:rFonts w:hint="eastAsia" w:ascii="宋体" w:hAnsi="宋体" w:eastAsia="宋体" w:cs="宋体"/>
                <w:color w:val="000000" w:themeColor="text1"/>
                <w:sz w:val="24"/>
                <w:highlight w:val="none"/>
                <w:lang w:eastAsia="zh-CN" w:bidi="ar"/>
                <w14:textFill>
                  <w14:solidFill>
                    <w14:schemeClr w14:val="tx1"/>
                  </w14:solidFill>
                </w14:textFill>
              </w:rPr>
              <w:t>①</w:t>
            </w:r>
            <w:r>
              <w:rPr>
                <w:rFonts w:hint="default"/>
                <w:color w:val="000000" w:themeColor="text1"/>
                <w:sz w:val="24"/>
                <w:highlight w:val="none"/>
                <w:lang w:bidi="ar"/>
                <w14:textFill>
                  <w14:solidFill>
                    <w14:schemeClr w14:val="tx1"/>
                  </w14:solidFill>
                </w14:textFill>
              </w:rPr>
              <w:t>地形地貌</w:t>
            </w:r>
          </w:p>
          <w:p w14:paraId="72DEF24C">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项目区属中低山区，总体地势南高北低，西高东低，最高海拔高程1760m，最低海拔高程1560m，相对高差约200m。山坡坡度一般为10°～40°，最陡处可达70°。</w:t>
            </w:r>
          </w:p>
          <w:p w14:paraId="3874BA5C">
            <w:pPr>
              <w:keepNext w:val="0"/>
              <w:keepLines w:val="0"/>
              <w:suppressLineNumbers w:val="0"/>
              <w:bidi w:val="0"/>
              <w:spacing w:before="0" w:beforeAutospacing="0" w:after="0" w:afterAutospacing="0"/>
              <w:ind w:left="0" w:right="0"/>
              <w:rPr>
                <w:rFonts w:hint="eastAsia"/>
                <w:color w:val="000000" w:themeColor="text1"/>
                <w:sz w:val="24"/>
                <w:highlight w:val="none"/>
                <w:lang w:bidi="ar"/>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②</w:t>
            </w:r>
            <w:r>
              <w:rPr>
                <w:rFonts w:hint="eastAsia"/>
                <w:color w:val="000000" w:themeColor="text1"/>
                <w:sz w:val="24"/>
                <w:highlight w:val="none"/>
                <w:lang w:bidi="ar"/>
                <w14:textFill>
                  <w14:solidFill>
                    <w14:schemeClr w14:val="tx1"/>
                  </w14:solidFill>
                </w14:textFill>
              </w:rPr>
              <w:t>气象条件</w:t>
            </w:r>
          </w:p>
          <w:p w14:paraId="1354E9A5">
            <w:pPr>
              <w:keepNext w:val="0"/>
              <w:keepLines w:val="0"/>
              <w:suppressLineNumbers w:val="0"/>
              <w:spacing w:before="0" w:beforeAutospacing="0" w:after="0" w:afterAutospacing="0"/>
              <w:ind w:left="0" w:right="0" w:firstLine="454" w:firstLineChars="200"/>
              <w:rPr>
                <w:rFonts w:hint="default"/>
                <w:color w:val="000000" w:themeColor="text1"/>
                <w:sz w:val="24"/>
                <w:highlight w:val="none"/>
                <w:lang w:bidi="ar"/>
                <w14:textFill>
                  <w14:solidFill>
                    <w14:schemeClr w14:val="tx1"/>
                  </w14:solidFill>
                </w14:textFill>
              </w:rPr>
            </w:pPr>
            <w:r>
              <w:rPr>
                <w:rFonts w:hint="default"/>
                <w:color w:val="000000" w:themeColor="text1"/>
                <w:sz w:val="24"/>
                <w:highlight w:val="none"/>
                <w:lang w:bidi="ar"/>
                <w14:textFill>
                  <w14:solidFill>
                    <w14:schemeClr w14:val="tx1"/>
                  </w14:solidFill>
                </w14:textFill>
              </w:rPr>
              <w:t>项目区属中温带大陆性干旱气候，具有典型的大陆性季风气候和沙漠气候的特点，春暖迟、秋凉早、夏热短、冬寒长，风大沙多，干旱少雨，年平均气温在8.2-10℃之间。根据沙坡头区气象局提供的天景山光伏发电气象站近三年降水量2022年92.8mm，2023年112.6mm</w:t>
            </w:r>
            <w:r>
              <w:rPr>
                <w:rFonts w:hint="eastAsia"/>
                <w:color w:val="000000" w:themeColor="text1"/>
                <w:sz w:val="24"/>
                <w:highlight w:val="none"/>
                <w:lang w:eastAsia="zh-CN" w:bidi="ar"/>
                <w14:textFill>
                  <w14:solidFill>
                    <w14:schemeClr w14:val="tx1"/>
                  </w14:solidFill>
                </w14:textFill>
              </w:rPr>
              <w:t>，</w:t>
            </w:r>
            <w:r>
              <w:rPr>
                <w:rFonts w:hint="default"/>
                <w:color w:val="000000" w:themeColor="text1"/>
                <w:sz w:val="24"/>
                <w:highlight w:val="none"/>
                <w:lang w:bidi="ar"/>
                <w14:textFill>
                  <w14:solidFill>
                    <w14:schemeClr w14:val="tx1"/>
                  </w14:solidFill>
                </w14:textFill>
              </w:rPr>
              <w:t>2024年198.4mm。区域多年平均蒸发量1729.6-1852.2mm。</w:t>
            </w:r>
          </w:p>
          <w:p w14:paraId="1C1F7AB3">
            <w:pPr>
              <w:keepNext w:val="0"/>
              <w:keepLines w:val="0"/>
              <w:suppressLineNumbers w:val="0"/>
              <w:bidi w:val="0"/>
              <w:spacing w:before="0" w:beforeAutospacing="0" w:after="0" w:afterAutospacing="0"/>
              <w:ind w:left="0" w:right="0"/>
              <w:rPr>
                <w:rFonts w:hint="default" w:ascii="宋体" w:hAnsi="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③水文情况</w:t>
            </w:r>
          </w:p>
          <w:p w14:paraId="123C4FFD">
            <w:pPr>
              <w:keepNext w:val="0"/>
              <w:keepLines w:val="0"/>
              <w:suppressLineNumbers w:val="0"/>
              <w:spacing w:before="0" w:beforeAutospacing="0" w:after="0" w:afterAutospacing="0"/>
              <w:ind w:left="0" w:right="0" w:firstLine="454" w:firstLineChars="200"/>
              <w:rPr>
                <w:rFonts w:hint="default" w:ascii="Times New Roman" w:hAnsi="Times New Roman" w:eastAsia="宋体" w:cs="Times New Roman"/>
                <w:color w:val="000000" w:themeColor="text1"/>
                <w:sz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bidi="ar"/>
                <w14:textFill>
                  <w14:solidFill>
                    <w14:schemeClr w14:val="tx1"/>
                  </w14:solidFill>
                </w14:textFill>
              </w:rPr>
              <w:t>项目区内地表无常年径流，区内大气降水较少，蒸发量远大于降雨量。区内地形切割不大，沟谷不发育，排水畅通。只有在7～9月份雨季，在矿山开采的矿坑有时可形成短暂的积水，应采取适当措施及时将采区内的积水排出。离项目区最近的为沙沟和寺口子沟，沙沟起源于天景山北麓，全长22km，流经沙坡头区和中宁县，于中宁县大战场镇石喇叭村汇入清水河，汇流面积为84.5km</w:t>
            </w:r>
            <w:r>
              <w:rPr>
                <w:rFonts w:hint="eastAsia" w:ascii="Times New Roman" w:hAnsi="Times New Roman" w:eastAsia="宋体" w:cs="Times New Roman"/>
                <w:color w:val="000000" w:themeColor="text1"/>
                <w:sz w:val="24"/>
                <w:highlight w:val="none"/>
                <w:vertAlign w:val="superscript"/>
                <w:lang w:val="en-US" w:eastAsia="zh-CN" w:bidi="ar"/>
                <w14:textFill>
                  <w14:solidFill>
                    <w14:schemeClr w14:val="tx1"/>
                  </w14:solidFill>
                </w14:textFill>
              </w:rPr>
              <w:t>2</w:t>
            </w:r>
            <w:r>
              <w:rPr>
                <w:rFonts w:hint="eastAsia" w:ascii="Times New Roman" w:hAnsi="Times New Roman" w:eastAsia="宋体" w:cs="Times New Roman"/>
                <w:color w:val="000000" w:themeColor="text1"/>
                <w:sz w:val="24"/>
                <w:highlight w:val="none"/>
                <w:lang w:val="en-US" w:eastAsia="zh-CN" w:bidi="ar"/>
                <w14:textFill>
                  <w14:solidFill>
                    <w14:schemeClr w14:val="tx1"/>
                  </w14:solidFill>
                </w14:textFill>
              </w:rPr>
              <w:t>，为季节性沟道，无长流水。寺口子沟起源于沙坡头区香山地区，全长43km，流经沙坡头区、中宁县，于中宁县大战场镇清河村汇入清水河，汇流面积181km</w:t>
            </w:r>
            <w:r>
              <w:rPr>
                <w:rFonts w:hint="eastAsia" w:ascii="Times New Roman" w:hAnsi="Times New Roman" w:eastAsia="宋体" w:cs="Times New Roman"/>
                <w:color w:val="000000" w:themeColor="text1"/>
                <w:sz w:val="24"/>
                <w:highlight w:val="none"/>
                <w:vertAlign w:val="superscript"/>
                <w:lang w:val="en-US" w:eastAsia="zh-CN" w:bidi="ar"/>
                <w14:textFill>
                  <w14:solidFill>
                    <w14:schemeClr w14:val="tx1"/>
                  </w14:solidFill>
                </w14:textFill>
              </w:rPr>
              <w:t>2</w:t>
            </w:r>
            <w:r>
              <w:rPr>
                <w:rFonts w:hint="eastAsia" w:ascii="Times New Roman" w:hAnsi="Times New Roman" w:eastAsia="宋体" w:cs="Times New Roman"/>
                <w:color w:val="000000" w:themeColor="text1"/>
                <w:sz w:val="24"/>
                <w:highlight w:val="none"/>
                <w:lang w:val="en-US" w:eastAsia="zh-CN" w:bidi="ar"/>
                <w14:textFill>
                  <w14:solidFill>
                    <w14:schemeClr w14:val="tx1"/>
                  </w14:solidFill>
                </w14:textFill>
              </w:rPr>
              <w:t>。</w:t>
            </w:r>
          </w:p>
          <w:p w14:paraId="4BE3558A">
            <w:pPr>
              <w:keepNext w:val="0"/>
              <w:keepLines w:val="0"/>
              <w:suppressLineNumbers w:val="0"/>
              <w:spacing w:before="0" w:beforeAutospacing="0" w:after="0" w:afterAutospacing="0"/>
              <w:ind w:left="0" w:right="0" w:firstLine="454" w:firstLineChars="200"/>
              <w:rPr>
                <w:rFonts w:hint="default" w:ascii="Times New Roman" w:hAnsi="Times New Roman" w:eastAsia="宋体" w:cs="Times New Roman"/>
                <w:color w:val="000000" w:themeColor="text1"/>
                <w:sz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bidi="ar"/>
                <w14:textFill>
                  <w14:solidFill>
                    <w14:schemeClr w14:val="tx1"/>
                  </w14:solidFill>
                </w14:textFill>
              </w:rPr>
              <w:t>④地质情况</w:t>
            </w:r>
          </w:p>
          <w:p w14:paraId="16D144CF">
            <w:pPr>
              <w:keepNext w:val="0"/>
              <w:keepLines w:val="0"/>
              <w:suppressLineNumbers w:val="0"/>
              <w:spacing w:before="0" w:beforeAutospacing="0" w:after="0" w:afterAutospacing="0"/>
              <w:ind w:left="0" w:right="0" w:firstLine="454" w:firstLineChars="200"/>
              <w:rPr>
                <w:rFonts w:hint="eastAsia" w:ascii="Times New Roman" w:hAnsi="Times New Roman" w:eastAsia="宋体" w:cs="Times New Roman"/>
                <w:color w:val="000000" w:themeColor="text1"/>
                <w:sz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bidi="ar"/>
                <w14:textFill>
                  <w14:solidFill>
                    <w14:schemeClr w14:val="tx1"/>
                  </w14:solidFill>
                </w14:textFill>
              </w:rPr>
              <w:t>天景山石灰岩矿区为一孤立的断块山体，北西向长约4400m，东西宽约3600m。采矿区及其周围出露地层主要有奥陶系中下统天景山组、泥盆系上统中宁组及第四系全新统，其中天景山组为含矿层位。本次治理区地层主要为奥陶系、泥盆系与第四系地层。</w:t>
            </w:r>
          </w:p>
          <w:p w14:paraId="2A44EB5B">
            <w:pPr>
              <w:keepNext w:val="0"/>
              <w:keepLines w:val="0"/>
              <w:suppressLineNumbers w:val="0"/>
              <w:spacing w:before="0" w:beforeAutospacing="0" w:after="0" w:afterAutospacing="0"/>
              <w:ind w:left="0" w:right="0" w:firstLine="454" w:firstLineChars="200"/>
              <w:rPr>
                <w:rFonts w:hint="default" w:ascii="Times New Roman" w:hAnsi="Times New Roman" w:eastAsia="宋体" w:cs="Times New Roman"/>
                <w:color w:val="000000" w:themeColor="text1"/>
                <w:sz w:val="24"/>
                <w:highlight w:val="none"/>
                <w:lang w:bidi="ar"/>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bidi="ar"/>
                <w14:textFill>
                  <w14:solidFill>
                    <w14:schemeClr w14:val="tx1"/>
                  </w14:solidFill>
                </w14:textFill>
              </w:rPr>
              <w:t>⑤</w:t>
            </w:r>
            <w:r>
              <w:rPr>
                <w:rFonts w:hint="eastAsia" w:ascii="Times New Roman" w:hAnsi="Times New Roman" w:eastAsia="宋体" w:cs="Times New Roman"/>
                <w:color w:val="000000" w:themeColor="text1"/>
                <w:sz w:val="24"/>
                <w:highlight w:val="none"/>
                <w:lang w:bidi="ar"/>
                <w14:textFill>
                  <w14:solidFill>
                    <w14:schemeClr w14:val="tx1"/>
                  </w14:solidFill>
                </w14:textFill>
              </w:rPr>
              <w:t>植被类型</w:t>
            </w:r>
          </w:p>
          <w:p w14:paraId="170E72B3">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本项目位于宁夏回族自治区中卫市沙坡头区宣和镇</w:t>
            </w:r>
            <w:r>
              <w:rPr>
                <w:rFonts w:hint="eastAsia"/>
                <w:color w:val="000000" w:themeColor="text1"/>
                <w:highlight w:val="none"/>
                <w14:textFill>
                  <w14:solidFill>
                    <w14:schemeClr w14:val="tx1"/>
                  </w14:solidFill>
                </w14:textFill>
              </w:rPr>
              <w:t>天景山北麓</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，根据宁夏植被分布图，本项目所在区域位于“宁南黄土高原北部干草原区—ⅠAL3宁中、宁北荒漠草原小区中37.短花针茅、旱生小灌木、小半灌木草原”。</w:t>
            </w:r>
          </w:p>
          <w:p w14:paraId="1F921898">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000000" w:themeColor="text1"/>
                <w:sz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治理区位于黄河南岸天景山地区，矿区以荒漠和草原为主，原生植被主要为耐寒、耐旱的草本植物，树木及灌木不发育</w:t>
            </w:r>
            <w:r>
              <w:rPr>
                <w:rFonts w:hint="eastAsia" w:ascii="Times New Roman" w:hAnsi="Times New Roman" w:eastAsia="宋体" w:cs="Times New Roman"/>
                <w:color w:val="000000" w:themeColor="text1"/>
                <w:sz w:val="24"/>
                <w:highlight w:val="none"/>
                <w:lang w:val="en-US" w:eastAsia="zh-CN" w:bidi="ar"/>
                <w14:textFill>
                  <w14:solidFill>
                    <w14:schemeClr w14:val="tx1"/>
                  </w14:solidFill>
                </w14:textFill>
              </w:rPr>
              <w:t>。植被覆盖率较低，平均覆盖率5%左右，部分地区可达15%。治理区内未见珍稀动物物种。现场植被现状见图3-1</w:t>
            </w:r>
          </w:p>
          <w:tbl>
            <w:tblPr>
              <w:tblStyle w:val="2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55"/>
              <w:gridCol w:w="4055"/>
            </w:tblGrid>
            <w:tr w14:paraId="33052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129" w:type="dxa"/>
                  <w:tcBorders>
                    <w:tl2br w:val="nil"/>
                    <w:tr2bl w:val="nil"/>
                  </w:tcBorders>
                  <w:vAlign w:val="center"/>
                </w:tcPr>
                <w:p w14:paraId="056F5100">
                  <w:pPr>
                    <w:pStyle w:val="39"/>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drawing>
                      <wp:inline distT="0" distB="0" distL="114300" distR="114300">
                        <wp:extent cx="2486025" cy="1863725"/>
                        <wp:effectExtent l="0" t="0" r="9525" b="3175"/>
                        <wp:docPr id="1" name="图片 1" descr="b1dd90e68153eba6d12ab9c2f44bb7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1dd90e68153eba6d12ab9c2f44bb76a"/>
                                <pic:cNvPicPr>
                                  <a:picLocks noChangeAspect="1"/>
                                </pic:cNvPicPr>
                              </pic:nvPicPr>
                              <pic:blipFill>
                                <a:blip r:embed="rId13"/>
                                <a:stretch>
                                  <a:fillRect/>
                                </a:stretch>
                              </pic:blipFill>
                              <pic:spPr>
                                <a:xfrm>
                                  <a:off x="0" y="0"/>
                                  <a:ext cx="2486025" cy="1863725"/>
                                </a:xfrm>
                                <a:prstGeom prst="rect">
                                  <a:avLst/>
                                </a:prstGeom>
                              </pic:spPr>
                            </pic:pic>
                          </a:graphicData>
                        </a:graphic>
                      </wp:inline>
                    </w:drawing>
                  </w:r>
                </w:p>
              </w:tc>
              <w:tc>
                <w:tcPr>
                  <w:tcW w:w="4129" w:type="dxa"/>
                  <w:tcBorders>
                    <w:tl2br w:val="nil"/>
                    <w:tr2bl w:val="nil"/>
                  </w:tcBorders>
                  <w:vAlign w:val="center"/>
                </w:tcPr>
                <w:p w14:paraId="65DF1F8B">
                  <w:pPr>
                    <w:pStyle w:val="39"/>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drawing>
                      <wp:inline distT="0" distB="0" distL="114300" distR="114300">
                        <wp:extent cx="2487295" cy="1864995"/>
                        <wp:effectExtent l="0" t="0" r="8255" b="1905"/>
                        <wp:docPr id="4" name="图片 4" descr="7c8deeb632f664b673770cfbd468a167"/>
                        <wp:cNvGraphicFramePr/>
                        <a:graphic xmlns:a="http://schemas.openxmlformats.org/drawingml/2006/main">
                          <a:graphicData uri="http://schemas.openxmlformats.org/drawingml/2006/picture">
                            <pic:pic xmlns:pic="http://schemas.openxmlformats.org/drawingml/2006/picture">
                              <pic:nvPicPr>
                                <pic:cNvPr id="4" name="图片 4" descr="7c8deeb632f664b673770cfbd468a167"/>
                                <pic:cNvPicPr/>
                              </pic:nvPicPr>
                              <pic:blipFill>
                                <a:blip r:embed="rId14"/>
                                <a:srcRect l="28276" t="14855" r="21635" b="25213"/>
                                <a:stretch>
                                  <a:fillRect/>
                                </a:stretch>
                              </pic:blipFill>
                              <pic:spPr>
                                <a:xfrm>
                                  <a:off x="0" y="0"/>
                                  <a:ext cx="2487295" cy="1864995"/>
                                </a:xfrm>
                                <a:prstGeom prst="rect">
                                  <a:avLst/>
                                </a:prstGeom>
                              </pic:spPr>
                            </pic:pic>
                          </a:graphicData>
                        </a:graphic>
                      </wp:inline>
                    </w:drawing>
                  </w:r>
                </w:p>
              </w:tc>
            </w:tr>
          </w:tbl>
          <w:p w14:paraId="61D38104">
            <w:pPr>
              <w:pStyle w:val="3"/>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图3-</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现场</w:t>
            </w:r>
            <w:r>
              <w:rPr>
                <w:rFonts w:hint="default"/>
                <w:color w:val="000000" w:themeColor="text1"/>
                <w:highlight w:val="none"/>
                <w14:textFill>
                  <w14:solidFill>
                    <w14:schemeClr w14:val="tx1"/>
                  </w14:solidFill>
                </w14:textFill>
              </w:rPr>
              <w:t>植被</w:t>
            </w:r>
            <w:r>
              <w:rPr>
                <w:rFonts w:hint="eastAsia"/>
                <w:color w:val="000000" w:themeColor="text1"/>
                <w:highlight w:val="none"/>
                <w:lang w:val="en-US" w:eastAsia="zh-CN"/>
                <w14:textFill>
                  <w14:solidFill>
                    <w14:schemeClr w14:val="tx1"/>
                  </w14:solidFill>
                </w14:textFill>
              </w:rPr>
              <w:t>图</w:t>
            </w:r>
          </w:p>
          <w:p w14:paraId="6A6D84F5">
            <w:pPr>
              <w:keepNext w:val="0"/>
              <w:keepLines w:val="0"/>
              <w:suppressLineNumbers w:val="0"/>
              <w:bidi w:val="0"/>
              <w:spacing w:before="0" w:beforeAutospacing="0" w:after="0" w:afterAutospacing="0"/>
              <w:ind w:left="0" w:right="0"/>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⑥土壤现状</w:t>
            </w:r>
          </w:p>
          <w:p w14:paraId="7CFFB16F">
            <w:pPr>
              <w:bidi w:val="0"/>
              <w:ind w:firstLine="1472"/>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治理区土地类型主要为天然牧草地和采矿用地，在基岩表面零星覆盖薄层壤土，土壤类型为山地灰钙土，环境干旱，土体干燥，土层瘠薄，含有较多的碎石，一般厚约20－40cm，无可耕可种连片土壤区。矿区总体土壤质地较粗，砂砾含量较高，松散，固结能力差，抗侵蚀能力弱，易受水流冲刷流失。</w:t>
            </w:r>
          </w:p>
          <w:p w14:paraId="7B02ECDD">
            <w:pPr>
              <w:keepNext w:val="0"/>
              <w:keepLines w:val="0"/>
              <w:suppressLineNumbers w:val="0"/>
              <w:bidi w:val="0"/>
              <w:spacing w:before="0" w:beforeAutospacing="0" w:after="0" w:afterAutospacing="0"/>
              <w:ind w:left="0" w:right="0"/>
              <w:rPr>
                <w:rFonts w:hint="eastAsia" w:ascii="宋体" w:hAnsi="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按照自治区土壤侵蚀类型的区划，并结合项目区的地形地貌、土壤、气候、植被等因素，确定项目区水土流失类型以轻度-强度风蚀为主，本项目与宁夏土壤侵蚀图的位</w:t>
            </w:r>
            <w:r>
              <w:rPr>
                <w:rFonts w:hint="eastAsia" w:ascii="Times New Roman" w:hAnsi="Times New Roman" w:eastAsia="宋体" w:cs="Times New Roman"/>
                <w:color w:val="000000" w:themeColor="text1"/>
                <w:sz w:val="24"/>
                <w:highlight w:val="none"/>
                <w:lang w:val="en-US" w:eastAsia="zh-CN" w:bidi="ar"/>
                <w14:textFill>
                  <w14:solidFill>
                    <w14:schemeClr w14:val="tx1"/>
                  </w14:solidFill>
                </w14:textFill>
              </w:rPr>
              <w:t>置关系见附图。</w:t>
            </w:r>
          </w:p>
          <w:p w14:paraId="622DDF28">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⑦</w:t>
            </w:r>
            <w:r>
              <w:rPr>
                <w:rFonts w:hint="eastAsia"/>
                <w:color w:val="000000" w:themeColor="text1"/>
                <w:highlight w:val="none"/>
                <w14:textFill>
                  <w14:solidFill>
                    <w14:schemeClr w14:val="tx1"/>
                  </w14:solidFill>
                </w14:textFill>
              </w:rPr>
              <w:t>野生动物分布状况</w:t>
            </w:r>
          </w:p>
          <w:p w14:paraId="16E5EA45">
            <w:pPr>
              <w:keepNext w:val="0"/>
              <w:keepLines w:val="0"/>
              <w:widowControl/>
              <w:suppressLineNumbers w:val="0"/>
              <w:spacing w:before="0" w:beforeAutospacing="0" w:after="0" w:afterAutospacing="0"/>
              <w:ind w:left="0" w:right="0" w:firstLine="454" w:firstLineChars="200"/>
              <w:jc w:val="left"/>
              <w:rPr>
                <w:rFonts w:hint="eastAsia"/>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本项目所在区域为中卫市沙坡头区</w:t>
            </w:r>
            <w:r>
              <w:rPr>
                <w:rFonts w:hint="eastAsia"/>
                <w:color w:val="000000" w:themeColor="text1"/>
                <w:kern w:val="0"/>
                <w:sz w:val="24"/>
                <w:highlight w:val="none"/>
                <w:lang w:val="en-US" w:eastAsia="zh-CN"/>
                <w14:textFill>
                  <w14:solidFill>
                    <w14:schemeClr w14:val="tx1"/>
                  </w14:solidFill>
                </w14:textFill>
              </w:rPr>
              <w:t>宣和镇</w:t>
            </w:r>
            <w:r>
              <w:rPr>
                <w:rFonts w:hint="eastAsia"/>
                <w:color w:val="000000" w:themeColor="text1"/>
                <w:highlight w:val="none"/>
                <w14:textFill>
                  <w14:solidFill>
                    <w14:schemeClr w14:val="tx1"/>
                  </w14:solidFill>
                </w14:textFill>
              </w:rPr>
              <w:t>天景山北麓</w:t>
            </w:r>
            <w:r>
              <w:rPr>
                <w:rFonts w:hint="eastAsia"/>
                <w:color w:val="000000" w:themeColor="text1"/>
                <w:kern w:val="0"/>
                <w:sz w:val="24"/>
                <w:highlight w:val="none"/>
                <w14:textFill>
                  <w14:solidFill>
                    <w14:schemeClr w14:val="tx1"/>
                  </w14:solidFill>
                </w14:textFill>
              </w:rPr>
              <w:t>，野生动物主要为田鼠、黄鼠、长爪沙鼠等，无重点保护动物种分布。该区域内鸟类主要为麻雀等，无</w:t>
            </w:r>
            <w:r>
              <w:rPr>
                <w:rFonts w:hint="eastAsia"/>
                <w:color w:val="000000" w:themeColor="text1"/>
                <w:kern w:val="0"/>
                <w:sz w:val="24"/>
                <w:highlight w:val="none"/>
                <w:lang w:eastAsia="zh-CN"/>
                <w14:textFill>
                  <w14:solidFill>
                    <w14:schemeClr w14:val="tx1"/>
                  </w14:solidFill>
                </w14:textFill>
              </w:rPr>
              <w:t>珍稀</w:t>
            </w:r>
            <w:r>
              <w:rPr>
                <w:rFonts w:hint="eastAsia"/>
                <w:color w:val="000000" w:themeColor="text1"/>
                <w:kern w:val="0"/>
                <w:sz w:val="24"/>
                <w:highlight w:val="none"/>
                <w14:textFill>
                  <w14:solidFill>
                    <w14:schemeClr w14:val="tx1"/>
                  </w14:solidFill>
                </w14:textFill>
              </w:rPr>
              <w:t>濒危鸟类分布。</w:t>
            </w:r>
          </w:p>
          <w:p w14:paraId="164775F1">
            <w:pPr>
              <w:keepNext w:val="0"/>
              <w:keepLines w:val="0"/>
              <w:suppressLineNumbers w:val="0"/>
              <w:bidi w:val="0"/>
              <w:spacing w:before="0" w:beforeAutospacing="0" w:after="0" w:afterAutospacing="0"/>
              <w:ind w:left="0" w:right="0"/>
              <w:rPr>
                <w:rFonts w:hint="eastAsia"/>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根据现场</w:t>
            </w:r>
            <w:r>
              <w:rPr>
                <w:rFonts w:hint="eastAsia"/>
                <w:color w:val="000000" w:themeColor="text1"/>
                <w:kern w:val="0"/>
                <w:sz w:val="24"/>
                <w:highlight w:val="none"/>
                <w:lang w:eastAsia="zh-CN"/>
                <w14:textFill>
                  <w14:solidFill>
                    <w14:schemeClr w14:val="tx1"/>
                  </w14:solidFill>
                </w14:textFill>
              </w:rPr>
              <w:t>勘查</w:t>
            </w:r>
            <w:r>
              <w:rPr>
                <w:rFonts w:hint="eastAsia"/>
                <w:color w:val="000000" w:themeColor="text1"/>
                <w:kern w:val="0"/>
                <w:sz w:val="24"/>
                <w:highlight w:val="none"/>
                <w14:textFill>
                  <w14:solidFill>
                    <w14:schemeClr w14:val="tx1"/>
                  </w14:solidFill>
                </w14:textFill>
              </w:rPr>
              <w:t>，整个评价区内没有发现珍稀、濒危动物物种的栖息地和繁殖地。</w:t>
            </w:r>
          </w:p>
          <w:p w14:paraId="7DC0B452">
            <w:pPr>
              <w:bidi w:val="0"/>
              <w:rPr>
                <w:rFonts w:hint="default"/>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⑧</w:t>
            </w:r>
            <w:r>
              <w:rPr>
                <w:rFonts w:hint="default"/>
                <w:color w:val="000000" w:themeColor="text1"/>
                <w:highlight w:val="none"/>
                <w14:textFill>
                  <w14:solidFill>
                    <w14:schemeClr w14:val="tx1"/>
                  </w14:solidFill>
                </w14:textFill>
              </w:rPr>
              <w:t>土地利用类型</w:t>
            </w:r>
          </w:p>
          <w:p w14:paraId="0572A66F">
            <w:pPr>
              <w:bidi w:val="0"/>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本项目</w:t>
            </w:r>
            <w:r>
              <w:rPr>
                <w:rFonts w:hint="eastAsia" w:cs="Times New Roman"/>
                <w:color w:val="000000" w:themeColor="text1"/>
                <w:highlight w:val="none"/>
                <w:lang w:val="en-US" w:eastAsia="zh-CN"/>
                <w14:textFill>
                  <w14:solidFill>
                    <w14:schemeClr w14:val="tx1"/>
                  </w14:solidFill>
                </w14:textFill>
              </w:rPr>
              <w:t>为矿山生态修复治理工程，</w:t>
            </w:r>
            <w:r>
              <w:rPr>
                <w:rFonts w:hint="eastAsia" w:ascii="Times New Roman" w:hAnsi="Times New Roman" w:eastAsia="宋体" w:cs="Times New Roman"/>
                <w:color w:val="000000" w:themeColor="text1"/>
                <w:highlight w:val="none"/>
                <w14:textFill>
                  <w14:solidFill>
                    <w14:schemeClr w14:val="tx1"/>
                  </w14:solidFill>
                </w14:textFill>
              </w:rPr>
              <w:t>无新增</w:t>
            </w:r>
            <w:r>
              <w:rPr>
                <w:rFonts w:hint="eastAsia" w:cs="Times New Roman"/>
                <w:color w:val="000000" w:themeColor="text1"/>
                <w:highlight w:val="none"/>
                <w:lang w:val="en-US" w:eastAsia="zh-CN"/>
                <w14:textFill>
                  <w14:solidFill>
                    <w14:schemeClr w14:val="tx1"/>
                  </w14:solidFill>
                </w14:textFill>
              </w:rPr>
              <w:t>永久占地</w:t>
            </w:r>
            <w:r>
              <w:rPr>
                <w:rFonts w:hint="eastAsia" w:ascii="Times New Roman" w:hAnsi="Times New Roman" w:eastAsia="宋体" w:cs="Times New Roman"/>
                <w:color w:val="000000" w:themeColor="text1"/>
                <w:highlight w:val="none"/>
                <w14:textFill>
                  <w14:solidFill>
                    <w14:schemeClr w14:val="tx1"/>
                  </w14:solidFill>
                </w14:textFill>
              </w:rPr>
              <w:t>。占地范围内均无房屋和附属建筑物，不涉及征地及移民搬迁安置问题。根据《土地利用现状分类》（GB/T21010-2017），通过实地调查和收集区域土地利用现状数据资料相结合，项目区总占地面积</w:t>
            </w:r>
            <w:r>
              <w:rPr>
                <w:rFonts w:hint="eastAsia" w:cs="Times New Roman"/>
                <w:color w:val="000000" w:themeColor="text1"/>
                <w:highlight w:val="none"/>
                <w:lang w:val="en-US" w:eastAsia="zh-CN"/>
                <w14:textFill>
                  <w14:solidFill>
                    <w14:schemeClr w14:val="tx1"/>
                  </w14:solidFill>
                </w14:textFill>
              </w:rPr>
              <w:t>94.17</w:t>
            </w:r>
            <w:r>
              <w:rPr>
                <w:rFonts w:hint="eastAsia" w:ascii="Times New Roman" w:hAnsi="Times New Roman" w:eastAsia="宋体" w:cs="Times New Roman"/>
                <w:color w:val="000000" w:themeColor="text1"/>
                <w:highlight w:val="none"/>
                <w14:textFill>
                  <w14:solidFill>
                    <w14:schemeClr w14:val="tx1"/>
                  </w14:solidFill>
                </w14:textFill>
              </w:rPr>
              <w:t>hm</w:t>
            </w:r>
            <w:r>
              <w:rPr>
                <w:rFonts w:hint="eastAsia" w:ascii="Times New Roman" w:hAnsi="Times New Roman" w:eastAsia="宋体" w:cs="Times New Roman"/>
                <w:color w:val="000000" w:themeColor="text1"/>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highlight w:val="none"/>
                <w14:textFill>
                  <w14:solidFill>
                    <w14:schemeClr w14:val="tx1"/>
                  </w14:solidFill>
                </w14:textFill>
              </w:rPr>
              <w:t>。占地类型主要为草地</w:t>
            </w:r>
            <w:r>
              <w:rPr>
                <w:rFonts w:hint="eastAsia"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14:textFill>
                  <w14:solidFill>
                    <w14:schemeClr w14:val="tx1"/>
                  </w14:solidFill>
                </w14:textFill>
              </w:rPr>
              <w:t>工矿用地</w:t>
            </w:r>
            <w:r>
              <w:rPr>
                <w:rFonts w:hint="eastAsia"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14:textFill>
                  <w14:solidFill>
                    <w14:schemeClr w14:val="tx1"/>
                  </w14:solidFill>
                </w14:textFill>
              </w:rPr>
              <w:t>交通运输用地</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林地</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特殊用地及其他土地</w:t>
            </w:r>
            <w:r>
              <w:rPr>
                <w:rFonts w:hint="eastAsia" w:ascii="Times New Roman" w:hAnsi="Times New Roman" w:eastAsia="宋体" w:cs="Times New Roman"/>
                <w:color w:val="000000" w:themeColor="text1"/>
                <w:highlight w:val="none"/>
                <w14:textFill>
                  <w14:solidFill>
                    <w14:schemeClr w14:val="tx1"/>
                  </w14:solidFill>
                </w14:textFill>
              </w:rPr>
              <w:t>。</w:t>
            </w:r>
          </w:p>
          <w:p w14:paraId="705FDF90">
            <w:pPr>
              <w:pStyle w:val="2"/>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2、环境空气质量现状</w:t>
            </w:r>
          </w:p>
          <w:p w14:paraId="69CAAB64">
            <w:pPr>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本项目位于</w:t>
            </w:r>
            <w:r>
              <w:rPr>
                <w:rFonts w:hint="eastAsia"/>
                <w:color w:val="000000" w:themeColor="text1"/>
                <w:highlight w:val="none"/>
                <w14:textFill>
                  <w14:solidFill>
                    <w14:schemeClr w14:val="tx1"/>
                  </w14:solidFill>
                </w14:textFill>
              </w:rPr>
              <w:t>中卫市沙坡头区</w:t>
            </w:r>
            <w:r>
              <w:rPr>
                <w:rFonts w:hint="default"/>
                <w:color w:val="000000" w:themeColor="text1"/>
                <w:highlight w:val="none"/>
                <w14:textFill>
                  <w14:solidFill>
                    <w14:schemeClr w14:val="tx1"/>
                  </w14:solidFill>
                </w14:textFill>
              </w:rPr>
              <w:t>，项目区域环境空气质量现状数据引用《</w:t>
            </w:r>
            <w:r>
              <w:rPr>
                <w:rFonts w:hint="eastAsia"/>
                <w:color w:val="000000" w:themeColor="text1"/>
                <w:highlight w:val="none"/>
                <w14:textFill>
                  <w14:solidFill>
                    <w14:schemeClr w14:val="tx1"/>
                  </w14:solidFill>
                </w14:textFill>
              </w:rPr>
              <w:t>202</w:t>
            </w:r>
            <w:r>
              <w:rPr>
                <w:rFonts w:hint="eastAsia"/>
                <w:color w:val="000000" w:themeColor="text1"/>
                <w:highlight w:val="none"/>
                <w:lang w:val="en-US" w:eastAsia="zh-CN"/>
                <w14:textFill>
                  <w14:solidFill>
                    <w14:schemeClr w14:val="tx1"/>
                  </w14:solidFill>
                </w14:textFill>
              </w:rPr>
              <w:t>4</w:t>
            </w:r>
            <w:r>
              <w:rPr>
                <w:rFonts w:hint="default"/>
                <w:color w:val="000000" w:themeColor="text1"/>
                <w:highlight w:val="none"/>
                <w14:textFill>
                  <w14:solidFill>
                    <w14:schemeClr w14:val="tx1"/>
                  </w14:solidFill>
                </w14:textFill>
              </w:rPr>
              <w:t>年宁夏回族自治区生态环境状况公报》中</w:t>
            </w:r>
            <w:r>
              <w:rPr>
                <w:rFonts w:hint="eastAsia"/>
                <w:color w:val="000000" w:themeColor="text1"/>
                <w:highlight w:val="none"/>
                <w14:textFill>
                  <w14:solidFill>
                    <w14:schemeClr w14:val="tx1"/>
                  </w14:solidFill>
                </w14:textFill>
              </w:rPr>
              <w:t>沙坡头区</w:t>
            </w:r>
            <w:r>
              <w:rPr>
                <w:rFonts w:hint="default"/>
                <w:color w:val="000000" w:themeColor="text1"/>
                <w:highlight w:val="none"/>
                <w14:textFill>
                  <w14:solidFill>
                    <w14:schemeClr w14:val="tx1"/>
                  </w14:solidFill>
                </w14:textFill>
              </w:rPr>
              <w:t>环境空气质量监测数据</w:t>
            </w:r>
            <w:r>
              <w:rPr>
                <w:rFonts w:hint="eastAsia"/>
                <w:color w:val="000000" w:themeColor="text1"/>
                <w:highlight w:val="none"/>
                <w14:textFill>
                  <w14:solidFill>
                    <w14:schemeClr w14:val="tx1"/>
                  </w14:solidFill>
                </w14:textFill>
              </w:rPr>
              <w:t>（扣除沙尘实况数据）</w:t>
            </w:r>
            <w:r>
              <w:rPr>
                <w:rFonts w:hint="default"/>
                <w:color w:val="000000" w:themeColor="text1"/>
                <w:highlight w:val="none"/>
                <w14:textFill>
                  <w14:solidFill>
                    <w14:schemeClr w14:val="tx1"/>
                  </w14:solidFill>
                </w14:textFill>
              </w:rPr>
              <w:t>进行评价。项目所在区域环境空气质量达标情况见表3-</w:t>
            </w:r>
            <w:r>
              <w:rPr>
                <w:rFonts w:hint="eastAsia"/>
                <w:color w:val="000000" w:themeColor="text1"/>
                <w:highlight w:val="none"/>
                <w:lang w:val="en-US" w:eastAsia="zh-CN"/>
                <w14:textFill>
                  <w14:solidFill>
                    <w14:schemeClr w14:val="tx1"/>
                  </w14:solidFill>
                </w14:textFill>
              </w:rPr>
              <w:t>2</w:t>
            </w:r>
            <w:r>
              <w:rPr>
                <w:rFonts w:hint="default"/>
                <w:color w:val="000000" w:themeColor="text1"/>
                <w:highlight w:val="none"/>
                <w14:textFill>
                  <w14:solidFill>
                    <w14:schemeClr w14:val="tx1"/>
                  </w14:solidFill>
                </w14:textFill>
              </w:rPr>
              <w:t>。</w:t>
            </w:r>
          </w:p>
          <w:p w14:paraId="36D616C2">
            <w:pPr>
              <w:pStyle w:val="3"/>
              <w:bidi w:val="0"/>
              <w:rPr>
                <w:rFonts w:hint="default" w:ascii="Times New Roman" w:cs="Times New Roman"/>
                <w:b/>
                <w:bCs/>
                <w:color w:val="000000" w:themeColor="text1"/>
                <w:sz w:val="24"/>
                <w:szCs w:val="24"/>
                <w:highlight w:val="none"/>
                <w:lang w:bidi="ar"/>
                <w14:textFill>
                  <w14:solidFill>
                    <w14:schemeClr w14:val="tx1"/>
                  </w14:solidFill>
                </w14:textFill>
              </w:rPr>
            </w:pPr>
            <w:r>
              <w:rPr>
                <w:rFonts w:hint="default" w:ascii="Times New Roman" w:eastAsia="黑体" w:cs="Times New Roman"/>
                <w:color w:val="000000" w:themeColor="text1"/>
                <w:sz w:val="24"/>
                <w:szCs w:val="24"/>
                <w:highlight w:val="none"/>
                <w:lang w:bidi="ar"/>
                <w14:textFill>
                  <w14:solidFill>
                    <w14:schemeClr w14:val="tx1"/>
                  </w14:solidFill>
                </w14:textFill>
              </w:rPr>
              <w:t>表3-</w:t>
            </w:r>
            <w:r>
              <w:rPr>
                <w:rFonts w:hint="eastAsia" w:cs="Times New Roman"/>
                <w:color w:val="000000" w:themeColor="text1"/>
                <w:sz w:val="24"/>
                <w:szCs w:val="24"/>
                <w:highlight w:val="none"/>
                <w:lang w:val="en-US" w:eastAsia="zh-CN" w:bidi="ar"/>
                <w14:textFill>
                  <w14:solidFill>
                    <w14:schemeClr w14:val="tx1"/>
                  </w14:solidFill>
                </w14:textFill>
              </w:rPr>
              <w:t>2</w:t>
            </w:r>
            <w:r>
              <w:rPr>
                <w:rFonts w:hint="default" w:ascii="Times New Roman" w:eastAsia="黑体" w:cs="Times New Roman"/>
                <w:color w:val="000000" w:themeColor="text1"/>
                <w:sz w:val="24"/>
                <w:szCs w:val="24"/>
                <w:highlight w:val="none"/>
                <w:lang w:bidi="ar"/>
                <w14:textFill>
                  <w14:solidFill>
                    <w14:schemeClr w14:val="tx1"/>
                  </w14:solidFill>
                </w14:textFill>
              </w:rPr>
              <w:t xml:space="preserve">  202</w:t>
            </w:r>
            <w:r>
              <w:rPr>
                <w:rFonts w:hint="eastAsia" w:cs="Times New Roman"/>
                <w:color w:val="000000" w:themeColor="text1"/>
                <w:sz w:val="24"/>
                <w:szCs w:val="24"/>
                <w:highlight w:val="none"/>
                <w:lang w:val="en-US" w:eastAsia="zh-CN" w:bidi="ar"/>
                <w14:textFill>
                  <w14:solidFill>
                    <w14:schemeClr w14:val="tx1"/>
                  </w14:solidFill>
                </w14:textFill>
              </w:rPr>
              <w:t>4</w:t>
            </w:r>
            <w:r>
              <w:rPr>
                <w:rFonts w:hint="default" w:ascii="Times New Roman" w:eastAsia="黑体" w:cs="Times New Roman"/>
                <w:color w:val="000000" w:themeColor="text1"/>
                <w:sz w:val="24"/>
                <w:szCs w:val="24"/>
                <w:highlight w:val="none"/>
                <w:lang w:bidi="ar"/>
                <w14:textFill>
                  <w14:solidFill>
                    <w14:schemeClr w14:val="tx1"/>
                  </w14:solidFill>
                </w14:textFill>
              </w:rPr>
              <w:t>年</w:t>
            </w:r>
            <w:r>
              <w:rPr>
                <w:rFonts w:hint="eastAsia" w:ascii="Times New Roman" w:eastAsia="黑体" w:cs="Times New Roman"/>
                <w:color w:val="000000" w:themeColor="text1"/>
                <w:sz w:val="24"/>
                <w:szCs w:val="24"/>
                <w:highlight w:val="none"/>
                <w:lang w:bidi="ar"/>
                <w14:textFill>
                  <w14:solidFill>
                    <w14:schemeClr w14:val="tx1"/>
                  </w14:solidFill>
                </w14:textFill>
              </w:rPr>
              <w:t>沙坡头区</w:t>
            </w:r>
            <w:r>
              <w:rPr>
                <w:rFonts w:hint="default" w:ascii="Times New Roman" w:eastAsia="黑体" w:cs="Times New Roman"/>
                <w:color w:val="000000" w:themeColor="text1"/>
                <w:sz w:val="24"/>
                <w:szCs w:val="24"/>
                <w:highlight w:val="none"/>
                <w:lang w:bidi="ar"/>
                <w14:textFill>
                  <w14:solidFill>
                    <w14:schemeClr w14:val="tx1"/>
                  </w14:solidFill>
                </w14:textFill>
              </w:rPr>
              <w:t>环境空气质量监测结果统计表  单位：</w:t>
            </w:r>
            <w:r>
              <w:rPr>
                <w:rFonts w:hint="default" w:ascii="Times New Roman" w:hAnsi="Times New Roman" w:cs="Times New Roman"/>
                <w:color w:val="000000" w:themeColor="text1"/>
                <w:sz w:val="24"/>
                <w:szCs w:val="24"/>
                <w:highlight w:val="none"/>
                <w:lang w:eastAsia="zh-CN" w:bidi="ar"/>
                <w14:textFill>
                  <w14:solidFill>
                    <w14:schemeClr w14:val="tx1"/>
                  </w14:solidFill>
                </w14:textFill>
              </w:rPr>
              <w:t>μ</w:t>
            </w:r>
            <w:r>
              <w:rPr>
                <w:rFonts w:hint="eastAsia" w:cs="Times New Roman"/>
                <w:color w:val="000000" w:themeColor="text1"/>
                <w:sz w:val="24"/>
                <w:szCs w:val="24"/>
                <w:highlight w:val="none"/>
                <w:lang w:eastAsia="zh-CN" w:bidi="ar"/>
                <w14:textFill>
                  <w14:solidFill>
                    <w14:schemeClr w14:val="tx1"/>
                  </w14:solidFill>
                </w14:textFill>
              </w:rPr>
              <w:t>g/m</w:t>
            </w:r>
            <w:r>
              <w:rPr>
                <w:rFonts w:hint="eastAsia" w:cs="Times New Roman"/>
                <w:color w:val="000000" w:themeColor="text1"/>
                <w:sz w:val="24"/>
                <w:szCs w:val="24"/>
                <w:highlight w:val="none"/>
                <w:vertAlign w:val="superscript"/>
                <w:lang w:eastAsia="zh-CN" w:bidi="ar"/>
                <w14:textFill>
                  <w14:solidFill>
                    <w14:schemeClr w14:val="tx1"/>
                  </w14:solidFill>
                </w14:textFill>
              </w:rPr>
              <w:t>3</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96"/>
              <w:gridCol w:w="2467"/>
              <w:gridCol w:w="1286"/>
              <w:gridCol w:w="1286"/>
              <w:gridCol w:w="1090"/>
              <w:gridCol w:w="753"/>
            </w:tblGrid>
            <w:tr w14:paraId="7678A0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1" w:type="dxa"/>
                  <w:noWrap w:val="0"/>
                  <w:vAlign w:val="center"/>
                </w:tcPr>
                <w:p w14:paraId="3C728AE3">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zh-TW"/>
                      <w14:textFill>
                        <w14:solidFill>
                          <w14:schemeClr w14:val="tx1"/>
                        </w14:solidFill>
                      </w14:textFill>
                    </w:rPr>
                  </w:pPr>
                  <w:r>
                    <w:rPr>
                      <w:rFonts w:hint="default" w:cs="Times New Roman"/>
                      <w:b/>
                      <w:bCs/>
                      <w:color w:val="000000" w:themeColor="text1"/>
                      <w:highlight w:val="none"/>
                      <w:lang w:val="zh-TW"/>
                      <w14:textFill>
                        <w14:solidFill>
                          <w14:schemeClr w14:val="tx1"/>
                        </w14:solidFill>
                      </w14:textFill>
                    </w:rPr>
                    <w:t>污染物</w:t>
                  </w:r>
                </w:p>
              </w:tc>
              <w:tc>
                <w:tcPr>
                  <w:tcW w:w="2560" w:type="dxa"/>
                  <w:noWrap w:val="0"/>
                  <w:vAlign w:val="center"/>
                </w:tcPr>
                <w:p w14:paraId="7B33DD2F">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zh-TW"/>
                      <w14:textFill>
                        <w14:solidFill>
                          <w14:schemeClr w14:val="tx1"/>
                        </w14:solidFill>
                      </w14:textFill>
                    </w:rPr>
                  </w:pPr>
                  <w:r>
                    <w:rPr>
                      <w:rFonts w:hint="default" w:cs="Times New Roman"/>
                      <w:b/>
                      <w:bCs/>
                      <w:color w:val="000000" w:themeColor="text1"/>
                      <w:highlight w:val="none"/>
                      <w:lang w:val="zh-TW"/>
                      <w14:textFill>
                        <w14:solidFill>
                          <w14:schemeClr w14:val="tx1"/>
                        </w14:solidFill>
                      </w14:textFill>
                    </w:rPr>
                    <w:t>评价指标</w:t>
                  </w:r>
                </w:p>
              </w:tc>
              <w:tc>
                <w:tcPr>
                  <w:tcW w:w="1334" w:type="dxa"/>
                  <w:noWrap w:val="0"/>
                  <w:vAlign w:val="center"/>
                </w:tcPr>
                <w:p w14:paraId="19F80299">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zh-TW"/>
                      <w14:textFill>
                        <w14:solidFill>
                          <w14:schemeClr w14:val="tx1"/>
                        </w14:solidFill>
                      </w14:textFill>
                    </w:rPr>
                  </w:pPr>
                  <w:r>
                    <w:rPr>
                      <w:rFonts w:hint="default" w:cs="Times New Roman"/>
                      <w:b/>
                      <w:bCs/>
                      <w:color w:val="000000" w:themeColor="text1"/>
                      <w:highlight w:val="none"/>
                      <w:lang w:val="zh-TW" w:eastAsia="zh-TW"/>
                      <w14:textFill>
                        <w14:solidFill>
                          <w14:schemeClr w14:val="tx1"/>
                        </w14:solidFill>
                      </w14:textFill>
                    </w:rPr>
                    <w:t>现状浓度</w:t>
                  </w:r>
                  <w:r>
                    <w:rPr>
                      <w:rFonts w:hint="default" w:cs="Times New Roman"/>
                      <w:b/>
                      <w:bCs/>
                      <w:color w:val="000000" w:themeColor="text1"/>
                      <w:highlight w:val="none"/>
                      <w:lang w:val="zh-TW"/>
                      <w14:textFill>
                        <w14:solidFill>
                          <w14:schemeClr w14:val="tx1"/>
                        </w14:solidFill>
                      </w14:textFill>
                    </w:rPr>
                    <w:t>（μg/m</w:t>
                  </w:r>
                  <w:r>
                    <w:rPr>
                      <w:rFonts w:hint="default" w:cs="Times New Roman"/>
                      <w:b/>
                      <w:bCs/>
                      <w:color w:val="000000" w:themeColor="text1"/>
                      <w:highlight w:val="none"/>
                      <w:vertAlign w:val="superscript"/>
                      <w:lang w:val="zh-TW"/>
                      <w14:textFill>
                        <w14:solidFill>
                          <w14:schemeClr w14:val="tx1"/>
                        </w14:solidFill>
                      </w14:textFill>
                    </w:rPr>
                    <w:t>3</w:t>
                  </w:r>
                  <w:r>
                    <w:rPr>
                      <w:rFonts w:hint="default" w:cs="Times New Roman"/>
                      <w:b/>
                      <w:bCs/>
                      <w:color w:val="000000" w:themeColor="text1"/>
                      <w:highlight w:val="none"/>
                      <w:lang w:val="zh-TW"/>
                      <w14:textFill>
                        <w14:solidFill>
                          <w14:schemeClr w14:val="tx1"/>
                        </w14:solidFill>
                      </w14:textFill>
                    </w:rPr>
                    <w:t>）</w:t>
                  </w:r>
                </w:p>
              </w:tc>
              <w:tc>
                <w:tcPr>
                  <w:tcW w:w="1334" w:type="dxa"/>
                  <w:noWrap w:val="0"/>
                  <w:vAlign w:val="center"/>
                </w:tcPr>
                <w:p w14:paraId="63FEA4BE">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zh-TW" w:eastAsia="zh-TW"/>
                      <w14:textFill>
                        <w14:solidFill>
                          <w14:schemeClr w14:val="tx1"/>
                        </w14:solidFill>
                      </w14:textFill>
                    </w:rPr>
                  </w:pPr>
                  <w:r>
                    <w:rPr>
                      <w:rFonts w:hint="default" w:cs="Times New Roman"/>
                      <w:b/>
                      <w:bCs/>
                      <w:color w:val="000000" w:themeColor="text1"/>
                      <w:highlight w:val="none"/>
                      <w:lang w:val="zh-TW" w:eastAsia="zh-TW"/>
                      <w14:textFill>
                        <w14:solidFill>
                          <w14:schemeClr w14:val="tx1"/>
                        </w14:solidFill>
                      </w14:textFill>
                    </w:rPr>
                    <w:t>标准值</w:t>
                  </w:r>
                </w:p>
                <w:p w14:paraId="14379A0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zh-TW"/>
                      <w14:textFill>
                        <w14:solidFill>
                          <w14:schemeClr w14:val="tx1"/>
                        </w14:solidFill>
                      </w14:textFill>
                    </w:rPr>
                  </w:pPr>
                  <w:r>
                    <w:rPr>
                      <w:rFonts w:hint="default" w:cs="Times New Roman"/>
                      <w:b/>
                      <w:bCs/>
                      <w:color w:val="000000" w:themeColor="text1"/>
                      <w:highlight w:val="none"/>
                      <w:lang w:val="zh-TW"/>
                      <w14:textFill>
                        <w14:solidFill>
                          <w14:schemeClr w14:val="tx1"/>
                        </w14:solidFill>
                      </w14:textFill>
                    </w:rPr>
                    <w:t>（μg/m</w:t>
                  </w:r>
                  <w:r>
                    <w:rPr>
                      <w:rFonts w:hint="default" w:cs="Times New Roman"/>
                      <w:b/>
                      <w:bCs/>
                      <w:color w:val="000000" w:themeColor="text1"/>
                      <w:highlight w:val="none"/>
                      <w:vertAlign w:val="superscript"/>
                      <w:lang w:val="zh-TW"/>
                      <w14:textFill>
                        <w14:solidFill>
                          <w14:schemeClr w14:val="tx1"/>
                        </w14:solidFill>
                      </w14:textFill>
                    </w:rPr>
                    <w:t>3</w:t>
                  </w:r>
                  <w:r>
                    <w:rPr>
                      <w:rFonts w:hint="default" w:cs="Times New Roman"/>
                      <w:b/>
                      <w:bCs/>
                      <w:color w:val="000000" w:themeColor="text1"/>
                      <w:highlight w:val="none"/>
                      <w:lang w:val="zh-TW"/>
                      <w14:textFill>
                        <w14:solidFill>
                          <w14:schemeClr w14:val="tx1"/>
                        </w14:solidFill>
                      </w14:textFill>
                    </w:rPr>
                    <w:t>）</w:t>
                  </w:r>
                </w:p>
              </w:tc>
              <w:tc>
                <w:tcPr>
                  <w:tcW w:w="1129" w:type="dxa"/>
                  <w:noWrap w:val="0"/>
                  <w:vAlign w:val="center"/>
                </w:tcPr>
                <w:p w14:paraId="2697978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zh-TW"/>
                      <w14:textFill>
                        <w14:solidFill>
                          <w14:schemeClr w14:val="tx1"/>
                        </w14:solidFill>
                      </w14:textFill>
                    </w:rPr>
                  </w:pPr>
                  <w:r>
                    <w:rPr>
                      <w:rFonts w:hint="default" w:cs="Times New Roman"/>
                      <w:b/>
                      <w:bCs/>
                      <w:color w:val="000000" w:themeColor="text1"/>
                      <w:highlight w:val="none"/>
                      <w:lang w:val="zh-TW" w:eastAsia="zh-TW"/>
                      <w14:textFill>
                        <w14:solidFill>
                          <w14:schemeClr w14:val="tx1"/>
                        </w14:solidFill>
                      </w14:textFill>
                    </w:rPr>
                    <w:t>占标率</w:t>
                  </w:r>
                  <w:r>
                    <w:rPr>
                      <w:rFonts w:hint="default" w:cs="Times New Roman"/>
                      <w:b/>
                      <w:bCs/>
                      <w:color w:val="000000" w:themeColor="text1"/>
                      <w:highlight w:val="none"/>
                      <w:lang w:val="zh-TW"/>
                      <w14:textFill>
                        <w14:solidFill>
                          <w14:schemeClr w14:val="tx1"/>
                        </w14:solidFill>
                      </w14:textFill>
                    </w:rPr>
                    <w:t>（%）</w:t>
                  </w:r>
                </w:p>
              </w:tc>
              <w:tc>
                <w:tcPr>
                  <w:tcW w:w="779" w:type="dxa"/>
                  <w:noWrap w:val="0"/>
                  <w:vAlign w:val="center"/>
                </w:tcPr>
                <w:p w14:paraId="6F90B718">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zh-TW"/>
                      <w14:textFill>
                        <w14:solidFill>
                          <w14:schemeClr w14:val="tx1"/>
                        </w14:solidFill>
                      </w14:textFill>
                    </w:rPr>
                  </w:pPr>
                  <w:r>
                    <w:rPr>
                      <w:rFonts w:hint="default" w:cs="Times New Roman"/>
                      <w:b/>
                      <w:bCs/>
                      <w:color w:val="000000" w:themeColor="text1"/>
                      <w:highlight w:val="none"/>
                      <w:lang w:val="zh-TW" w:eastAsia="zh-TW"/>
                      <w14:textFill>
                        <w14:solidFill>
                          <w14:schemeClr w14:val="tx1"/>
                        </w14:solidFill>
                      </w14:textFill>
                    </w:rPr>
                    <w:t>达标情况</w:t>
                  </w:r>
                </w:p>
              </w:tc>
            </w:tr>
            <w:tr w14:paraId="3C9983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1" w:type="dxa"/>
                  <w:noWrap w:val="0"/>
                  <w:vAlign w:val="center"/>
                </w:tcPr>
                <w:p w14:paraId="328AC85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eastAsia="zh-TW"/>
                      <w14:textFill>
                        <w14:solidFill>
                          <w14:schemeClr w14:val="tx1"/>
                        </w14:solidFill>
                      </w14:textFill>
                    </w:rPr>
                  </w:pPr>
                  <w:r>
                    <w:rPr>
                      <w:rFonts w:hint="default" w:cs="Times New Roman"/>
                      <w:color w:val="000000" w:themeColor="text1"/>
                      <w:highlight w:val="none"/>
                      <w14:textFill>
                        <w14:solidFill>
                          <w14:schemeClr w14:val="tx1"/>
                        </w14:solidFill>
                      </w14:textFill>
                    </w:rPr>
                    <w:t>SO</w:t>
                  </w:r>
                  <w:r>
                    <w:rPr>
                      <w:rFonts w:hint="default" w:cs="Times New Roman"/>
                      <w:color w:val="000000" w:themeColor="text1"/>
                      <w:highlight w:val="none"/>
                      <w:vertAlign w:val="subscript"/>
                      <w14:textFill>
                        <w14:solidFill>
                          <w14:schemeClr w14:val="tx1"/>
                        </w14:solidFill>
                      </w14:textFill>
                    </w:rPr>
                    <w:t>2</w:t>
                  </w:r>
                </w:p>
              </w:tc>
              <w:tc>
                <w:tcPr>
                  <w:tcW w:w="2560" w:type="dxa"/>
                  <w:noWrap w:val="0"/>
                  <w:vAlign w:val="center"/>
                </w:tcPr>
                <w:p w14:paraId="04CEA508">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14:textFill>
                        <w14:solidFill>
                          <w14:schemeClr w14:val="tx1"/>
                        </w14:solidFill>
                      </w14:textFill>
                    </w:rPr>
                  </w:pPr>
                  <w:r>
                    <w:rPr>
                      <w:rFonts w:hint="default" w:cs="Times New Roman"/>
                      <w:color w:val="000000" w:themeColor="text1"/>
                      <w:highlight w:val="none"/>
                      <w14:textFill>
                        <w14:solidFill>
                          <w14:schemeClr w14:val="tx1"/>
                        </w14:solidFill>
                      </w14:textFill>
                    </w:rPr>
                    <w:t>年平均质量浓度</w:t>
                  </w:r>
                </w:p>
              </w:tc>
              <w:tc>
                <w:tcPr>
                  <w:tcW w:w="1334" w:type="dxa"/>
                  <w:noWrap w:val="0"/>
                  <w:vAlign w:val="center"/>
                </w:tcPr>
                <w:p w14:paraId="26C42EE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eastAsia="宋体"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8</w:t>
                  </w:r>
                </w:p>
              </w:tc>
              <w:tc>
                <w:tcPr>
                  <w:tcW w:w="1334" w:type="dxa"/>
                  <w:noWrap w:val="0"/>
                  <w:vAlign w:val="center"/>
                </w:tcPr>
                <w:p w14:paraId="2382440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60</w:t>
                  </w:r>
                </w:p>
              </w:tc>
              <w:tc>
                <w:tcPr>
                  <w:tcW w:w="1129" w:type="dxa"/>
                  <w:noWrap w:val="0"/>
                  <w:vAlign w:val="center"/>
                </w:tcPr>
                <w:p w14:paraId="51C6F66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13.33</w:t>
                  </w:r>
                </w:p>
              </w:tc>
              <w:tc>
                <w:tcPr>
                  <w:tcW w:w="779" w:type="dxa"/>
                  <w:noWrap w:val="0"/>
                  <w:vAlign w:val="center"/>
                </w:tcPr>
                <w:p w14:paraId="4BDB43EE">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14:textFill>
                        <w14:solidFill>
                          <w14:schemeClr w14:val="tx1"/>
                        </w14:solidFill>
                      </w14:textFill>
                    </w:rPr>
                  </w:pPr>
                  <w:r>
                    <w:rPr>
                      <w:rFonts w:hint="default" w:cs="Times New Roman"/>
                      <w:color w:val="000000" w:themeColor="text1"/>
                      <w:highlight w:val="none"/>
                      <w:lang w:val="zh-TW"/>
                      <w14:textFill>
                        <w14:solidFill>
                          <w14:schemeClr w14:val="tx1"/>
                        </w14:solidFill>
                      </w14:textFill>
                    </w:rPr>
                    <w:t>达标</w:t>
                  </w:r>
                </w:p>
              </w:tc>
            </w:tr>
            <w:tr w14:paraId="2B91DE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1" w:type="dxa"/>
                  <w:noWrap w:val="0"/>
                  <w:vAlign w:val="center"/>
                </w:tcPr>
                <w:p w14:paraId="5D2CACA9">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eastAsia="zh-TW"/>
                      <w14:textFill>
                        <w14:solidFill>
                          <w14:schemeClr w14:val="tx1"/>
                        </w14:solidFill>
                      </w14:textFill>
                    </w:rPr>
                  </w:pPr>
                  <w:r>
                    <w:rPr>
                      <w:rFonts w:hint="default" w:cs="Times New Roman"/>
                      <w:color w:val="000000" w:themeColor="text1"/>
                      <w:highlight w:val="none"/>
                      <w14:textFill>
                        <w14:solidFill>
                          <w14:schemeClr w14:val="tx1"/>
                        </w14:solidFill>
                      </w14:textFill>
                    </w:rPr>
                    <w:t>NO</w:t>
                  </w:r>
                  <w:r>
                    <w:rPr>
                      <w:rFonts w:hint="default" w:cs="Times New Roman"/>
                      <w:color w:val="000000" w:themeColor="text1"/>
                      <w:highlight w:val="none"/>
                      <w:vertAlign w:val="subscript"/>
                      <w14:textFill>
                        <w14:solidFill>
                          <w14:schemeClr w14:val="tx1"/>
                        </w14:solidFill>
                      </w14:textFill>
                    </w:rPr>
                    <w:t>2</w:t>
                  </w:r>
                </w:p>
              </w:tc>
              <w:tc>
                <w:tcPr>
                  <w:tcW w:w="2560" w:type="dxa"/>
                  <w:noWrap w:val="0"/>
                  <w:vAlign w:val="center"/>
                </w:tcPr>
                <w:p w14:paraId="7D16F093">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14:textFill>
                        <w14:solidFill>
                          <w14:schemeClr w14:val="tx1"/>
                        </w14:solidFill>
                      </w14:textFill>
                    </w:rPr>
                  </w:pPr>
                  <w:r>
                    <w:rPr>
                      <w:rFonts w:hint="default" w:cs="Times New Roman"/>
                      <w:color w:val="000000" w:themeColor="text1"/>
                      <w:highlight w:val="none"/>
                      <w14:textFill>
                        <w14:solidFill>
                          <w14:schemeClr w14:val="tx1"/>
                        </w14:solidFill>
                      </w14:textFill>
                    </w:rPr>
                    <w:t>年平均质量浓度</w:t>
                  </w:r>
                </w:p>
              </w:tc>
              <w:tc>
                <w:tcPr>
                  <w:tcW w:w="1334" w:type="dxa"/>
                  <w:noWrap w:val="0"/>
                  <w:vAlign w:val="center"/>
                </w:tcPr>
                <w:p w14:paraId="51EF8B83">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23</w:t>
                  </w:r>
                </w:p>
              </w:tc>
              <w:tc>
                <w:tcPr>
                  <w:tcW w:w="1334" w:type="dxa"/>
                  <w:noWrap w:val="0"/>
                  <w:vAlign w:val="center"/>
                </w:tcPr>
                <w:p w14:paraId="0A22DB5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40</w:t>
                  </w:r>
                </w:p>
              </w:tc>
              <w:tc>
                <w:tcPr>
                  <w:tcW w:w="1129" w:type="dxa"/>
                  <w:noWrap w:val="0"/>
                  <w:vAlign w:val="center"/>
                </w:tcPr>
                <w:p w14:paraId="73F5E5D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57.50</w:t>
                  </w:r>
                </w:p>
              </w:tc>
              <w:tc>
                <w:tcPr>
                  <w:tcW w:w="779" w:type="dxa"/>
                  <w:noWrap w:val="0"/>
                  <w:vAlign w:val="center"/>
                </w:tcPr>
                <w:p w14:paraId="3AAC116A">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14:textFill>
                        <w14:solidFill>
                          <w14:schemeClr w14:val="tx1"/>
                        </w14:solidFill>
                      </w14:textFill>
                    </w:rPr>
                  </w:pPr>
                  <w:r>
                    <w:rPr>
                      <w:rFonts w:hint="default" w:cs="Times New Roman"/>
                      <w:color w:val="000000" w:themeColor="text1"/>
                      <w:highlight w:val="none"/>
                      <w:lang w:val="zh-TW"/>
                      <w14:textFill>
                        <w14:solidFill>
                          <w14:schemeClr w14:val="tx1"/>
                        </w14:solidFill>
                      </w14:textFill>
                    </w:rPr>
                    <w:t>达标</w:t>
                  </w:r>
                </w:p>
              </w:tc>
            </w:tr>
            <w:tr w14:paraId="5D1DFE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1" w:type="dxa"/>
                  <w:noWrap w:val="0"/>
                  <w:vAlign w:val="center"/>
                </w:tcPr>
                <w:p w14:paraId="5FC5449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eastAsia="zh-TW"/>
                      <w14:textFill>
                        <w14:solidFill>
                          <w14:schemeClr w14:val="tx1"/>
                        </w14:solidFill>
                      </w14:textFill>
                    </w:rPr>
                  </w:pPr>
                  <w:r>
                    <w:rPr>
                      <w:rFonts w:hint="default" w:cs="Times New Roman"/>
                      <w:color w:val="000000" w:themeColor="text1"/>
                      <w:highlight w:val="none"/>
                      <w14:textFill>
                        <w14:solidFill>
                          <w14:schemeClr w14:val="tx1"/>
                        </w14:solidFill>
                      </w14:textFill>
                    </w:rPr>
                    <w:t>CO</w:t>
                  </w:r>
                </w:p>
              </w:tc>
              <w:tc>
                <w:tcPr>
                  <w:tcW w:w="2560" w:type="dxa"/>
                  <w:noWrap w:val="0"/>
                  <w:vAlign w:val="center"/>
                </w:tcPr>
                <w:p w14:paraId="65B5086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14:textFill>
                        <w14:solidFill>
                          <w14:schemeClr w14:val="tx1"/>
                        </w14:solidFill>
                      </w14:textFill>
                    </w:rPr>
                  </w:pPr>
                  <w:r>
                    <w:rPr>
                      <w:rFonts w:hint="default" w:cs="Times New Roman"/>
                      <w:color w:val="000000" w:themeColor="text1"/>
                      <w:highlight w:val="none"/>
                      <w14:textFill>
                        <w14:solidFill>
                          <w14:schemeClr w14:val="tx1"/>
                        </w14:solidFill>
                      </w14:textFill>
                    </w:rPr>
                    <w:t>24h平均第95百分位数</w:t>
                  </w:r>
                </w:p>
              </w:tc>
              <w:tc>
                <w:tcPr>
                  <w:tcW w:w="1334" w:type="dxa"/>
                  <w:noWrap w:val="0"/>
                  <w:vAlign w:val="center"/>
                </w:tcPr>
                <w:p w14:paraId="429F49C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0.8</w:t>
                  </w:r>
                </w:p>
              </w:tc>
              <w:tc>
                <w:tcPr>
                  <w:tcW w:w="1334" w:type="dxa"/>
                  <w:noWrap w:val="0"/>
                  <w:vAlign w:val="center"/>
                </w:tcPr>
                <w:p w14:paraId="41C74286">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4</w:t>
                  </w:r>
                </w:p>
              </w:tc>
              <w:tc>
                <w:tcPr>
                  <w:tcW w:w="1129" w:type="dxa"/>
                  <w:noWrap w:val="0"/>
                  <w:vAlign w:val="center"/>
                </w:tcPr>
                <w:p w14:paraId="36C5E41C">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p>
              </w:tc>
              <w:tc>
                <w:tcPr>
                  <w:tcW w:w="779" w:type="dxa"/>
                  <w:noWrap w:val="0"/>
                  <w:vAlign w:val="center"/>
                </w:tcPr>
                <w:p w14:paraId="543BB9E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14:textFill>
                        <w14:solidFill>
                          <w14:schemeClr w14:val="tx1"/>
                        </w14:solidFill>
                      </w14:textFill>
                    </w:rPr>
                  </w:pPr>
                  <w:r>
                    <w:rPr>
                      <w:rFonts w:hint="default" w:cs="Times New Roman"/>
                      <w:color w:val="000000" w:themeColor="text1"/>
                      <w:highlight w:val="none"/>
                      <w:lang w:val="zh-TW"/>
                      <w14:textFill>
                        <w14:solidFill>
                          <w14:schemeClr w14:val="tx1"/>
                        </w14:solidFill>
                      </w14:textFill>
                    </w:rPr>
                    <w:t>达标</w:t>
                  </w:r>
                </w:p>
              </w:tc>
            </w:tr>
            <w:tr w14:paraId="4A36D2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1" w:type="dxa"/>
                  <w:noWrap w:val="0"/>
                  <w:vAlign w:val="center"/>
                </w:tcPr>
                <w:p w14:paraId="76D61DC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eastAsia="zh-TW"/>
                      <w14:textFill>
                        <w14:solidFill>
                          <w14:schemeClr w14:val="tx1"/>
                        </w14:solidFill>
                      </w14:textFill>
                    </w:rPr>
                  </w:pPr>
                  <w:r>
                    <w:rPr>
                      <w:rFonts w:hint="default" w:cs="Times New Roman"/>
                      <w:color w:val="000000" w:themeColor="text1"/>
                      <w:highlight w:val="none"/>
                      <w14:textFill>
                        <w14:solidFill>
                          <w14:schemeClr w14:val="tx1"/>
                        </w14:solidFill>
                      </w14:textFill>
                    </w:rPr>
                    <w:t>O</w:t>
                  </w:r>
                  <w:r>
                    <w:rPr>
                      <w:rFonts w:hint="default" w:cs="Times New Roman"/>
                      <w:color w:val="000000" w:themeColor="text1"/>
                      <w:highlight w:val="none"/>
                      <w:vertAlign w:val="subscript"/>
                      <w14:textFill>
                        <w14:solidFill>
                          <w14:schemeClr w14:val="tx1"/>
                        </w14:solidFill>
                      </w14:textFill>
                    </w:rPr>
                    <w:t>3</w:t>
                  </w:r>
                </w:p>
              </w:tc>
              <w:tc>
                <w:tcPr>
                  <w:tcW w:w="2560" w:type="dxa"/>
                  <w:noWrap w:val="0"/>
                  <w:vAlign w:val="center"/>
                </w:tcPr>
                <w:p w14:paraId="2E93907A">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14:textFill>
                        <w14:solidFill>
                          <w14:schemeClr w14:val="tx1"/>
                        </w14:solidFill>
                      </w14:textFill>
                    </w:rPr>
                  </w:pPr>
                  <w:r>
                    <w:rPr>
                      <w:rFonts w:hint="default" w:cs="Times New Roman"/>
                      <w:color w:val="000000" w:themeColor="text1"/>
                      <w:highlight w:val="none"/>
                      <w14:textFill>
                        <w14:solidFill>
                          <w14:schemeClr w14:val="tx1"/>
                        </w14:solidFill>
                      </w14:textFill>
                    </w:rPr>
                    <w:t>日最大8h滑动平均值的第90百分位数</w:t>
                  </w:r>
                </w:p>
              </w:tc>
              <w:tc>
                <w:tcPr>
                  <w:tcW w:w="1334" w:type="dxa"/>
                  <w:noWrap w:val="0"/>
                  <w:vAlign w:val="center"/>
                </w:tcPr>
                <w:p w14:paraId="507CC0C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144</w:t>
                  </w:r>
                </w:p>
              </w:tc>
              <w:tc>
                <w:tcPr>
                  <w:tcW w:w="1334" w:type="dxa"/>
                  <w:noWrap w:val="0"/>
                  <w:vAlign w:val="center"/>
                </w:tcPr>
                <w:p w14:paraId="4F92E01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14:textFill>
                        <w14:solidFill>
                          <w14:schemeClr w14:val="tx1"/>
                        </w14:solidFill>
                      </w14:textFill>
                    </w:rPr>
                  </w:pPr>
                  <w:r>
                    <w:rPr>
                      <w:rFonts w:hint="default" w:cs="Times New Roman"/>
                      <w:color w:val="000000" w:themeColor="text1"/>
                      <w:highlight w:val="none"/>
                      <w14:textFill>
                        <w14:solidFill>
                          <w14:schemeClr w14:val="tx1"/>
                        </w14:solidFill>
                      </w14:textFill>
                    </w:rPr>
                    <w:t>160</w:t>
                  </w:r>
                </w:p>
              </w:tc>
              <w:tc>
                <w:tcPr>
                  <w:tcW w:w="1129" w:type="dxa"/>
                  <w:noWrap w:val="0"/>
                  <w:vAlign w:val="center"/>
                </w:tcPr>
                <w:p w14:paraId="4364F72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90</w:t>
                  </w:r>
                </w:p>
              </w:tc>
              <w:tc>
                <w:tcPr>
                  <w:tcW w:w="779" w:type="dxa"/>
                  <w:noWrap w:val="0"/>
                  <w:vAlign w:val="center"/>
                </w:tcPr>
                <w:p w14:paraId="6AB70B5A">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14:textFill>
                        <w14:solidFill>
                          <w14:schemeClr w14:val="tx1"/>
                        </w14:solidFill>
                      </w14:textFill>
                    </w:rPr>
                  </w:pPr>
                  <w:r>
                    <w:rPr>
                      <w:rFonts w:hint="default" w:cs="Times New Roman"/>
                      <w:color w:val="000000" w:themeColor="text1"/>
                      <w:highlight w:val="none"/>
                      <w:lang w:val="zh-TW"/>
                      <w14:textFill>
                        <w14:solidFill>
                          <w14:schemeClr w14:val="tx1"/>
                        </w14:solidFill>
                      </w14:textFill>
                    </w:rPr>
                    <w:t>达标</w:t>
                  </w:r>
                </w:p>
              </w:tc>
            </w:tr>
            <w:tr w14:paraId="7C5B71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1" w:type="dxa"/>
                  <w:noWrap w:val="0"/>
                  <w:vAlign w:val="center"/>
                </w:tcPr>
                <w:p w14:paraId="6D32A78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14:textFill>
                        <w14:solidFill>
                          <w14:schemeClr w14:val="tx1"/>
                        </w14:solidFill>
                      </w14:textFill>
                    </w:rPr>
                  </w:pPr>
                  <w:r>
                    <w:rPr>
                      <w:rFonts w:hint="default" w:cs="Times New Roman"/>
                      <w:color w:val="000000" w:themeColor="text1"/>
                      <w:highlight w:val="none"/>
                      <w14:textFill>
                        <w14:solidFill>
                          <w14:schemeClr w14:val="tx1"/>
                        </w14:solidFill>
                      </w14:textFill>
                    </w:rPr>
                    <w:t>PM</w:t>
                  </w:r>
                  <w:r>
                    <w:rPr>
                      <w:rFonts w:hint="default" w:cs="Times New Roman"/>
                      <w:color w:val="000000" w:themeColor="text1"/>
                      <w:highlight w:val="none"/>
                      <w:vertAlign w:val="subscript"/>
                      <w14:textFill>
                        <w14:solidFill>
                          <w14:schemeClr w14:val="tx1"/>
                        </w14:solidFill>
                      </w14:textFill>
                    </w:rPr>
                    <w:t>2.5</w:t>
                  </w:r>
                </w:p>
              </w:tc>
              <w:tc>
                <w:tcPr>
                  <w:tcW w:w="2560" w:type="dxa"/>
                  <w:noWrap w:val="0"/>
                  <w:vAlign w:val="center"/>
                </w:tcPr>
                <w:p w14:paraId="603390FC">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eastAsia="zh-TW"/>
                      <w14:textFill>
                        <w14:solidFill>
                          <w14:schemeClr w14:val="tx1"/>
                        </w14:solidFill>
                      </w14:textFill>
                    </w:rPr>
                  </w:pPr>
                  <w:r>
                    <w:rPr>
                      <w:rFonts w:hint="default" w:cs="Times New Roman"/>
                      <w:color w:val="000000" w:themeColor="text1"/>
                      <w:highlight w:val="none"/>
                      <w14:textFill>
                        <w14:solidFill>
                          <w14:schemeClr w14:val="tx1"/>
                        </w14:solidFill>
                      </w14:textFill>
                    </w:rPr>
                    <w:t>年平均质量浓度</w:t>
                  </w:r>
                </w:p>
              </w:tc>
              <w:tc>
                <w:tcPr>
                  <w:tcW w:w="1334" w:type="dxa"/>
                  <w:noWrap w:val="0"/>
                  <w:vAlign w:val="center"/>
                </w:tcPr>
                <w:p w14:paraId="54B2CFDC">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31</w:t>
                  </w:r>
                </w:p>
              </w:tc>
              <w:tc>
                <w:tcPr>
                  <w:tcW w:w="1334" w:type="dxa"/>
                  <w:noWrap w:val="0"/>
                  <w:vAlign w:val="center"/>
                </w:tcPr>
                <w:p w14:paraId="0CF2873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14:textFill>
                        <w14:solidFill>
                          <w14:schemeClr w14:val="tx1"/>
                        </w14:solidFill>
                      </w14:textFill>
                    </w:rPr>
                  </w:pPr>
                  <w:r>
                    <w:rPr>
                      <w:rFonts w:hint="default" w:cs="Times New Roman"/>
                      <w:color w:val="000000" w:themeColor="text1"/>
                      <w:highlight w:val="none"/>
                      <w14:textFill>
                        <w14:solidFill>
                          <w14:schemeClr w14:val="tx1"/>
                        </w14:solidFill>
                      </w14:textFill>
                    </w:rPr>
                    <w:t>35</w:t>
                  </w:r>
                </w:p>
              </w:tc>
              <w:tc>
                <w:tcPr>
                  <w:tcW w:w="1129" w:type="dxa"/>
                  <w:noWrap w:val="0"/>
                  <w:vAlign w:val="center"/>
                </w:tcPr>
                <w:p w14:paraId="5F2B765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88.57</w:t>
                  </w:r>
                </w:p>
              </w:tc>
              <w:tc>
                <w:tcPr>
                  <w:tcW w:w="779" w:type="dxa"/>
                  <w:noWrap w:val="0"/>
                  <w:vAlign w:val="center"/>
                </w:tcPr>
                <w:p w14:paraId="18D7500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14:textFill>
                        <w14:solidFill>
                          <w14:schemeClr w14:val="tx1"/>
                        </w14:solidFill>
                      </w14:textFill>
                    </w:rPr>
                  </w:pPr>
                  <w:r>
                    <w:rPr>
                      <w:rFonts w:hint="default" w:cs="Times New Roman"/>
                      <w:color w:val="000000" w:themeColor="text1"/>
                      <w:highlight w:val="none"/>
                      <w:lang w:val="zh-TW" w:eastAsia="zh-TW"/>
                      <w14:textFill>
                        <w14:solidFill>
                          <w14:schemeClr w14:val="tx1"/>
                        </w14:solidFill>
                      </w14:textFill>
                    </w:rPr>
                    <w:t>达标</w:t>
                  </w:r>
                </w:p>
              </w:tc>
            </w:tr>
            <w:tr w14:paraId="37B8C1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1" w:type="dxa"/>
                  <w:noWrap w:val="0"/>
                  <w:vAlign w:val="center"/>
                </w:tcPr>
                <w:p w14:paraId="1893F8F3">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eastAsia="zh-TW"/>
                      <w14:textFill>
                        <w14:solidFill>
                          <w14:schemeClr w14:val="tx1"/>
                        </w14:solidFill>
                      </w14:textFill>
                    </w:rPr>
                  </w:pPr>
                  <w:r>
                    <w:rPr>
                      <w:rFonts w:hint="default" w:cs="Times New Roman"/>
                      <w:color w:val="000000" w:themeColor="text1"/>
                      <w:highlight w:val="none"/>
                      <w14:textFill>
                        <w14:solidFill>
                          <w14:schemeClr w14:val="tx1"/>
                        </w14:solidFill>
                      </w14:textFill>
                    </w:rPr>
                    <w:t>PM</w:t>
                  </w:r>
                  <w:r>
                    <w:rPr>
                      <w:rFonts w:hint="default" w:cs="Times New Roman"/>
                      <w:color w:val="000000" w:themeColor="text1"/>
                      <w:highlight w:val="none"/>
                      <w:vertAlign w:val="subscript"/>
                      <w14:textFill>
                        <w14:solidFill>
                          <w14:schemeClr w14:val="tx1"/>
                        </w14:solidFill>
                      </w14:textFill>
                    </w:rPr>
                    <w:t>10</w:t>
                  </w:r>
                </w:p>
              </w:tc>
              <w:tc>
                <w:tcPr>
                  <w:tcW w:w="2560" w:type="dxa"/>
                  <w:noWrap w:val="0"/>
                  <w:vAlign w:val="center"/>
                </w:tcPr>
                <w:p w14:paraId="61609E7C">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eastAsia="zh-TW"/>
                      <w14:textFill>
                        <w14:solidFill>
                          <w14:schemeClr w14:val="tx1"/>
                        </w14:solidFill>
                      </w14:textFill>
                    </w:rPr>
                  </w:pPr>
                  <w:r>
                    <w:rPr>
                      <w:rFonts w:hint="default" w:cs="Times New Roman"/>
                      <w:color w:val="000000" w:themeColor="text1"/>
                      <w:highlight w:val="none"/>
                      <w14:textFill>
                        <w14:solidFill>
                          <w14:schemeClr w14:val="tx1"/>
                        </w14:solidFill>
                      </w14:textFill>
                    </w:rPr>
                    <w:t>年平均质量浓度</w:t>
                  </w:r>
                </w:p>
              </w:tc>
              <w:tc>
                <w:tcPr>
                  <w:tcW w:w="1334" w:type="dxa"/>
                  <w:noWrap w:val="0"/>
                  <w:vAlign w:val="center"/>
                </w:tcPr>
                <w:p w14:paraId="1174C79D">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62</w:t>
                  </w:r>
                </w:p>
              </w:tc>
              <w:tc>
                <w:tcPr>
                  <w:tcW w:w="1334" w:type="dxa"/>
                  <w:noWrap w:val="0"/>
                  <w:vAlign w:val="center"/>
                </w:tcPr>
                <w:p w14:paraId="3A7961A9">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14:textFill>
                        <w14:solidFill>
                          <w14:schemeClr w14:val="tx1"/>
                        </w14:solidFill>
                      </w14:textFill>
                    </w:rPr>
                  </w:pPr>
                  <w:r>
                    <w:rPr>
                      <w:rFonts w:hint="default" w:cs="Times New Roman"/>
                      <w:color w:val="000000" w:themeColor="text1"/>
                      <w:highlight w:val="none"/>
                      <w14:textFill>
                        <w14:solidFill>
                          <w14:schemeClr w14:val="tx1"/>
                        </w14:solidFill>
                      </w14:textFill>
                    </w:rPr>
                    <w:t>70</w:t>
                  </w:r>
                </w:p>
              </w:tc>
              <w:tc>
                <w:tcPr>
                  <w:tcW w:w="1129" w:type="dxa"/>
                  <w:noWrap w:val="0"/>
                  <w:vAlign w:val="center"/>
                </w:tcPr>
                <w:p w14:paraId="7B08D4C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94.29</w:t>
                  </w:r>
                </w:p>
              </w:tc>
              <w:tc>
                <w:tcPr>
                  <w:tcW w:w="779" w:type="dxa"/>
                  <w:noWrap w:val="0"/>
                  <w:vAlign w:val="center"/>
                </w:tcPr>
                <w:p w14:paraId="3405BDD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zh-TW"/>
                      <w14:textFill>
                        <w14:solidFill>
                          <w14:schemeClr w14:val="tx1"/>
                        </w14:solidFill>
                      </w14:textFill>
                    </w:rPr>
                  </w:pPr>
                  <w:r>
                    <w:rPr>
                      <w:rFonts w:hint="default" w:cs="Times New Roman"/>
                      <w:color w:val="000000" w:themeColor="text1"/>
                      <w:highlight w:val="none"/>
                      <w:lang w:val="zh-TW" w:eastAsia="zh-TW"/>
                      <w14:textFill>
                        <w14:solidFill>
                          <w14:schemeClr w14:val="tx1"/>
                        </w14:solidFill>
                      </w14:textFill>
                    </w:rPr>
                    <w:t>达标</w:t>
                  </w:r>
                </w:p>
              </w:tc>
            </w:tr>
            <w:tr w14:paraId="583E4E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77" w:type="dxa"/>
                  <w:gridSpan w:val="6"/>
                  <w:noWrap w:val="0"/>
                  <w:vAlign w:val="center"/>
                </w:tcPr>
                <w:p w14:paraId="5519A82F">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leftChars="0" w:right="0" w:firstLine="0" w:firstLineChars="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注：1、CO现状浓度和标准值单位均为mg/m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w:t>
                  </w:r>
                </w:p>
                <w:p w14:paraId="404DDA19">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both"/>
                    <w:textAlignment w:val="auto"/>
                    <w:rPr>
                      <w:rFonts w:hint="default" w:cs="Times New Roman"/>
                      <w:color w:val="000000" w:themeColor="text1"/>
                      <w:highlight w:val="none"/>
                      <w:lang w:val="zh-TW" w:eastAsia="zh-TW"/>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2、现状浓度中PM</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10</w:t>
                  </w:r>
                  <w:r>
                    <w:rPr>
                      <w:rFonts w:hint="default" w:ascii="Times New Roman" w:hAnsi="Times New Roman" w:cs="Times New Roman"/>
                      <w:color w:val="000000" w:themeColor="text1"/>
                      <w:sz w:val="21"/>
                      <w:szCs w:val="21"/>
                      <w:highlight w:val="none"/>
                      <w14:textFill>
                        <w14:solidFill>
                          <w14:schemeClr w14:val="tx1"/>
                        </w14:solidFill>
                      </w14:textFill>
                    </w:rPr>
                    <w:t>、PM</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2.5</w:t>
                  </w:r>
                  <w:r>
                    <w:rPr>
                      <w:rFonts w:hint="default" w:ascii="Times New Roman" w:hAnsi="Times New Roman" w:cs="Times New Roman"/>
                      <w:color w:val="000000" w:themeColor="text1"/>
                      <w:sz w:val="21"/>
                      <w:szCs w:val="21"/>
                      <w:highlight w:val="none"/>
                      <w14:textFill>
                        <w14:solidFill>
                          <w14:schemeClr w14:val="tx1"/>
                        </w14:solidFill>
                      </w14:textFill>
                    </w:rPr>
                    <w:t>为剔除沙尘天气后的数值。</w:t>
                  </w:r>
                </w:p>
              </w:tc>
            </w:tr>
          </w:tbl>
          <w:p w14:paraId="1A3EDED7">
            <w:pPr>
              <w:keepNext w:val="0"/>
              <w:keepLines w:val="0"/>
              <w:suppressLineNumbers w:val="0"/>
              <w:spacing w:before="0" w:beforeAutospacing="0" w:after="0" w:afterAutospacing="0"/>
              <w:ind w:left="0" w:right="0" w:firstLine="454" w:firstLineChars="200"/>
              <w:rPr>
                <w:rFonts w:hint="eastAsia"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根据表3-</w:t>
            </w:r>
            <w:r>
              <w:rPr>
                <w:rFonts w:hint="eastAsia" w:cs="Times New Roman"/>
                <w:color w:val="000000" w:themeColor="text1"/>
                <w:sz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可知，</w:t>
            </w:r>
            <w:r>
              <w:rPr>
                <w:rFonts w:hint="eastAsia" w:ascii="Times New Roman" w:hAnsi="Times New Roman" w:eastAsia="宋体" w:cs="Times New Roman"/>
                <w:color w:val="000000" w:themeColor="text1"/>
                <w:sz w:val="24"/>
                <w:highlight w:val="none"/>
                <w14:textFill>
                  <w14:solidFill>
                    <w14:schemeClr w14:val="tx1"/>
                  </w14:solidFill>
                </w14:textFill>
              </w:rPr>
              <w:t>沙坡头区</w:t>
            </w:r>
            <w:r>
              <w:rPr>
                <w:rFonts w:hint="default" w:ascii="Times New Roman" w:hAnsi="Times New Roman" w:cs="Times New Roman"/>
                <w:color w:val="000000" w:themeColor="text1"/>
                <w:sz w:val="24"/>
                <w:highlight w:val="none"/>
                <w14:textFill>
                  <w14:solidFill>
                    <w14:schemeClr w14:val="tx1"/>
                  </w14:solidFill>
                </w14:textFill>
              </w:rPr>
              <w:t>202</w:t>
            </w:r>
            <w:r>
              <w:rPr>
                <w:rFonts w:hint="eastAsia" w:cs="Times New Roman"/>
                <w:color w:val="000000" w:themeColor="text1"/>
                <w:sz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highlight w:val="none"/>
                <w14:textFill>
                  <w14:solidFill>
                    <w14:schemeClr w14:val="tx1"/>
                  </w14:solidFill>
                </w14:textFill>
              </w:rPr>
              <w:t>年PM</w:t>
            </w:r>
            <w:r>
              <w:rPr>
                <w:rFonts w:hint="default" w:ascii="Times New Roman" w:hAnsi="Times New Roman" w:cs="Times New Roman"/>
                <w:color w:val="000000" w:themeColor="text1"/>
                <w:sz w:val="24"/>
                <w:highlight w:val="none"/>
                <w:vertAlign w:val="subscript"/>
                <w14:textFill>
                  <w14:solidFill>
                    <w14:schemeClr w14:val="tx1"/>
                  </w14:solidFill>
                </w14:textFill>
              </w:rPr>
              <w:t>10</w:t>
            </w:r>
            <w:r>
              <w:rPr>
                <w:rFonts w:hint="default" w:ascii="Times New Roman" w:hAnsi="Times New Roman" w:cs="Times New Roman"/>
                <w:color w:val="000000" w:themeColor="text1"/>
                <w:sz w:val="24"/>
                <w:highlight w:val="none"/>
                <w14:textFill>
                  <w14:solidFill>
                    <w14:schemeClr w14:val="tx1"/>
                  </w14:solidFill>
                </w14:textFill>
              </w:rPr>
              <w:t>、PM</w:t>
            </w:r>
            <w:r>
              <w:rPr>
                <w:rFonts w:hint="default" w:ascii="Times New Roman" w:hAnsi="Times New Roman" w:cs="Times New Roman"/>
                <w:color w:val="000000" w:themeColor="text1"/>
                <w:sz w:val="24"/>
                <w:highlight w:val="none"/>
                <w:vertAlign w:val="subscript"/>
                <w14:textFill>
                  <w14:solidFill>
                    <w14:schemeClr w14:val="tx1"/>
                  </w14:solidFill>
                </w14:textFill>
              </w:rPr>
              <w:t>2.5</w:t>
            </w:r>
            <w:r>
              <w:rPr>
                <w:rFonts w:hint="default" w:ascii="Times New Roman" w:hAnsi="Times New Roman" w:cs="Times New Roman"/>
                <w:color w:val="000000" w:themeColor="text1"/>
                <w:sz w:val="24"/>
                <w:highlight w:val="none"/>
                <w14:textFill>
                  <w14:solidFill>
                    <w14:schemeClr w14:val="tx1"/>
                  </w14:solidFill>
                </w14:textFill>
              </w:rPr>
              <w:t>、SO</w:t>
            </w:r>
            <w:r>
              <w:rPr>
                <w:rFonts w:hint="default" w:ascii="Times New Roman" w:hAnsi="Times New Roman" w:cs="Times New Roman"/>
                <w:color w:val="000000" w:themeColor="text1"/>
                <w:sz w:val="24"/>
                <w:highlight w:val="none"/>
                <w:vertAlign w:val="subscript"/>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、NO</w:t>
            </w:r>
            <w:r>
              <w:rPr>
                <w:rFonts w:hint="default" w:ascii="Times New Roman" w:hAnsi="Times New Roman" w:cs="Times New Roman"/>
                <w:color w:val="000000" w:themeColor="text1"/>
                <w:sz w:val="24"/>
                <w:highlight w:val="none"/>
                <w:vertAlign w:val="subscript"/>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、CO、O</w:t>
            </w:r>
            <w:r>
              <w:rPr>
                <w:rFonts w:hint="default" w:ascii="Times New Roman" w:hAnsi="Times New Roman" w:cs="Times New Roman"/>
                <w:color w:val="000000" w:themeColor="text1"/>
                <w:sz w:val="24"/>
                <w:highlight w:val="none"/>
                <w:vertAlign w:val="subscript"/>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的年均浓度和相应百分位数24h平均浓度</w:t>
            </w:r>
            <w:r>
              <w:rPr>
                <w:rFonts w:hint="eastAsia" w:cs="Times New Roman"/>
                <w:color w:val="000000" w:themeColor="text1"/>
                <w:sz w:val="24"/>
                <w:highlight w:val="none"/>
                <w:lang w:val="en-US" w:eastAsia="zh-CN"/>
                <w14:textFill>
                  <w14:solidFill>
                    <w14:schemeClr w14:val="tx1"/>
                  </w14:solidFill>
                </w14:textFill>
              </w:rPr>
              <w:t>及</w:t>
            </w:r>
            <w:r>
              <w:rPr>
                <w:rFonts w:hint="default" w:cs="Times New Roman"/>
                <w:color w:val="000000" w:themeColor="text1"/>
                <w:highlight w:val="none"/>
                <w14:textFill>
                  <w14:solidFill>
                    <w14:schemeClr w14:val="tx1"/>
                  </w14:solidFill>
                </w14:textFill>
              </w:rPr>
              <w:t>日最大8h滑动平均值的第90百分位数</w:t>
            </w:r>
            <w:r>
              <w:rPr>
                <w:rFonts w:hint="default" w:ascii="Times New Roman" w:hAnsi="Times New Roman" w:cs="Times New Roman"/>
                <w:color w:val="000000" w:themeColor="text1"/>
                <w:sz w:val="24"/>
                <w:highlight w:val="none"/>
                <w14:textFill>
                  <w14:solidFill>
                    <w14:schemeClr w14:val="tx1"/>
                  </w14:solidFill>
                </w14:textFill>
              </w:rPr>
              <w:t>浓度（剔除沙尘天气）均满足《环境空气质量标准》（GB3095-2012）中二级标准及修改单要求，属于达标区。</w:t>
            </w:r>
          </w:p>
          <w:p w14:paraId="196711E5">
            <w:pPr>
              <w:pStyle w:val="2"/>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default"/>
                <w:color w:val="000000" w:themeColor="text1"/>
                <w:highlight w:val="none"/>
                <w14:textFill>
                  <w14:solidFill>
                    <w14:schemeClr w14:val="tx1"/>
                  </w14:solidFill>
                </w14:textFill>
              </w:rPr>
              <w:t>地表水环境</w:t>
            </w:r>
          </w:p>
          <w:p w14:paraId="38193DA1">
            <w:pPr>
              <w:keepNext w:val="0"/>
              <w:keepLines w:val="0"/>
              <w:suppressLineNumbers w:val="0"/>
              <w:bidi w:val="0"/>
              <w:spacing w:before="0" w:beforeAutospacing="0" w:after="0" w:afterAutospacing="0"/>
              <w:ind w:left="0" w:right="0"/>
              <w:rPr>
                <w:rFonts w:hint="default" w:eastAsia="宋体" w:cs="Times New Roman"/>
                <w:color w:val="000000" w:themeColor="text1"/>
                <w:highlight w:val="none"/>
                <w:lang w:val="en-US" w:eastAsia="zh-CN"/>
                <w14:textFill>
                  <w14:solidFill>
                    <w14:schemeClr w14:val="tx1"/>
                  </w14:solidFill>
                </w14:textFill>
              </w:rPr>
            </w:pPr>
            <w:r>
              <w:rPr>
                <w:rFonts w:hint="default" w:cs="Times New Roman"/>
                <w:color w:val="000000" w:themeColor="text1"/>
                <w:sz w:val="24"/>
                <w:highlight w:val="none"/>
                <w14:textFill>
                  <w14:solidFill>
                    <w14:schemeClr w14:val="tx1"/>
                  </w14:solidFill>
                </w14:textFill>
              </w:rPr>
              <w:t>本项目所在</w:t>
            </w:r>
            <w:r>
              <w:rPr>
                <w:rFonts w:hint="eastAsia" w:cs="Times New Roman"/>
                <w:color w:val="000000" w:themeColor="text1"/>
                <w:sz w:val="24"/>
                <w:highlight w:val="none"/>
                <w:lang w:val="en-US" w:eastAsia="zh-CN"/>
                <w14:textFill>
                  <w14:solidFill>
                    <w14:schemeClr w14:val="tx1"/>
                  </w14:solidFill>
                </w14:textFill>
              </w:rPr>
              <w:t>区域</w:t>
            </w:r>
            <w:r>
              <w:rPr>
                <w:rFonts w:hint="default" w:cs="Times New Roman"/>
                <w:color w:val="000000" w:themeColor="text1"/>
                <w:sz w:val="24"/>
                <w:highlight w:val="none"/>
                <w14:textFill>
                  <w14:solidFill>
                    <w14:schemeClr w14:val="tx1"/>
                  </w14:solidFill>
                </w14:textFill>
              </w:rPr>
              <w:t>最近的地表水体为沙沟，</w:t>
            </w:r>
            <w:r>
              <w:rPr>
                <w:rFonts w:hint="eastAsia" w:cs="Times New Roman"/>
                <w:color w:val="000000" w:themeColor="text1"/>
                <w:sz w:val="24"/>
                <w:highlight w:val="none"/>
                <w:lang w:val="en-US" w:eastAsia="zh-CN"/>
                <w14:textFill>
                  <w14:solidFill>
                    <w14:schemeClr w14:val="tx1"/>
                  </w14:solidFill>
                </w14:textFill>
              </w:rPr>
              <w:t>沙沟位于项目区东南侧4.5km，</w:t>
            </w:r>
            <w:r>
              <w:rPr>
                <w:rFonts w:hint="default" w:cs="Times New Roman"/>
                <w:color w:val="000000" w:themeColor="text1"/>
                <w:sz w:val="24"/>
                <w:highlight w:val="none"/>
                <w14:textFill>
                  <w14:solidFill>
                    <w14:schemeClr w14:val="tx1"/>
                  </w14:solidFill>
                </w14:textFill>
              </w:rPr>
              <w:t>为季节性沟道，无长流水</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周边无常年径流地表水体</w:t>
            </w:r>
            <w:r>
              <w:rPr>
                <w:rFonts w:hint="default" w:cs="Times New Roman"/>
                <w:color w:val="000000" w:themeColor="text1"/>
                <w:sz w:val="24"/>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因此，本次不开展地表水环境影响现状评价</w:t>
            </w:r>
            <w:r>
              <w:rPr>
                <w:rFonts w:hint="eastAsia" w:cs="Times New Roman"/>
                <w:color w:val="000000" w:themeColor="text1"/>
                <w:highlight w:val="none"/>
                <w:lang w:val="en-US" w:eastAsia="zh-CN"/>
                <w14:textFill>
                  <w14:solidFill>
                    <w14:schemeClr w14:val="tx1"/>
                  </w14:solidFill>
                </w14:textFill>
              </w:rPr>
              <w:t>。</w:t>
            </w:r>
          </w:p>
          <w:p w14:paraId="3F929983">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地下水环境质量</w:t>
            </w:r>
          </w:p>
          <w:p w14:paraId="7A15B452">
            <w:pPr>
              <w:keepNext w:val="0"/>
              <w:keepLines w:val="0"/>
              <w:suppressLineNumbers w:val="0"/>
              <w:bidi w:val="0"/>
              <w:spacing w:before="0" w:beforeAutospacing="0" w:after="0" w:afterAutospacing="0"/>
              <w:ind w:left="0" w:right="0"/>
              <w:rPr>
                <w:rFonts w:hint="default" w:eastAsia="宋体" w:cs="Times New Roman"/>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本项目主要对</w:t>
            </w:r>
            <w:r>
              <w:rPr>
                <w:rFonts w:hint="default"/>
                <w:color w:val="000000" w:themeColor="text1"/>
                <w:highlight w:val="none"/>
                <w14:textFill>
                  <w14:solidFill>
                    <w14:schemeClr w14:val="tx1"/>
                  </w14:solidFill>
                </w14:textFill>
              </w:rPr>
              <w:t>历史遗留废弃矿山</w:t>
            </w:r>
            <w:r>
              <w:rPr>
                <w:rFonts w:hint="eastAsia"/>
                <w:color w:val="000000" w:themeColor="text1"/>
                <w:highlight w:val="none"/>
                <w14:textFill>
                  <w14:solidFill>
                    <w14:schemeClr w14:val="tx1"/>
                  </w14:solidFill>
                </w14:textFill>
              </w:rPr>
              <w:t>进行</w:t>
            </w:r>
            <w:r>
              <w:rPr>
                <w:rFonts w:hint="eastAsia"/>
                <w:color w:val="000000" w:themeColor="text1"/>
                <w:highlight w:val="none"/>
                <w:lang w:val="en-US" w:eastAsia="zh-CN"/>
                <w14:textFill>
                  <w14:solidFill>
                    <w14:schemeClr w14:val="tx1"/>
                  </w14:solidFill>
                </w14:textFill>
              </w:rPr>
              <w:t>恢复治理</w:t>
            </w:r>
            <w:r>
              <w:rPr>
                <w:rFonts w:hint="eastAsia"/>
                <w:color w:val="000000" w:themeColor="text1"/>
                <w:highlight w:val="none"/>
                <w14:textFill>
                  <w14:solidFill>
                    <w14:schemeClr w14:val="tx1"/>
                  </w14:solidFill>
                </w14:textFill>
              </w:rPr>
              <w:t>，项目主要建设内容包括</w:t>
            </w:r>
            <w:r>
              <w:rPr>
                <w:rFonts w:hint="eastAsia" w:cs="Times New Roman"/>
                <w:color w:val="000000" w:themeColor="text1"/>
                <w:sz w:val="24"/>
                <w:highlight w:val="none"/>
                <w:lang w:val="en-US" w:eastAsia="zh-CN"/>
                <w14:textFill>
                  <w14:solidFill>
                    <w14:schemeClr w14:val="tx1"/>
                  </w14:solidFill>
                </w14:textFill>
              </w:rPr>
              <w:t>地形地貌恢复工程、截排水工程、生态恢复工程</w:t>
            </w:r>
            <w:r>
              <w:rPr>
                <w:rFonts w:hint="eastAsia"/>
                <w:color w:val="000000" w:themeColor="text1"/>
                <w:highlight w:val="none"/>
                <w14:textFill>
                  <w14:solidFill>
                    <w14:schemeClr w14:val="tx1"/>
                  </w14:solidFill>
                </w14:textFill>
              </w:rPr>
              <w:t>等，施工期及运营期不存在地下水的污染途径，</w:t>
            </w:r>
            <w:r>
              <w:rPr>
                <w:rFonts w:hint="default"/>
                <w:color w:val="000000" w:themeColor="text1"/>
                <w:highlight w:val="none"/>
                <w14:textFill>
                  <w14:solidFill>
                    <w14:schemeClr w14:val="tx1"/>
                  </w14:solidFill>
                </w14:textFill>
              </w:rPr>
              <w:t>根据《环境影响评价技术导则 地下水环境》（HJ610-2016）</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本项目行业类别“J 非金属矿采选及制品制造 54、土砂石开采”评价等级为Ⅳ类。因此，本次不开展地下水环境影响现状评价</w:t>
            </w:r>
            <w:r>
              <w:rPr>
                <w:rFonts w:hint="eastAsia" w:cs="Times New Roman"/>
                <w:color w:val="000000" w:themeColor="text1"/>
                <w:highlight w:val="none"/>
                <w:lang w:val="en-US" w:eastAsia="zh-CN"/>
                <w14:textFill>
                  <w14:solidFill>
                    <w14:schemeClr w14:val="tx1"/>
                  </w14:solidFill>
                </w14:textFill>
              </w:rPr>
              <w:t>。</w:t>
            </w:r>
          </w:p>
          <w:p w14:paraId="24CB6F53">
            <w:pPr>
              <w:pStyle w:val="2"/>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r>
              <w:rPr>
                <w:rFonts w:hint="default"/>
                <w:color w:val="000000" w:themeColor="text1"/>
                <w:highlight w:val="none"/>
                <w14:textFill>
                  <w14:solidFill>
                    <w14:schemeClr w14:val="tx1"/>
                  </w14:solidFill>
                </w14:textFill>
              </w:rPr>
              <w:t>声环境</w:t>
            </w:r>
          </w:p>
          <w:p w14:paraId="14DF8776">
            <w:pPr>
              <w:keepNext w:val="0"/>
              <w:keepLines w:val="0"/>
              <w:suppressLineNumbers w:val="0"/>
              <w:spacing w:before="0" w:beforeAutospacing="0" w:after="0" w:afterAutospacing="0"/>
              <w:ind w:left="0" w:right="0" w:firstLine="454" w:firstLineChars="200"/>
              <w:rPr>
                <w:rFonts w:hint="eastAsia" w:cs="Times New Roman"/>
                <w:b/>
                <w:bCs/>
                <w:snapToGrid w:val="0"/>
                <w:color w:val="000000" w:themeColor="text1"/>
                <w:kern w:val="0"/>
                <w:sz w:val="24"/>
                <w:szCs w:val="22"/>
                <w:highlight w:val="none"/>
                <w14:textFill>
                  <w14:solidFill>
                    <w14:schemeClr w14:val="tx1"/>
                  </w14:solidFill>
                </w14:textFill>
              </w:rPr>
            </w:pPr>
            <w:r>
              <w:rPr>
                <w:rFonts w:hint="default" w:cs="Times New Roman"/>
                <w:color w:val="000000" w:themeColor="text1"/>
                <w:kern w:val="0"/>
                <w:sz w:val="24"/>
                <w:highlight w:val="none"/>
                <w14:textFill>
                  <w14:solidFill>
                    <w14:schemeClr w14:val="tx1"/>
                  </w14:solidFill>
                </w14:textFill>
              </w:rPr>
              <w:t>根据实地调查，</w:t>
            </w:r>
            <w:r>
              <w:rPr>
                <w:rFonts w:hint="eastAsia" w:cs="Times New Roman"/>
                <w:color w:val="000000" w:themeColor="text1"/>
                <w:kern w:val="0"/>
                <w:sz w:val="24"/>
                <w:highlight w:val="none"/>
                <w14:textFill>
                  <w14:solidFill>
                    <w14:schemeClr w14:val="tx1"/>
                  </w14:solidFill>
                </w14:textFill>
              </w:rPr>
              <w:t>本项目</w:t>
            </w:r>
            <w:r>
              <w:rPr>
                <w:rFonts w:hint="default" w:cs="Times New Roman"/>
                <w:color w:val="000000" w:themeColor="text1"/>
                <w:kern w:val="0"/>
                <w:sz w:val="24"/>
                <w:highlight w:val="none"/>
                <w14:textFill>
                  <w14:solidFill>
                    <w14:schemeClr w14:val="tx1"/>
                  </w14:solidFill>
                </w14:textFill>
              </w:rPr>
              <w:t>周边</w:t>
            </w:r>
            <w:r>
              <w:rPr>
                <w:rFonts w:hint="eastAsia" w:cs="Times New Roman"/>
                <w:color w:val="000000" w:themeColor="text1"/>
                <w:kern w:val="0"/>
                <w:sz w:val="24"/>
                <w:highlight w:val="none"/>
                <w:lang w:val="en-US" w:eastAsia="zh-CN"/>
                <w14:textFill>
                  <w14:solidFill>
                    <w14:schemeClr w14:val="tx1"/>
                  </w14:solidFill>
                </w14:textFill>
              </w:rPr>
              <w:t>20</w:t>
            </w:r>
            <w:r>
              <w:rPr>
                <w:rFonts w:hint="default" w:cs="Times New Roman"/>
                <w:color w:val="000000" w:themeColor="text1"/>
                <w:kern w:val="0"/>
                <w:sz w:val="24"/>
                <w:highlight w:val="none"/>
                <w14:textFill>
                  <w14:solidFill>
                    <w14:schemeClr w14:val="tx1"/>
                  </w14:solidFill>
                </w14:textFill>
              </w:rPr>
              <w:t>0</w:t>
            </w:r>
            <w:r>
              <w:rPr>
                <w:rFonts w:hint="eastAsia" w:cs="Times New Roman"/>
                <w:color w:val="000000" w:themeColor="text1"/>
                <w:kern w:val="0"/>
                <w:sz w:val="24"/>
                <w:highlight w:val="none"/>
                <w14:textFill>
                  <w14:solidFill>
                    <w14:schemeClr w14:val="tx1"/>
                  </w14:solidFill>
                </w14:textFill>
              </w:rPr>
              <w:t>m</w:t>
            </w:r>
            <w:r>
              <w:rPr>
                <w:rFonts w:hint="default" w:cs="Times New Roman"/>
                <w:color w:val="000000" w:themeColor="text1"/>
                <w:kern w:val="0"/>
                <w:sz w:val="24"/>
                <w:highlight w:val="none"/>
                <w14:textFill>
                  <w14:solidFill>
                    <w14:schemeClr w14:val="tx1"/>
                  </w14:solidFill>
                </w14:textFill>
              </w:rPr>
              <w:t>范围内无声环境敏感目标</w:t>
            </w:r>
            <w:r>
              <w:rPr>
                <w:rFonts w:hint="eastAsia" w:cs="Times New Roman"/>
                <w:color w:val="000000" w:themeColor="text1"/>
                <w:kern w:val="0"/>
                <w:sz w:val="24"/>
                <w:highlight w:val="none"/>
                <w14:textFill>
                  <w14:solidFill>
                    <w14:schemeClr w14:val="tx1"/>
                  </w14:solidFill>
                </w14:textFill>
              </w:rPr>
              <w:t>，</w:t>
            </w:r>
            <w:r>
              <w:rPr>
                <w:rFonts w:hint="default" w:cs="Times New Roman"/>
                <w:color w:val="000000" w:themeColor="text1"/>
                <w:kern w:val="0"/>
                <w:sz w:val="24"/>
                <w:highlight w:val="none"/>
                <w14:textFill>
                  <w14:solidFill>
                    <w14:schemeClr w14:val="tx1"/>
                  </w14:solidFill>
                </w14:textFill>
              </w:rPr>
              <w:t>因此，不开展声环境质量现状调查。</w:t>
            </w:r>
          </w:p>
          <w:p w14:paraId="455F1804">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土壤环境质量</w:t>
            </w:r>
          </w:p>
          <w:p w14:paraId="12C8F83A">
            <w:pPr>
              <w:keepNext w:val="0"/>
              <w:keepLines w:val="0"/>
              <w:suppressLineNumbers w:val="0"/>
              <w:bidi w:val="0"/>
              <w:spacing w:before="0" w:beforeAutospacing="0" w:after="0" w:afterAutospacing="0"/>
              <w:ind w:left="0" w:right="0"/>
              <w:rPr>
                <w:rFonts w:hint="default" w:cs="Times New Roman"/>
                <w:color w:val="000000" w:themeColor="text1"/>
                <w:kern w:val="0"/>
                <w:sz w:val="24"/>
                <w:highlight w:val="none"/>
                <w14:textFill>
                  <w14:solidFill>
                    <w14:schemeClr w14:val="tx1"/>
                  </w14:solidFill>
                </w14:textFill>
              </w:rPr>
            </w:pPr>
            <w:r>
              <w:rPr>
                <w:rFonts w:hint="eastAsia"/>
                <w:color w:val="000000" w:themeColor="text1"/>
                <w:highlight w:val="none"/>
                <w14:textFill>
                  <w14:solidFill>
                    <w14:schemeClr w14:val="tx1"/>
                  </w14:solidFill>
                </w14:textFill>
              </w:rPr>
              <w:t>本项目主要对</w:t>
            </w:r>
            <w:r>
              <w:rPr>
                <w:rFonts w:hint="default"/>
                <w:color w:val="000000" w:themeColor="text1"/>
                <w:highlight w:val="none"/>
                <w14:textFill>
                  <w14:solidFill>
                    <w14:schemeClr w14:val="tx1"/>
                  </w14:solidFill>
                </w14:textFill>
              </w:rPr>
              <w:t>历史遗留废弃矿山</w:t>
            </w:r>
            <w:r>
              <w:rPr>
                <w:rFonts w:hint="eastAsia"/>
                <w:color w:val="000000" w:themeColor="text1"/>
                <w:highlight w:val="none"/>
                <w14:textFill>
                  <w14:solidFill>
                    <w14:schemeClr w14:val="tx1"/>
                  </w14:solidFill>
                </w14:textFill>
              </w:rPr>
              <w:t>进行</w:t>
            </w:r>
            <w:r>
              <w:rPr>
                <w:rFonts w:hint="eastAsia"/>
                <w:color w:val="000000" w:themeColor="text1"/>
                <w:highlight w:val="none"/>
                <w:lang w:val="en-US" w:eastAsia="zh-CN"/>
                <w14:textFill>
                  <w14:solidFill>
                    <w14:schemeClr w14:val="tx1"/>
                  </w14:solidFill>
                </w14:textFill>
              </w:rPr>
              <w:t>恢复治理</w:t>
            </w:r>
            <w:r>
              <w:rPr>
                <w:rFonts w:hint="eastAsia"/>
                <w:color w:val="000000" w:themeColor="text1"/>
                <w:highlight w:val="none"/>
                <w14:textFill>
                  <w14:solidFill>
                    <w14:schemeClr w14:val="tx1"/>
                  </w14:solidFill>
                </w14:textFill>
              </w:rPr>
              <w:t>，项目主要建设内容</w:t>
            </w:r>
            <w:r>
              <w:rPr>
                <w:rFonts w:hint="eastAsia"/>
                <w:color w:val="000000" w:themeColor="text1"/>
                <w:highlight w:val="none"/>
                <w:lang w:val="en-US" w:eastAsia="zh-CN"/>
                <w14:textFill>
                  <w14:solidFill>
                    <w14:schemeClr w14:val="tx1"/>
                  </w14:solidFill>
                </w14:textFill>
              </w:rPr>
              <w:t>包括</w:t>
            </w:r>
            <w:r>
              <w:rPr>
                <w:rFonts w:hint="eastAsia"/>
                <w:color w:val="000000" w:themeColor="text1"/>
                <w:highlight w:val="none"/>
                <w14:textFill>
                  <w14:solidFill>
                    <w14:schemeClr w14:val="tx1"/>
                  </w14:solidFill>
                </w14:textFill>
              </w:rPr>
              <w:t>地形地貌恢复工程、截排水工程、生态恢复工程，施工期及运营期不存在</w:t>
            </w:r>
            <w:r>
              <w:rPr>
                <w:rFonts w:hint="eastAsia"/>
                <w:color w:val="000000" w:themeColor="text1"/>
                <w:highlight w:val="none"/>
                <w:lang w:eastAsia="zh-CN"/>
                <w14:textFill>
                  <w14:solidFill>
                    <w14:schemeClr w14:val="tx1"/>
                  </w14:solidFill>
                </w14:textFill>
              </w:rPr>
              <w:t>土壤</w:t>
            </w:r>
            <w:r>
              <w:rPr>
                <w:rFonts w:hint="eastAsia"/>
                <w:color w:val="000000" w:themeColor="text1"/>
                <w:highlight w:val="none"/>
                <w14:textFill>
                  <w14:solidFill>
                    <w14:schemeClr w14:val="tx1"/>
                  </w14:solidFill>
                </w14:textFill>
              </w:rPr>
              <w:t>污染途径</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根据</w:t>
            </w:r>
            <w:r>
              <w:rPr>
                <w:rFonts w:hint="default"/>
                <w:color w:val="000000" w:themeColor="text1"/>
                <w:highlight w:val="none"/>
                <w14:textFill>
                  <w14:solidFill>
                    <w14:schemeClr w14:val="tx1"/>
                  </w14:solidFill>
                </w14:textFill>
              </w:rPr>
              <w:t>《环境影响评价技术导则</w:t>
            </w:r>
            <w:r>
              <w:rPr>
                <w:rFonts w:hint="eastAsia"/>
                <w:color w:val="000000" w:themeColor="text1"/>
                <w:highlight w:val="none"/>
                <w:lang w:val="en-US" w:eastAsia="zh-CN"/>
                <w14:textFill>
                  <w14:solidFill>
                    <w14:schemeClr w14:val="tx1"/>
                  </w14:solidFill>
                </w14:textFill>
              </w:rPr>
              <w:t xml:space="preserve"> 土壤环境（试行）</w:t>
            </w:r>
            <w:r>
              <w:rPr>
                <w:rFonts w:hint="default"/>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（HJ 964—2018），</w:t>
            </w:r>
            <w:r>
              <w:rPr>
                <w:rFonts w:hint="eastAsia"/>
                <w:color w:val="000000" w:themeColor="text1"/>
                <w:highlight w:val="none"/>
                <w:lang w:val="en-US" w:eastAsia="zh-CN"/>
                <w14:textFill>
                  <w14:solidFill>
                    <w14:schemeClr w14:val="tx1"/>
                  </w14:solidFill>
                </w14:textFill>
              </w:rPr>
              <w:t>本</w:t>
            </w:r>
            <w:r>
              <w:rPr>
                <w:rFonts w:hint="default"/>
                <w:color w:val="000000" w:themeColor="text1"/>
                <w:highlight w:val="none"/>
                <w14:textFill>
                  <w14:solidFill>
                    <w14:schemeClr w14:val="tx1"/>
                  </w14:solidFill>
                </w14:textFill>
              </w:rPr>
              <w:t>项目行业类别</w:t>
            </w:r>
            <w:r>
              <w:rPr>
                <w:rFonts w:hint="eastAsia"/>
                <w:color w:val="000000" w:themeColor="text1"/>
                <w:highlight w:val="none"/>
                <w:lang w:val="en-US" w:eastAsia="zh-CN"/>
                <w14:textFill>
                  <w14:solidFill>
                    <w14:schemeClr w14:val="tx1"/>
                  </w14:solidFill>
                </w14:textFill>
              </w:rPr>
              <w:t>属于其他行</w:t>
            </w:r>
            <w:r>
              <w:rPr>
                <w:rFonts w:hint="default"/>
                <w:color w:val="000000" w:themeColor="text1"/>
                <w:highlight w:val="none"/>
                <w14:textFill>
                  <w14:solidFill>
                    <w14:schemeClr w14:val="tx1"/>
                  </w14:solidFill>
                </w14:textFill>
              </w:rPr>
              <w:t>业</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本项目施工期、运营期均不存在土壤污染途径</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因此，本次评价不开展土壤环境质量现状调查。</w:t>
            </w:r>
          </w:p>
        </w:tc>
      </w:tr>
      <w:tr w14:paraId="3601ED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11" w:hRule="atLeast"/>
        </w:trPr>
        <w:tc>
          <w:tcPr>
            <w:tcW w:w="832" w:type="dxa"/>
            <w:noWrap w:val="0"/>
            <w:vAlign w:val="center"/>
          </w:tcPr>
          <w:p w14:paraId="42B670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kern w:val="0"/>
                <w:szCs w:val="21"/>
                <w:highlight w:val="none"/>
                <w14:textFill>
                  <w14:solidFill>
                    <w14:schemeClr w14:val="tx1"/>
                  </w14:solidFill>
                </w14:textFill>
              </w:rPr>
            </w:pPr>
            <w:r>
              <w:rPr>
                <w:rFonts w:hint="default"/>
                <w:b/>
                <w:bCs/>
                <w:color w:val="000000" w:themeColor="text1"/>
                <w:highlight w:val="none"/>
                <w14:textFill>
                  <w14:solidFill>
                    <w14:schemeClr w14:val="tx1"/>
                  </w14:solidFill>
                </w14:textFill>
              </w:rPr>
              <w:t>与项目有关的原有环境污染和生态破坏问题</w:t>
            </w:r>
          </w:p>
        </w:tc>
        <w:tc>
          <w:tcPr>
            <w:tcW w:w="8325" w:type="dxa"/>
            <w:noWrap w:val="0"/>
            <w:vAlign w:val="top"/>
          </w:tcPr>
          <w:p w14:paraId="2B39D27B">
            <w:pPr>
              <w:pStyle w:val="2"/>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1、主要生态问题和原因分析</w:t>
            </w:r>
          </w:p>
          <w:p w14:paraId="75EA118C">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沙坡头区天景山区域石灰岩矿产资源分布集中，现有矿山企业以中小型为主，个别区域矿产资源开采生态保护不到位，生态修复效果较差。企业在执行生态修复任务时，未全面履行治理责任。</w:t>
            </w:r>
          </w:p>
          <w:p w14:paraId="6CC5EF48">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根据中央第五生态环境保护督察组督察宁夏时，发现中卫市宣和镇天景山峁圪垯梁灰石矿区部分区域生态修复不严不实等问题，主要有以下几个：</w:t>
            </w:r>
          </w:p>
          <w:p w14:paraId="03C475BA">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⑴</w:t>
            </w:r>
            <w:r>
              <w:rPr>
                <w:rFonts w:hint="default"/>
                <w:color w:val="000000" w:themeColor="text1"/>
                <w:highlight w:val="none"/>
                <w14:textFill>
                  <w14:solidFill>
                    <w14:schemeClr w14:val="tx1"/>
                  </w14:solidFill>
                </w14:textFill>
              </w:rPr>
              <w:t>修复后边坡稳定性差，易造成地形地貌破坏</w:t>
            </w:r>
          </w:p>
          <w:p w14:paraId="1FA28407">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治理区北部、交通干道南侧边坡有雨水汇流导致边坡垮塌，破坏地形地貌。山洪沟沿线右侧有大量矿产品堆放，压占土地，导致地表形态重塑，地形破碎化指数上升，具有水土流失的隐患。</w:t>
            </w:r>
          </w:p>
          <w:p w14:paraId="4C6AC775">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根据《地质灾害危险性评估规范》（GB/T40112-2021），结合治理区各治理点调查情况，部分边坡浮石遇到暴雨容易使陡坎崩塌、渣堆塌陷、采坑滑坡等，造成山洪泥石流等地质灾害，使下游居民、农田受到侵害。</w:t>
            </w:r>
          </w:p>
          <w:tbl>
            <w:tblPr>
              <w:tblStyle w:val="2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55"/>
              <w:gridCol w:w="4055"/>
            </w:tblGrid>
            <w:tr w14:paraId="11150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129" w:type="dxa"/>
                  <w:tcBorders>
                    <w:tl2br w:val="nil"/>
                    <w:tr2bl w:val="nil"/>
                  </w:tcBorders>
                  <w:vAlign w:val="center"/>
                </w:tcPr>
                <w:p w14:paraId="2C8460E3">
                  <w:pPr>
                    <w:pStyle w:val="39"/>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drawing>
                      <wp:inline distT="0" distB="0" distL="114300" distR="114300">
                        <wp:extent cx="2700020" cy="2015490"/>
                        <wp:effectExtent l="0" t="0" r="5080" b="3810"/>
                        <wp:docPr id="12" name="图片 12" descr="ca1e8c272c89e8948e9b90b10a795c9b"/>
                        <wp:cNvGraphicFramePr/>
                        <a:graphic xmlns:a="http://schemas.openxmlformats.org/drawingml/2006/main">
                          <a:graphicData uri="http://schemas.openxmlformats.org/drawingml/2006/picture">
                            <pic:pic xmlns:pic="http://schemas.openxmlformats.org/drawingml/2006/picture">
                              <pic:nvPicPr>
                                <pic:cNvPr id="12" name="图片 12" descr="ca1e8c272c89e8948e9b90b10a795c9b"/>
                                <pic:cNvPicPr/>
                              </pic:nvPicPr>
                              <pic:blipFill>
                                <a:blip r:embed="rId15"/>
                                <a:stretch>
                                  <a:fillRect/>
                                </a:stretch>
                              </pic:blipFill>
                              <pic:spPr>
                                <a:xfrm>
                                  <a:off x="0" y="0"/>
                                  <a:ext cx="2700020" cy="2016000"/>
                                </a:xfrm>
                                <a:prstGeom prst="rect">
                                  <a:avLst/>
                                </a:prstGeom>
                              </pic:spPr>
                            </pic:pic>
                          </a:graphicData>
                        </a:graphic>
                      </wp:inline>
                    </w:drawing>
                  </w:r>
                </w:p>
              </w:tc>
              <w:tc>
                <w:tcPr>
                  <w:tcW w:w="4129" w:type="dxa"/>
                  <w:tcBorders>
                    <w:tl2br w:val="nil"/>
                    <w:tr2bl w:val="nil"/>
                  </w:tcBorders>
                  <w:vAlign w:val="center"/>
                </w:tcPr>
                <w:p w14:paraId="073BF414">
                  <w:pPr>
                    <w:pStyle w:val="39"/>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drawing>
                      <wp:inline distT="0" distB="0" distL="114300" distR="114300">
                        <wp:extent cx="2700020" cy="2015490"/>
                        <wp:effectExtent l="0" t="0" r="5080" b="3810"/>
                        <wp:docPr id="17" name="图片 17" descr="3a22bfcde8619836b87503bf4c8e1f6e"/>
                        <wp:cNvGraphicFramePr/>
                        <a:graphic xmlns:a="http://schemas.openxmlformats.org/drawingml/2006/main">
                          <a:graphicData uri="http://schemas.openxmlformats.org/drawingml/2006/picture">
                            <pic:pic xmlns:pic="http://schemas.openxmlformats.org/drawingml/2006/picture">
                              <pic:nvPicPr>
                                <pic:cNvPr id="17" name="图片 17" descr="3a22bfcde8619836b87503bf4c8e1f6e"/>
                                <pic:cNvPicPr/>
                              </pic:nvPicPr>
                              <pic:blipFill>
                                <a:blip r:embed="rId16"/>
                                <a:stretch>
                                  <a:fillRect/>
                                </a:stretch>
                              </pic:blipFill>
                              <pic:spPr>
                                <a:xfrm>
                                  <a:off x="0" y="0"/>
                                  <a:ext cx="2700020" cy="2016000"/>
                                </a:xfrm>
                                <a:prstGeom prst="rect">
                                  <a:avLst/>
                                </a:prstGeom>
                              </pic:spPr>
                            </pic:pic>
                          </a:graphicData>
                        </a:graphic>
                      </wp:inline>
                    </w:drawing>
                  </w:r>
                </w:p>
              </w:tc>
            </w:tr>
          </w:tbl>
          <w:p w14:paraId="39CC2F5F">
            <w:pPr>
              <w:pStyle w:val="3"/>
              <w:bidi w:val="0"/>
              <w:rPr>
                <w:rFonts w:hint="default"/>
                <w:color w:val="000000" w:themeColor="text1"/>
                <w:highlight w:val="none"/>
                <w:lang w:val="en-US"/>
                <w14:textFill>
                  <w14:solidFill>
                    <w14:schemeClr w14:val="tx1"/>
                  </w14:solidFill>
                </w14:textFill>
              </w:rPr>
            </w:pPr>
            <w:r>
              <w:rPr>
                <w:rFonts w:hint="default"/>
                <w:color w:val="000000" w:themeColor="text1"/>
                <w:highlight w:val="none"/>
                <w14:textFill>
                  <w14:solidFill>
                    <w14:schemeClr w14:val="tx1"/>
                  </w14:solidFill>
                </w14:textFill>
              </w:rPr>
              <w:t>图3-</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 xml:space="preserve"> 治理区高陡边坡</w:t>
            </w:r>
          </w:p>
          <w:tbl>
            <w:tblPr>
              <w:tblStyle w:val="2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55"/>
              <w:gridCol w:w="4055"/>
            </w:tblGrid>
            <w:tr w14:paraId="0EA94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129" w:type="dxa"/>
                  <w:tcBorders>
                    <w:tl2br w:val="nil"/>
                    <w:tr2bl w:val="nil"/>
                  </w:tcBorders>
                  <w:vAlign w:val="center"/>
                </w:tcPr>
                <w:p w14:paraId="39AB9179">
                  <w:pPr>
                    <w:pStyle w:val="39"/>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drawing>
                      <wp:inline distT="0" distB="0" distL="114300" distR="114300">
                        <wp:extent cx="2700020" cy="1979930"/>
                        <wp:effectExtent l="0" t="0" r="5080" b="1270"/>
                        <wp:docPr id="10" name="图片 10" descr="fb692d29acc5ef5e52b85da0199a339c"/>
                        <wp:cNvGraphicFramePr/>
                        <a:graphic xmlns:a="http://schemas.openxmlformats.org/drawingml/2006/main">
                          <a:graphicData uri="http://schemas.openxmlformats.org/drawingml/2006/picture">
                            <pic:pic xmlns:pic="http://schemas.openxmlformats.org/drawingml/2006/picture">
                              <pic:nvPicPr>
                                <pic:cNvPr id="10" name="图片 10" descr="fb692d29acc5ef5e52b85da0199a339c"/>
                                <pic:cNvPicPr/>
                              </pic:nvPicPr>
                              <pic:blipFill>
                                <a:blip r:embed="rId17"/>
                                <a:stretch>
                                  <a:fillRect/>
                                </a:stretch>
                              </pic:blipFill>
                              <pic:spPr>
                                <a:xfrm>
                                  <a:off x="0" y="0"/>
                                  <a:ext cx="2700020" cy="1979930"/>
                                </a:xfrm>
                                <a:prstGeom prst="rect">
                                  <a:avLst/>
                                </a:prstGeom>
                              </pic:spPr>
                            </pic:pic>
                          </a:graphicData>
                        </a:graphic>
                      </wp:inline>
                    </w:drawing>
                  </w:r>
                </w:p>
              </w:tc>
              <w:tc>
                <w:tcPr>
                  <w:tcW w:w="4129" w:type="dxa"/>
                  <w:tcBorders>
                    <w:tl2br w:val="nil"/>
                    <w:tr2bl w:val="nil"/>
                  </w:tcBorders>
                  <w:vAlign w:val="center"/>
                </w:tcPr>
                <w:p w14:paraId="494B3ACC">
                  <w:pPr>
                    <w:pStyle w:val="39"/>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drawing>
                      <wp:inline distT="0" distB="0" distL="114300" distR="114300">
                        <wp:extent cx="2700020" cy="1979930"/>
                        <wp:effectExtent l="0" t="0" r="5080" b="1270"/>
                        <wp:docPr id="16" name="图片 16" descr="95243c7f2c719f652a76b5d3542b7574"/>
                        <wp:cNvGraphicFramePr/>
                        <a:graphic xmlns:a="http://schemas.openxmlformats.org/drawingml/2006/main">
                          <a:graphicData uri="http://schemas.openxmlformats.org/drawingml/2006/picture">
                            <pic:pic xmlns:pic="http://schemas.openxmlformats.org/drawingml/2006/picture">
                              <pic:nvPicPr>
                                <pic:cNvPr id="16" name="图片 16" descr="95243c7f2c719f652a76b5d3542b7574"/>
                                <pic:cNvPicPr/>
                              </pic:nvPicPr>
                              <pic:blipFill>
                                <a:blip r:embed="rId18"/>
                                <a:stretch>
                                  <a:fillRect/>
                                </a:stretch>
                              </pic:blipFill>
                              <pic:spPr>
                                <a:xfrm>
                                  <a:off x="0" y="0"/>
                                  <a:ext cx="2700020" cy="1979930"/>
                                </a:xfrm>
                                <a:prstGeom prst="rect">
                                  <a:avLst/>
                                </a:prstGeom>
                              </pic:spPr>
                            </pic:pic>
                          </a:graphicData>
                        </a:graphic>
                      </wp:inline>
                    </w:drawing>
                  </w:r>
                </w:p>
              </w:tc>
            </w:tr>
          </w:tbl>
          <w:p w14:paraId="0EEA8F24">
            <w:pPr>
              <w:pStyle w:val="3"/>
              <w:bidi w:val="0"/>
              <w:rPr>
                <w:rFonts w:hint="default"/>
                <w:color w:val="000000" w:themeColor="text1"/>
                <w:highlight w:val="none"/>
                <w:lang w:val="en-US"/>
                <w14:textFill>
                  <w14:solidFill>
                    <w14:schemeClr w14:val="tx1"/>
                  </w14:solidFill>
                </w14:textFill>
              </w:rPr>
            </w:pPr>
            <w:r>
              <w:rPr>
                <w:rFonts w:hint="default"/>
                <w:color w:val="000000" w:themeColor="text1"/>
                <w:highlight w:val="none"/>
                <w14:textFill>
                  <w14:solidFill>
                    <w14:schemeClr w14:val="tx1"/>
                  </w14:solidFill>
                </w14:textFill>
              </w:rPr>
              <w:t>图3-</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 xml:space="preserve"> 地形地貌破坏</w:t>
            </w:r>
          </w:p>
          <w:p w14:paraId="477EA2B5">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⑵</w:t>
            </w:r>
            <w:r>
              <w:rPr>
                <w:rFonts w:hint="default"/>
                <w:color w:val="000000" w:themeColor="text1"/>
                <w:highlight w:val="none"/>
                <w14:textFill>
                  <w14:solidFill>
                    <w14:schemeClr w14:val="tx1"/>
                  </w14:solidFill>
                </w14:textFill>
              </w:rPr>
              <w:t>立地条件较差，生态环境破坏</w:t>
            </w:r>
          </w:p>
          <w:p w14:paraId="53970A4F">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宁夏为西北地区重要的生态屏障，也是国家重要生态系统中的生态环境脆弱区。项目区地处宁夏中部干旱带，该区域气候干旱、降雨量稀少，水资源匮乏，土壤等基本立地条件较差，是宁夏生态环境脆弱区。治理区砂石料矿产集中开采区，采矿历史悠久。</w:t>
            </w:r>
          </w:p>
          <w:p w14:paraId="70C4EE57">
            <w:pPr>
              <w:keepNext w:val="0"/>
              <w:keepLines w:val="0"/>
              <w:suppressLineNumbers w:val="0"/>
              <w:bidi w:val="0"/>
              <w:spacing w:before="0" w:beforeAutospacing="0" w:after="0" w:afterAutospacing="0"/>
              <w:ind w:left="0" w:right="0"/>
              <w:rPr>
                <w:rFonts w:hint="eastAsia" w:eastAsia="宋体"/>
                <w:color w:val="000000" w:themeColor="text1"/>
                <w:highlight w:val="none"/>
                <w:lang w:eastAsia="zh-CN"/>
                <w14:textFill>
                  <w14:solidFill>
                    <w14:schemeClr w14:val="tx1"/>
                  </w14:solidFill>
                </w14:textFill>
              </w:rPr>
            </w:pPr>
            <w:r>
              <w:rPr>
                <w:rFonts w:hint="default"/>
                <w:color w:val="000000" w:themeColor="text1"/>
                <w:highlight w:val="none"/>
                <w14:textFill>
                  <w14:solidFill>
                    <w14:schemeClr w14:val="tx1"/>
                  </w14:solidFill>
                </w14:textFill>
              </w:rPr>
              <w:t>该区域气候干旱、降雨量稀少，水资源匮乏，土壤等基本立地条件较差。项目内矿业活动对区内的地质环境造成的影响和破坏严重，采矿活动对土地资源造成了挖损和压占破坏、对原始的地形地貌景观造成了影响和破坏采矿后，生态系统更是雪上加霜，部分土地几乎无植物生长；采矿区周围植被覆盖率不足3%；使区域生态环境对气候变化和人类干扰活动负面影响更加敏感，生态系统稳定性差</w:t>
            </w:r>
            <w:r>
              <w:rPr>
                <w:rFonts w:hint="eastAsia"/>
                <w:color w:val="000000" w:themeColor="text1"/>
                <w:highlight w:val="none"/>
                <w:lang w:eastAsia="zh-CN"/>
                <w14:textFill>
                  <w14:solidFill>
                    <w14:schemeClr w14:val="tx1"/>
                  </w14:solidFill>
                </w14:textFill>
              </w:rPr>
              <w:t>。</w:t>
            </w:r>
          </w:p>
          <w:tbl>
            <w:tblPr>
              <w:tblStyle w:val="2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55"/>
              <w:gridCol w:w="4055"/>
            </w:tblGrid>
            <w:tr w14:paraId="7D4F4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129" w:type="dxa"/>
                  <w:tcBorders>
                    <w:tl2br w:val="nil"/>
                    <w:tr2bl w:val="nil"/>
                  </w:tcBorders>
                  <w:vAlign w:val="center"/>
                </w:tcPr>
                <w:p w14:paraId="2BDA052A">
                  <w:pPr>
                    <w:pStyle w:val="39"/>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114300" distR="114300">
                        <wp:extent cx="2700020" cy="1979930"/>
                        <wp:effectExtent l="0" t="0" r="5080" b="1270"/>
                        <wp:docPr id="15" name="图片 15" descr="684681dfc0b141e760923c8cc0626239"/>
                        <wp:cNvGraphicFramePr/>
                        <a:graphic xmlns:a="http://schemas.openxmlformats.org/drawingml/2006/main">
                          <a:graphicData uri="http://schemas.openxmlformats.org/drawingml/2006/picture">
                            <pic:pic xmlns:pic="http://schemas.openxmlformats.org/drawingml/2006/picture">
                              <pic:nvPicPr>
                                <pic:cNvPr id="15" name="图片 15" descr="684681dfc0b141e760923c8cc0626239"/>
                                <pic:cNvPicPr/>
                              </pic:nvPicPr>
                              <pic:blipFill>
                                <a:blip r:embed="rId19"/>
                                <a:stretch>
                                  <a:fillRect/>
                                </a:stretch>
                              </pic:blipFill>
                              <pic:spPr>
                                <a:xfrm>
                                  <a:off x="0" y="0"/>
                                  <a:ext cx="2700020" cy="1979930"/>
                                </a:xfrm>
                                <a:prstGeom prst="rect">
                                  <a:avLst/>
                                </a:prstGeom>
                              </pic:spPr>
                            </pic:pic>
                          </a:graphicData>
                        </a:graphic>
                      </wp:inline>
                    </w:drawing>
                  </w:r>
                </w:p>
              </w:tc>
              <w:tc>
                <w:tcPr>
                  <w:tcW w:w="4129" w:type="dxa"/>
                  <w:tcBorders>
                    <w:tl2br w:val="nil"/>
                    <w:tr2bl w:val="nil"/>
                  </w:tcBorders>
                  <w:vAlign w:val="center"/>
                </w:tcPr>
                <w:p w14:paraId="52AF481B">
                  <w:pPr>
                    <w:pStyle w:val="39"/>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114300" distR="114300">
                        <wp:extent cx="2700020" cy="1979930"/>
                        <wp:effectExtent l="0" t="0" r="5080" b="1270"/>
                        <wp:docPr id="11" name="图片 11" descr="ea343bd05f9a3b5819d294344b1b7da0"/>
                        <wp:cNvGraphicFramePr/>
                        <a:graphic xmlns:a="http://schemas.openxmlformats.org/drawingml/2006/main">
                          <a:graphicData uri="http://schemas.openxmlformats.org/drawingml/2006/picture">
                            <pic:pic xmlns:pic="http://schemas.openxmlformats.org/drawingml/2006/picture">
                              <pic:nvPicPr>
                                <pic:cNvPr id="11" name="图片 11" descr="ea343bd05f9a3b5819d294344b1b7da0"/>
                                <pic:cNvPicPr/>
                              </pic:nvPicPr>
                              <pic:blipFill>
                                <a:blip r:embed="rId20"/>
                                <a:stretch>
                                  <a:fillRect/>
                                </a:stretch>
                              </pic:blipFill>
                              <pic:spPr>
                                <a:xfrm>
                                  <a:off x="0" y="0"/>
                                  <a:ext cx="2700020" cy="1979930"/>
                                </a:xfrm>
                                <a:prstGeom prst="rect">
                                  <a:avLst/>
                                </a:prstGeom>
                              </pic:spPr>
                            </pic:pic>
                          </a:graphicData>
                        </a:graphic>
                      </wp:inline>
                    </w:drawing>
                  </w:r>
                </w:p>
              </w:tc>
            </w:tr>
          </w:tbl>
          <w:p w14:paraId="224F029A">
            <w:pPr>
              <w:pStyle w:val="3"/>
              <w:bidi w:val="0"/>
              <w:rPr>
                <w:rFonts w:hint="default"/>
                <w:color w:val="000000" w:themeColor="text1"/>
                <w:highlight w:val="none"/>
                <w:lang w:val="en-US"/>
                <w14:textFill>
                  <w14:solidFill>
                    <w14:schemeClr w14:val="tx1"/>
                  </w14:solidFill>
                </w14:textFill>
              </w:rPr>
            </w:pPr>
            <w:r>
              <w:rPr>
                <w:rFonts w:hint="default"/>
                <w:color w:val="000000" w:themeColor="text1"/>
                <w:highlight w:val="none"/>
                <w14:textFill>
                  <w14:solidFill>
                    <w14:schemeClr w14:val="tx1"/>
                  </w14:solidFill>
                </w14:textFill>
              </w:rPr>
              <w:t>图3-</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 xml:space="preserve"> 植被恢复情况</w:t>
            </w:r>
          </w:p>
          <w:p w14:paraId="5A1D9279">
            <w:pPr>
              <w:pStyle w:val="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2、主要生态修复措施</w:t>
            </w:r>
          </w:p>
          <w:p w14:paraId="28AC8C74">
            <w:pPr>
              <w:keepNext w:val="0"/>
              <w:keepLines w:val="0"/>
              <w:suppressLineNumbers w:val="0"/>
              <w:bidi w:val="0"/>
              <w:spacing w:before="0" w:beforeAutospacing="0" w:after="0" w:afterAutospacing="0"/>
              <w:ind w:left="0" w:right="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坚持“节约优先、保护优先、自然恢复为主”的方针，以优化国土空间生态安全格局，守好改善生态环境的生命线，筑牢生态安全屏障为目标，提高生态系统的质量和稳定性，解决治理区突出的生态问题，使治理区生态环境持续向好，生态安全格局基本形成，自然环境生态功能得以提升，生态调节能力、减灾能力得以恢复。</w:t>
            </w:r>
          </w:p>
          <w:p w14:paraId="279EEEAD">
            <w:pPr>
              <w:keepNext w:val="0"/>
              <w:keepLines w:val="0"/>
              <w:suppressLineNumbers w:val="0"/>
              <w:bidi w:val="0"/>
              <w:spacing w:before="0" w:beforeAutospacing="0" w:after="0" w:afterAutospacing="0"/>
              <w:ind w:right="0"/>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水土保持</w:t>
            </w:r>
            <w:r>
              <w:rPr>
                <w:rFonts w:hint="default" w:ascii="Times New Roman" w:hAnsi="Times New Roman" w:eastAsia="宋体" w:cs="Times New Roman"/>
                <w:color w:val="000000" w:themeColor="text1"/>
                <w:highlight w:val="none"/>
                <w14:textFill>
                  <w14:solidFill>
                    <w14:schemeClr w14:val="tx1"/>
                  </w14:solidFill>
                </w14:textFill>
              </w:rPr>
              <w:t>措施</w:t>
            </w:r>
          </w:p>
          <w:p w14:paraId="1DB332AA">
            <w:pPr>
              <w:keepNext w:val="0"/>
              <w:keepLines w:val="0"/>
              <w:suppressLineNumbers w:val="0"/>
              <w:bidi w:val="0"/>
              <w:spacing w:before="0" w:beforeAutospacing="0" w:after="0" w:afterAutospacing="0"/>
              <w:ind w:right="0"/>
              <w:rPr>
                <w:rFonts w:hint="default"/>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项目区内有</w:t>
            </w:r>
            <w:r>
              <w:rPr>
                <w:rFonts w:hint="eastAsia" w:ascii="Times New Roman" w:hAnsi="Times New Roman" w:eastAsia="宋体" w:cs="Times New Roman"/>
                <w:color w:val="000000" w:themeColor="text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eastAsia="zh-CN"/>
                <w14:textFill>
                  <w14:solidFill>
                    <w14:schemeClr w14:val="tx1"/>
                  </w14:solidFill>
                </w14:textFill>
              </w:rPr>
              <w:t>处边坡由于水保措施不完善、管护不到位等因素，雨水冲刷导致土层流失；</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山洪沟沿线右侧有2处矿产品堆放，压占土地，导致地表形态重塑，地形破碎化指数上升，具有水土流失的隐患</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对治理区内堆积于采矿区、运输道路两侧及低洼地带的渣石废土、原始山体边坡底部大量堆积的浮石进行清理，部分用于回填采坑，修筑边坡。渣堆清理完毕后，对场区内按照“大坡随势，小坡整平”的原则进行土地平整。平整时，尽可能使土方内部平衡，减少土方运输。在损毁区底部恢复治理时修筑复式边坡，采用填土培坡的方式每个坡面之间设置马道，马道宽度3m，马道采用反向坡度，内侧设置排水沟，外侧设置截水埂，防止坡面集水形成的地面径流造成下级坡面的破坏。</w:t>
            </w:r>
          </w:p>
          <w:p w14:paraId="2B7A56F4">
            <w:pPr>
              <w:keepNext w:val="0"/>
              <w:keepLines w:val="0"/>
              <w:suppressLineNumbers w:val="0"/>
              <w:bidi w:val="0"/>
              <w:spacing w:before="0" w:beforeAutospacing="0" w:after="0" w:afterAutospacing="0"/>
              <w:ind w:right="0"/>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⑵生态恢复措施</w:t>
            </w:r>
          </w:p>
          <w:p w14:paraId="4FF9FDDC">
            <w:pPr>
              <w:keepNext w:val="0"/>
              <w:keepLines w:val="0"/>
              <w:suppressLineNumbers w:val="0"/>
              <w:bidi w:val="0"/>
              <w:spacing w:before="0" w:beforeAutospacing="0" w:after="0" w:afterAutospacing="0"/>
              <w:ind w:right="0"/>
              <w:rPr>
                <w:rFonts w:hint="eastAsia"/>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通过覆土措施对治理区可进行植被恢复的区域进行植被恢复。必要时先进行覆土。覆土采用</w:t>
            </w:r>
            <w:r>
              <w:rPr>
                <w:rFonts w:hint="eastAsia" w:cs="Times New Roman"/>
                <w:color w:val="000000" w:themeColor="text1"/>
                <w:highlight w:val="none"/>
                <w:lang w:val="en-US" w:eastAsia="zh-CN"/>
                <w14:textFill>
                  <w14:solidFill>
                    <w14:schemeClr w14:val="tx1"/>
                  </w14:solidFill>
                </w14:textFill>
              </w:rPr>
              <w:t>外购土方</w:t>
            </w:r>
            <w:r>
              <w:rPr>
                <w:rFonts w:hint="eastAsia" w:ascii="Times New Roman" w:hAnsi="Times New Roman" w:eastAsia="宋体" w:cs="Times New Roman"/>
                <w:color w:val="000000" w:themeColor="text1"/>
                <w:highlight w:val="none"/>
                <w14:textFill>
                  <w14:solidFill>
                    <w14:schemeClr w14:val="tx1"/>
                  </w14:solidFill>
                </w14:textFill>
              </w:rPr>
              <w:t>，土质为砂砾土，砂砾含量不宜超过20%。穴播种草前，先对种草区域进行翻松，翻松深度为10cm。穴播种草坑穴密度为60cm×60cm，每亩1851穴，草籽采用适宜当地生长的草种，草籽在项目区周边采用人工采集或市场采购。植草养护期为3年，养护主要以人工补水灌溉确保植被成活率。补水次数根据降雨情况安排，每年不少于10次。平缓区域（坡度＜15°）草地覆盖率第二年达到10%，第三年达到20%；缓坡面区域（25°＞坡度＞15°）植被覆盖率第二年达到7%，第三年达到10%；陡坡区（坡度＞25°）的边坡植被覆盖率第二年达到3%，第三年达到5%</w:t>
            </w:r>
            <w:r>
              <w:rPr>
                <w:rFonts w:hint="eastAsia" w:ascii="Times New Roman" w:hAnsi="Times New Roman" w:eastAsia="宋体" w:cs="Times New Roman"/>
                <w:color w:val="000000" w:themeColor="text1"/>
                <w:highlight w:val="none"/>
                <w:lang w:eastAsia="zh-CN"/>
                <w14:textFill>
                  <w14:solidFill>
                    <w14:schemeClr w14:val="tx1"/>
                  </w14:solidFill>
                </w14:textFill>
              </w:rPr>
              <w:t>。</w:t>
            </w:r>
          </w:p>
        </w:tc>
      </w:tr>
      <w:tr w14:paraId="6B28D5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832" w:type="dxa"/>
            <w:noWrap w:val="0"/>
            <w:vAlign w:val="center"/>
          </w:tcPr>
          <w:p w14:paraId="54B01E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s="Times New Roman"/>
                <w:color w:val="000000" w:themeColor="text1"/>
                <w:kern w:val="0"/>
                <w:szCs w:val="21"/>
                <w:highlight w:val="none"/>
                <w14:textFill>
                  <w14:solidFill>
                    <w14:schemeClr w14:val="tx1"/>
                  </w14:solidFill>
                </w14:textFill>
              </w:rPr>
            </w:pPr>
            <w:r>
              <w:rPr>
                <w:rFonts w:hint="default" w:cs="Times New Roman"/>
                <w:b/>
                <w:bCs/>
                <w:color w:val="000000" w:themeColor="text1"/>
                <w:kern w:val="0"/>
                <w:sz w:val="24"/>
                <w:highlight w:val="none"/>
                <w14:textFill>
                  <w14:solidFill>
                    <w14:schemeClr w14:val="tx1"/>
                  </w14:solidFill>
                </w14:textFill>
              </w:rPr>
              <w:t>生态环境保护目标</w:t>
            </w:r>
          </w:p>
        </w:tc>
        <w:tc>
          <w:tcPr>
            <w:tcW w:w="8325" w:type="dxa"/>
            <w:noWrap w:val="0"/>
            <w:vAlign w:val="center"/>
          </w:tcPr>
          <w:p w14:paraId="59E65B83">
            <w:pPr>
              <w:keepNext w:val="0"/>
              <w:keepLines w:val="0"/>
              <w:widowControl/>
              <w:suppressLineNumbers w:val="0"/>
              <w:spacing w:before="0" w:beforeAutospacing="0" w:after="0" w:afterAutospacing="0"/>
              <w:ind w:left="0" w:right="0"/>
              <w:jc w:val="both"/>
              <w:rPr>
                <w:rFonts w:hint="eastAsia" w:cs="Times New Roman"/>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根据《建设项目环境影响报告表编制技术指南（生态影响类）》（试行），生态环境保护目标按照环境影响评价相关技术导则要求确定评价范围并识别环境保护目标。</w:t>
            </w:r>
          </w:p>
          <w:p w14:paraId="0A90A04C">
            <w:pPr>
              <w:pStyle w:val="2"/>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default"/>
                <w:color w:val="000000" w:themeColor="text1"/>
                <w:highlight w:val="none"/>
                <w:lang w:val="en-US" w:eastAsia="zh-CN"/>
                <w14:textFill>
                  <w14:solidFill>
                    <w14:schemeClr w14:val="tx1"/>
                  </w14:solidFill>
                </w14:textFill>
              </w:rPr>
              <w:t>大气环境</w:t>
            </w:r>
            <w:r>
              <w:rPr>
                <w:rFonts w:hint="eastAsia"/>
                <w:color w:val="000000" w:themeColor="text1"/>
                <w:highlight w:val="none"/>
                <w:lang w:val="en-US" w:eastAsia="zh-CN"/>
                <w14:textFill>
                  <w14:solidFill>
                    <w14:schemeClr w14:val="tx1"/>
                  </w14:solidFill>
                </w14:textFill>
              </w:rPr>
              <w:t>保护目标</w:t>
            </w:r>
          </w:p>
          <w:p w14:paraId="413806E7">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根据《环境影响评价技术导则 大气环境》（HJ2.2-2018），本项目运营期无废气产生和排放。因此，不划分大气评价等级及评价范围。因此，</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本次不开展</w:t>
            </w:r>
            <w:r>
              <w:rPr>
                <w:rFonts w:hint="eastAsia" w:cs="Times New Roman"/>
                <w:color w:val="000000" w:themeColor="text1"/>
                <w:highlight w:val="none"/>
                <w:lang w:val="en-US" w:eastAsia="zh-CN"/>
                <w14:textFill>
                  <w14:solidFill>
                    <w14:schemeClr w14:val="tx1"/>
                  </w14:solidFill>
                </w14:textFill>
              </w:rPr>
              <w:t>大气</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环境保护目标调查</w:t>
            </w:r>
            <w:r>
              <w:rPr>
                <w:rFonts w:hint="eastAsia"/>
                <w:color w:val="000000" w:themeColor="text1"/>
                <w:highlight w:val="none"/>
                <w:lang w:val="en-US" w:eastAsia="zh-CN"/>
                <w14:textFill>
                  <w14:solidFill>
                    <w14:schemeClr w14:val="tx1"/>
                  </w14:solidFill>
                </w14:textFill>
              </w:rPr>
              <w:t>。</w:t>
            </w:r>
          </w:p>
          <w:p w14:paraId="4E84B4CC">
            <w:pPr>
              <w:pStyle w:val="2"/>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声环境</w:t>
            </w:r>
            <w:r>
              <w:rPr>
                <w:rFonts w:hint="eastAsia"/>
                <w:color w:val="000000" w:themeColor="text1"/>
                <w:highlight w:val="none"/>
                <w:lang w:val="en-US" w:eastAsia="zh-CN"/>
                <w14:textFill>
                  <w14:solidFill>
                    <w14:schemeClr w14:val="tx1"/>
                  </w14:solidFill>
                </w14:textFill>
              </w:rPr>
              <w:t>保护目标</w:t>
            </w:r>
          </w:p>
          <w:p w14:paraId="0AB7767F">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根据《环境影响评价技术导则 声环境》（HJ2.4-2021），本项目声环境保护目标调查范围为200m。根据现场调查，本项目周边200m范围内无声环境保护目标。</w:t>
            </w:r>
          </w:p>
          <w:p w14:paraId="43A6B7F2">
            <w:pPr>
              <w:pStyle w:val="2"/>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3、地表水</w:t>
            </w:r>
            <w:r>
              <w:rPr>
                <w:rFonts w:hint="default"/>
                <w:color w:val="000000" w:themeColor="text1"/>
                <w:highlight w:val="none"/>
                <w:lang w:val="en-US" w:eastAsia="zh-CN"/>
                <w14:textFill>
                  <w14:solidFill>
                    <w14:schemeClr w14:val="tx1"/>
                  </w14:solidFill>
                </w14:textFill>
              </w:rPr>
              <w:t>环境</w:t>
            </w:r>
            <w:r>
              <w:rPr>
                <w:rFonts w:hint="eastAsia"/>
                <w:color w:val="000000" w:themeColor="text1"/>
                <w:highlight w:val="none"/>
                <w:lang w:val="en-US" w:eastAsia="zh-CN"/>
                <w14:textFill>
                  <w14:solidFill>
                    <w14:schemeClr w14:val="tx1"/>
                  </w14:solidFill>
                </w14:textFill>
              </w:rPr>
              <w:t>保护目标</w:t>
            </w:r>
          </w:p>
          <w:p w14:paraId="76EC42D9">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根据《环境影响评价技术导则 地表水环境》</w:t>
            </w:r>
            <w:r>
              <w:rPr>
                <w:rFonts w:hint="default"/>
                <w:color w:val="000000" w:themeColor="text1"/>
                <w:highlight w:val="none"/>
                <w:lang w:val="en-US" w:eastAsia="zh-CN"/>
                <w14:textFill>
                  <w14:solidFill>
                    <w14:schemeClr w14:val="tx1"/>
                  </w14:solidFill>
                </w14:textFill>
              </w:rPr>
              <w:t>(HJ 2.3—2018)</w:t>
            </w:r>
            <w:r>
              <w:rPr>
                <w:rFonts w:hint="eastAsia"/>
                <w:color w:val="000000" w:themeColor="text1"/>
                <w:highlight w:val="none"/>
                <w:lang w:val="en-US" w:eastAsia="zh-CN"/>
                <w14:textFill>
                  <w14:solidFill>
                    <w14:schemeClr w14:val="tx1"/>
                  </w14:solidFill>
                </w14:textFill>
              </w:rPr>
              <w:t>，本项目施工期、运营期无废水排放。因此，不划分地表水评价等级及评价范围。因此，本项目周边无地表水环境保护目标。</w:t>
            </w:r>
          </w:p>
          <w:p w14:paraId="7A597951">
            <w:pPr>
              <w:pStyle w:val="2"/>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4、地下水</w:t>
            </w:r>
            <w:r>
              <w:rPr>
                <w:rFonts w:hint="default"/>
                <w:color w:val="000000" w:themeColor="text1"/>
                <w:highlight w:val="none"/>
                <w:lang w:val="en-US" w:eastAsia="zh-CN"/>
                <w14:textFill>
                  <w14:solidFill>
                    <w14:schemeClr w14:val="tx1"/>
                  </w14:solidFill>
                </w14:textFill>
              </w:rPr>
              <w:t>环境</w:t>
            </w:r>
            <w:r>
              <w:rPr>
                <w:rFonts w:hint="eastAsia"/>
                <w:color w:val="000000" w:themeColor="text1"/>
                <w:highlight w:val="none"/>
                <w:lang w:val="en-US" w:eastAsia="zh-CN"/>
                <w14:textFill>
                  <w14:solidFill>
                    <w14:schemeClr w14:val="tx1"/>
                  </w14:solidFill>
                </w14:textFill>
              </w:rPr>
              <w:t>保护目标</w:t>
            </w:r>
          </w:p>
          <w:p w14:paraId="165F6A3B">
            <w:pPr>
              <w:bidi w:val="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根据《环境影响评价技术导则地下水环境》（HJ610-2016），本项目行业类别“J 非金属矿采选及制品制造 54、土砂石开采”评价等级为Ⅳ类。由于本项目施工期生活污水依托周边村庄现有旱厕处理，</w:t>
            </w:r>
            <w:r>
              <w:rPr>
                <w:rFonts w:hint="default" w:ascii="Times New Roman" w:hAnsi="Times New Roman" w:cs="Times New Roman"/>
                <w:color w:val="000000" w:themeColor="text1"/>
                <w:sz w:val="24"/>
                <w:highlight w:val="none"/>
                <w14:textFill>
                  <w14:solidFill>
                    <w14:schemeClr w14:val="tx1"/>
                  </w14:solidFill>
                </w14:textFill>
              </w:rPr>
              <w:t>车辆及施工机械冲洗废水经1座5m</w:t>
            </w:r>
            <w:r>
              <w:rPr>
                <w:rFonts w:hint="eastAsia"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沉淀池处置后用于治理区洒水降尘，不外排。</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运营期无废水排放，不会对地下水环境产生影响。因此，本次不开展地下水环境保护目标调查。</w:t>
            </w:r>
          </w:p>
          <w:p w14:paraId="09B21E48">
            <w:pPr>
              <w:pStyle w:val="2"/>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5、土壤</w:t>
            </w:r>
            <w:r>
              <w:rPr>
                <w:rFonts w:hint="default"/>
                <w:color w:val="000000" w:themeColor="text1"/>
                <w:highlight w:val="none"/>
                <w:lang w:val="en-US" w:eastAsia="zh-CN"/>
                <w14:textFill>
                  <w14:solidFill>
                    <w14:schemeClr w14:val="tx1"/>
                  </w14:solidFill>
                </w14:textFill>
              </w:rPr>
              <w:t>环境</w:t>
            </w:r>
            <w:r>
              <w:rPr>
                <w:rFonts w:hint="eastAsia"/>
                <w:color w:val="000000" w:themeColor="text1"/>
                <w:highlight w:val="none"/>
                <w:lang w:val="en-US" w:eastAsia="zh-CN"/>
                <w14:textFill>
                  <w14:solidFill>
                    <w14:schemeClr w14:val="tx1"/>
                  </w14:solidFill>
                </w14:textFill>
              </w:rPr>
              <w:t>保护目标</w:t>
            </w:r>
          </w:p>
          <w:p w14:paraId="7B5AE148">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环境影响评价技术导则土壤环境（试行）》（HJ964-2018），本项目行业类别在导则中属于“其他行业”，评价类别为Ⅳ类。本项目实施地形地貌恢复工程、截排水工程和生态恢复工程等生态修复措施，施工期及运营期不存在土壤污染途径。因此，本次不开展土壤环境保护目标调查。</w:t>
            </w:r>
          </w:p>
          <w:p w14:paraId="452DA102">
            <w:pPr>
              <w:pStyle w:val="2"/>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6、生态环境保护目标</w:t>
            </w:r>
          </w:p>
          <w:p w14:paraId="30970529">
            <w:pPr>
              <w:bidi w:val="0"/>
              <w:rPr>
                <w:rFonts w:hint="eastAsia"/>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⑴</w:t>
            </w:r>
            <w:r>
              <w:rPr>
                <w:rFonts w:hint="eastAsia"/>
                <w:color w:val="000000" w:themeColor="text1"/>
                <w:highlight w:val="none"/>
                <w:lang w:val="en-US" w:eastAsia="zh-CN"/>
                <w14:textFill>
                  <w14:solidFill>
                    <w14:schemeClr w14:val="tx1"/>
                  </w14:solidFill>
                </w14:textFill>
              </w:rPr>
              <w:t>评价等级及范围</w:t>
            </w:r>
          </w:p>
          <w:p w14:paraId="13E36C34">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对照《环境影响评价技术导则 生态影响》（HJ19-2022）中对于评价等级的确定原则，本项目总占地面积94.17hm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，小于20km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，项目不涉及国家公园、自然保护区、世界自然遗产、重要生境、自然公园、生态保护红线。根据《环境影响评价技术导则 生态影响》（HJ19-2022），确定本项目环境影响评价等级为三级。</w:t>
            </w:r>
          </w:p>
          <w:p w14:paraId="4EFB064D">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生态影响评价应能够充分体现生态完整性和生物多样性保护要求，涵盖评价项目全部活动的直接影响区域和间接影响区域。评价范围应依据评价项目对生态因子的影响方式、影响程度和生态因子之间的相互影响和相互依存关系确定。本项目治理区边界为原有矿山采矿范围，具体施工区域距离治理区边界有一定距离，</w:t>
            </w:r>
            <w:r>
              <w:rPr>
                <w:rFonts w:hint="eastAsia"/>
                <w:color w:val="000000" w:themeColor="text1"/>
                <w:highlight w:val="none"/>
                <w14:textFill>
                  <w14:solidFill>
                    <w14:schemeClr w14:val="tx1"/>
                  </w14:solidFill>
                </w14:textFill>
              </w:rPr>
              <w:t>生态环境影响评价范围</w:t>
            </w:r>
            <w:r>
              <w:rPr>
                <w:rFonts w:hint="eastAsia"/>
                <w:color w:val="000000" w:themeColor="text1"/>
                <w:highlight w:val="none"/>
                <w:lang w:val="en-US" w:eastAsia="zh-CN"/>
                <w14:textFill>
                  <w14:solidFill>
                    <w14:schemeClr w14:val="tx1"/>
                  </w14:solidFill>
                </w14:textFill>
              </w:rPr>
              <w:t>为</w:t>
            </w:r>
            <w:r>
              <w:rPr>
                <w:rFonts w:hint="eastAsia"/>
                <w:color w:val="000000" w:themeColor="text1"/>
                <w:highlight w:val="none"/>
                <w14:textFill>
                  <w14:solidFill>
                    <w14:schemeClr w14:val="tx1"/>
                  </w14:solidFill>
                </w14:textFill>
              </w:rPr>
              <w:t>项目治理区边界。</w:t>
            </w:r>
          </w:p>
          <w:p w14:paraId="52171329">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⑵</w:t>
            </w:r>
            <w:r>
              <w:rPr>
                <w:rFonts w:hint="default"/>
                <w:color w:val="000000" w:themeColor="text1"/>
                <w:highlight w:val="none"/>
                <w:lang w:val="en-US" w:eastAsia="zh-CN"/>
                <w14:textFill>
                  <w14:solidFill>
                    <w14:schemeClr w14:val="tx1"/>
                  </w14:solidFill>
                </w14:textFill>
              </w:rPr>
              <w:t>环境保护目标</w:t>
            </w:r>
          </w:p>
          <w:p w14:paraId="47F84AAA">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经现场踏勘，本项目生态环境影响评价范围内环境保护目标为中卫寺口子风景旅游区，项目治理区包含0.87hm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景区现有停车区域及进景区道路</w:t>
            </w:r>
          </w:p>
          <w:p w14:paraId="6CE88879">
            <w:pPr>
              <w:pStyle w:val="3"/>
              <w:bidi w:val="0"/>
              <w:rPr>
                <w:rFonts w:hint="eastAsia" w:ascii="Times New Roman" w:hAnsi="Times New Roman" w:cs="宋体"/>
                <w:color w:val="000000" w:themeColor="text1"/>
                <w:highlight w:val="none"/>
                <w:lang w:val="en-US" w:eastAsia="zh-CN"/>
                <w14:textFill>
                  <w14:solidFill>
                    <w14:schemeClr w14:val="tx1"/>
                  </w14:solidFill>
                </w14:textFill>
              </w:rPr>
            </w:pPr>
            <w:r>
              <w:rPr>
                <w:rFonts w:hint="eastAsia" w:ascii="Times New Roman" w:hAnsi="Times New Roman" w:cs="宋体"/>
                <w:color w:val="000000" w:themeColor="text1"/>
                <w:highlight w:val="none"/>
                <w:lang w:val="en-US" w:eastAsia="zh-CN"/>
                <w14:textFill>
                  <w14:solidFill>
                    <w14:schemeClr w14:val="tx1"/>
                  </w14:solidFill>
                </w14:textFill>
              </w:rPr>
              <w:t>表3-</w:t>
            </w:r>
            <w:r>
              <w:rPr>
                <w:rFonts w:hint="eastAsia" w:cs="宋体"/>
                <w:color w:val="000000" w:themeColor="text1"/>
                <w:highlight w:val="none"/>
                <w:lang w:val="en-US" w:eastAsia="zh-CN"/>
                <w14:textFill>
                  <w14:solidFill>
                    <w14:schemeClr w14:val="tx1"/>
                  </w14:solidFill>
                </w14:textFill>
              </w:rPr>
              <w:t>3</w:t>
            </w:r>
            <w:r>
              <w:rPr>
                <w:rFonts w:hint="eastAsia" w:ascii="Times New Roman" w:hAnsi="Times New Roman" w:cs="宋体"/>
                <w:color w:val="000000" w:themeColor="text1"/>
                <w:highlight w:val="none"/>
                <w:lang w:val="en-US" w:eastAsia="zh-CN"/>
                <w14:textFill>
                  <w14:solidFill>
                    <w14:schemeClr w14:val="tx1"/>
                  </w14:solidFill>
                </w14:textFill>
              </w:rPr>
              <w:t xml:space="preserve">  本项目生态环境保护目标</w:t>
            </w:r>
          </w:p>
          <w:tbl>
            <w:tblPr>
              <w:tblStyle w:val="28"/>
              <w:tblW w:w="811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45"/>
              <w:gridCol w:w="1843"/>
              <w:gridCol w:w="1350"/>
              <w:gridCol w:w="1106"/>
              <w:gridCol w:w="994"/>
              <w:gridCol w:w="656"/>
              <w:gridCol w:w="1418"/>
            </w:tblGrid>
            <w:tr w14:paraId="3FEC6C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9" w:type="pct"/>
                  <w:tcBorders>
                    <w:tl2br w:val="nil"/>
                    <w:tr2bl w:val="nil"/>
                  </w:tcBorders>
                  <w:noWrap w:val="0"/>
                  <w:vAlign w:val="center"/>
                </w:tcPr>
                <w:p w14:paraId="2569344D">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b/>
                      <w:bCs/>
                      <w:color w:val="000000" w:themeColor="text1"/>
                      <w:highlight w:val="none"/>
                      <w:lang w:eastAsia="zh-CN"/>
                      <w14:textFill>
                        <w14:solidFill>
                          <w14:schemeClr w14:val="tx1"/>
                        </w14:solidFill>
                      </w14:textFill>
                    </w:rPr>
                  </w:pPr>
                  <w:bookmarkStart w:id="2" w:name="_Hlk140831432"/>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序号</w:t>
                  </w:r>
                </w:p>
              </w:tc>
              <w:tc>
                <w:tcPr>
                  <w:tcW w:w="1135" w:type="pct"/>
                  <w:tcBorders>
                    <w:tl2br w:val="nil"/>
                    <w:tr2bl w:val="nil"/>
                  </w:tcBorders>
                  <w:noWrap w:val="0"/>
                  <w:vAlign w:val="center"/>
                </w:tcPr>
                <w:p w14:paraId="44FC10BE">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名称</w:t>
                  </w:r>
                </w:p>
              </w:tc>
              <w:tc>
                <w:tcPr>
                  <w:tcW w:w="832" w:type="pct"/>
                  <w:tcBorders>
                    <w:tl2br w:val="nil"/>
                    <w:tr2bl w:val="nil"/>
                  </w:tcBorders>
                  <w:noWrap w:val="0"/>
                  <w:vAlign w:val="center"/>
                </w:tcPr>
                <w:p w14:paraId="55B06D0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方位</w:t>
                  </w:r>
                </w:p>
              </w:tc>
              <w:tc>
                <w:tcPr>
                  <w:tcW w:w="681" w:type="pct"/>
                  <w:tcBorders>
                    <w:tl2br w:val="nil"/>
                    <w:tr2bl w:val="nil"/>
                  </w:tcBorders>
                  <w:noWrap w:val="0"/>
                  <w:vAlign w:val="center"/>
                </w:tcPr>
                <w:p w14:paraId="7D85B41C">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eastAsia" w:ascii="Times New Roman" w:hAnsi="Times New Roman" w:eastAsia="宋体" w:cs="Times New Roman"/>
                      <w:b/>
                      <w:bCs/>
                      <w:color w:val="000000" w:themeColor="text1"/>
                      <w:highlight w:val="none"/>
                      <w:lang w:eastAsia="zh-CN"/>
                      <w14:textFill>
                        <w14:solidFill>
                          <w14:schemeClr w14:val="tx1"/>
                        </w14:solidFill>
                      </w14:textFill>
                    </w:rPr>
                    <w:t>相对本项目距离</w:t>
                  </w:r>
                </w:p>
              </w:tc>
              <w:tc>
                <w:tcPr>
                  <w:tcW w:w="612" w:type="pct"/>
                  <w:tcBorders>
                    <w:tl2br w:val="nil"/>
                    <w:tr2bl w:val="nil"/>
                  </w:tcBorders>
                  <w:noWrap w:val="0"/>
                  <w:vAlign w:val="center"/>
                </w:tcPr>
                <w:p w14:paraId="778651FC">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功能</w:t>
                  </w:r>
                </w:p>
              </w:tc>
              <w:tc>
                <w:tcPr>
                  <w:tcW w:w="404" w:type="pct"/>
                  <w:tcBorders>
                    <w:tl2br w:val="nil"/>
                    <w:tr2bl w:val="nil"/>
                  </w:tcBorders>
                  <w:noWrap w:val="0"/>
                  <w:vAlign w:val="center"/>
                </w:tcPr>
                <w:p w14:paraId="03F23B7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规模</w:t>
                  </w:r>
                </w:p>
              </w:tc>
              <w:tc>
                <w:tcPr>
                  <w:tcW w:w="874" w:type="pct"/>
                  <w:tcBorders>
                    <w:tl2br w:val="nil"/>
                    <w:tr2bl w:val="nil"/>
                  </w:tcBorders>
                  <w:noWrap w:val="0"/>
                  <w:vAlign w:val="center"/>
                </w:tcPr>
                <w:p w14:paraId="4911E1D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备注</w:t>
                  </w:r>
                </w:p>
              </w:tc>
            </w:tr>
            <w:tr w14:paraId="43CE98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9" w:type="pct"/>
                  <w:tcBorders>
                    <w:tl2br w:val="nil"/>
                    <w:tr2bl w:val="nil"/>
                  </w:tcBorders>
                  <w:noWrap w:val="0"/>
                  <w:vAlign w:val="center"/>
                </w:tcPr>
                <w:p w14:paraId="0D07D50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1</w:t>
                  </w:r>
                </w:p>
              </w:tc>
              <w:tc>
                <w:tcPr>
                  <w:tcW w:w="1135" w:type="pct"/>
                  <w:tcBorders>
                    <w:tl2br w:val="nil"/>
                    <w:tr2bl w:val="nil"/>
                  </w:tcBorders>
                  <w:noWrap w:val="0"/>
                  <w:vAlign w:val="center"/>
                </w:tcPr>
                <w:p w14:paraId="4ABC865F">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中卫寺口子风景旅游区</w:t>
                  </w:r>
                </w:p>
              </w:tc>
              <w:tc>
                <w:tcPr>
                  <w:tcW w:w="832" w:type="pct"/>
                  <w:tcBorders>
                    <w:tl2br w:val="nil"/>
                    <w:tr2bl w:val="nil"/>
                  </w:tcBorders>
                  <w:noWrap w:val="0"/>
                  <w:vAlign w:val="center"/>
                </w:tcPr>
                <w:p w14:paraId="14BA3C4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N</w:t>
                  </w:r>
                </w:p>
              </w:tc>
              <w:tc>
                <w:tcPr>
                  <w:tcW w:w="681" w:type="pct"/>
                  <w:tcBorders>
                    <w:tl2br w:val="nil"/>
                    <w:tr2bl w:val="nil"/>
                  </w:tcBorders>
                  <w:noWrap w:val="0"/>
                  <w:vAlign w:val="center"/>
                </w:tcPr>
                <w:p w14:paraId="4DBADF5A">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0</w:t>
                  </w:r>
                </w:p>
              </w:tc>
              <w:tc>
                <w:tcPr>
                  <w:tcW w:w="612" w:type="pct"/>
                  <w:tcBorders>
                    <w:tl2br w:val="nil"/>
                    <w:tr2bl w:val="nil"/>
                  </w:tcBorders>
                  <w:noWrap w:val="0"/>
                  <w:vAlign w:val="center"/>
                </w:tcPr>
                <w:p w14:paraId="64836B9E">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旅游</w:t>
                  </w:r>
                </w:p>
              </w:tc>
              <w:tc>
                <w:tcPr>
                  <w:tcW w:w="404" w:type="pct"/>
                  <w:tcBorders>
                    <w:tl2br w:val="nil"/>
                    <w:tr2bl w:val="nil"/>
                  </w:tcBorders>
                  <w:noWrap w:val="0"/>
                  <w:vAlign w:val="center"/>
                </w:tcPr>
                <w:p w14:paraId="17631CE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1.38km</w:t>
                  </w:r>
                  <w:r>
                    <w:rPr>
                      <w:rFonts w:hint="default" w:ascii="Times New Roman" w:hAnsi="Times New Roman" w:eastAsia="宋体" w:cs="Times New Roman"/>
                      <w:b w:val="0"/>
                      <w:bCs w:val="0"/>
                      <w:color w:val="000000" w:themeColor="text1"/>
                      <w:highlight w:val="none"/>
                      <w:vertAlign w:val="superscript"/>
                      <w:lang w:val="en-US" w:eastAsia="zh-CN"/>
                      <w14:textFill>
                        <w14:solidFill>
                          <w14:schemeClr w14:val="tx1"/>
                        </w14:solidFill>
                      </w14:textFill>
                    </w:rPr>
                    <w:t>2</w:t>
                  </w:r>
                </w:p>
              </w:tc>
              <w:tc>
                <w:tcPr>
                  <w:tcW w:w="874" w:type="pct"/>
                  <w:tcBorders>
                    <w:tl2br w:val="nil"/>
                    <w:tr2bl w:val="nil"/>
                  </w:tcBorders>
                  <w:noWrap w:val="0"/>
                  <w:vAlign w:val="center"/>
                </w:tcPr>
                <w:p w14:paraId="58FF8B0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治理区包含0.87hm</w:t>
                  </w:r>
                  <w:r>
                    <w:rPr>
                      <w:rFonts w:hint="eastAsia" w:ascii="Times New Roman" w:hAnsi="Times New Roman" w:eastAsia="宋体" w:cs="Times New Roman"/>
                      <w:b w:val="0"/>
                      <w:bCs w:val="0"/>
                      <w:color w:val="000000" w:themeColor="text1"/>
                      <w:highlight w:val="none"/>
                      <w:vertAlign w:val="superscript"/>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景区占地范围</w:t>
                  </w:r>
                </w:p>
              </w:tc>
            </w:tr>
            <w:bookmarkEnd w:id="2"/>
          </w:tbl>
          <w:p w14:paraId="2B5E661E">
            <w:pPr>
              <w:bidi w:val="0"/>
              <w:rPr>
                <w:rFonts w:hint="default"/>
                <w:color w:val="000000" w:themeColor="text1"/>
                <w:highlight w:val="none"/>
                <w:lang w:val="en-US" w:eastAsia="zh-CN"/>
                <w14:textFill>
                  <w14:solidFill>
                    <w14:schemeClr w14:val="tx1"/>
                  </w14:solidFill>
                </w14:textFill>
              </w:rPr>
            </w:pPr>
          </w:p>
        </w:tc>
      </w:tr>
      <w:tr w14:paraId="348E20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95" w:hRule="atLeast"/>
        </w:trPr>
        <w:tc>
          <w:tcPr>
            <w:tcW w:w="832" w:type="dxa"/>
            <w:noWrap w:val="0"/>
            <w:vAlign w:val="center"/>
          </w:tcPr>
          <w:p w14:paraId="66DEE0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s="Times New Roman"/>
                <w:b/>
                <w:bCs/>
                <w:color w:val="000000" w:themeColor="text1"/>
                <w:kern w:val="0"/>
                <w:sz w:val="24"/>
                <w:highlight w:val="none"/>
                <w14:textFill>
                  <w14:solidFill>
                    <w14:schemeClr w14:val="tx1"/>
                  </w14:solidFill>
                </w14:textFill>
              </w:rPr>
            </w:pPr>
            <w:r>
              <w:rPr>
                <w:rFonts w:hint="default" w:cs="Times New Roman"/>
                <w:b/>
                <w:bCs/>
                <w:color w:val="000000" w:themeColor="text1"/>
                <w:kern w:val="0"/>
                <w:sz w:val="24"/>
                <w:highlight w:val="none"/>
                <w14:textFill>
                  <w14:solidFill>
                    <w14:schemeClr w14:val="tx1"/>
                  </w14:solidFill>
                </w14:textFill>
              </w:rPr>
              <w:t>评价</w:t>
            </w:r>
          </w:p>
          <w:p w14:paraId="6A5258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s="Times New Roman"/>
                <w:color w:val="000000" w:themeColor="text1"/>
                <w:kern w:val="0"/>
                <w:szCs w:val="21"/>
                <w:highlight w:val="none"/>
                <w14:textFill>
                  <w14:solidFill>
                    <w14:schemeClr w14:val="tx1"/>
                  </w14:solidFill>
                </w14:textFill>
              </w:rPr>
            </w:pPr>
            <w:r>
              <w:rPr>
                <w:rFonts w:hint="default" w:cs="Times New Roman"/>
                <w:b/>
                <w:bCs/>
                <w:color w:val="000000" w:themeColor="text1"/>
                <w:kern w:val="0"/>
                <w:sz w:val="24"/>
                <w:highlight w:val="none"/>
                <w14:textFill>
                  <w14:solidFill>
                    <w14:schemeClr w14:val="tx1"/>
                  </w14:solidFill>
                </w14:textFill>
              </w:rPr>
              <w:t>标准</w:t>
            </w:r>
          </w:p>
        </w:tc>
        <w:tc>
          <w:tcPr>
            <w:tcW w:w="8325" w:type="dxa"/>
            <w:noWrap w:val="0"/>
            <w:vAlign w:val="center"/>
          </w:tcPr>
          <w:p w14:paraId="1BD1E7FE">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环境质量标准</w:t>
            </w:r>
          </w:p>
          <w:p w14:paraId="74739DD5">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⑴环境空气质量标准</w:t>
            </w:r>
          </w:p>
          <w:p w14:paraId="1F264B19">
            <w:pPr>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项目所在区域</w:t>
            </w:r>
            <w:r>
              <w:rPr>
                <w:rFonts w:hint="eastAsia"/>
                <w:color w:val="000000" w:themeColor="text1"/>
                <w:highlight w:val="none"/>
                <w14:textFill>
                  <w14:solidFill>
                    <w14:schemeClr w14:val="tx1"/>
                  </w14:solidFill>
                </w14:textFill>
              </w:rPr>
              <w:t>属于环境空气质量功能二类区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环境空气质量执行《环境空气质量标准》</w:t>
            </w:r>
            <w:r>
              <w:rPr>
                <w:rFonts w:hint="default"/>
                <w:color w:val="000000" w:themeColor="text1"/>
                <w:highlight w:val="none"/>
                <w:lang w:val="en-US" w:eastAsia="zh-CN"/>
                <w14:textFill>
                  <w14:solidFill>
                    <w14:schemeClr w14:val="tx1"/>
                  </w14:solidFill>
                </w14:textFill>
              </w:rPr>
              <w:t>(GB3095-2012)</w:t>
            </w:r>
            <w:r>
              <w:rPr>
                <w:rFonts w:hint="eastAsia"/>
                <w:color w:val="000000" w:themeColor="text1"/>
                <w:highlight w:val="none"/>
                <w:lang w:val="en-US" w:eastAsia="zh-CN"/>
                <w14:textFill>
                  <w14:solidFill>
                    <w14:schemeClr w14:val="tx1"/>
                  </w14:solidFill>
                </w14:textFill>
              </w:rPr>
              <w:t>及修改单二级标准。</w:t>
            </w:r>
          </w:p>
          <w:p w14:paraId="7B927E64">
            <w:pPr>
              <w:pStyle w:val="3"/>
              <w:bidi w:val="0"/>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表3-</w:t>
            </w:r>
            <w:r>
              <w:rPr>
                <w:rFonts w:hint="eastAsia"/>
                <w:color w:val="000000" w:themeColor="text1"/>
                <w:highlight w:val="none"/>
                <w:lang w:val="en-US" w:eastAsia="zh-CN"/>
                <w14:textFill>
                  <w14:solidFill>
                    <w14:schemeClr w14:val="tx1"/>
                  </w14:solidFill>
                </w14:textFill>
              </w:rPr>
              <w:t xml:space="preserve">4 </w:t>
            </w:r>
            <w:r>
              <w:rPr>
                <w:rFonts w:hint="default"/>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环境空气质量标准</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417"/>
              <w:gridCol w:w="1417"/>
              <w:gridCol w:w="1417"/>
              <w:gridCol w:w="1200"/>
              <w:gridCol w:w="1201"/>
            </w:tblGrid>
            <w:tr w14:paraId="67483C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27" w:type="dxa"/>
                  <w:vMerge w:val="restart"/>
                  <w:tcBorders>
                    <w:tl2br w:val="nil"/>
                    <w:tr2bl w:val="nil"/>
                  </w:tcBorders>
                  <w:noWrap w:val="0"/>
                  <w:vAlign w:val="center"/>
                </w:tcPr>
                <w:p w14:paraId="79190A3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eastAsia="zh-CN"/>
                      <w14:textFill>
                        <w14:solidFill>
                          <w14:schemeClr w14:val="tx1"/>
                        </w14:solidFill>
                      </w14:textFill>
                    </w:rPr>
                  </w:pPr>
                  <w:r>
                    <w:rPr>
                      <w:rFonts w:hint="default" w:cs="Times New Roman"/>
                      <w:b/>
                      <w:bCs/>
                      <w:color w:val="000000" w:themeColor="text1"/>
                      <w:highlight w:val="none"/>
                      <w:lang w:eastAsia="zh-CN"/>
                      <w14:textFill>
                        <w14:solidFill>
                          <w14:schemeClr w14:val="tx1"/>
                        </w14:solidFill>
                      </w14:textFill>
                    </w:rPr>
                    <w:t>污染物名称</w:t>
                  </w:r>
                </w:p>
              </w:tc>
              <w:tc>
                <w:tcPr>
                  <w:tcW w:w="5451" w:type="dxa"/>
                  <w:gridSpan w:val="4"/>
                  <w:tcBorders>
                    <w:tl2br w:val="nil"/>
                    <w:tr2bl w:val="nil"/>
                  </w:tcBorders>
                  <w:noWrap w:val="0"/>
                  <w:vAlign w:val="center"/>
                </w:tcPr>
                <w:p w14:paraId="21853F9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标准值</w:t>
                  </w:r>
                </w:p>
              </w:tc>
              <w:tc>
                <w:tcPr>
                  <w:tcW w:w="1201" w:type="dxa"/>
                  <w:vMerge w:val="restart"/>
                  <w:tcBorders>
                    <w:tl2br w:val="nil"/>
                    <w:tr2bl w:val="nil"/>
                  </w:tcBorders>
                  <w:noWrap w:val="0"/>
                  <w:vAlign w:val="center"/>
                </w:tcPr>
                <w:p w14:paraId="3BF0E399">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标准来源</w:t>
                  </w:r>
                </w:p>
              </w:tc>
            </w:tr>
            <w:tr w14:paraId="64FC49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27" w:type="dxa"/>
                  <w:vMerge w:val="continue"/>
                  <w:tcBorders>
                    <w:tl2br w:val="nil"/>
                    <w:tr2bl w:val="nil"/>
                  </w:tcBorders>
                  <w:noWrap w:val="0"/>
                  <w:vAlign w:val="center"/>
                </w:tcPr>
                <w:p w14:paraId="21F71069">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eastAsia="zh-CN"/>
                      <w14:textFill>
                        <w14:solidFill>
                          <w14:schemeClr w14:val="tx1"/>
                        </w14:solidFill>
                      </w14:textFill>
                    </w:rPr>
                  </w:pPr>
                </w:p>
              </w:tc>
              <w:tc>
                <w:tcPr>
                  <w:tcW w:w="4251" w:type="dxa"/>
                  <w:gridSpan w:val="3"/>
                  <w:tcBorders>
                    <w:tl2br w:val="nil"/>
                    <w:tr2bl w:val="nil"/>
                  </w:tcBorders>
                  <w:noWrap w:val="0"/>
                  <w:vAlign w:val="center"/>
                </w:tcPr>
                <w:p w14:paraId="5763A1BF">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二级标准</w:t>
                  </w:r>
                </w:p>
              </w:tc>
              <w:tc>
                <w:tcPr>
                  <w:tcW w:w="1200" w:type="dxa"/>
                  <w:vMerge w:val="restart"/>
                  <w:tcBorders>
                    <w:tl2br w:val="nil"/>
                    <w:tr2bl w:val="nil"/>
                  </w:tcBorders>
                  <w:noWrap w:val="0"/>
                  <w:vAlign w:val="center"/>
                </w:tcPr>
                <w:p w14:paraId="59151708">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eastAsia="zh-CN"/>
                      <w14:textFill>
                        <w14:solidFill>
                          <w14:schemeClr w14:val="tx1"/>
                        </w14:solidFill>
                      </w14:textFill>
                    </w:rPr>
                  </w:pPr>
                  <w:r>
                    <w:rPr>
                      <w:rFonts w:hint="default" w:cs="Times New Roman"/>
                      <w:b/>
                      <w:bCs/>
                      <w:color w:val="000000" w:themeColor="text1"/>
                      <w:highlight w:val="none"/>
                      <w:lang w:eastAsia="zh-CN"/>
                      <w14:textFill>
                        <w14:solidFill>
                          <w14:schemeClr w14:val="tx1"/>
                        </w14:solidFill>
                      </w14:textFill>
                    </w:rPr>
                    <w:t>单位</w:t>
                  </w:r>
                </w:p>
              </w:tc>
              <w:tc>
                <w:tcPr>
                  <w:tcW w:w="1201" w:type="dxa"/>
                  <w:vMerge w:val="continue"/>
                  <w:tcBorders>
                    <w:tl2br w:val="nil"/>
                    <w:tr2bl w:val="nil"/>
                  </w:tcBorders>
                  <w:noWrap w:val="0"/>
                  <w:vAlign w:val="center"/>
                </w:tcPr>
                <w:p w14:paraId="137E373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jc w:val="center"/>
                    <w:textAlignment w:val="auto"/>
                    <w:rPr>
                      <w:rFonts w:hint="default" w:ascii="Times New Roman" w:hAnsi="Times New Roman" w:eastAsia="宋体" w:cs="Times New Roman"/>
                      <w:b/>
                      <w:bCs/>
                      <w:color w:val="000000" w:themeColor="text1"/>
                      <w:kern w:val="2"/>
                      <w:sz w:val="21"/>
                      <w:szCs w:val="21"/>
                      <w:highlight w:val="none"/>
                      <w:lang w:eastAsia="zh-CN"/>
                      <w14:textFill>
                        <w14:solidFill>
                          <w14:schemeClr w14:val="tx1"/>
                        </w14:solidFill>
                      </w14:textFill>
                    </w:rPr>
                  </w:pPr>
                </w:p>
              </w:tc>
            </w:tr>
            <w:tr w14:paraId="078F12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27" w:type="dxa"/>
                  <w:vMerge w:val="continue"/>
                  <w:tcBorders>
                    <w:tl2br w:val="nil"/>
                    <w:tr2bl w:val="nil"/>
                  </w:tcBorders>
                  <w:noWrap w:val="0"/>
                  <w:vAlign w:val="center"/>
                </w:tcPr>
                <w:p w14:paraId="3D7EBE7A">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eastAsia="zh-CN"/>
                      <w14:textFill>
                        <w14:solidFill>
                          <w14:schemeClr w14:val="tx1"/>
                        </w14:solidFill>
                      </w14:textFill>
                    </w:rPr>
                  </w:pPr>
                </w:p>
              </w:tc>
              <w:tc>
                <w:tcPr>
                  <w:tcW w:w="1417" w:type="dxa"/>
                  <w:tcBorders>
                    <w:tl2br w:val="nil"/>
                    <w:tr2bl w:val="nil"/>
                  </w:tcBorders>
                  <w:noWrap w:val="0"/>
                  <w:vAlign w:val="center"/>
                </w:tcPr>
                <w:p w14:paraId="3124E51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cs="Times New Roman"/>
                      <w:b/>
                      <w:bCs/>
                      <w:color w:val="000000" w:themeColor="text1"/>
                      <w:highlight w:val="none"/>
                      <w:lang w:eastAsia="zh-CN"/>
                      <w14:textFill>
                        <w14:solidFill>
                          <w14:schemeClr w14:val="tx1"/>
                        </w14:solidFill>
                      </w14:textFill>
                    </w:rPr>
                  </w:pPr>
                  <w:r>
                    <w:rPr>
                      <w:rFonts w:hint="default" w:cs="Times New Roman"/>
                      <w:b/>
                      <w:bCs/>
                      <w:color w:val="000000" w:themeColor="text1"/>
                      <w:highlight w:val="none"/>
                      <w:lang w:eastAsia="zh-CN"/>
                      <w14:textFill>
                        <w14:solidFill>
                          <w14:schemeClr w14:val="tx1"/>
                        </w14:solidFill>
                      </w14:textFill>
                    </w:rPr>
                    <w:t>年平均</w:t>
                  </w:r>
                </w:p>
              </w:tc>
              <w:tc>
                <w:tcPr>
                  <w:tcW w:w="1417" w:type="dxa"/>
                  <w:tcBorders>
                    <w:tl2br w:val="nil"/>
                    <w:tr2bl w:val="nil"/>
                  </w:tcBorders>
                  <w:noWrap w:val="0"/>
                  <w:vAlign w:val="center"/>
                </w:tcPr>
                <w:p w14:paraId="197ED8C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cs="Times New Roman"/>
                      <w:b/>
                      <w:bCs/>
                      <w:color w:val="000000" w:themeColor="text1"/>
                      <w:highlight w:val="none"/>
                      <w:lang w:eastAsia="zh-CN"/>
                      <w14:textFill>
                        <w14:solidFill>
                          <w14:schemeClr w14:val="tx1"/>
                        </w14:solidFill>
                      </w14:textFill>
                    </w:rPr>
                  </w:pPr>
                  <w:r>
                    <w:rPr>
                      <w:rFonts w:hint="default" w:cs="Times New Roman"/>
                      <w:b/>
                      <w:bCs/>
                      <w:color w:val="000000" w:themeColor="text1"/>
                      <w:highlight w:val="none"/>
                      <w:lang w:eastAsia="zh-CN"/>
                      <w14:textFill>
                        <w14:solidFill>
                          <w14:schemeClr w14:val="tx1"/>
                        </w14:solidFill>
                      </w14:textFill>
                    </w:rPr>
                    <w:t>24小时平均</w:t>
                  </w:r>
                </w:p>
              </w:tc>
              <w:tc>
                <w:tcPr>
                  <w:tcW w:w="1417" w:type="dxa"/>
                  <w:tcBorders>
                    <w:tl2br w:val="nil"/>
                    <w:tr2bl w:val="nil"/>
                  </w:tcBorders>
                  <w:noWrap w:val="0"/>
                  <w:vAlign w:val="center"/>
                </w:tcPr>
                <w:p w14:paraId="5AB7B88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cs="Times New Roman"/>
                      <w:b/>
                      <w:bCs/>
                      <w:color w:val="000000" w:themeColor="text1"/>
                      <w:highlight w:val="none"/>
                      <w:lang w:eastAsia="zh-CN"/>
                      <w14:textFill>
                        <w14:solidFill>
                          <w14:schemeClr w14:val="tx1"/>
                        </w14:solidFill>
                      </w14:textFill>
                    </w:rPr>
                  </w:pPr>
                  <w:r>
                    <w:rPr>
                      <w:rFonts w:hint="default" w:cs="Times New Roman"/>
                      <w:b/>
                      <w:bCs/>
                      <w:color w:val="000000" w:themeColor="text1"/>
                      <w:highlight w:val="none"/>
                      <w:lang w:eastAsia="zh-CN"/>
                      <w14:textFill>
                        <w14:solidFill>
                          <w14:schemeClr w14:val="tx1"/>
                        </w14:solidFill>
                      </w14:textFill>
                    </w:rPr>
                    <w:t>1小时平均</w:t>
                  </w:r>
                </w:p>
              </w:tc>
              <w:tc>
                <w:tcPr>
                  <w:tcW w:w="1200" w:type="dxa"/>
                  <w:vMerge w:val="continue"/>
                  <w:tcBorders>
                    <w:tl2br w:val="nil"/>
                    <w:tr2bl w:val="nil"/>
                  </w:tcBorders>
                  <w:noWrap w:val="0"/>
                  <w:vAlign w:val="center"/>
                </w:tcPr>
                <w:p w14:paraId="6F8C343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eastAsia="zh-CN"/>
                      <w14:textFill>
                        <w14:solidFill>
                          <w14:schemeClr w14:val="tx1"/>
                        </w14:solidFill>
                      </w14:textFill>
                    </w:rPr>
                  </w:pPr>
                </w:p>
              </w:tc>
              <w:tc>
                <w:tcPr>
                  <w:tcW w:w="1201" w:type="dxa"/>
                  <w:vMerge w:val="restart"/>
                  <w:tcBorders>
                    <w:tl2br w:val="nil"/>
                    <w:tr2bl w:val="nil"/>
                  </w:tcBorders>
                  <w:noWrap w:val="0"/>
                  <w:vAlign w:val="center"/>
                </w:tcPr>
                <w:p w14:paraId="6F396ACE">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《环境空气质量标准》</w:t>
                  </w:r>
                  <w:r>
                    <w:rPr>
                      <w:rFonts w:hint="eastAsia" w:cs="Times New Roman"/>
                      <w:color w:val="000000" w:themeColor="text1"/>
                      <w:highlight w:val="none"/>
                      <w:lang w:eastAsia="zh-CN"/>
                      <w14:textFill>
                        <w14:solidFill>
                          <w14:schemeClr w14:val="tx1"/>
                        </w14:solidFill>
                      </w14:textFill>
                    </w:rPr>
                    <w:t>（</w:t>
                  </w:r>
                  <w:r>
                    <w:rPr>
                      <w:rFonts w:hint="default" w:cs="Times New Roman"/>
                      <w:color w:val="000000" w:themeColor="text1"/>
                      <w:highlight w:val="none"/>
                      <w:lang w:eastAsia="zh-CN"/>
                      <w14:textFill>
                        <w14:solidFill>
                          <w14:schemeClr w14:val="tx1"/>
                        </w14:solidFill>
                      </w14:textFill>
                    </w:rPr>
                    <w:t>GB3095-2012）及修改单</w:t>
                  </w:r>
                </w:p>
              </w:tc>
            </w:tr>
            <w:tr w14:paraId="307C16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27" w:type="dxa"/>
                  <w:tcBorders>
                    <w:tl2br w:val="nil"/>
                    <w:tr2bl w:val="nil"/>
                  </w:tcBorders>
                  <w:noWrap w:val="0"/>
                  <w:vAlign w:val="center"/>
                </w:tcPr>
                <w:p w14:paraId="058DA84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SO</w:t>
                  </w:r>
                  <w:r>
                    <w:rPr>
                      <w:rFonts w:hint="default" w:cs="Times New Roman"/>
                      <w:color w:val="000000" w:themeColor="text1"/>
                      <w:highlight w:val="none"/>
                      <w:vertAlign w:val="subscript"/>
                      <w:lang w:eastAsia="zh-CN"/>
                      <w14:textFill>
                        <w14:solidFill>
                          <w14:schemeClr w14:val="tx1"/>
                        </w14:solidFill>
                      </w14:textFill>
                    </w:rPr>
                    <w:t>2</w:t>
                  </w:r>
                </w:p>
              </w:tc>
              <w:tc>
                <w:tcPr>
                  <w:tcW w:w="1417" w:type="dxa"/>
                  <w:tcBorders>
                    <w:tl2br w:val="nil"/>
                    <w:tr2bl w:val="nil"/>
                  </w:tcBorders>
                  <w:noWrap w:val="0"/>
                  <w:vAlign w:val="center"/>
                </w:tcPr>
                <w:p w14:paraId="3F424F6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60</w:t>
                  </w:r>
                </w:p>
              </w:tc>
              <w:tc>
                <w:tcPr>
                  <w:tcW w:w="1417" w:type="dxa"/>
                  <w:tcBorders>
                    <w:tl2br w:val="nil"/>
                    <w:tr2bl w:val="nil"/>
                  </w:tcBorders>
                  <w:noWrap w:val="0"/>
                  <w:vAlign w:val="center"/>
                </w:tcPr>
                <w:p w14:paraId="686D195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150</w:t>
                  </w:r>
                </w:p>
              </w:tc>
              <w:tc>
                <w:tcPr>
                  <w:tcW w:w="1417" w:type="dxa"/>
                  <w:tcBorders>
                    <w:tl2br w:val="nil"/>
                    <w:tr2bl w:val="nil"/>
                  </w:tcBorders>
                  <w:noWrap w:val="0"/>
                  <w:vAlign w:val="center"/>
                </w:tcPr>
                <w:p w14:paraId="30530B9F">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500</w:t>
                  </w:r>
                </w:p>
              </w:tc>
              <w:tc>
                <w:tcPr>
                  <w:tcW w:w="1200" w:type="dxa"/>
                  <w:vMerge w:val="restart"/>
                  <w:tcBorders>
                    <w:tl2br w:val="nil"/>
                    <w:tr2bl w:val="nil"/>
                  </w:tcBorders>
                  <w:noWrap w:val="0"/>
                  <w:vAlign w:val="center"/>
                </w:tcPr>
                <w:p w14:paraId="557A361D">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μg/m³</w:t>
                  </w:r>
                </w:p>
              </w:tc>
              <w:tc>
                <w:tcPr>
                  <w:tcW w:w="1201" w:type="dxa"/>
                  <w:vMerge w:val="continue"/>
                  <w:tcBorders>
                    <w:tl2br w:val="nil"/>
                    <w:tr2bl w:val="nil"/>
                  </w:tcBorders>
                  <w:noWrap w:val="0"/>
                  <w:vAlign w:val="center"/>
                </w:tcPr>
                <w:p w14:paraId="3857762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p>
              </w:tc>
            </w:tr>
            <w:tr w14:paraId="066764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27" w:type="dxa"/>
                  <w:tcBorders>
                    <w:tl2br w:val="nil"/>
                    <w:tr2bl w:val="nil"/>
                  </w:tcBorders>
                  <w:noWrap w:val="0"/>
                  <w:vAlign w:val="center"/>
                </w:tcPr>
                <w:p w14:paraId="5CBAE788">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NO</w:t>
                  </w:r>
                  <w:r>
                    <w:rPr>
                      <w:rFonts w:hint="default" w:cs="Times New Roman"/>
                      <w:color w:val="000000" w:themeColor="text1"/>
                      <w:highlight w:val="none"/>
                      <w:vertAlign w:val="subscript"/>
                      <w:lang w:eastAsia="zh-CN"/>
                      <w14:textFill>
                        <w14:solidFill>
                          <w14:schemeClr w14:val="tx1"/>
                        </w14:solidFill>
                      </w14:textFill>
                    </w:rPr>
                    <w:t>2</w:t>
                  </w:r>
                </w:p>
              </w:tc>
              <w:tc>
                <w:tcPr>
                  <w:tcW w:w="1417" w:type="dxa"/>
                  <w:tcBorders>
                    <w:tl2br w:val="nil"/>
                    <w:tr2bl w:val="nil"/>
                  </w:tcBorders>
                  <w:noWrap w:val="0"/>
                  <w:vAlign w:val="center"/>
                </w:tcPr>
                <w:p w14:paraId="558F5E3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40</w:t>
                  </w:r>
                </w:p>
              </w:tc>
              <w:tc>
                <w:tcPr>
                  <w:tcW w:w="1417" w:type="dxa"/>
                  <w:tcBorders>
                    <w:tl2br w:val="nil"/>
                    <w:tr2bl w:val="nil"/>
                  </w:tcBorders>
                  <w:noWrap w:val="0"/>
                  <w:vAlign w:val="center"/>
                </w:tcPr>
                <w:p w14:paraId="1ED093A8">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80</w:t>
                  </w:r>
                </w:p>
              </w:tc>
              <w:tc>
                <w:tcPr>
                  <w:tcW w:w="1417" w:type="dxa"/>
                  <w:tcBorders>
                    <w:tl2br w:val="nil"/>
                    <w:tr2bl w:val="nil"/>
                  </w:tcBorders>
                  <w:noWrap w:val="0"/>
                  <w:vAlign w:val="center"/>
                </w:tcPr>
                <w:p w14:paraId="4392A72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200</w:t>
                  </w:r>
                </w:p>
              </w:tc>
              <w:tc>
                <w:tcPr>
                  <w:tcW w:w="1200" w:type="dxa"/>
                  <w:vMerge w:val="continue"/>
                  <w:tcBorders>
                    <w:tl2br w:val="nil"/>
                    <w:tr2bl w:val="nil"/>
                  </w:tcBorders>
                  <w:noWrap w:val="0"/>
                  <w:vAlign w:val="center"/>
                </w:tcPr>
                <w:p w14:paraId="5B96109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p>
              </w:tc>
              <w:tc>
                <w:tcPr>
                  <w:tcW w:w="1201" w:type="dxa"/>
                  <w:vMerge w:val="continue"/>
                  <w:tcBorders>
                    <w:tl2br w:val="nil"/>
                    <w:tr2bl w:val="nil"/>
                  </w:tcBorders>
                  <w:noWrap w:val="0"/>
                  <w:vAlign w:val="center"/>
                </w:tcPr>
                <w:p w14:paraId="5D742ECB">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p>
              </w:tc>
            </w:tr>
            <w:tr w14:paraId="57313A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27" w:type="dxa"/>
                  <w:tcBorders>
                    <w:tl2br w:val="nil"/>
                    <w:tr2bl w:val="nil"/>
                  </w:tcBorders>
                  <w:noWrap w:val="0"/>
                  <w:vAlign w:val="center"/>
                </w:tcPr>
                <w:p w14:paraId="4E59223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PM</w:t>
                  </w:r>
                  <w:r>
                    <w:rPr>
                      <w:rFonts w:hint="default" w:cs="Times New Roman"/>
                      <w:color w:val="000000" w:themeColor="text1"/>
                      <w:highlight w:val="none"/>
                      <w:vertAlign w:val="subscript"/>
                      <w:lang w:eastAsia="zh-CN"/>
                      <w14:textFill>
                        <w14:solidFill>
                          <w14:schemeClr w14:val="tx1"/>
                        </w14:solidFill>
                      </w14:textFill>
                    </w:rPr>
                    <w:t>10</w:t>
                  </w:r>
                </w:p>
              </w:tc>
              <w:tc>
                <w:tcPr>
                  <w:tcW w:w="1417" w:type="dxa"/>
                  <w:tcBorders>
                    <w:tl2br w:val="nil"/>
                    <w:tr2bl w:val="nil"/>
                  </w:tcBorders>
                  <w:noWrap w:val="0"/>
                  <w:vAlign w:val="center"/>
                </w:tcPr>
                <w:p w14:paraId="1A61DE1D">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70</w:t>
                  </w:r>
                </w:p>
              </w:tc>
              <w:tc>
                <w:tcPr>
                  <w:tcW w:w="1417" w:type="dxa"/>
                  <w:tcBorders>
                    <w:tl2br w:val="nil"/>
                    <w:tr2bl w:val="nil"/>
                  </w:tcBorders>
                  <w:noWrap w:val="0"/>
                  <w:vAlign w:val="center"/>
                </w:tcPr>
                <w:p w14:paraId="7A0E80A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150</w:t>
                  </w:r>
                </w:p>
              </w:tc>
              <w:tc>
                <w:tcPr>
                  <w:tcW w:w="1417" w:type="dxa"/>
                  <w:tcBorders>
                    <w:tl2br w:val="nil"/>
                    <w:tr2bl w:val="nil"/>
                  </w:tcBorders>
                  <w:noWrap w:val="0"/>
                  <w:vAlign w:val="center"/>
                </w:tcPr>
                <w:p w14:paraId="6806007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w:t>
                  </w:r>
                </w:p>
              </w:tc>
              <w:tc>
                <w:tcPr>
                  <w:tcW w:w="1200" w:type="dxa"/>
                  <w:vMerge w:val="continue"/>
                  <w:tcBorders>
                    <w:tl2br w:val="nil"/>
                    <w:tr2bl w:val="nil"/>
                  </w:tcBorders>
                  <w:noWrap w:val="0"/>
                  <w:vAlign w:val="center"/>
                </w:tcPr>
                <w:p w14:paraId="5588C7A9">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p>
              </w:tc>
              <w:tc>
                <w:tcPr>
                  <w:tcW w:w="1201" w:type="dxa"/>
                  <w:vMerge w:val="continue"/>
                  <w:tcBorders>
                    <w:tl2br w:val="nil"/>
                    <w:tr2bl w:val="nil"/>
                  </w:tcBorders>
                  <w:noWrap w:val="0"/>
                  <w:vAlign w:val="center"/>
                </w:tcPr>
                <w:p w14:paraId="73E6ABC4">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p>
              </w:tc>
            </w:tr>
            <w:tr w14:paraId="75085C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27" w:type="dxa"/>
                  <w:tcBorders>
                    <w:tl2br w:val="nil"/>
                    <w:tr2bl w:val="nil"/>
                  </w:tcBorders>
                  <w:noWrap w:val="0"/>
                  <w:vAlign w:val="center"/>
                </w:tcPr>
                <w:p w14:paraId="42B87DB6">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PM</w:t>
                  </w:r>
                  <w:r>
                    <w:rPr>
                      <w:rFonts w:hint="default" w:cs="Times New Roman"/>
                      <w:color w:val="000000" w:themeColor="text1"/>
                      <w:highlight w:val="none"/>
                      <w:vertAlign w:val="subscript"/>
                      <w:lang w:eastAsia="zh-CN"/>
                      <w14:textFill>
                        <w14:solidFill>
                          <w14:schemeClr w14:val="tx1"/>
                        </w14:solidFill>
                      </w14:textFill>
                    </w:rPr>
                    <w:t>2.5</w:t>
                  </w:r>
                </w:p>
              </w:tc>
              <w:tc>
                <w:tcPr>
                  <w:tcW w:w="1417" w:type="dxa"/>
                  <w:tcBorders>
                    <w:tl2br w:val="nil"/>
                    <w:tr2bl w:val="nil"/>
                  </w:tcBorders>
                  <w:noWrap w:val="0"/>
                  <w:vAlign w:val="center"/>
                </w:tcPr>
                <w:p w14:paraId="46E8A63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35</w:t>
                  </w:r>
                </w:p>
              </w:tc>
              <w:tc>
                <w:tcPr>
                  <w:tcW w:w="1417" w:type="dxa"/>
                  <w:tcBorders>
                    <w:tl2br w:val="nil"/>
                    <w:tr2bl w:val="nil"/>
                  </w:tcBorders>
                  <w:noWrap w:val="0"/>
                  <w:vAlign w:val="center"/>
                </w:tcPr>
                <w:p w14:paraId="0800285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75</w:t>
                  </w:r>
                </w:p>
              </w:tc>
              <w:tc>
                <w:tcPr>
                  <w:tcW w:w="1417" w:type="dxa"/>
                  <w:tcBorders>
                    <w:tl2br w:val="nil"/>
                    <w:tr2bl w:val="nil"/>
                  </w:tcBorders>
                  <w:noWrap w:val="0"/>
                  <w:vAlign w:val="center"/>
                </w:tcPr>
                <w:p w14:paraId="21FFD69F">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w:t>
                  </w:r>
                </w:p>
              </w:tc>
              <w:tc>
                <w:tcPr>
                  <w:tcW w:w="1200" w:type="dxa"/>
                  <w:vMerge w:val="continue"/>
                  <w:tcBorders>
                    <w:tl2br w:val="nil"/>
                    <w:tr2bl w:val="nil"/>
                  </w:tcBorders>
                  <w:noWrap w:val="0"/>
                  <w:vAlign w:val="center"/>
                </w:tcPr>
                <w:p w14:paraId="149A4DE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p>
              </w:tc>
              <w:tc>
                <w:tcPr>
                  <w:tcW w:w="1201" w:type="dxa"/>
                  <w:vMerge w:val="continue"/>
                  <w:tcBorders>
                    <w:tl2br w:val="nil"/>
                    <w:tr2bl w:val="nil"/>
                  </w:tcBorders>
                  <w:noWrap w:val="0"/>
                  <w:vAlign w:val="center"/>
                </w:tcPr>
                <w:p w14:paraId="482E9FBB">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p>
              </w:tc>
            </w:tr>
            <w:tr w14:paraId="0E85E2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27" w:type="dxa"/>
                  <w:tcBorders>
                    <w:tl2br w:val="nil"/>
                    <w:tr2bl w:val="nil"/>
                  </w:tcBorders>
                  <w:noWrap w:val="0"/>
                  <w:vAlign w:val="center"/>
                </w:tcPr>
                <w:p w14:paraId="6B213E9E">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O</w:t>
                  </w:r>
                  <w:r>
                    <w:rPr>
                      <w:rFonts w:hint="default" w:cs="Times New Roman"/>
                      <w:color w:val="000000" w:themeColor="text1"/>
                      <w:highlight w:val="none"/>
                      <w:vertAlign w:val="subscript"/>
                      <w:lang w:eastAsia="zh-CN"/>
                      <w14:textFill>
                        <w14:solidFill>
                          <w14:schemeClr w14:val="tx1"/>
                        </w14:solidFill>
                      </w14:textFill>
                    </w:rPr>
                    <w:t>3</w:t>
                  </w:r>
                </w:p>
              </w:tc>
              <w:tc>
                <w:tcPr>
                  <w:tcW w:w="1417" w:type="dxa"/>
                  <w:tcBorders>
                    <w:tl2br w:val="nil"/>
                    <w:tr2bl w:val="nil"/>
                  </w:tcBorders>
                  <w:noWrap w:val="0"/>
                  <w:vAlign w:val="center"/>
                </w:tcPr>
                <w:p w14:paraId="7DA59559">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w:t>
                  </w:r>
                </w:p>
              </w:tc>
              <w:tc>
                <w:tcPr>
                  <w:tcW w:w="1417" w:type="dxa"/>
                  <w:tcBorders>
                    <w:tl2br w:val="nil"/>
                    <w:tr2bl w:val="nil"/>
                  </w:tcBorders>
                  <w:noWrap w:val="0"/>
                  <w:vAlign w:val="center"/>
                </w:tcPr>
                <w:p w14:paraId="0AF49F73">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160（日最大8小时平均）</w:t>
                  </w:r>
                </w:p>
              </w:tc>
              <w:tc>
                <w:tcPr>
                  <w:tcW w:w="1417" w:type="dxa"/>
                  <w:tcBorders>
                    <w:tl2br w:val="nil"/>
                    <w:tr2bl w:val="nil"/>
                  </w:tcBorders>
                  <w:noWrap w:val="0"/>
                  <w:vAlign w:val="center"/>
                </w:tcPr>
                <w:p w14:paraId="3A26826A">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200</w:t>
                  </w:r>
                </w:p>
              </w:tc>
              <w:tc>
                <w:tcPr>
                  <w:tcW w:w="1200" w:type="dxa"/>
                  <w:vMerge w:val="continue"/>
                  <w:tcBorders>
                    <w:tl2br w:val="nil"/>
                    <w:tr2bl w:val="nil"/>
                  </w:tcBorders>
                  <w:noWrap w:val="0"/>
                  <w:vAlign w:val="center"/>
                </w:tcPr>
                <w:p w14:paraId="5DC678D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p>
              </w:tc>
              <w:tc>
                <w:tcPr>
                  <w:tcW w:w="1201" w:type="dxa"/>
                  <w:vMerge w:val="continue"/>
                  <w:tcBorders>
                    <w:tl2br w:val="nil"/>
                    <w:tr2bl w:val="nil"/>
                  </w:tcBorders>
                  <w:noWrap w:val="0"/>
                  <w:vAlign w:val="center"/>
                </w:tcPr>
                <w:p w14:paraId="6B1E0305">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p>
              </w:tc>
            </w:tr>
            <w:tr w14:paraId="21D781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27" w:type="dxa"/>
                  <w:tcBorders>
                    <w:tl2br w:val="nil"/>
                    <w:tr2bl w:val="nil"/>
                  </w:tcBorders>
                  <w:noWrap w:val="0"/>
                  <w:vAlign w:val="center"/>
                </w:tcPr>
                <w:p w14:paraId="150A100E">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CO</w:t>
                  </w:r>
                </w:p>
              </w:tc>
              <w:tc>
                <w:tcPr>
                  <w:tcW w:w="1417" w:type="dxa"/>
                  <w:tcBorders>
                    <w:tl2br w:val="nil"/>
                    <w:tr2bl w:val="nil"/>
                  </w:tcBorders>
                  <w:noWrap w:val="0"/>
                  <w:vAlign w:val="center"/>
                </w:tcPr>
                <w:p w14:paraId="2612AD1D">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w:t>
                  </w:r>
                </w:p>
              </w:tc>
              <w:tc>
                <w:tcPr>
                  <w:tcW w:w="1417" w:type="dxa"/>
                  <w:tcBorders>
                    <w:tl2br w:val="nil"/>
                    <w:tr2bl w:val="nil"/>
                  </w:tcBorders>
                  <w:noWrap w:val="0"/>
                  <w:vAlign w:val="center"/>
                </w:tcPr>
                <w:p w14:paraId="6C9A243D">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4</w:t>
                  </w:r>
                </w:p>
              </w:tc>
              <w:tc>
                <w:tcPr>
                  <w:tcW w:w="1417" w:type="dxa"/>
                  <w:tcBorders>
                    <w:tl2br w:val="nil"/>
                    <w:tr2bl w:val="nil"/>
                  </w:tcBorders>
                  <w:noWrap w:val="0"/>
                  <w:vAlign w:val="center"/>
                </w:tcPr>
                <w:p w14:paraId="1BC5D8F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10</w:t>
                  </w:r>
                </w:p>
              </w:tc>
              <w:tc>
                <w:tcPr>
                  <w:tcW w:w="1200" w:type="dxa"/>
                  <w:tcBorders>
                    <w:tl2br w:val="nil"/>
                    <w:tr2bl w:val="nil"/>
                  </w:tcBorders>
                  <w:noWrap w:val="0"/>
                  <w:vAlign w:val="center"/>
                </w:tcPr>
                <w:p w14:paraId="50FAAFE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mg/m³</w:t>
                  </w:r>
                </w:p>
              </w:tc>
              <w:tc>
                <w:tcPr>
                  <w:tcW w:w="1201" w:type="dxa"/>
                  <w:vMerge w:val="continue"/>
                  <w:tcBorders>
                    <w:tl2br w:val="nil"/>
                    <w:tr2bl w:val="nil"/>
                  </w:tcBorders>
                  <w:noWrap w:val="0"/>
                  <w:vAlign w:val="center"/>
                </w:tcPr>
                <w:p w14:paraId="3A193419">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p>
              </w:tc>
            </w:tr>
            <w:tr w14:paraId="015625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27" w:type="dxa"/>
                  <w:tcBorders>
                    <w:tl2br w:val="nil"/>
                    <w:tr2bl w:val="nil"/>
                  </w:tcBorders>
                  <w:noWrap w:val="0"/>
                  <w:vAlign w:val="center"/>
                </w:tcPr>
                <w:p w14:paraId="00C2ED0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TSP</w:t>
                  </w:r>
                </w:p>
              </w:tc>
              <w:tc>
                <w:tcPr>
                  <w:tcW w:w="1417" w:type="dxa"/>
                  <w:tcBorders>
                    <w:tl2br w:val="nil"/>
                    <w:tr2bl w:val="nil"/>
                  </w:tcBorders>
                  <w:noWrap w:val="0"/>
                  <w:vAlign w:val="center"/>
                </w:tcPr>
                <w:p w14:paraId="47EE481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200</w:t>
                  </w:r>
                </w:p>
              </w:tc>
              <w:tc>
                <w:tcPr>
                  <w:tcW w:w="1417" w:type="dxa"/>
                  <w:tcBorders>
                    <w:tl2br w:val="nil"/>
                    <w:tr2bl w:val="nil"/>
                  </w:tcBorders>
                  <w:noWrap w:val="0"/>
                  <w:vAlign w:val="center"/>
                </w:tcPr>
                <w:p w14:paraId="057AFE9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300</w:t>
                  </w:r>
                </w:p>
              </w:tc>
              <w:tc>
                <w:tcPr>
                  <w:tcW w:w="1417" w:type="dxa"/>
                  <w:tcBorders>
                    <w:tl2br w:val="nil"/>
                    <w:tr2bl w:val="nil"/>
                  </w:tcBorders>
                  <w:noWrap w:val="0"/>
                  <w:vAlign w:val="center"/>
                </w:tcPr>
                <w:p w14:paraId="0B00E7A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w:t>
                  </w:r>
                </w:p>
              </w:tc>
              <w:tc>
                <w:tcPr>
                  <w:tcW w:w="1200" w:type="dxa"/>
                  <w:tcBorders>
                    <w:tl2br w:val="nil"/>
                    <w:tr2bl w:val="nil"/>
                  </w:tcBorders>
                  <w:noWrap w:val="0"/>
                  <w:vAlign w:val="center"/>
                </w:tcPr>
                <w:p w14:paraId="7BF4DF08">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eastAsia="zh-CN"/>
                      <w14:textFill>
                        <w14:solidFill>
                          <w14:schemeClr w14:val="tx1"/>
                        </w14:solidFill>
                      </w14:textFill>
                    </w:rPr>
                  </w:pPr>
                  <w:r>
                    <w:rPr>
                      <w:rFonts w:hint="default" w:cs="Times New Roman"/>
                      <w:color w:val="000000" w:themeColor="text1"/>
                      <w:highlight w:val="none"/>
                      <w:lang w:eastAsia="zh-CN"/>
                      <w14:textFill>
                        <w14:solidFill>
                          <w14:schemeClr w14:val="tx1"/>
                        </w14:solidFill>
                      </w14:textFill>
                    </w:rPr>
                    <w:t>μg/m³</w:t>
                  </w:r>
                </w:p>
              </w:tc>
              <w:tc>
                <w:tcPr>
                  <w:tcW w:w="1201" w:type="dxa"/>
                  <w:vMerge w:val="continue"/>
                  <w:tcBorders>
                    <w:tl2br w:val="nil"/>
                    <w:tr2bl w:val="nil"/>
                  </w:tcBorders>
                  <w:noWrap w:val="0"/>
                  <w:vAlign w:val="center"/>
                </w:tcPr>
                <w:p w14:paraId="049E5B22">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p>
              </w:tc>
            </w:tr>
          </w:tbl>
          <w:p w14:paraId="4E97C147">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⑵</w:t>
            </w:r>
            <w:r>
              <w:rPr>
                <w:rFonts w:hint="eastAsia"/>
                <w:color w:val="000000" w:themeColor="text1"/>
                <w:highlight w:val="none"/>
                <w14:textFill>
                  <w14:solidFill>
                    <w14:schemeClr w14:val="tx1"/>
                  </w14:solidFill>
                </w14:textFill>
              </w:rPr>
              <w:t>地表水环境质量标准</w:t>
            </w:r>
          </w:p>
          <w:p w14:paraId="6F9A9E50">
            <w:pPr>
              <w:bidi w:val="0"/>
              <w:rPr>
                <w:rFonts w:hint="eastAsia" w:eastAsia="宋体"/>
                <w:color w:val="000000" w:themeColor="text1"/>
                <w:highlight w:val="none"/>
                <w:lang w:eastAsia="zh-CN"/>
                <w14:textFill>
                  <w14:solidFill>
                    <w14:schemeClr w14:val="tx1"/>
                  </w14:solidFill>
                </w14:textFill>
              </w:rPr>
            </w:pPr>
            <w:r>
              <w:rPr>
                <w:rFonts w:hint="default"/>
                <w:color w:val="000000" w:themeColor="text1"/>
                <w:highlight w:val="none"/>
                <w14:textFill>
                  <w14:solidFill>
                    <w14:schemeClr w14:val="tx1"/>
                  </w14:solidFill>
                </w14:textFill>
              </w:rPr>
              <w:t>本项目所在地最近的地表水体为</w:t>
            </w:r>
            <w:r>
              <w:rPr>
                <w:rFonts w:hint="eastAsia"/>
                <w:color w:val="000000" w:themeColor="text1"/>
                <w:highlight w:val="none"/>
                <w:lang w:val="en-US" w:eastAsia="zh-CN"/>
                <w14:textFill>
                  <w14:solidFill>
                    <w14:schemeClr w14:val="tx1"/>
                  </w14:solidFill>
                </w14:textFill>
              </w:rPr>
              <w:t>沙沟</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沙沟为季节性沟道，无长流水</w:t>
            </w:r>
            <w:r>
              <w:rPr>
                <w:rFonts w:hint="eastAsia"/>
                <w:color w:val="000000" w:themeColor="text1"/>
                <w:highlight w:val="none"/>
                <w:lang w:eastAsia="zh-CN"/>
                <w14:textFill>
                  <w14:solidFill>
                    <w14:schemeClr w14:val="tx1"/>
                  </w14:solidFill>
                </w14:textFill>
              </w:rPr>
              <w:t>。</w:t>
            </w:r>
          </w:p>
          <w:p w14:paraId="6D7F612D">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 3 \* GB2 \* MERGEFORMAT </w:instrText>
            </w:r>
            <w:r>
              <w:rPr>
                <w:rFonts w:hint="eastAsia"/>
                <w:color w:val="000000" w:themeColor="text1"/>
                <w:highlight w:val="none"/>
                <w:lang w:val="en-US" w:eastAsia="zh-CN"/>
                <w14:textFill>
                  <w14:solidFill>
                    <w14:schemeClr w14:val="tx1"/>
                  </w14:solidFill>
                </w14:textFill>
              </w:rPr>
              <w:fldChar w:fldCharType="separate"/>
            </w:r>
            <w:r>
              <w:rPr>
                <w:color w:val="000000" w:themeColor="text1"/>
                <w:highlight w:val="none"/>
                <w14:textFill>
                  <w14:solidFill>
                    <w14:schemeClr w14:val="tx1"/>
                  </w14:solidFill>
                </w14:textFill>
              </w:rPr>
              <w:t>⑶</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14:textFill>
                  <w14:solidFill>
                    <w14:schemeClr w14:val="tx1"/>
                  </w14:solidFill>
                </w14:textFill>
              </w:rPr>
              <w:t>声环境质量标准</w:t>
            </w:r>
          </w:p>
          <w:p w14:paraId="7AFF8437">
            <w:pPr>
              <w:keepNext w:val="0"/>
              <w:keepLines w:val="0"/>
              <w:suppressLineNumbers w:val="0"/>
              <w:bidi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w:t>
            </w:r>
            <w:r>
              <w:rPr>
                <w:rFonts w:hint="default"/>
                <w:color w:val="000000" w:themeColor="text1"/>
                <w:highlight w:val="none"/>
                <w14:textFill>
                  <w14:solidFill>
                    <w14:schemeClr w14:val="tx1"/>
                  </w14:solidFill>
                </w14:textFill>
              </w:rPr>
              <w:t>《中卫市沙坡头区城区声环境功能区调整划分方案》</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2021.4.7</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项目所在区域划分为乡村，未给出声环境功能区划。经现场踏勘及周边环境综合考虑农村地区执行</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《声环境质量标准》</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(GB3096-2008)</w:t>
            </w:r>
            <w:r>
              <w:rPr>
                <w:rFonts w:hint="eastAsia" w:cs="Times New Roman"/>
                <w:color w:val="000000" w:themeColor="text1"/>
                <w:kern w:val="0"/>
                <w:sz w:val="24"/>
                <w:szCs w:val="24"/>
                <w:highlight w:val="none"/>
                <w:lang w:val="en-US" w:eastAsia="zh-CN" w:bidi="ar"/>
                <w14:textFill>
                  <w14:solidFill>
                    <w14:schemeClr w14:val="tx1"/>
                  </w14:solidFill>
                </w14:textFill>
              </w:rPr>
              <w:t>1</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类标准。</w:t>
            </w:r>
          </w:p>
          <w:p w14:paraId="71B77E5D">
            <w:pPr>
              <w:pStyle w:val="3"/>
              <w:bidi w:val="0"/>
              <w:rPr>
                <w:rFonts w:hint="default"/>
                <w:color w:val="000000" w:themeColor="text1"/>
                <w:highlight w:val="none"/>
                <w14:textFill>
                  <w14:solidFill>
                    <w14:schemeClr w14:val="tx1"/>
                  </w14:solidFill>
                </w14:textFill>
              </w:rPr>
            </w:pPr>
          </w:p>
          <w:p w14:paraId="73DFCDDA">
            <w:pPr>
              <w:pStyle w:val="3"/>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表</w:t>
            </w:r>
            <w:r>
              <w:rPr>
                <w:rFonts w:hint="eastAsia"/>
                <w:color w:val="000000" w:themeColor="text1"/>
                <w:highlight w:val="none"/>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5</w:t>
            </w:r>
            <w:r>
              <w:rPr>
                <w:rFonts w:hint="default"/>
                <w:color w:val="000000" w:themeColor="text1"/>
                <w:highlight w:val="none"/>
                <w14:textFill>
                  <w14:solidFill>
                    <w14:schemeClr w14:val="tx1"/>
                  </w14:solidFill>
                </w14:textFill>
              </w:rPr>
              <w:t xml:space="preserve">  项目声环境质量标准  单位：dB(A)</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662"/>
              <w:gridCol w:w="1663"/>
              <w:gridCol w:w="2754"/>
            </w:tblGrid>
            <w:tr w14:paraId="0FA3AA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6" w:type="pct"/>
                  <w:noWrap w:val="0"/>
                  <w:vAlign w:val="center"/>
                </w:tcPr>
                <w:p w14:paraId="235B4D2A">
                  <w:pPr>
                    <w:keepNext w:val="0"/>
                    <w:keepLines w:val="0"/>
                    <w:suppressLineNumbers w:val="0"/>
                    <w:adjustRightInd w:val="0"/>
                    <w:snapToGrid w:val="0"/>
                    <w:spacing w:before="0" w:beforeAutospacing="0" w:after="0" w:afterAutospacing="0"/>
                    <w:ind w:left="0" w:right="0" w:firstLine="0" w:firstLineChars="0"/>
                    <w:jc w:val="center"/>
                    <w:rPr>
                      <w:rFonts w:hint="default"/>
                      <w:b/>
                      <w:color w:val="000000" w:themeColor="text1"/>
                      <w:sz w:val="21"/>
                      <w:szCs w:val="21"/>
                      <w:highlight w:val="none"/>
                      <w14:textFill>
                        <w14:solidFill>
                          <w14:schemeClr w14:val="tx1"/>
                        </w14:solidFill>
                      </w14:textFill>
                    </w:rPr>
                  </w:pPr>
                  <w:r>
                    <w:rPr>
                      <w:rFonts w:hint="default"/>
                      <w:b/>
                      <w:color w:val="000000" w:themeColor="text1"/>
                      <w:sz w:val="21"/>
                      <w:szCs w:val="21"/>
                      <w:highlight w:val="none"/>
                      <w14:textFill>
                        <w14:solidFill>
                          <w14:schemeClr w14:val="tx1"/>
                        </w14:solidFill>
                      </w14:textFill>
                    </w:rPr>
                    <w:t>类别</w:t>
                  </w:r>
                </w:p>
              </w:tc>
              <w:tc>
                <w:tcPr>
                  <w:tcW w:w="1029" w:type="pct"/>
                  <w:noWrap w:val="0"/>
                  <w:vAlign w:val="center"/>
                </w:tcPr>
                <w:p w14:paraId="48A26788">
                  <w:pPr>
                    <w:keepNext w:val="0"/>
                    <w:keepLines w:val="0"/>
                    <w:suppressLineNumbers w:val="0"/>
                    <w:adjustRightInd w:val="0"/>
                    <w:snapToGrid w:val="0"/>
                    <w:spacing w:before="0" w:beforeAutospacing="0" w:after="0" w:afterAutospacing="0"/>
                    <w:ind w:left="0" w:right="0" w:firstLine="0" w:firstLineChars="0"/>
                    <w:jc w:val="center"/>
                    <w:rPr>
                      <w:rFonts w:hint="default"/>
                      <w:b/>
                      <w:color w:val="000000" w:themeColor="text1"/>
                      <w:sz w:val="21"/>
                      <w:szCs w:val="21"/>
                      <w:highlight w:val="none"/>
                      <w14:textFill>
                        <w14:solidFill>
                          <w14:schemeClr w14:val="tx1"/>
                        </w14:solidFill>
                      </w14:textFill>
                    </w:rPr>
                  </w:pPr>
                  <w:r>
                    <w:rPr>
                      <w:rFonts w:hint="default"/>
                      <w:b/>
                      <w:color w:val="000000" w:themeColor="text1"/>
                      <w:sz w:val="21"/>
                      <w:szCs w:val="21"/>
                      <w:highlight w:val="none"/>
                      <w14:textFill>
                        <w14:solidFill>
                          <w14:schemeClr w14:val="tx1"/>
                        </w14:solidFill>
                      </w14:textFill>
                    </w:rPr>
                    <w:t>昼间</w:t>
                  </w:r>
                </w:p>
              </w:tc>
              <w:tc>
                <w:tcPr>
                  <w:tcW w:w="1704" w:type="pct"/>
                  <w:noWrap w:val="0"/>
                  <w:vAlign w:val="center"/>
                </w:tcPr>
                <w:p w14:paraId="62C167B6">
                  <w:pPr>
                    <w:keepNext w:val="0"/>
                    <w:keepLines w:val="0"/>
                    <w:suppressLineNumbers w:val="0"/>
                    <w:adjustRightInd w:val="0"/>
                    <w:snapToGrid w:val="0"/>
                    <w:spacing w:before="0" w:beforeAutospacing="0" w:after="0" w:afterAutospacing="0"/>
                    <w:ind w:left="0" w:right="0" w:firstLine="0" w:firstLineChars="0"/>
                    <w:jc w:val="center"/>
                    <w:rPr>
                      <w:rFonts w:hint="default"/>
                      <w:b/>
                      <w:color w:val="000000" w:themeColor="text1"/>
                      <w:sz w:val="21"/>
                      <w:szCs w:val="21"/>
                      <w:highlight w:val="none"/>
                      <w14:textFill>
                        <w14:solidFill>
                          <w14:schemeClr w14:val="tx1"/>
                        </w14:solidFill>
                      </w14:textFill>
                    </w:rPr>
                  </w:pPr>
                  <w:r>
                    <w:rPr>
                      <w:rFonts w:hint="default"/>
                      <w:b/>
                      <w:color w:val="000000" w:themeColor="text1"/>
                      <w:sz w:val="21"/>
                      <w:szCs w:val="21"/>
                      <w:highlight w:val="none"/>
                      <w14:textFill>
                        <w14:solidFill>
                          <w14:schemeClr w14:val="tx1"/>
                        </w14:solidFill>
                      </w14:textFill>
                    </w:rPr>
                    <w:t>夜间</w:t>
                  </w:r>
                </w:p>
              </w:tc>
            </w:tr>
            <w:tr w14:paraId="2A967A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6" w:type="pct"/>
                  <w:noWrap w:val="0"/>
                  <w:vAlign w:val="center"/>
                </w:tcPr>
                <w:p w14:paraId="599B2128">
                  <w:pPr>
                    <w:keepNext w:val="0"/>
                    <w:keepLines w:val="0"/>
                    <w:suppressLineNumbers w:val="0"/>
                    <w:adjustRightInd w:val="0"/>
                    <w:snapToGrid w:val="0"/>
                    <w:spacing w:before="0" w:beforeAutospacing="0" w:after="0" w:afterAutospacing="0"/>
                    <w:ind w:left="0" w:right="0" w:firstLine="0" w:firstLineChars="0"/>
                    <w:jc w:val="center"/>
                    <w:rPr>
                      <w:rFonts w:hint="default" w:eastAsia="宋体"/>
                      <w:color w:val="000000" w:themeColor="text1"/>
                      <w:sz w:val="21"/>
                      <w:szCs w:val="21"/>
                      <w:highlight w:val="none"/>
                      <w:lang w:eastAsia="zh-CN"/>
                      <w14:textFill>
                        <w14:solidFill>
                          <w14:schemeClr w14:val="tx1"/>
                        </w14:solidFill>
                      </w14:textFill>
                    </w:rPr>
                  </w:pPr>
                  <w:r>
                    <w:rPr>
                      <w:rFonts w:hint="default" w:ascii="宋体" w:hAnsi="宋体" w:eastAsia="宋体" w:cs="宋体"/>
                      <w:b w:val="0"/>
                      <w:bCs w:val="0"/>
                      <w:color w:val="000000" w:themeColor="text1"/>
                      <w:sz w:val="20"/>
                      <w:szCs w:val="20"/>
                      <w:highlight w:val="none"/>
                      <w14:textFill>
                        <w14:solidFill>
                          <w14:schemeClr w14:val="tx1"/>
                        </w14:solidFill>
                      </w14:textFill>
                    </w:rPr>
                    <w:t>《声环境质量标准》（</w:t>
                  </w:r>
                  <w:r>
                    <w:rPr>
                      <w:rFonts w:hint="default" w:ascii="TimesNewRomanPSMT" w:hAnsi="TimesNewRomanPSMT" w:eastAsia="TimesNewRomanPSMT" w:cs="TimesNewRomanPSMT"/>
                      <w:b w:val="0"/>
                      <w:bCs w:val="0"/>
                      <w:color w:val="000000" w:themeColor="text1"/>
                      <w:sz w:val="20"/>
                      <w:szCs w:val="20"/>
                      <w:highlight w:val="none"/>
                      <w14:textFill>
                        <w14:solidFill>
                          <w14:schemeClr w14:val="tx1"/>
                        </w14:solidFill>
                      </w14:textFill>
                    </w:rPr>
                    <w:t>GB3096-2008</w:t>
                  </w:r>
                  <w:r>
                    <w:rPr>
                      <w:rFonts w:hint="default" w:ascii="宋体" w:hAnsi="宋体" w:eastAsia="宋体" w:cs="宋体"/>
                      <w:b w:val="0"/>
                      <w:bCs w:val="0"/>
                      <w:color w:val="000000" w:themeColor="text1"/>
                      <w:sz w:val="20"/>
                      <w:szCs w:val="20"/>
                      <w:highlight w:val="none"/>
                      <w14:textFill>
                        <w14:solidFill>
                          <w14:schemeClr w14:val="tx1"/>
                        </w14:solidFill>
                      </w14:textFill>
                    </w:rPr>
                    <w:t>）</w:t>
                  </w:r>
                  <w:r>
                    <w:rPr>
                      <w:rFonts w:hint="default" w:ascii="TimesNewRomanPSMT" w:hAnsi="TimesNewRomanPSMT" w:eastAsia="TimesNewRomanPSMT" w:cs="TimesNewRomanPSMT"/>
                      <w:b w:val="0"/>
                      <w:bCs w:val="0"/>
                      <w:color w:val="000000" w:themeColor="text1"/>
                      <w:sz w:val="20"/>
                      <w:szCs w:val="20"/>
                      <w:highlight w:val="none"/>
                      <w14:textFill>
                        <w14:solidFill>
                          <w14:schemeClr w14:val="tx1"/>
                        </w14:solidFill>
                      </w14:textFill>
                    </w:rPr>
                    <w:t>1</w:t>
                  </w:r>
                  <w:r>
                    <w:rPr>
                      <w:rFonts w:hint="default" w:ascii="宋体" w:hAnsi="宋体" w:eastAsia="宋体" w:cs="宋体"/>
                      <w:b w:val="0"/>
                      <w:bCs w:val="0"/>
                      <w:color w:val="000000" w:themeColor="text1"/>
                      <w:sz w:val="20"/>
                      <w:szCs w:val="20"/>
                      <w:highlight w:val="none"/>
                      <w14:textFill>
                        <w14:solidFill>
                          <w14:schemeClr w14:val="tx1"/>
                        </w14:solidFill>
                      </w14:textFill>
                    </w:rPr>
                    <w:t>类</w:t>
                  </w:r>
                </w:p>
              </w:tc>
              <w:tc>
                <w:tcPr>
                  <w:tcW w:w="1029" w:type="pct"/>
                  <w:noWrap w:val="0"/>
                  <w:vAlign w:val="center"/>
                </w:tcPr>
                <w:p w14:paraId="2BE98FC2">
                  <w:pPr>
                    <w:keepNext w:val="0"/>
                    <w:keepLines w:val="0"/>
                    <w:suppressLineNumbers w:val="0"/>
                    <w:adjustRightInd w:val="0"/>
                    <w:snapToGrid w:val="0"/>
                    <w:spacing w:before="0" w:beforeAutospacing="0" w:after="0" w:afterAutospacing="0"/>
                    <w:ind w:left="0" w:right="0"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55</w:t>
                  </w:r>
                </w:p>
              </w:tc>
              <w:tc>
                <w:tcPr>
                  <w:tcW w:w="1704" w:type="pct"/>
                  <w:noWrap w:val="0"/>
                  <w:vAlign w:val="center"/>
                </w:tcPr>
                <w:p w14:paraId="2D72524A">
                  <w:pPr>
                    <w:keepNext w:val="0"/>
                    <w:keepLines w:val="0"/>
                    <w:suppressLineNumbers w:val="0"/>
                    <w:adjustRightInd w:val="0"/>
                    <w:snapToGrid w:val="0"/>
                    <w:spacing w:before="0" w:beforeAutospacing="0" w:after="0" w:afterAutospacing="0"/>
                    <w:ind w:left="0" w:right="0"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45</w:t>
                  </w:r>
                </w:p>
              </w:tc>
            </w:tr>
          </w:tbl>
          <w:p w14:paraId="65DC3C68">
            <w:pPr>
              <w:pStyle w:val="2"/>
              <w:bidi w:val="0"/>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污染物排放标准</w:t>
            </w:r>
          </w:p>
          <w:p w14:paraId="6487459A">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⑴</w:t>
            </w:r>
            <w:r>
              <w:rPr>
                <w:rFonts w:hint="eastAsia"/>
                <w:color w:val="000000" w:themeColor="text1"/>
                <w:highlight w:val="none"/>
                <w14:textFill>
                  <w14:solidFill>
                    <w14:schemeClr w14:val="tx1"/>
                  </w14:solidFill>
                </w14:textFill>
              </w:rPr>
              <w:t>噪声排放</w:t>
            </w:r>
            <w:r>
              <w:rPr>
                <w:rFonts w:hint="eastAsia"/>
                <w:color w:val="000000" w:themeColor="text1"/>
                <w:highlight w:val="none"/>
                <w:lang w:val="en-US" w:eastAsia="zh-CN"/>
                <w14:textFill>
                  <w14:solidFill>
                    <w14:schemeClr w14:val="tx1"/>
                  </w14:solidFill>
                </w14:textFill>
              </w:rPr>
              <w:t>标准</w:t>
            </w:r>
          </w:p>
          <w:p w14:paraId="7E9B7541">
            <w:pPr>
              <w:keepNext w:val="0"/>
              <w:keepLines w:val="0"/>
              <w:suppressLineNumbers w:val="0"/>
              <w:spacing w:before="0" w:beforeAutospacing="0" w:after="0" w:afterAutospacing="0"/>
              <w:ind w:left="0" w:right="0" w:firstLine="454" w:firstLineChars="200"/>
              <w:rPr>
                <w:rFonts w:hint="default"/>
                <w:color w:val="000000" w:themeColor="text1"/>
                <w:highlight w:val="none"/>
                <w14:textFill>
                  <w14:solidFill>
                    <w14:schemeClr w14:val="tx1"/>
                  </w14:solidFill>
                </w14:textFill>
              </w:rPr>
            </w:pPr>
            <w:r>
              <w:rPr>
                <w:rFonts w:hint="eastAsia" w:ascii="Times New Roman" w:hAnsi="Times New Roman" w:cs="Times New Roman"/>
                <w:color w:val="000000" w:themeColor="text1"/>
                <w:kern w:val="0"/>
                <w:sz w:val="24"/>
                <w:highlight w:val="none"/>
                <w14:textFill>
                  <w14:solidFill>
                    <w14:schemeClr w14:val="tx1"/>
                  </w14:solidFill>
                </w14:textFill>
              </w:rPr>
              <w:t>项目区噪声排放执行《</w:t>
            </w:r>
            <w:r>
              <w:rPr>
                <w:rFonts w:hint="eastAsia" w:cs="Times New Roman"/>
                <w:color w:val="000000" w:themeColor="text1"/>
                <w:kern w:val="0"/>
                <w:sz w:val="24"/>
                <w:highlight w:val="none"/>
                <w:lang w:eastAsia="zh-CN"/>
                <w14:textFill>
                  <w14:solidFill>
                    <w14:schemeClr w14:val="tx1"/>
                  </w14:solidFill>
                </w14:textFill>
              </w:rPr>
              <w:t>建筑施工噪声排放标准</w:t>
            </w:r>
            <w:r>
              <w:rPr>
                <w:rFonts w:hint="eastAsia" w:ascii="Times New Roman" w:hAnsi="Times New Roman" w:cs="Times New Roman"/>
                <w:color w:val="000000" w:themeColor="text1"/>
                <w:kern w:val="0"/>
                <w:sz w:val="24"/>
                <w:highlight w:val="none"/>
                <w14:textFill>
                  <w14:solidFill>
                    <w14:schemeClr w14:val="tx1"/>
                  </w14:solidFill>
                </w14:textFill>
              </w:rPr>
              <w:t>》（GB12523-20</w:t>
            </w:r>
            <w:r>
              <w:rPr>
                <w:rFonts w:hint="eastAsia" w:cs="Times New Roman"/>
                <w:color w:val="000000" w:themeColor="text1"/>
                <w:kern w:val="0"/>
                <w:sz w:val="24"/>
                <w:highlight w:val="none"/>
                <w:lang w:val="en-US" w:eastAsia="zh-CN"/>
                <w14:textFill>
                  <w14:solidFill>
                    <w14:schemeClr w14:val="tx1"/>
                  </w14:solidFill>
                </w14:textFill>
              </w:rPr>
              <w:t>25</w:t>
            </w:r>
            <w:r>
              <w:rPr>
                <w:rFonts w:hint="eastAsia" w:ascii="Times New Roman" w:hAnsi="Times New Roman" w:cs="Times New Roman"/>
                <w:color w:val="000000" w:themeColor="text1"/>
                <w:kern w:val="0"/>
                <w:sz w:val="24"/>
                <w:highlight w:val="none"/>
                <w14:textFill>
                  <w14:solidFill>
                    <w14:schemeClr w14:val="tx1"/>
                  </w14:solidFill>
                </w14:textFill>
              </w:rPr>
              <w:t>），具体见表3-</w:t>
            </w:r>
            <w:r>
              <w:rPr>
                <w:rFonts w:hint="eastAsia" w:cs="Times New Roman"/>
                <w:color w:val="000000" w:themeColor="text1"/>
                <w:kern w:val="0"/>
                <w:sz w:val="24"/>
                <w:highlight w:val="none"/>
                <w:lang w:val="en-US" w:eastAsia="zh-CN"/>
                <w14:textFill>
                  <w14:solidFill>
                    <w14:schemeClr w14:val="tx1"/>
                  </w14:solidFill>
                </w14:textFill>
              </w:rPr>
              <w:t>6</w:t>
            </w:r>
            <w:r>
              <w:rPr>
                <w:rFonts w:hint="eastAsia" w:ascii="Times New Roman" w:hAnsi="Times New Roman" w:cs="Times New Roman"/>
                <w:color w:val="000000" w:themeColor="text1"/>
                <w:kern w:val="0"/>
                <w:sz w:val="24"/>
                <w:highlight w:val="none"/>
                <w14:textFill>
                  <w14:solidFill>
                    <w14:schemeClr w14:val="tx1"/>
                  </w14:solidFill>
                </w14:textFill>
              </w:rPr>
              <w:t>。</w:t>
            </w:r>
          </w:p>
          <w:p w14:paraId="51091471">
            <w:pPr>
              <w:pStyle w:val="3"/>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表3-</w:t>
            </w:r>
            <w:r>
              <w:rPr>
                <w:rFonts w:hint="eastAsia"/>
                <w:color w:val="000000" w:themeColor="text1"/>
                <w:highlight w:val="none"/>
                <w:lang w:val="en-US" w:eastAsia="zh-CN"/>
                <w14:textFill>
                  <w14:solidFill>
                    <w14:schemeClr w14:val="tx1"/>
                  </w14:solidFill>
                </w14:textFill>
              </w:rPr>
              <w:t>6</w:t>
            </w:r>
            <w:r>
              <w:rPr>
                <w:rFonts w:hint="default"/>
                <w:color w:val="000000" w:themeColor="text1"/>
                <w:highlight w:val="none"/>
                <w14:textFill>
                  <w14:solidFill>
                    <w14:schemeClr w14:val="tx1"/>
                  </w14:solidFill>
                </w14:textFill>
              </w:rPr>
              <w:t xml:space="preserve">  建筑施工噪声排放标准  单位</w:t>
            </w:r>
            <w:r>
              <w:rPr>
                <w:rFonts w:hint="eastAsia"/>
                <w:color w:val="000000" w:themeColor="text1"/>
                <w:highlight w:val="none"/>
                <w14:textFill>
                  <w14:solidFill>
                    <w14:schemeClr w14:val="tx1"/>
                  </w14:solidFill>
                </w14:textFill>
              </w:rPr>
              <w:t>：</w:t>
            </w:r>
            <w:r>
              <w:rPr>
                <w:rFonts w:hint="default"/>
                <w:color w:val="000000" w:themeColor="text1"/>
                <w:highlight w:val="none"/>
                <w14:textFill>
                  <w14:solidFill>
                    <w14:schemeClr w14:val="tx1"/>
                  </w14:solidFill>
                </w14:textFill>
              </w:rPr>
              <w:t>dB(A)</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58"/>
              <w:gridCol w:w="2973"/>
              <w:gridCol w:w="3248"/>
            </w:tblGrid>
            <w:tr w14:paraId="39D159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restart"/>
                  <w:tcBorders>
                    <w:top w:val="single" w:color="auto" w:sz="12" w:space="0"/>
                    <w:left w:val="single" w:color="auto" w:sz="12" w:space="0"/>
                    <w:bottom w:val="single" w:color="auto" w:sz="12" w:space="0"/>
                    <w:right w:val="single" w:color="auto" w:sz="4" w:space="0"/>
                  </w:tcBorders>
                  <w:noWrap w:val="0"/>
                  <w:vAlign w:val="center"/>
                </w:tcPr>
                <w:p w14:paraId="23DEB136">
                  <w:pPr>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eastAsia" w:ascii="Times New Roman" w:hAnsi="Times New Roman" w:cs="Times New Roman"/>
                      <w:b/>
                      <w:color w:val="000000" w:themeColor="text1"/>
                      <w:sz w:val="21"/>
                      <w:szCs w:val="21"/>
                      <w:highlight w:val="none"/>
                      <w14:textFill>
                        <w14:solidFill>
                          <w14:schemeClr w14:val="tx1"/>
                        </w14:solidFill>
                      </w14:textFill>
                    </w:rPr>
                    <w:t>施工阶段</w:t>
                  </w:r>
                </w:p>
              </w:tc>
              <w:tc>
                <w:tcPr>
                  <w:tcW w:w="3850" w:type="pct"/>
                  <w:gridSpan w:val="2"/>
                  <w:tcBorders>
                    <w:top w:val="single" w:color="auto" w:sz="12" w:space="0"/>
                    <w:left w:val="single" w:color="auto" w:sz="4" w:space="0"/>
                    <w:bottom w:val="single" w:color="auto" w:sz="4" w:space="0"/>
                    <w:right w:val="single" w:color="auto" w:sz="12" w:space="0"/>
                  </w:tcBorders>
                  <w:noWrap w:val="0"/>
                  <w:vAlign w:val="center"/>
                </w:tcPr>
                <w:p w14:paraId="6CAB05A3">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eastAsia" w:ascii="Times New Roman" w:hAnsi="Times New Roman" w:cs="Times New Roman"/>
                      <w:b/>
                      <w:color w:val="000000" w:themeColor="text1"/>
                      <w:sz w:val="21"/>
                      <w:szCs w:val="21"/>
                      <w:highlight w:val="none"/>
                      <w14:textFill>
                        <w14:solidFill>
                          <w14:schemeClr w14:val="tx1"/>
                        </w14:solidFill>
                      </w14:textFill>
                    </w:rPr>
                    <w:t>噪声限值〔</w:t>
                  </w:r>
                  <w:r>
                    <w:rPr>
                      <w:rFonts w:hint="default" w:ascii="Times New Roman" w:hAnsi="Times New Roman" w:cs="Times New Roman"/>
                      <w:b/>
                      <w:color w:val="000000" w:themeColor="text1"/>
                      <w:sz w:val="21"/>
                      <w:szCs w:val="21"/>
                      <w:highlight w:val="none"/>
                      <w14:textFill>
                        <w14:solidFill>
                          <w14:schemeClr w14:val="tx1"/>
                        </w14:solidFill>
                      </w14:textFill>
                    </w:rPr>
                    <w:t>dB(A)</w:t>
                  </w:r>
                  <w:r>
                    <w:rPr>
                      <w:rFonts w:hint="eastAsia" w:ascii="Times New Roman" w:hAnsi="Times New Roman" w:cs="Times New Roman"/>
                      <w:b/>
                      <w:color w:val="000000" w:themeColor="text1"/>
                      <w:sz w:val="21"/>
                      <w:szCs w:val="21"/>
                      <w:highlight w:val="none"/>
                      <w14:textFill>
                        <w14:solidFill>
                          <w14:schemeClr w14:val="tx1"/>
                        </w14:solidFill>
                      </w14:textFill>
                    </w:rPr>
                    <w:t>〕</w:t>
                  </w:r>
                </w:p>
              </w:tc>
            </w:tr>
            <w:tr w14:paraId="4CB77B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continue"/>
                  <w:tcBorders>
                    <w:top w:val="single" w:color="auto" w:sz="12" w:space="0"/>
                    <w:left w:val="single" w:color="auto" w:sz="12" w:space="0"/>
                    <w:bottom w:val="single" w:color="auto" w:sz="12" w:space="0"/>
                    <w:right w:val="single" w:color="auto" w:sz="4" w:space="0"/>
                  </w:tcBorders>
                  <w:noWrap w:val="0"/>
                  <w:vAlign w:val="center"/>
                </w:tcPr>
                <w:p w14:paraId="04621314">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840" w:type="pct"/>
                  <w:tcBorders>
                    <w:top w:val="single" w:color="auto" w:sz="4" w:space="0"/>
                    <w:left w:val="single" w:color="auto" w:sz="4" w:space="0"/>
                    <w:bottom w:val="single" w:color="auto" w:sz="12" w:space="0"/>
                    <w:right w:val="single" w:color="auto" w:sz="4" w:space="0"/>
                  </w:tcBorders>
                  <w:noWrap w:val="0"/>
                  <w:vAlign w:val="center"/>
                </w:tcPr>
                <w:p w14:paraId="6C1DA851">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昼间</w:t>
                  </w:r>
                  <w:r>
                    <w:rPr>
                      <w:rFonts w:hint="default" w:ascii="Times New Roman" w:hAnsi="Times New Roman" w:cs="Times New Roman"/>
                      <w:color w:val="000000" w:themeColor="text1"/>
                      <w:sz w:val="21"/>
                      <w:szCs w:val="21"/>
                      <w:highlight w:val="none"/>
                      <w14:textFill>
                        <w14:solidFill>
                          <w14:schemeClr w14:val="tx1"/>
                        </w14:solidFill>
                      </w14:textFill>
                    </w:rPr>
                    <w:t>7</w:t>
                  </w:r>
                  <w:r>
                    <w:rPr>
                      <w:rFonts w:hint="eastAsia" w:ascii="Times New Roman" w:hAnsi="Times New Roman" w:cs="Times New Roman"/>
                      <w:color w:val="000000" w:themeColor="text1"/>
                      <w:sz w:val="21"/>
                      <w:szCs w:val="21"/>
                      <w:highlight w:val="none"/>
                      <w14:textFill>
                        <w14:solidFill>
                          <w14:schemeClr w14:val="tx1"/>
                        </w14:solidFill>
                      </w14:textFill>
                    </w:rPr>
                    <w:t>0</w:t>
                  </w:r>
                </w:p>
              </w:tc>
              <w:tc>
                <w:tcPr>
                  <w:tcW w:w="2011" w:type="pct"/>
                  <w:tcBorders>
                    <w:top w:val="single" w:color="auto" w:sz="4" w:space="0"/>
                    <w:left w:val="single" w:color="auto" w:sz="4" w:space="0"/>
                    <w:bottom w:val="single" w:color="auto" w:sz="12" w:space="0"/>
                    <w:right w:val="single" w:color="auto" w:sz="12" w:space="0"/>
                  </w:tcBorders>
                  <w:noWrap w:val="0"/>
                  <w:vAlign w:val="center"/>
                </w:tcPr>
                <w:p w14:paraId="12B144C7">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夜间</w:t>
                  </w:r>
                  <w:r>
                    <w:rPr>
                      <w:rFonts w:hint="default" w:ascii="Times New Roman" w:hAnsi="Times New Roman" w:cs="Times New Roman"/>
                      <w:color w:val="000000" w:themeColor="text1"/>
                      <w:sz w:val="21"/>
                      <w:szCs w:val="21"/>
                      <w:highlight w:val="none"/>
                      <w14:textFill>
                        <w14:solidFill>
                          <w14:schemeClr w14:val="tx1"/>
                        </w14:solidFill>
                      </w14:textFill>
                    </w:rPr>
                    <w:t>55</w:t>
                  </w:r>
                </w:p>
              </w:tc>
            </w:tr>
          </w:tbl>
          <w:p w14:paraId="6D07D1A3">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⑵大气</w:t>
            </w:r>
            <w:r>
              <w:rPr>
                <w:rFonts w:hint="eastAsia"/>
                <w:color w:val="000000" w:themeColor="text1"/>
                <w:highlight w:val="none"/>
                <w14:textFill>
                  <w14:solidFill>
                    <w14:schemeClr w14:val="tx1"/>
                  </w14:solidFill>
                </w14:textFill>
              </w:rPr>
              <w:t>排放</w:t>
            </w:r>
            <w:r>
              <w:rPr>
                <w:rFonts w:hint="eastAsia"/>
                <w:color w:val="000000" w:themeColor="text1"/>
                <w:highlight w:val="none"/>
                <w:lang w:val="en-US" w:eastAsia="zh-CN"/>
                <w14:textFill>
                  <w14:solidFill>
                    <w14:schemeClr w14:val="tx1"/>
                  </w14:solidFill>
                </w14:textFill>
              </w:rPr>
              <w:t>标准</w:t>
            </w:r>
          </w:p>
          <w:p w14:paraId="3E9FDCD6">
            <w:pPr>
              <w:keepNext w:val="0"/>
              <w:keepLines w:val="0"/>
              <w:suppressLineNumbers w:val="0"/>
              <w:spacing w:before="0" w:beforeLines="0" w:beforeAutospacing="0" w:after="0" w:afterAutospacing="0"/>
              <w:ind w:left="0" w:right="0" w:firstLine="454" w:firstLineChars="200"/>
              <w:rPr>
                <w:rFonts w:hint="default" w:ascii="Times New Roman" w:hAnsi="Times New Roman" w:cs="Times New Roman"/>
                <w:bCs/>
                <w:color w:val="000000" w:themeColor="text1"/>
                <w:sz w:val="24"/>
                <w:highlight w:val="none"/>
                <w:lang w:bidi="ar"/>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项目施工期颗粒物</w:t>
            </w:r>
            <w:r>
              <w:rPr>
                <w:rFonts w:hint="eastAsia" w:ascii="Times New Roman" w:hAnsi="Times New Roman" w:cs="Times New Roman"/>
                <w:color w:val="000000" w:themeColor="text1"/>
                <w:kern w:val="0"/>
                <w:sz w:val="24"/>
                <w:highlight w:val="none"/>
                <w14:textFill>
                  <w14:solidFill>
                    <w14:schemeClr w14:val="tx1"/>
                  </w14:solidFill>
                </w14:textFill>
              </w:rPr>
              <w:t>执行《大气污染物综合排放标准》（GB16297-1996）表2二级标准限值，具体见表3-</w:t>
            </w:r>
            <w:r>
              <w:rPr>
                <w:rFonts w:hint="eastAsia" w:cs="Times New Roman"/>
                <w:color w:val="000000" w:themeColor="text1"/>
                <w:kern w:val="0"/>
                <w:sz w:val="24"/>
                <w:highlight w:val="none"/>
                <w:lang w:val="en-US" w:eastAsia="zh-CN"/>
                <w14:textFill>
                  <w14:solidFill>
                    <w14:schemeClr w14:val="tx1"/>
                  </w14:solidFill>
                </w14:textFill>
              </w:rPr>
              <w:t>7</w:t>
            </w:r>
            <w:r>
              <w:rPr>
                <w:rFonts w:hint="eastAsia" w:ascii="Times New Roman" w:hAnsi="Times New Roman" w:cs="Times New Roman"/>
                <w:color w:val="000000" w:themeColor="text1"/>
                <w:kern w:val="0"/>
                <w:sz w:val="24"/>
                <w:highlight w:val="none"/>
                <w14:textFill>
                  <w14:solidFill>
                    <w14:schemeClr w14:val="tx1"/>
                  </w14:solidFill>
                </w14:textFill>
              </w:rPr>
              <w:t>。</w:t>
            </w:r>
          </w:p>
          <w:p w14:paraId="1415A360">
            <w:pPr>
              <w:pStyle w:val="3"/>
              <w:bidi w:val="0"/>
              <w:rPr>
                <w:rFonts w:hint="eastAsia"/>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表3-</w:t>
            </w:r>
            <w:r>
              <w:rPr>
                <w:rFonts w:hint="eastAsia"/>
                <w:color w:val="000000" w:themeColor="text1"/>
                <w:highlight w:val="none"/>
                <w:lang w:val="en-US" w:eastAsia="zh-CN"/>
                <w14:textFill>
                  <w14:solidFill>
                    <w14:schemeClr w14:val="tx1"/>
                  </w14:solidFill>
                </w14:textFill>
              </w:rPr>
              <w:t>7</w:t>
            </w:r>
            <w:r>
              <w:rPr>
                <w:rFonts w:hint="default"/>
                <w:color w:val="000000" w:themeColor="text1"/>
                <w:highlight w:val="none"/>
                <w14:textFill>
                  <w14:solidFill>
                    <w14:schemeClr w14:val="tx1"/>
                  </w14:solidFill>
                </w14:textFill>
              </w:rPr>
              <w:t xml:space="preserve">  大气污染物综合排放标准  单位</w:t>
            </w:r>
            <w:r>
              <w:rPr>
                <w:rFonts w:hint="eastAsia"/>
                <w:color w:val="000000" w:themeColor="text1"/>
                <w:highlight w:val="none"/>
                <w14:textFill>
                  <w14:solidFill>
                    <w14:schemeClr w14:val="tx1"/>
                  </w14:solidFill>
                </w14:textFill>
              </w:rPr>
              <w:t>：</w:t>
            </w:r>
            <w:r>
              <w:rPr>
                <w:rFonts w:hint="default"/>
                <w:color w:val="000000" w:themeColor="text1"/>
                <w:highlight w:val="none"/>
                <w14:textFill>
                  <w14:solidFill>
                    <w14:schemeClr w14:val="tx1"/>
                  </w14:solidFill>
                </w14:textFill>
              </w:rPr>
              <w:t>dB(A)</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
            <w:tblGrid>
              <w:gridCol w:w="1810"/>
              <w:gridCol w:w="3240"/>
              <w:gridCol w:w="3029"/>
            </w:tblGrid>
            <w:tr w14:paraId="30B060C5">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1120" w:type="pct"/>
                  <w:vMerge w:val="restart"/>
                  <w:noWrap w:val="0"/>
                  <w:vAlign w:val="center"/>
                </w:tcPr>
                <w:p w14:paraId="36F4AE2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宋体" w:cs="Times New Roman"/>
                      <w:b/>
                      <w:color w:val="000000" w:themeColor="text1"/>
                      <w:sz w:val="21"/>
                      <w:szCs w:val="21"/>
                      <w:highlight w:val="none"/>
                      <w14:textFill>
                        <w14:solidFill>
                          <w14:schemeClr w14:val="tx1"/>
                        </w14:solidFill>
                      </w14:textFill>
                    </w:rPr>
                  </w:pPr>
                  <w:r>
                    <w:rPr>
                      <w:rFonts w:hint="eastAsia" w:ascii="Times New Roman" w:hAnsi="宋体" w:cs="Times New Roman"/>
                      <w:b/>
                      <w:color w:val="000000" w:themeColor="text1"/>
                      <w:sz w:val="21"/>
                      <w:szCs w:val="21"/>
                      <w:highlight w:val="none"/>
                      <w14:textFill>
                        <w14:solidFill>
                          <w14:schemeClr w14:val="tx1"/>
                        </w14:solidFill>
                      </w14:textFill>
                    </w:rPr>
                    <w:t>污染物</w:t>
                  </w:r>
                </w:p>
              </w:tc>
              <w:tc>
                <w:tcPr>
                  <w:tcW w:w="3879" w:type="pct"/>
                  <w:gridSpan w:val="2"/>
                  <w:noWrap w:val="0"/>
                  <w:vAlign w:val="center"/>
                </w:tcPr>
                <w:p w14:paraId="1726492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宋体" w:cs="Times New Roman"/>
                      <w:b/>
                      <w:color w:val="000000" w:themeColor="text1"/>
                      <w:sz w:val="21"/>
                      <w:szCs w:val="21"/>
                      <w:highlight w:val="none"/>
                      <w14:textFill>
                        <w14:solidFill>
                          <w14:schemeClr w14:val="tx1"/>
                        </w14:solidFill>
                      </w14:textFill>
                    </w:rPr>
                  </w:pPr>
                  <w:r>
                    <w:rPr>
                      <w:rFonts w:hint="eastAsia" w:ascii="Times New Roman" w:hAnsi="宋体" w:cs="Times New Roman"/>
                      <w:b/>
                      <w:color w:val="000000" w:themeColor="text1"/>
                      <w:sz w:val="21"/>
                      <w:szCs w:val="21"/>
                      <w:highlight w:val="none"/>
                      <w14:textFill>
                        <w14:solidFill>
                          <w14:schemeClr w14:val="tx1"/>
                        </w14:solidFill>
                      </w14:textFill>
                    </w:rPr>
                    <w:t>无组织排放监控浓度限值</w:t>
                  </w:r>
                </w:p>
              </w:tc>
            </w:tr>
            <w:tr w14:paraId="01091C0A">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1120" w:type="pct"/>
                  <w:vMerge w:val="continue"/>
                  <w:noWrap w:val="0"/>
                  <w:vAlign w:val="center"/>
                </w:tcPr>
                <w:p w14:paraId="5A23E8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left"/>
                    <w:textAlignment w:val="auto"/>
                    <w:rPr>
                      <w:rFonts w:hint="default" w:ascii="Times New Roman" w:hAnsi="宋体" w:cs="Times New Roman"/>
                      <w:b/>
                      <w:color w:val="000000" w:themeColor="text1"/>
                      <w:sz w:val="21"/>
                      <w:szCs w:val="21"/>
                      <w:highlight w:val="none"/>
                      <w14:textFill>
                        <w14:solidFill>
                          <w14:schemeClr w14:val="tx1"/>
                        </w14:solidFill>
                      </w14:textFill>
                    </w:rPr>
                  </w:pPr>
                </w:p>
              </w:tc>
              <w:tc>
                <w:tcPr>
                  <w:tcW w:w="2005" w:type="pct"/>
                  <w:noWrap w:val="0"/>
                  <w:vAlign w:val="center"/>
                </w:tcPr>
                <w:p w14:paraId="4CAD65D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宋体" w:cs="Times New Roman"/>
                      <w:b/>
                      <w:color w:val="000000" w:themeColor="text1"/>
                      <w:sz w:val="21"/>
                      <w:szCs w:val="21"/>
                      <w:highlight w:val="none"/>
                      <w14:textFill>
                        <w14:solidFill>
                          <w14:schemeClr w14:val="tx1"/>
                        </w14:solidFill>
                      </w14:textFill>
                    </w:rPr>
                  </w:pPr>
                  <w:r>
                    <w:rPr>
                      <w:rFonts w:hint="eastAsia" w:ascii="Times New Roman" w:hAnsi="宋体" w:cs="Times New Roman"/>
                      <w:b/>
                      <w:color w:val="000000" w:themeColor="text1"/>
                      <w:sz w:val="21"/>
                      <w:szCs w:val="21"/>
                      <w:highlight w:val="none"/>
                      <w14:textFill>
                        <w14:solidFill>
                          <w14:schemeClr w14:val="tx1"/>
                        </w14:solidFill>
                      </w14:textFill>
                    </w:rPr>
                    <w:t>监控点</w:t>
                  </w:r>
                </w:p>
              </w:tc>
              <w:tc>
                <w:tcPr>
                  <w:tcW w:w="1873" w:type="pct"/>
                  <w:noWrap w:val="0"/>
                  <w:vAlign w:val="center"/>
                </w:tcPr>
                <w:p w14:paraId="3E691A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宋体" w:cs="Times New Roman"/>
                      <w:b/>
                      <w:color w:val="000000" w:themeColor="text1"/>
                      <w:sz w:val="21"/>
                      <w:szCs w:val="21"/>
                      <w:highlight w:val="none"/>
                      <w14:textFill>
                        <w14:solidFill>
                          <w14:schemeClr w14:val="tx1"/>
                        </w14:solidFill>
                      </w14:textFill>
                    </w:rPr>
                  </w:pPr>
                  <w:r>
                    <w:rPr>
                      <w:rFonts w:hint="eastAsia" w:ascii="Times New Roman" w:hAnsi="宋体" w:cs="Times New Roman"/>
                      <w:b/>
                      <w:color w:val="000000" w:themeColor="text1"/>
                      <w:sz w:val="21"/>
                      <w:szCs w:val="21"/>
                      <w:highlight w:val="none"/>
                      <w14:textFill>
                        <w14:solidFill>
                          <w14:schemeClr w14:val="tx1"/>
                        </w14:solidFill>
                      </w14:textFill>
                    </w:rPr>
                    <w:t>浓度（</w:t>
                  </w:r>
                  <w:r>
                    <w:rPr>
                      <w:rFonts w:hint="default" w:ascii="Times New Roman" w:hAnsi="宋体" w:cs="Times New Roman"/>
                      <w:b/>
                      <w:color w:val="000000" w:themeColor="text1"/>
                      <w:sz w:val="21"/>
                      <w:szCs w:val="21"/>
                      <w:highlight w:val="none"/>
                      <w14:textFill>
                        <w14:solidFill>
                          <w14:schemeClr w14:val="tx1"/>
                        </w14:solidFill>
                      </w14:textFill>
                    </w:rPr>
                    <w:t>mg/m</w:t>
                  </w:r>
                  <w:r>
                    <w:rPr>
                      <w:rFonts w:hint="default" w:ascii="Times New Roman" w:hAnsi="宋体" w:cs="Times New Roman"/>
                      <w:b/>
                      <w:color w:val="000000" w:themeColor="text1"/>
                      <w:sz w:val="21"/>
                      <w:szCs w:val="21"/>
                      <w:highlight w:val="none"/>
                      <w:vertAlign w:val="superscript"/>
                      <w14:textFill>
                        <w14:solidFill>
                          <w14:schemeClr w14:val="tx1"/>
                        </w14:solidFill>
                      </w14:textFill>
                    </w:rPr>
                    <w:t>3</w:t>
                  </w:r>
                  <w:r>
                    <w:rPr>
                      <w:rFonts w:hint="eastAsia" w:ascii="Times New Roman" w:hAnsi="宋体" w:cs="Times New Roman"/>
                      <w:b/>
                      <w:color w:val="000000" w:themeColor="text1"/>
                      <w:sz w:val="21"/>
                      <w:szCs w:val="21"/>
                      <w:highlight w:val="none"/>
                      <w14:textFill>
                        <w14:solidFill>
                          <w14:schemeClr w14:val="tx1"/>
                        </w14:solidFill>
                      </w14:textFill>
                    </w:rPr>
                    <w:t>）</w:t>
                  </w:r>
                </w:p>
              </w:tc>
            </w:tr>
            <w:tr w14:paraId="0F23BDED">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1120" w:type="pct"/>
                  <w:noWrap w:val="0"/>
                  <w:vAlign w:val="center"/>
                </w:tcPr>
                <w:p w14:paraId="4D55B3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宋体" w:cs="Times New Roman"/>
                      <w:color w:val="000000" w:themeColor="text1"/>
                      <w:sz w:val="21"/>
                      <w:szCs w:val="21"/>
                      <w:highlight w:val="none"/>
                      <w14:textFill>
                        <w14:solidFill>
                          <w14:schemeClr w14:val="tx1"/>
                        </w14:solidFill>
                      </w14:textFill>
                    </w:rPr>
                  </w:pPr>
                  <w:r>
                    <w:rPr>
                      <w:rFonts w:hint="eastAsia" w:ascii="Times New Roman" w:hAnsi="宋体" w:cs="Times New Roman"/>
                      <w:color w:val="000000" w:themeColor="text1"/>
                      <w:sz w:val="21"/>
                      <w:szCs w:val="21"/>
                      <w:highlight w:val="none"/>
                      <w14:textFill>
                        <w14:solidFill>
                          <w14:schemeClr w14:val="tx1"/>
                        </w14:solidFill>
                      </w14:textFill>
                    </w:rPr>
                    <w:t>颗粒物</w:t>
                  </w:r>
                </w:p>
              </w:tc>
              <w:tc>
                <w:tcPr>
                  <w:tcW w:w="2005" w:type="pct"/>
                  <w:noWrap w:val="0"/>
                  <w:vAlign w:val="center"/>
                </w:tcPr>
                <w:p w14:paraId="774C5C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宋体" w:cs="Times New Roman"/>
                      <w:color w:val="000000" w:themeColor="text1"/>
                      <w:sz w:val="21"/>
                      <w:szCs w:val="21"/>
                      <w:highlight w:val="none"/>
                      <w14:textFill>
                        <w14:solidFill>
                          <w14:schemeClr w14:val="tx1"/>
                        </w14:solidFill>
                      </w14:textFill>
                    </w:rPr>
                  </w:pPr>
                  <w:r>
                    <w:rPr>
                      <w:rFonts w:hint="eastAsia" w:ascii="Times New Roman" w:hAnsi="宋体" w:cs="Times New Roman"/>
                      <w:color w:val="000000" w:themeColor="text1"/>
                      <w:sz w:val="21"/>
                      <w:szCs w:val="21"/>
                      <w:highlight w:val="none"/>
                      <w14:textFill>
                        <w14:solidFill>
                          <w14:schemeClr w14:val="tx1"/>
                        </w14:solidFill>
                      </w14:textFill>
                    </w:rPr>
                    <w:t>周界外浓度最高点</w:t>
                  </w:r>
                </w:p>
              </w:tc>
              <w:tc>
                <w:tcPr>
                  <w:tcW w:w="1873" w:type="pct"/>
                  <w:noWrap w:val="0"/>
                  <w:vAlign w:val="center"/>
                </w:tcPr>
                <w:p w14:paraId="695184D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宋体" w:cs="Times New Roman"/>
                      <w:color w:val="000000" w:themeColor="text1"/>
                      <w:sz w:val="21"/>
                      <w:szCs w:val="21"/>
                      <w:highlight w:val="none"/>
                      <w14:textFill>
                        <w14:solidFill>
                          <w14:schemeClr w14:val="tx1"/>
                        </w14:solidFill>
                      </w14:textFill>
                    </w:rPr>
                  </w:pPr>
                  <w:r>
                    <w:rPr>
                      <w:rFonts w:hint="default" w:ascii="Times New Roman" w:hAnsi="宋体" w:cs="Times New Roman"/>
                      <w:color w:val="000000" w:themeColor="text1"/>
                      <w:sz w:val="21"/>
                      <w:szCs w:val="21"/>
                      <w:highlight w:val="none"/>
                      <w14:textFill>
                        <w14:solidFill>
                          <w14:schemeClr w14:val="tx1"/>
                        </w14:solidFill>
                      </w14:textFill>
                    </w:rPr>
                    <w:t>1.0</w:t>
                  </w:r>
                </w:p>
              </w:tc>
            </w:tr>
          </w:tbl>
          <w:p w14:paraId="334BF003">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fldChar w:fldCharType="begin"/>
            </w:r>
            <w:r>
              <w:rPr>
                <w:rFonts w:hint="eastAsia"/>
                <w:color w:val="000000" w:themeColor="text1"/>
                <w:highlight w:val="none"/>
                <w:lang w:val="en-US" w:eastAsia="zh-CN"/>
                <w14:textFill>
                  <w14:solidFill>
                    <w14:schemeClr w14:val="tx1"/>
                  </w14:solidFill>
                </w14:textFill>
              </w:rPr>
              <w:instrText xml:space="preserve"> = 3 \* GB2 \* MERGEFORMAT </w:instrText>
            </w:r>
            <w:r>
              <w:rPr>
                <w:rFonts w:hint="eastAsia"/>
                <w:color w:val="000000" w:themeColor="text1"/>
                <w:highlight w:val="none"/>
                <w:lang w:val="en-US" w:eastAsia="zh-CN"/>
                <w14:textFill>
                  <w14:solidFill>
                    <w14:schemeClr w14:val="tx1"/>
                  </w14:solidFill>
                </w14:textFill>
              </w:rPr>
              <w:fldChar w:fldCharType="separate"/>
            </w:r>
            <w:r>
              <w:rPr>
                <w:color w:val="000000" w:themeColor="text1"/>
                <w:highlight w:val="none"/>
                <w14:textFill>
                  <w14:solidFill>
                    <w14:schemeClr w14:val="tx1"/>
                  </w14:solidFill>
                </w14:textFill>
              </w:rPr>
              <w:t>⑶</w:t>
            </w:r>
            <w:r>
              <w:rPr>
                <w:rFonts w:hint="eastAsia"/>
                <w:color w:val="000000" w:themeColor="text1"/>
                <w:highlight w:val="none"/>
                <w:lang w:val="en-US" w:eastAsia="zh-CN"/>
                <w14:textFill>
                  <w14:solidFill>
                    <w14:schemeClr w14:val="tx1"/>
                  </w14:solidFill>
                </w14:textFill>
              </w:rPr>
              <w:fldChar w:fldCharType="end"/>
            </w:r>
            <w:r>
              <w:rPr>
                <w:rFonts w:hint="eastAsia"/>
                <w:color w:val="000000" w:themeColor="text1"/>
                <w:highlight w:val="none"/>
                <w14:textFill>
                  <w14:solidFill>
                    <w14:schemeClr w14:val="tx1"/>
                  </w14:solidFill>
                </w14:textFill>
              </w:rPr>
              <w:t>固体废物</w:t>
            </w:r>
          </w:p>
          <w:p w14:paraId="0D9C50CD">
            <w:pPr>
              <w:bidi w:val="0"/>
              <w:rPr>
                <w:rFonts w:hint="default" w:eastAsia="宋体" w:cs="Times New Roman"/>
                <w:color w:val="000000" w:themeColor="text1"/>
                <w:kern w:val="0"/>
                <w:highlight w:val="none"/>
                <w:lang w:val="en-US" w:eastAsia="zh-CN"/>
                <w14:textFill>
                  <w14:solidFill>
                    <w14:schemeClr w14:val="tx1"/>
                  </w14:solidFill>
                </w14:textFill>
              </w:rPr>
            </w:pPr>
            <w:r>
              <w:rPr>
                <w:rFonts w:hint="default"/>
                <w:color w:val="000000" w:themeColor="text1"/>
                <w:highlight w:val="none"/>
                <w14:textFill>
                  <w14:solidFill>
                    <w14:schemeClr w14:val="tx1"/>
                  </w14:solidFill>
                </w14:textFill>
              </w:rPr>
              <w:t>本项目生态恢复治理期的固体废物主要来源为废弃渣石及生活垃圾。项目固体废物贮存清运过程应满足《中华人民共和国固体废物污染环境防治法》（2020年修订）中相关环境保护要求。</w:t>
            </w:r>
            <w:r>
              <w:rPr>
                <w:rFonts w:hint="eastAsia"/>
                <w:color w:val="000000" w:themeColor="text1"/>
                <w:highlight w:val="none"/>
                <w:lang w:val="en-US" w:eastAsia="zh-CN"/>
                <w14:textFill>
                  <w14:solidFill>
                    <w14:schemeClr w14:val="tx1"/>
                  </w14:solidFill>
                </w14:textFill>
              </w:rPr>
              <w:t>矿产品、渣石回填应满足</w:t>
            </w:r>
            <w:r>
              <w:rPr>
                <w:rFonts w:hint="default"/>
                <w:color w:val="000000" w:themeColor="text1"/>
                <w:highlight w:val="none"/>
                <w14:textFill>
                  <w14:solidFill>
                    <w14:schemeClr w14:val="tx1"/>
                  </w14:solidFill>
                </w14:textFill>
              </w:rPr>
              <w:t>《一般工业固体废物贮存和填埋污染控制标准》（GB 18599-2020）</w:t>
            </w:r>
            <w:r>
              <w:rPr>
                <w:rFonts w:hint="eastAsia"/>
                <w:color w:val="000000" w:themeColor="text1"/>
                <w:highlight w:val="none"/>
                <w:lang w:val="en-US" w:eastAsia="zh-CN"/>
                <w14:textFill>
                  <w14:solidFill>
                    <w14:schemeClr w14:val="tx1"/>
                  </w14:solidFill>
                </w14:textFill>
              </w:rPr>
              <w:t>中</w:t>
            </w:r>
            <w:r>
              <w:rPr>
                <w:rFonts w:hint="default"/>
                <w:color w:val="000000" w:themeColor="text1"/>
                <w:highlight w:val="none"/>
                <w14:textFill>
                  <w14:solidFill>
                    <w14:schemeClr w14:val="tx1"/>
                  </w14:solidFill>
                </w14:textFill>
              </w:rPr>
              <w:t>第I类一般工业固体废物（符合要求的矿山废石、尾矿）用于采空区回填</w:t>
            </w:r>
            <w:r>
              <w:rPr>
                <w:rFonts w:hint="eastAsia"/>
                <w:color w:val="000000" w:themeColor="text1"/>
                <w:highlight w:val="none"/>
                <w:lang w:val="en-US" w:eastAsia="zh-CN"/>
                <w14:textFill>
                  <w14:solidFill>
                    <w14:schemeClr w14:val="tx1"/>
                  </w14:solidFill>
                </w14:textFill>
              </w:rPr>
              <w:t>等相关要求。</w:t>
            </w:r>
          </w:p>
        </w:tc>
      </w:tr>
      <w:tr w14:paraId="6271CC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73" w:hRule="atLeast"/>
        </w:trPr>
        <w:tc>
          <w:tcPr>
            <w:tcW w:w="832" w:type="dxa"/>
            <w:noWrap w:val="0"/>
            <w:vAlign w:val="center"/>
          </w:tcPr>
          <w:p w14:paraId="3B5A47C7">
            <w:pPr>
              <w:keepNext w:val="0"/>
              <w:keepLines w:val="0"/>
              <w:suppressLineNumbers w:val="0"/>
              <w:bidi w:val="0"/>
              <w:spacing w:before="0" w:beforeAutospacing="0" w:after="0" w:afterAutospacing="0"/>
              <w:ind w:left="0" w:leftChars="0" w:right="0" w:firstLine="0" w:firstLineChars="0"/>
              <w:jc w:val="center"/>
              <w:rPr>
                <w:rFonts w:hint="default"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其他</w:t>
            </w:r>
          </w:p>
        </w:tc>
        <w:tc>
          <w:tcPr>
            <w:tcW w:w="8325" w:type="dxa"/>
            <w:noWrap w:val="0"/>
            <w:vAlign w:val="center"/>
          </w:tcPr>
          <w:p w14:paraId="43EA0199">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default" w:cs="Times New Roman"/>
                <w:color w:val="000000" w:themeColor="text1"/>
                <w:highlight w:val="none"/>
                <w14:textFill>
                  <w14:solidFill>
                    <w14:schemeClr w14:val="tx1"/>
                  </w14:solidFill>
                </w14:textFill>
              </w:rPr>
            </w:pPr>
            <w:r>
              <w:rPr>
                <w:rFonts w:hint="default" w:cs="Times New Roman"/>
                <w:color w:val="000000" w:themeColor="text1"/>
                <w:sz w:val="24"/>
                <w:szCs w:val="32"/>
                <w:highlight w:val="none"/>
                <w14:textFill>
                  <w14:solidFill>
                    <w14:schemeClr w14:val="tx1"/>
                  </w14:solidFill>
                </w14:textFill>
              </w:rPr>
              <w:t>无</w:t>
            </w:r>
          </w:p>
        </w:tc>
      </w:tr>
    </w:tbl>
    <w:p w14:paraId="0D722005">
      <w:pPr>
        <w:pStyle w:val="4"/>
        <w:bidi w:val="0"/>
        <w:jc w:val="left"/>
        <w:rPr>
          <w:rFonts w:ascii="Times New Roman" w:hAnsi="Times New Roman" w:eastAsia="黑体"/>
          <w:snapToGrid w:val="0"/>
          <w:color w:val="000000" w:themeColor="text1"/>
          <w:szCs w:val="30"/>
          <w:highlight w:val="none"/>
          <w14:textFill>
            <w14:solidFill>
              <w14:schemeClr w14:val="tx1"/>
            </w14:solidFill>
          </w14:textFill>
        </w:rPr>
      </w:pPr>
      <w:r>
        <w:rPr>
          <w:rFonts w:ascii="Times New Roman" w:hAnsi="Times New Roman" w:eastAsia="黑体"/>
          <w:snapToGrid w:val="0"/>
          <w:color w:val="000000" w:themeColor="text1"/>
          <w:kern w:val="2"/>
          <w:szCs w:val="36"/>
          <w:highlight w:val="none"/>
          <w14:textFill>
            <w14:solidFill>
              <w14:schemeClr w14:val="tx1"/>
            </w14:solidFill>
          </w14:textFill>
        </w:rPr>
        <w:br w:type="page"/>
      </w:r>
      <w:r>
        <w:rPr>
          <w:color w:val="000000" w:themeColor="text1"/>
          <w:highlight w:val="none"/>
          <w14:textFill>
            <w14:solidFill>
              <w14:schemeClr w14:val="tx1"/>
            </w14:solidFill>
          </w14:textFill>
        </w:rPr>
        <w:t>四、生态环境影响分析</w:t>
      </w:r>
    </w:p>
    <w:tbl>
      <w:tblPr>
        <w:tblStyle w:val="28"/>
        <w:tblW w:w="924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7"/>
        <w:gridCol w:w="8535"/>
      </w:tblGrid>
      <w:tr w14:paraId="1264D3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6" w:hRule="atLeast"/>
          <w:jc w:val="center"/>
        </w:trPr>
        <w:tc>
          <w:tcPr>
            <w:tcW w:w="707" w:type="dxa"/>
            <w:tcBorders>
              <w:tl2br w:val="nil"/>
              <w:tr2bl w:val="nil"/>
            </w:tcBorders>
            <w:noWrap w:val="0"/>
            <w:tcMar>
              <w:left w:w="28" w:type="dxa"/>
              <w:right w:w="28" w:type="dxa"/>
            </w:tcMar>
            <w:vAlign w:val="center"/>
          </w:tcPr>
          <w:p w14:paraId="3CDE60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14:textFill>
                  <w14:solidFill>
                    <w14:schemeClr w14:val="tx1"/>
                  </w14:solidFill>
                </w14:textFill>
              </w:rPr>
            </w:pPr>
            <w:bookmarkStart w:id="3" w:name="_Hlk49796138"/>
            <w:r>
              <w:rPr>
                <w:rFonts w:hint="default" w:cs="Times New Roman"/>
                <w:b/>
                <w:bCs/>
                <w:color w:val="000000" w:themeColor="text1"/>
                <w:highlight w:val="none"/>
                <w14:textFill>
                  <w14:solidFill>
                    <w14:schemeClr w14:val="tx1"/>
                  </w14:solidFill>
                </w14:textFill>
              </w:rPr>
              <w:t>施工期生态环境影响分析</w:t>
            </w:r>
            <w:bookmarkEnd w:id="3"/>
          </w:p>
        </w:tc>
        <w:tc>
          <w:tcPr>
            <w:tcW w:w="8535" w:type="dxa"/>
            <w:tcBorders>
              <w:tl2br w:val="nil"/>
              <w:tr2bl w:val="nil"/>
            </w:tcBorders>
            <w:noWrap w:val="0"/>
            <w:vAlign w:val="top"/>
          </w:tcPr>
          <w:p w14:paraId="240B17D2">
            <w:pPr>
              <w:pStyle w:val="2"/>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1、生态环境影响分析</w:t>
            </w:r>
          </w:p>
          <w:p w14:paraId="2344D014">
            <w:pPr>
              <w:bidi w:val="0"/>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⑴</w:t>
            </w:r>
            <w:r>
              <w:rPr>
                <w:rFonts w:hint="default"/>
                <w:color w:val="000000" w:themeColor="text1"/>
                <w:highlight w:val="none"/>
                <w:lang w:val="en-US" w:eastAsia="zh-CN"/>
                <w14:textFill>
                  <w14:solidFill>
                    <w14:schemeClr w14:val="tx1"/>
                  </w14:solidFill>
                </w14:textFill>
              </w:rPr>
              <w:t>对土地利用的影响分析</w:t>
            </w:r>
          </w:p>
          <w:p w14:paraId="773C7200">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根据现场踏勘，本项目施工扰动区域均位于本项目区范围，土地扰动类型包括本项目区范围所有草地、工矿用地、林地、特殊用地、其他土地以及交通运输用地，共计94.17hm</w:t>
            </w:r>
            <w:r>
              <w:rPr>
                <w:rFonts w:hint="default"/>
                <w:color w:val="000000" w:themeColor="text1"/>
                <w:highlight w:val="none"/>
                <w:vertAlign w:val="superscript"/>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。本项目用地均为国有土地，土地权属清晰，不存在土地权属纠纷。项目实施后，原本为草地、特殊用地及交通运输用地的土地利用结构不发生变化</w:t>
            </w:r>
            <w:r>
              <w:rPr>
                <w:rFonts w:hint="eastAsia"/>
                <w:color w:val="000000" w:themeColor="text1"/>
                <w:highlight w:val="none"/>
                <w:lang w:val="en-US" w:eastAsia="zh-CN"/>
                <w14:textFill>
                  <w14:solidFill>
                    <w14:schemeClr w14:val="tx1"/>
                  </w14:solidFill>
                </w14:textFill>
              </w:rPr>
              <w:t>。项目占用林地面积为0.36hm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，占总面积的0.38%，面积较小，施工过程中避让现有灌木林地，不改变用地类型。</w:t>
            </w:r>
            <w:r>
              <w:rPr>
                <w:rFonts w:hint="default"/>
                <w:color w:val="000000" w:themeColor="text1"/>
                <w:highlight w:val="none"/>
                <w:lang w:val="en-US" w:eastAsia="zh-CN"/>
                <w14:textFill>
                  <w14:solidFill>
                    <w14:schemeClr w14:val="tx1"/>
                  </w14:solidFill>
                </w14:textFill>
              </w:rPr>
              <w:t>工矿用地、其他土地逐渐恢复为草地。</w:t>
            </w:r>
          </w:p>
          <w:p w14:paraId="2F68211C">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项目恢复地形地貌，恢复植被，从源头上消除矿山地质安全隐患，修复采矿活动而被挖损或压占的土地资源，通过覆土绿化等措施增加草地土地资源，显著增加植被覆盖率，使土地资源恢复其利用价值，为实现当地经济的可持续发展，构建和谐社会奠定良好的基础。因此，本项目的实施对区域土地利用的影响较小。</w:t>
            </w:r>
          </w:p>
          <w:p w14:paraId="5AF1421D">
            <w:pPr>
              <w:bidi w:val="0"/>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⑵</w:t>
            </w:r>
            <w:r>
              <w:rPr>
                <w:rFonts w:hint="default"/>
                <w:color w:val="000000" w:themeColor="text1"/>
                <w:highlight w:val="none"/>
                <w:lang w:val="en-US" w:eastAsia="zh-CN"/>
                <w14:textFill>
                  <w14:solidFill>
                    <w14:schemeClr w14:val="tx1"/>
                  </w14:solidFill>
                </w14:textFill>
              </w:rPr>
              <w:t>对植被的影响分析</w:t>
            </w:r>
          </w:p>
          <w:p w14:paraId="69C0E904">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项目区植被类型主要为草原植被，项目建设破坏的植物物种均为当地常见短花针茅、蒿属植被等陆生植被。现场踏勘期间占地范围内无国家及地方重点保护野生植物名录所列的物种，无《中国生物多样性红色名录》中列为极危、濒危和易危的物种，国家和地方政府列入拯救保护的极小种群物种，特有种以及古树名木等。施工占地、场地清理扰动地表，破坏用地范围内植被，使评价区内植被面积减少，植被覆盖率降低。加强施工人员培训，严禁踩踏、乱砍、乱伐等破坏植物的行为。</w:t>
            </w:r>
          </w:p>
          <w:p w14:paraId="53E70907">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由于矿山开采，已对该区域的植被系统造成大面积的破坏，项目生态评价范围内植被覆盖度低，生态条件脆弱。本项目通过实施生态修复工程，包括植被重建、土壤改良和水土保持措施，结合当地气候与立地条件，选择适生植物种进行人工恢复，逐步提升区域植被覆盖度和生态系统稳定性。因此，项目的建设对区域现有植被的影响较小。</w:t>
            </w:r>
          </w:p>
          <w:p w14:paraId="3A4EC321">
            <w:pPr>
              <w:bidi w:val="0"/>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⑶</w:t>
            </w:r>
            <w:r>
              <w:rPr>
                <w:rFonts w:hint="default"/>
                <w:color w:val="000000" w:themeColor="text1"/>
                <w:highlight w:val="none"/>
                <w:lang w:val="en-US" w:eastAsia="zh-CN"/>
                <w14:textFill>
                  <w14:solidFill>
                    <w14:schemeClr w14:val="tx1"/>
                  </w14:solidFill>
                </w14:textFill>
              </w:rPr>
              <w:t>对动物的影响分析</w:t>
            </w:r>
          </w:p>
          <w:p w14:paraId="47E2A365">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根据本项目的特点，对野生动物的影响主要发生在施工期。随着项目的开工，施工机械、施工人员的进场及其他施工场地的布置，挖掘机、推土机、自卸汽车等施工机械产生的持续性中低频噪声，传播距离远。这会遮蔽动物的听觉通讯信号，干扰其求偶、育幼、警戒等行为；可能导致鸟类、中小型哺乳动物等被迫逃离原有栖息地或觅食区域，造成生境丧失和种群隔离。施工人员活动和车辆往来会增加人与动物的意外相遇几率，可能引发动物应激反应。临时围挡和开挖的沟渠可能成为动物移动的物理阻隔</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但施工结束后这种影响会随之消失。</w:t>
            </w:r>
          </w:p>
          <w:p w14:paraId="36BAA4F5">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w:t>
            </w:r>
            <w:r>
              <w:rPr>
                <w:rFonts w:hint="default"/>
                <w:color w:val="000000" w:themeColor="text1"/>
                <w:highlight w:val="none"/>
                <w:lang w:val="en-US" w:eastAsia="zh-CN"/>
                <w14:textFill>
                  <w14:solidFill>
                    <w14:schemeClr w14:val="tx1"/>
                  </w14:solidFill>
                </w14:textFill>
              </w:rPr>
              <w:t>鸟类：鸟类（喜鹊、麻雀等）由于环境的变化影响了它们的生活和取食环境，将被迫离开它们原来的领域，邻近领域的鸟类也由于受到施工噪声的惊吓，也将远离原来的栖息地。但是这种不利影响有时间限制，当临时用地区域的植被恢复后，它们仍可以回到原来的领域，继续生活，而且这些鸟类在非施工区可以找到相同或相似生境，可迁移到合适生境中生活，对其生存不会造成威胁。因此施工期间对鸟类的影响甚微。</w:t>
            </w:r>
          </w:p>
          <w:p w14:paraId="49047372">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w:t>
            </w:r>
            <w:r>
              <w:rPr>
                <w:rFonts w:hint="default"/>
                <w:color w:val="000000" w:themeColor="text1"/>
                <w:highlight w:val="none"/>
                <w:lang w:val="en-US" w:eastAsia="zh-CN"/>
                <w14:textFill>
                  <w14:solidFill>
                    <w14:schemeClr w14:val="tx1"/>
                  </w14:solidFill>
                </w14:textFill>
              </w:rPr>
              <w:t>陆生动物：项目评价区野生动物较少，主要为鼠类、野兔等常见野生小型哺乳类动物。施工期间，将使部分陆生动物的活动区域、觅食范围受到一定的限制，但由于动物具有迁徙性，会在工程施工时离开施工区域，当工程完工后，它们仍可以回到原来的栖息地或栖息地附近。因此影响只是暂时的，随施工结束影响即消失。</w:t>
            </w:r>
          </w:p>
          <w:p w14:paraId="09DCD63C">
            <w:pPr>
              <w:bidi w:val="0"/>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⑷</w:t>
            </w:r>
            <w:r>
              <w:rPr>
                <w:rFonts w:hint="default"/>
                <w:color w:val="000000" w:themeColor="text1"/>
                <w:highlight w:val="none"/>
                <w:lang w:val="en-US" w:eastAsia="zh-CN"/>
                <w14:textFill>
                  <w14:solidFill>
                    <w14:schemeClr w14:val="tx1"/>
                  </w14:solidFill>
                </w14:textFill>
              </w:rPr>
              <w:t>水土流失影响分析</w:t>
            </w:r>
          </w:p>
          <w:p w14:paraId="38E8C396">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项目施工期间地形地貌恢复工程、截排水工程、生态恢复工程等施工活动对地表土体产生扰动，导致土壤结构改变及植被破坏。当地表植被破坏后，表层土壤裸露，在降雨形成的地表径流的作用下发生流失，但影响是暂时的，且造成的水土流失均在本项目占地范围内，不会外损。</w:t>
            </w:r>
          </w:p>
          <w:p w14:paraId="1A2B6E24">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通过布置截水埂可将长坡分割为若干短坡，有效降低地表径流的流速；分段截流，拦截上方坡面汇集的径流，防止其集中下泄冲刷坡脚；就地入渗，为雨水创造短暂的停留时间，促进水分下渗，滋养坡面植被；稳定坡面，减少水土流失，为植物生长创造稳定的土壤环境。通过布置导流槽将高处汇集的地面径流安全、高效、平稳、无冲刷地引导至坡脚或稳定区域，防止坡面被冲刷导致水土流失，形成冲沟，坡面受到水流侵蚀，导致整体失稳。</w:t>
            </w:r>
          </w:p>
          <w:p w14:paraId="34260CD0">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项目完工后，水土流失程度会随着施工的结束而结束，且相应水土保持措施的落实可降低项目区域水土流失率。项目通过恢复原有的地形地貌及土地资源，可以起到防治水土流失的作用，并且使遭到破坏的生态环境得到改善和基本恢复。</w:t>
            </w:r>
          </w:p>
          <w:p w14:paraId="7F872928">
            <w:pPr>
              <w:bidi w:val="0"/>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⑸</w:t>
            </w:r>
            <w:r>
              <w:rPr>
                <w:rFonts w:hint="default"/>
                <w:color w:val="000000" w:themeColor="text1"/>
                <w:highlight w:val="none"/>
                <w:lang w:val="en-US" w:eastAsia="zh-CN"/>
                <w14:textFill>
                  <w14:solidFill>
                    <w14:schemeClr w14:val="tx1"/>
                  </w14:solidFill>
                </w14:textFill>
              </w:rPr>
              <w:t>对生态系统的影响分析</w:t>
            </w:r>
          </w:p>
          <w:p w14:paraId="735EFBE1">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治理</w:t>
            </w:r>
            <w:r>
              <w:rPr>
                <w:rFonts w:hint="default"/>
                <w:color w:val="000000" w:themeColor="text1"/>
                <w:highlight w:val="none"/>
                <w:lang w:val="en-US" w:eastAsia="zh-CN"/>
                <w14:textFill>
                  <w14:solidFill>
                    <w14:schemeClr w14:val="tx1"/>
                  </w14:solidFill>
                </w14:textFill>
              </w:rPr>
              <w:t>区域生态系统以草地生态系统为主，对其影响分析如下。矿山生态修复工程对评价范围内生态系统的影响主要是施工期对生态系统的占用，机械施工碾压，施工造成的扬尘、生活垃圾，施工人员的不规范施工等对生态系统结构和功能的影响。</w:t>
            </w:r>
          </w:p>
          <w:p w14:paraId="06BEEB0D">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根据生态现状调查，工程影响区草地生态系统内植物以短花针茅、蒿类植被为主，工程占地会使原有生态系统植物及植被损失，动物栖息地破坏；工程施工活动，土石方挖填、车辆运输等产生的粉尘，会改变生态系统内土壤环境，影响动植物的生命活动；施工人员随意破坏植被等，会使得评价范围内植物的生产力降低。草原生态系统群落多样性低，结构不稳定，生产力低，适应性强，生长速度快。在本项目实施穴播种草等植被恢复工程后，被破坏的植被将得以恢复，草地覆盖度将得到提升，达到新的平衡。因此，本项目不会造成生态系统的破碎化，对生态系统的连通性的影响很小。</w:t>
            </w:r>
          </w:p>
          <w:p w14:paraId="6615C902">
            <w:pPr>
              <w:bidi w:val="0"/>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⑹</w:t>
            </w:r>
            <w:r>
              <w:rPr>
                <w:rFonts w:hint="default"/>
                <w:color w:val="000000" w:themeColor="text1"/>
                <w:highlight w:val="none"/>
                <w:lang w:val="en-US" w:eastAsia="zh-CN"/>
                <w14:textFill>
                  <w14:solidFill>
                    <w14:schemeClr w14:val="tx1"/>
                  </w14:solidFill>
                </w14:textFill>
              </w:rPr>
              <w:t>土壤侵蚀影响分析</w:t>
            </w:r>
          </w:p>
          <w:p w14:paraId="184C6C83">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根据治理项目的建设特点，草地植被受到扰动和破坏：在土方开挖、场地平整过程中，破坏了地表原有的草地植被，形成了片状、条带状的裸露面，植被对土壤的覆盖保护作用和根系固土作用丧失殆尽。</w:t>
            </w:r>
          </w:p>
          <w:p w14:paraId="3646E1A2">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土体表层松散性加大：采空区治理过程破坏大面积的地表土壤，治理项目区大量的松散表土发生运移和重新堆积，植被被损坏，使得地表土壤结构变化，上下土层混合，土壤水分大量散失，土体的机械组成混杂不一，丧失了原地表土壤的抗蚀力。形成新的矿山土壤类型，地表无植被覆盖，土壤肥力降低，极易发生土壤侵蚀。</w:t>
            </w:r>
          </w:p>
          <w:p w14:paraId="03AD8303">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项目地处生态脆弱区，施工活动若管控不当，可能诱发或加速局部土地荒漠化进程。土方开挖、场地平整及机械碾压将彻底破坏地表原有的植被层、土壤结皮或砾幕，使下层松散沙质土壤直接暴露。裸露地表在干旱大风季节极易发生风力侵蚀，导致细颗粒物损失，土壤粗化、贫瘠化。同时，失去植被保护的坡面在降雨时水力侵蚀强度将显著增加，造成土壤养分流失。施工扰动会破坏土壤原有结构，降低其持水保肥能力。车辆漏油、建筑垃圾等可能造成局部土壤污染。</w:t>
            </w:r>
          </w:p>
          <w:p w14:paraId="2A05B2AC">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根据评价区气候特征、地形条件以及工程的建设特点，治理项目新增土壤侵蚀特征主要表现为：以风力侵蚀为主；不同功能区土壤侵蚀强度存在显著的差异；呈片状集中分布或线型带状分布；水土流失强度高，但时间短，范围小，易受人为控制。项目养护过程中随着生态恢复，土壤侵蚀过程将得到有效控制，随着生态环境的改善，最终会使原来的土壤侵蚀得到根本遏制。</w:t>
            </w:r>
          </w:p>
          <w:p w14:paraId="5D3014E0">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总之，治理活动不可避免地将破坏原有自然植被和土地资源，导致水土流失程度显著增强，经过生态治理工作后，土壤侵蚀将会大为减少，水土流失得到控制。</w:t>
            </w:r>
          </w:p>
          <w:p w14:paraId="03EA5F8E">
            <w:pPr>
              <w:bidi w:val="0"/>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⑺</w:t>
            </w:r>
            <w:r>
              <w:rPr>
                <w:rFonts w:hint="default"/>
                <w:color w:val="000000" w:themeColor="text1"/>
                <w:highlight w:val="none"/>
                <w:lang w:val="en-US" w:eastAsia="zh-CN"/>
                <w14:textFill>
                  <w14:solidFill>
                    <w14:schemeClr w14:val="tx1"/>
                  </w14:solidFill>
                </w14:textFill>
              </w:rPr>
              <w:t>对中卫市寺口风景旅游区的影响分析</w:t>
            </w:r>
          </w:p>
          <w:p w14:paraId="0E029DF1">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中卫寺口子风景旅游区坐落于宁夏中卫市宣和镇，是一片集自然奇观与千年人文于一身、极具特色的西部旅游胜地。景区古称“北海”，规划占地面积约3.13km</w:t>
            </w:r>
            <w:r>
              <w:rPr>
                <w:rFonts w:hint="default"/>
                <w:color w:val="000000" w:themeColor="text1"/>
                <w:highlight w:val="none"/>
                <w:vertAlign w:val="superscript"/>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，已建设1.38km</w:t>
            </w:r>
            <w:r>
              <w:rPr>
                <w:rFonts w:hint="default"/>
                <w:color w:val="000000" w:themeColor="text1"/>
                <w:highlight w:val="none"/>
                <w:vertAlign w:val="superscript"/>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，南依香山，北临卫宁平原，地处古时咽喉要道，自古为兵家必争之地。中卫寺口子景区已被正式批准为国家4A级旅游景区</w:t>
            </w:r>
            <w:r>
              <w:rPr>
                <w:rFonts w:hint="eastAsia"/>
                <w:color w:val="000000" w:themeColor="text1"/>
                <w:highlight w:val="none"/>
                <w:lang w:val="en-US" w:eastAsia="zh-CN"/>
                <w14:textFill>
                  <w14:solidFill>
                    <w14:schemeClr w14:val="tx1"/>
                  </w14:solidFill>
                </w14:textFill>
              </w:rPr>
              <w:t>。</w:t>
            </w:r>
          </w:p>
          <w:p w14:paraId="673B00DF">
            <w:pPr>
              <w:bidi w:val="0"/>
              <w:rPr>
                <w:rFonts w:hint="default"/>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本项目治理区与景区东景区相邻，最近的施工区域距景区核心</w:t>
            </w:r>
            <w:r>
              <w:rPr>
                <w:rFonts w:hint="eastAsia" w:ascii="Times New Roman" w:hAnsi="Times New Roman" w:cs="Times New Roman"/>
                <w:color w:val="000000" w:themeColor="text1"/>
                <w:highlight w:val="none"/>
                <w:lang w:val="en-US" w:eastAsia="zh-CN"/>
                <w14:textFill>
                  <w14:solidFill>
                    <w14:schemeClr w14:val="tx1"/>
                  </w14:solidFill>
                </w14:textFill>
              </w:rPr>
              <w:t>景点</w:t>
            </w:r>
            <w:r>
              <w:rPr>
                <w:rFonts w:hint="default" w:ascii="Times New Roman" w:hAnsi="Times New Roman" w:eastAsia="宋体" w:cs="Times New Roman"/>
                <w:color w:val="000000" w:themeColor="text1"/>
                <w:highlight w:val="none"/>
                <w:lang w:val="en-US" w:eastAsia="zh-CN"/>
                <w14:textFill>
                  <w14:solidFill>
                    <w14:schemeClr w14:val="tx1"/>
                  </w14:solidFill>
                </w14:textFill>
              </w:rPr>
              <w:t>约</w:t>
            </w:r>
            <w:r>
              <w:rPr>
                <w:rFonts w:hint="default" w:ascii="Times New Roman" w:hAnsi="Times New Roman" w:cs="Times New Roman"/>
                <w:color w:val="000000" w:themeColor="text1"/>
                <w:highlight w:val="none"/>
                <w:lang w:val="en-US" w:eastAsia="zh-CN"/>
                <w14:textFill>
                  <w14:solidFill>
                    <w14:schemeClr w14:val="tx1"/>
                  </w14:solidFill>
                </w14:textFill>
              </w:rPr>
              <w:t>300m。</w:t>
            </w:r>
            <w:r>
              <w:rPr>
                <w:rFonts w:hint="default"/>
                <w:color w:val="000000" w:themeColor="text1"/>
                <w:highlight w:val="none"/>
                <w:lang w:val="en-US" w:eastAsia="zh-CN"/>
                <w14:textFill>
                  <w14:solidFill>
                    <w14:schemeClr w14:val="tx1"/>
                  </w14:solidFill>
                </w14:textFill>
              </w:rPr>
              <w:t>项目占地包含0.87hm</w:t>
            </w:r>
            <w:r>
              <w:rPr>
                <w:rFonts w:hint="default"/>
                <w:color w:val="000000" w:themeColor="text1"/>
                <w:highlight w:val="none"/>
                <w:vertAlign w:val="superscript"/>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现有停车区域及进景区道路，</w:t>
            </w:r>
            <w:r>
              <w:rPr>
                <w:rFonts w:hint="eastAsia" w:ascii="宋体" w:hAnsi="宋体" w:eastAsia="宋体" w:cs="宋体"/>
                <w:color w:val="000000" w:themeColor="text1"/>
                <w:highlight w:val="none"/>
                <w:lang w:val="en-US" w:eastAsia="zh-CN"/>
                <w14:textFill>
                  <w14:solidFill>
                    <w14:schemeClr w14:val="tx1"/>
                  </w14:solidFill>
                </w14:textFill>
              </w:rPr>
              <w:t>施工期间，材料堆放、机械停放将进一步挤占有限空间，导致游客入园动线、停车流线与施工流线交织，可能引发交通拥堵、停车困难和安全风险，直接影响旅游体验与景区秩序。</w:t>
            </w:r>
            <w:r>
              <w:rPr>
                <w:rFonts w:hint="eastAsia" w:ascii="宋体" w:hAnsi="宋体" w:cs="宋体"/>
                <w:color w:val="000000" w:themeColor="text1"/>
                <w:highlight w:val="none"/>
                <w:lang w:val="en-US" w:eastAsia="zh-CN"/>
                <w14:textFill>
                  <w14:solidFill>
                    <w14:schemeClr w14:val="tx1"/>
                  </w14:solidFill>
                </w14:textFill>
              </w:rPr>
              <w:t>通过</w:t>
            </w:r>
            <w:r>
              <w:rPr>
                <w:rFonts w:hint="eastAsia"/>
                <w:color w:val="000000" w:themeColor="text1"/>
                <w:highlight w:val="none"/>
                <w:lang w:val="en-US" w:eastAsia="zh-CN"/>
                <w14:textFill>
                  <w14:solidFill>
                    <w14:schemeClr w14:val="tx1"/>
                  </w14:solidFill>
                </w14:textFill>
              </w:rPr>
              <w:t>设置清晰的引导标识。施工车辆严格限定通行时段</w:t>
            </w:r>
            <w:r>
              <w:rPr>
                <w:rFonts w:hint="default"/>
                <w:color w:val="000000" w:themeColor="text1"/>
                <w:highlight w:val="none"/>
                <w:lang w:val="en-US" w:eastAsia="zh-CN"/>
                <w14:textFill>
                  <w14:solidFill>
                    <w14:schemeClr w14:val="tx1"/>
                  </w14:solidFill>
                </w14:textFill>
              </w:rPr>
              <w:t>，可降低项目占地对景区影响。在施工区域毗邻道路安排专职交通协管员，高峰时段进行人工引导，避免车辆排队阻塞入口。在占用区及上风向，增加洒水降尘频次，确保物料堆100%苫盖。运输车辆驶离作业点前必须进行车轮与车身冲洗，严禁带泥上路污染景区道路。</w:t>
            </w:r>
          </w:p>
          <w:p w14:paraId="090EC583">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项目不仅是修复工程，也可视为对景区外围基础设施与生态安全的一次升级。项目对占用道路的平整与修复，直接响应了景区“对已损坏道路及时维修”的维护要求。竣工后，该区域通行条件将获显著改善。项目建设的截排水工程（，能有效组织景区周边山体汇水，防治水土流失和边坡垮塌，提升了景区应对极端降雨等自然灾害的韧性，保护了山体景观资源的稳定性。地形地貌恢复工程将使治理区破损的山体与景区整体风貌相协调，符合景区“划分山体保护区”的规划原则。这消除了视觉污染与地质灾害隐患，为景区未来可持续的旅游项目开发提供了更安全、优质的环境本底，长远来看有助于巩固其“宁夏文明风景旅游区”的品牌形象。</w:t>
            </w:r>
            <w:r>
              <w:rPr>
                <w:rFonts w:hint="eastAsia"/>
                <w:color w:val="000000" w:themeColor="text1"/>
                <w:highlight w:val="none"/>
                <w:lang w:val="en-US" w:eastAsia="zh-CN"/>
                <w14:textFill>
                  <w14:solidFill>
                    <w14:schemeClr w14:val="tx1"/>
                  </w14:solidFill>
                </w14:textFill>
              </w:rPr>
              <w:t>本项目与</w:t>
            </w:r>
            <w:r>
              <w:rPr>
                <w:rFonts w:hint="default"/>
                <w:color w:val="000000" w:themeColor="text1"/>
                <w:highlight w:val="none"/>
                <w:lang w:val="en-US" w:eastAsia="zh-CN"/>
                <w14:textFill>
                  <w14:solidFill>
                    <w14:schemeClr w14:val="tx1"/>
                  </w14:solidFill>
                </w14:textFill>
              </w:rPr>
              <w:t>中卫市寺口风景旅游区</w:t>
            </w:r>
            <w:r>
              <w:rPr>
                <w:rFonts w:hint="eastAsia"/>
                <w:color w:val="000000" w:themeColor="text1"/>
                <w:highlight w:val="none"/>
                <w:lang w:val="en-US" w:eastAsia="zh-CN"/>
                <w14:textFill>
                  <w14:solidFill>
                    <w14:schemeClr w14:val="tx1"/>
                  </w14:solidFill>
                </w14:textFill>
              </w:rPr>
              <w:t>位置关系见附图4-1。</w:t>
            </w:r>
          </w:p>
          <w:p w14:paraId="5C16D820">
            <w:pPr>
              <w:bidi w:val="0"/>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⑻</w:t>
            </w:r>
            <w:r>
              <w:rPr>
                <w:rFonts w:hint="default"/>
                <w:color w:val="000000" w:themeColor="text1"/>
                <w:highlight w:val="none"/>
                <w:lang w:val="en-US" w:eastAsia="zh-CN"/>
                <w14:textFill>
                  <w14:solidFill>
                    <w14:schemeClr w14:val="tx1"/>
                  </w14:solidFill>
                </w14:textFill>
              </w:rPr>
              <w:t>小结</w:t>
            </w:r>
          </w:p>
          <w:p w14:paraId="0A394DF5">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综上，本项目工程量小、施工时间短，施工期对周边生态环境影响有限，并随施工期的结束、植被恢复，将逐渐得到缓解，并趋于稳定</w:t>
            </w:r>
            <w:r>
              <w:rPr>
                <w:rFonts w:hint="eastAsia"/>
                <w:color w:val="000000" w:themeColor="text1"/>
                <w:highlight w:val="none"/>
                <w:lang w:val="en-US" w:eastAsia="zh-CN"/>
                <w14:textFill>
                  <w14:solidFill>
                    <w14:schemeClr w14:val="tx1"/>
                  </w14:solidFill>
                </w14:textFill>
              </w:rPr>
              <w:t>。</w:t>
            </w:r>
          </w:p>
          <w:p w14:paraId="20862AF6">
            <w:pPr>
              <w:bidi w:val="0"/>
              <w:rPr>
                <w:rFonts w:hint="default"/>
                <w:color w:val="000000" w:themeColor="text1"/>
                <w:highlight w:val="none"/>
                <w:lang w:val="en-US" w:eastAsia="zh-CN"/>
                <w14:textFill>
                  <w14:solidFill>
                    <w14:schemeClr w14:val="tx1"/>
                  </w14:solidFill>
                </w14:textFill>
              </w:rPr>
            </w:pPr>
          </w:p>
          <w:p w14:paraId="206D167A">
            <w:pPr>
              <w:pStyle w:val="2"/>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施工废气影响分析</w:t>
            </w:r>
          </w:p>
          <w:p w14:paraId="46DB3656">
            <w:pPr>
              <w:keepNext w:val="0"/>
              <w:keepLines w:val="0"/>
              <w:suppressLineNumbers w:val="0"/>
              <w:bidi w:val="0"/>
              <w:spacing w:before="0" w:beforeAutospacing="0" w:after="0" w:afterAutospacing="0"/>
              <w:ind w:left="0" w:right="0"/>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环境空气污染主要是土方开挖、运输等施工过程中产生的粉尘、扬尘，机械施工、车辆运行等产生的废气对周边环境空气产生一定的污染，主要污染物为CO、NO</w:t>
            </w:r>
            <w:r>
              <w:rPr>
                <w:rFonts w:hint="eastAsia" w:cs="Times New Roman"/>
                <w:color w:val="000000" w:themeColor="text1"/>
                <w:highlight w:val="none"/>
                <w:vertAlign w:val="subscript"/>
                <w14:textFill>
                  <w14:solidFill>
                    <w14:schemeClr w14:val="tx1"/>
                  </w14:solidFill>
                </w14:textFill>
              </w:rPr>
              <w:t>2</w:t>
            </w:r>
            <w:r>
              <w:rPr>
                <w:rFonts w:hint="eastAsia" w:cs="Times New Roman"/>
                <w:color w:val="000000" w:themeColor="text1"/>
                <w:highlight w:val="none"/>
                <w14:textFill>
                  <w14:solidFill>
                    <w14:schemeClr w14:val="tx1"/>
                  </w14:solidFill>
                </w14:textFill>
              </w:rPr>
              <w:t>、SO</w:t>
            </w:r>
            <w:r>
              <w:rPr>
                <w:rFonts w:hint="eastAsia" w:cs="Times New Roman"/>
                <w:color w:val="000000" w:themeColor="text1"/>
                <w:highlight w:val="none"/>
                <w:vertAlign w:val="subscript"/>
                <w14:textFill>
                  <w14:solidFill>
                    <w14:schemeClr w14:val="tx1"/>
                  </w14:solidFill>
                </w14:textFill>
              </w:rPr>
              <w:t>2</w:t>
            </w:r>
            <w:r>
              <w:rPr>
                <w:rFonts w:hint="eastAsia" w:cs="Times New Roman"/>
                <w:color w:val="000000" w:themeColor="text1"/>
                <w:highlight w:val="none"/>
                <w14:textFill>
                  <w14:solidFill>
                    <w14:schemeClr w14:val="tx1"/>
                  </w14:solidFill>
                </w14:textFill>
              </w:rPr>
              <w:t>等。本工程施工中主要在以下几个方面对施工区的大气环境质量产生影响：</w:t>
            </w:r>
          </w:p>
          <w:p w14:paraId="67E52A62">
            <w:pPr>
              <w:keepNext w:val="0"/>
              <w:keepLines w:val="0"/>
              <w:suppressLineNumbers w:val="0"/>
              <w:bidi w:val="0"/>
              <w:spacing w:before="0" w:beforeAutospacing="0" w:after="0" w:afterAutospacing="0"/>
              <w:ind w:left="0" w:right="0"/>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⑴施工现场扬尘</w:t>
            </w:r>
          </w:p>
          <w:p w14:paraId="7613BA91">
            <w:pPr>
              <w:keepNext w:val="0"/>
              <w:keepLines w:val="0"/>
              <w:suppressLineNumbers w:val="0"/>
              <w:bidi w:val="0"/>
              <w:spacing w:before="0" w:beforeAutospacing="0" w:after="0" w:afterAutospacing="0"/>
              <w:ind w:left="0" w:right="0"/>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施工作业面扬尘：施工作业面的裸露地面，在干燥天气，尤其是在大风时容易产生扬尘；开挖面、开挖场等施工作业面均会产生扬尘；扬尘产生量与作业面大小、施工机械、施工方法、天气状况及洒水频率等都有关系。工程区主要是土方开挖、临时材料堆放等施工过程会产生粉尘。根据施工工程的调查资料，工程施工期间施工现场近地面粉尘浓度可达1.5～30mg/m</w:t>
            </w:r>
            <w:r>
              <w:rPr>
                <w:rFonts w:hint="eastAsia" w:cs="Times New Roman"/>
                <w:color w:val="000000" w:themeColor="text1"/>
                <w:highlight w:val="none"/>
                <w:vertAlign w:val="superscript"/>
                <w14:textFill>
                  <w14:solidFill>
                    <w14:schemeClr w14:val="tx1"/>
                  </w14:solidFill>
                </w14:textFill>
              </w:rPr>
              <w:t>3</w:t>
            </w:r>
            <w:r>
              <w:rPr>
                <w:rFonts w:hint="eastAsia" w:cs="Times New Roman"/>
                <w:color w:val="000000" w:themeColor="text1"/>
                <w:highlight w:val="none"/>
                <w14:textFill>
                  <w14:solidFill>
                    <w14:schemeClr w14:val="tx1"/>
                  </w14:solidFill>
                </w14:textFill>
              </w:rPr>
              <w:t>。施工中土石方开挖等产生的扬尘，基本上都是间歇式排放。一般只要定时洒水，施工作业面扬尘即可得到有效控制，对环境影响较小。</w:t>
            </w:r>
          </w:p>
          <w:p w14:paraId="527DCBA3">
            <w:pPr>
              <w:keepNext w:val="0"/>
              <w:keepLines w:val="0"/>
              <w:suppressLineNumbers w:val="0"/>
              <w:bidi w:val="0"/>
              <w:spacing w:before="0" w:beforeAutospacing="0" w:after="0" w:afterAutospacing="0"/>
              <w:ind w:left="0" w:right="0"/>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交通运输扬尘：根据有关资料，施工过程中车辆行驶产生的扬尘约占施工总扬尘量的60%以上。一般情</w:t>
            </w:r>
            <w:r>
              <w:rPr>
                <w:rFonts w:hint="eastAsia" w:cs="Times New Roman"/>
                <w:color w:val="000000" w:themeColor="text1"/>
                <w:highlight w:val="none"/>
                <w:lang w:eastAsia="zh-CN"/>
                <w14:textFill>
                  <w14:solidFill>
                    <w14:schemeClr w14:val="tx1"/>
                  </w14:solidFill>
                </w14:textFill>
              </w:rPr>
              <w:t>况下</w:t>
            </w:r>
            <w:r>
              <w:rPr>
                <w:rFonts w:hint="eastAsia" w:cs="Times New Roman"/>
                <w:color w:val="000000" w:themeColor="text1"/>
                <w:highlight w:val="none"/>
                <w14:textFill>
                  <w14:solidFill>
                    <w14:schemeClr w14:val="tx1"/>
                  </w14:solidFill>
                </w14:textFill>
              </w:rPr>
              <w:t>车辆行驶产生的扬尘在同样路面清洁程度下，车速越快，扬尘量越大；而在同样车速下，路面条件越差扬尘量越大。工程交通运输扬尘的影响对象为现场施工人员。另外施工区进场公路附近分布有居民，故交通运输扬尘还有可能对上述居民产生影响。</w:t>
            </w:r>
          </w:p>
          <w:p w14:paraId="4D5AEC8D">
            <w:pPr>
              <w:keepNext w:val="0"/>
              <w:keepLines w:val="0"/>
              <w:suppressLineNumbers w:val="0"/>
              <w:bidi w:val="0"/>
              <w:spacing w:before="0" w:beforeAutospacing="0" w:after="0" w:afterAutospacing="0"/>
              <w:ind w:left="0" w:right="0"/>
              <w:rPr>
                <w:rFonts w:hint="eastAsia"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⑵机械尾气</w:t>
            </w:r>
          </w:p>
          <w:p w14:paraId="31C677C2">
            <w:pPr>
              <w:keepNext w:val="0"/>
              <w:keepLines w:val="0"/>
              <w:suppressLineNumbers w:val="0"/>
              <w:bidi w:val="0"/>
              <w:spacing w:before="0" w:beforeAutospacing="0" w:after="0" w:afterAutospacing="0"/>
              <w:ind w:left="0" w:right="0"/>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项目施工期间，使用液体燃料的施工机械及运输车辆排放的尾气中含有CO、NO</w:t>
            </w:r>
            <w:r>
              <w:rPr>
                <w:rFonts w:hint="eastAsia" w:cs="Times New Roman"/>
                <w:color w:val="000000" w:themeColor="text1"/>
                <w:highlight w:val="none"/>
                <w:vertAlign w:val="subscript"/>
                <w14:textFill>
                  <w14:solidFill>
                    <w14:schemeClr w14:val="tx1"/>
                  </w14:solidFill>
                </w14:textFill>
              </w:rPr>
              <w:t>x</w:t>
            </w:r>
            <w:r>
              <w:rPr>
                <w:rFonts w:hint="eastAsia" w:cs="Times New Roman"/>
                <w:color w:val="000000" w:themeColor="text1"/>
                <w:highlight w:val="none"/>
                <w14:textFill>
                  <w14:solidFill>
                    <w14:schemeClr w14:val="tx1"/>
                  </w14:solidFill>
                </w14:textFill>
              </w:rPr>
              <w:t>以及未完全燃烧的THC等，一般情况下，各种污染物的排放量不大。由于污染源较分散，且为流动性，影响是短期的、局部的。</w:t>
            </w:r>
          </w:p>
          <w:p w14:paraId="2692D297">
            <w:pPr>
              <w:pStyle w:val="2"/>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废水影响分析</w:t>
            </w:r>
          </w:p>
          <w:p w14:paraId="41787A57">
            <w:pPr>
              <w:widowControl/>
              <w:wordWrap w:val="0"/>
              <w:ind w:firstLine="454"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14:textFill>
                  <w14:solidFill>
                    <w14:schemeClr w14:val="tx1"/>
                  </w14:solidFill>
                </w14:textFill>
              </w:rPr>
              <w:t>项目区不设置施工生活营地，生活污水依托周边村庄旱厕处理，项目区无废水排放</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车辆</w:t>
            </w:r>
            <w:r>
              <w:rPr>
                <w:rFonts w:hint="eastAsia"/>
                <w:color w:val="000000" w:themeColor="text1"/>
                <w:highlight w:val="none"/>
                <w:lang w:val="en-US" w:eastAsia="zh-CN"/>
                <w14:textFill>
                  <w14:solidFill>
                    <w14:schemeClr w14:val="tx1"/>
                  </w14:solidFill>
                </w14:textFill>
              </w:rPr>
              <w:t>及施工机械</w:t>
            </w:r>
            <w:r>
              <w:rPr>
                <w:rFonts w:hint="default" w:ascii="Times New Roman" w:hAnsi="Times New Roman" w:cs="Times New Roman"/>
                <w:color w:val="000000" w:themeColor="text1"/>
                <w:sz w:val="24"/>
                <w:highlight w:val="none"/>
                <w14:textFill>
                  <w14:solidFill>
                    <w14:schemeClr w14:val="tx1"/>
                  </w14:solidFill>
                </w14:textFill>
              </w:rPr>
              <w:t>冲洗废水经1座5m</w:t>
            </w:r>
            <w:r>
              <w:rPr>
                <w:rFonts w:hint="eastAsia"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沉淀池处置后用于治理区洒水降尘，不外排</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14:paraId="51809B5C">
            <w:pPr>
              <w:keepNext w:val="0"/>
              <w:keepLines w:val="0"/>
              <w:widowControl/>
              <w:suppressLineNumbers w:val="0"/>
              <w:spacing w:before="0" w:beforeAutospacing="0" w:after="0" w:afterAutospacing="0"/>
              <w:ind w:left="0" w:right="0"/>
              <w:jc w:val="left"/>
              <w:rPr>
                <w:rFonts w:hint="default" w:cs="Times New Roman"/>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因此本项目基本不会对外环境产生影响。</w:t>
            </w:r>
          </w:p>
          <w:p w14:paraId="4003B1C0">
            <w:pPr>
              <w:pStyle w:val="2"/>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噪声影响分析</w:t>
            </w:r>
          </w:p>
          <w:p w14:paraId="67E7EA79">
            <w:pPr>
              <w:keepNext w:val="0"/>
              <w:keepLines w:val="0"/>
              <w:suppressLineNumbers w:val="0"/>
              <w:spacing w:before="0" w:beforeAutospacing="0" w:after="0" w:afterAutospacing="0"/>
              <w:ind w:left="0" w:right="0"/>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本项目施工期噪声主要为土建噪声和挖掘机、装卸机、推土机、运输车等施工机械噪声，常用建筑施工机械的声压级及距施工机械不同距离处的噪声级见表</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4-</w:t>
            </w:r>
            <w:r>
              <w:rPr>
                <w:rFonts w:hint="eastAsia" w:cs="Times New Roman"/>
                <w:color w:val="000000" w:themeColor="text1"/>
                <w:kern w:val="0"/>
                <w:sz w:val="24"/>
                <w:szCs w:val="24"/>
                <w:highlight w:val="none"/>
                <w:lang w:val="en-US" w:eastAsia="zh-CN" w:bidi="ar"/>
                <w14:textFill>
                  <w14:solidFill>
                    <w14:schemeClr w14:val="tx1"/>
                  </w14:solidFill>
                </w14:textFill>
              </w:rPr>
              <w:t>1</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p>
          <w:p w14:paraId="11461A46">
            <w:pPr>
              <w:pStyle w:val="3"/>
              <w:bidi w:val="0"/>
              <w:rPr>
                <w:rFonts w:hint="default"/>
                <w:color w:val="000000" w:themeColor="text1"/>
                <w:highlight w:val="none"/>
                <w:lang w:val="en-US" w:eastAsia="zh-CN"/>
                <w14:textFill>
                  <w14:solidFill>
                    <w14:schemeClr w14:val="tx1"/>
                  </w14:solidFill>
                </w14:textFill>
              </w:rPr>
            </w:pPr>
          </w:p>
          <w:p w14:paraId="064B08E5">
            <w:pPr>
              <w:pStyle w:val="3"/>
              <w:bidi w:val="0"/>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表4-</w:t>
            </w:r>
            <w:r>
              <w:rPr>
                <w:rFonts w:hint="eastAsia"/>
                <w:color w:val="000000" w:themeColor="text1"/>
                <w:highlight w:val="none"/>
                <w:lang w:val="en-US" w:eastAsia="zh-CN"/>
                <w14:textFill>
                  <w14:solidFill>
                    <w14:schemeClr w14:val="tx1"/>
                  </w14:solidFill>
                </w14:textFill>
              </w:rPr>
              <w:t xml:space="preserve">1 </w:t>
            </w:r>
            <w:r>
              <w:rPr>
                <w:rFonts w:hint="default"/>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 xml:space="preserve">距主要施工机械不同距离处的噪声级 </w:t>
            </w:r>
            <w:r>
              <w:rPr>
                <w:rFonts w:hint="default"/>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单位：</w:t>
            </w:r>
            <w:r>
              <w:rPr>
                <w:rFonts w:hint="default"/>
                <w:color w:val="000000" w:themeColor="text1"/>
                <w:highlight w:val="none"/>
                <w:lang w:val="en-US" w:eastAsia="zh-CN"/>
                <w14:textFill>
                  <w14:solidFill>
                    <w14:schemeClr w14:val="tx1"/>
                  </w14:solidFill>
                </w14:textFill>
              </w:rPr>
              <w:t>dB(A)</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12"/>
              <w:gridCol w:w="998"/>
              <w:gridCol w:w="1063"/>
              <w:gridCol w:w="1076"/>
              <w:gridCol w:w="1063"/>
              <w:gridCol w:w="998"/>
              <w:gridCol w:w="929"/>
            </w:tblGrid>
            <w:tr w14:paraId="3DF10A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pct"/>
                  <w:vMerge w:val="restart"/>
                  <w:tcBorders>
                    <w:tl2br w:val="nil"/>
                    <w:tr2bl w:val="nil"/>
                  </w:tcBorders>
                  <w:noWrap w:val="0"/>
                  <w:vAlign w:val="center"/>
                </w:tcPr>
                <w:p w14:paraId="565CDB7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机械名称</w:t>
                  </w:r>
                </w:p>
              </w:tc>
              <w:tc>
                <w:tcPr>
                  <w:tcW w:w="4306" w:type="pct"/>
                  <w:gridSpan w:val="7"/>
                  <w:tcBorders>
                    <w:tl2br w:val="nil"/>
                    <w:tr2bl w:val="nil"/>
                  </w:tcBorders>
                  <w:noWrap w:val="0"/>
                  <w:vAlign w:val="center"/>
                </w:tcPr>
                <w:p w14:paraId="41BD285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离施工机械的距离（m）</w:t>
                  </w:r>
                </w:p>
              </w:tc>
            </w:tr>
            <w:tr w14:paraId="4E9167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pct"/>
                  <w:vMerge w:val="continue"/>
                  <w:tcBorders>
                    <w:tl2br w:val="nil"/>
                    <w:tr2bl w:val="nil"/>
                  </w:tcBorders>
                  <w:noWrap w:val="0"/>
                  <w:vAlign w:val="center"/>
                </w:tcPr>
                <w:p w14:paraId="14EA9BE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14:textFill>
                        <w14:solidFill>
                          <w14:schemeClr w14:val="tx1"/>
                        </w14:solidFill>
                      </w14:textFill>
                    </w:rPr>
                  </w:pPr>
                </w:p>
              </w:tc>
              <w:tc>
                <w:tcPr>
                  <w:tcW w:w="610" w:type="pct"/>
                  <w:tcBorders>
                    <w:tl2br w:val="nil"/>
                    <w:tr2bl w:val="nil"/>
                  </w:tcBorders>
                  <w:noWrap w:val="0"/>
                  <w:vAlign w:val="center"/>
                </w:tcPr>
                <w:p w14:paraId="0F2EAEE8">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eastAsia"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5</w:t>
                  </w:r>
                </w:p>
              </w:tc>
              <w:tc>
                <w:tcPr>
                  <w:tcW w:w="602" w:type="pct"/>
                  <w:tcBorders>
                    <w:tl2br w:val="nil"/>
                    <w:tr2bl w:val="nil"/>
                  </w:tcBorders>
                  <w:noWrap w:val="0"/>
                  <w:vAlign w:val="center"/>
                </w:tcPr>
                <w:p w14:paraId="08BB73A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10</w:t>
                  </w:r>
                </w:p>
              </w:tc>
              <w:tc>
                <w:tcPr>
                  <w:tcW w:w="641" w:type="pct"/>
                  <w:tcBorders>
                    <w:tl2br w:val="nil"/>
                    <w:tr2bl w:val="nil"/>
                  </w:tcBorders>
                  <w:noWrap w:val="0"/>
                  <w:vAlign w:val="center"/>
                </w:tcPr>
                <w:p w14:paraId="21E9C639">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20</w:t>
                  </w:r>
                </w:p>
              </w:tc>
              <w:tc>
                <w:tcPr>
                  <w:tcW w:w="649" w:type="pct"/>
                  <w:tcBorders>
                    <w:tl2br w:val="nil"/>
                    <w:tr2bl w:val="nil"/>
                  </w:tcBorders>
                  <w:noWrap w:val="0"/>
                  <w:vAlign w:val="center"/>
                </w:tcPr>
                <w:p w14:paraId="7E056D63">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40</w:t>
                  </w:r>
                </w:p>
              </w:tc>
              <w:tc>
                <w:tcPr>
                  <w:tcW w:w="641" w:type="pct"/>
                  <w:tcBorders>
                    <w:tl2br w:val="nil"/>
                    <w:tr2bl w:val="nil"/>
                  </w:tcBorders>
                  <w:noWrap w:val="0"/>
                  <w:vAlign w:val="center"/>
                </w:tcPr>
                <w:p w14:paraId="3C6E60A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80</w:t>
                  </w:r>
                </w:p>
              </w:tc>
              <w:tc>
                <w:tcPr>
                  <w:tcW w:w="602" w:type="pct"/>
                  <w:tcBorders>
                    <w:tl2br w:val="nil"/>
                    <w:tr2bl w:val="nil"/>
                  </w:tcBorders>
                  <w:noWrap w:val="0"/>
                  <w:vAlign w:val="center"/>
                </w:tcPr>
                <w:p w14:paraId="1414D9F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160</w:t>
                  </w:r>
                </w:p>
              </w:tc>
              <w:tc>
                <w:tcPr>
                  <w:tcW w:w="560" w:type="pct"/>
                  <w:tcBorders>
                    <w:tl2br w:val="nil"/>
                    <w:tr2bl w:val="nil"/>
                  </w:tcBorders>
                  <w:noWrap w:val="0"/>
                  <w:vAlign w:val="center"/>
                </w:tcPr>
                <w:p w14:paraId="347E3398">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320</w:t>
                  </w:r>
                </w:p>
              </w:tc>
            </w:tr>
            <w:tr w14:paraId="19A2CD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pct"/>
                  <w:tcBorders>
                    <w:tl2br w:val="nil"/>
                    <w:tr2bl w:val="nil"/>
                  </w:tcBorders>
                  <w:noWrap w:val="0"/>
                  <w:vAlign w:val="center"/>
                </w:tcPr>
                <w:p w14:paraId="53353B66">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推土机</w:t>
                  </w:r>
                </w:p>
              </w:tc>
              <w:tc>
                <w:tcPr>
                  <w:tcW w:w="610" w:type="pct"/>
                  <w:tcBorders>
                    <w:tl2br w:val="nil"/>
                    <w:tr2bl w:val="nil"/>
                  </w:tcBorders>
                  <w:noWrap w:val="0"/>
                  <w:vAlign w:val="center"/>
                </w:tcPr>
                <w:p w14:paraId="4E1E5769">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86</w:t>
                  </w:r>
                </w:p>
              </w:tc>
              <w:tc>
                <w:tcPr>
                  <w:tcW w:w="602" w:type="pct"/>
                  <w:tcBorders>
                    <w:tl2br w:val="nil"/>
                    <w:tr2bl w:val="nil"/>
                  </w:tcBorders>
                  <w:noWrap w:val="0"/>
                  <w:vAlign w:val="center"/>
                </w:tcPr>
                <w:p w14:paraId="195B3EA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80</w:t>
                  </w:r>
                </w:p>
              </w:tc>
              <w:tc>
                <w:tcPr>
                  <w:tcW w:w="641" w:type="pct"/>
                  <w:tcBorders>
                    <w:tl2br w:val="nil"/>
                    <w:tr2bl w:val="nil"/>
                  </w:tcBorders>
                  <w:noWrap w:val="0"/>
                  <w:vAlign w:val="center"/>
                </w:tcPr>
                <w:p w14:paraId="73180E1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74</w:t>
                  </w:r>
                </w:p>
              </w:tc>
              <w:tc>
                <w:tcPr>
                  <w:tcW w:w="649" w:type="pct"/>
                  <w:tcBorders>
                    <w:tl2br w:val="nil"/>
                    <w:tr2bl w:val="nil"/>
                  </w:tcBorders>
                  <w:noWrap w:val="0"/>
                  <w:vAlign w:val="center"/>
                </w:tcPr>
                <w:p w14:paraId="01D2AEA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68</w:t>
                  </w:r>
                </w:p>
              </w:tc>
              <w:tc>
                <w:tcPr>
                  <w:tcW w:w="641" w:type="pct"/>
                  <w:tcBorders>
                    <w:tl2br w:val="nil"/>
                    <w:tr2bl w:val="nil"/>
                  </w:tcBorders>
                  <w:noWrap w:val="0"/>
                  <w:vAlign w:val="center"/>
                </w:tcPr>
                <w:p w14:paraId="52EB6FB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62</w:t>
                  </w:r>
                </w:p>
              </w:tc>
              <w:tc>
                <w:tcPr>
                  <w:tcW w:w="602" w:type="pct"/>
                  <w:tcBorders>
                    <w:tl2br w:val="nil"/>
                    <w:tr2bl w:val="nil"/>
                  </w:tcBorders>
                  <w:noWrap w:val="0"/>
                  <w:vAlign w:val="center"/>
                </w:tcPr>
                <w:p w14:paraId="05984086">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56</w:t>
                  </w:r>
                </w:p>
              </w:tc>
              <w:tc>
                <w:tcPr>
                  <w:tcW w:w="560" w:type="pct"/>
                  <w:tcBorders>
                    <w:tl2br w:val="nil"/>
                    <w:tr2bl w:val="nil"/>
                  </w:tcBorders>
                  <w:noWrap w:val="0"/>
                  <w:vAlign w:val="center"/>
                </w:tcPr>
                <w:p w14:paraId="3A28399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50</w:t>
                  </w:r>
                </w:p>
              </w:tc>
            </w:tr>
            <w:tr w14:paraId="0CC903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pct"/>
                  <w:tcBorders>
                    <w:tl2br w:val="nil"/>
                    <w:tr2bl w:val="nil"/>
                  </w:tcBorders>
                  <w:noWrap w:val="0"/>
                  <w:vAlign w:val="center"/>
                </w:tcPr>
                <w:p w14:paraId="236951B6">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挖掘机</w:t>
                  </w:r>
                </w:p>
              </w:tc>
              <w:tc>
                <w:tcPr>
                  <w:tcW w:w="610" w:type="pct"/>
                  <w:tcBorders>
                    <w:tl2br w:val="nil"/>
                    <w:tr2bl w:val="nil"/>
                  </w:tcBorders>
                  <w:noWrap w:val="0"/>
                  <w:vAlign w:val="center"/>
                </w:tcPr>
                <w:p w14:paraId="4D7D173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84</w:t>
                  </w:r>
                </w:p>
              </w:tc>
              <w:tc>
                <w:tcPr>
                  <w:tcW w:w="602" w:type="pct"/>
                  <w:tcBorders>
                    <w:tl2br w:val="nil"/>
                    <w:tr2bl w:val="nil"/>
                  </w:tcBorders>
                  <w:noWrap w:val="0"/>
                  <w:vAlign w:val="center"/>
                </w:tcPr>
                <w:p w14:paraId="2B6D9F5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78</w:t>
                  </w:r>
                </w:p>
              </w:tc>
              <w:tc>
                <w:tcPr>
                  <w:tcW w:w="641" w:type="pct"/>
                  <w:tcBorders>
                    <w:tl2br w:val="nil"/>
                    <w:tr2bl w:val="nil"/>
                  </w:tcBorders>
                  <w:noWrap w:val="0"/>
                  <w:vAlign w:val="center"/>
                </w:tcPr>
                <w:p w14:paraId="162BBE26">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72</w:t>
                  </w:r>
                </w:p>
              </w:tc>
              <w:tc>
                <w:tcPr>
                  <w:tcW w:w="649" w:type="pct"/>
                  <w:tcBorders>
                    <w:tl2br w:val="nil"/>
                    <w:tr2bl w:val="nil"/>
                  </w:tcBorders>
                  <w:noWrap w:val="0"/>
                  <w:vAlign w:val="center"/>
                </w:tcPr>
                <w:p w14:paraId="2E11B97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66</w:t>
                  </w:r>
                </w:p>
              </w:tc>
              <w:tc>
                <w:tcPr>
                  <w:tcW w:w="641" w:type="pct"/>
                  <w:tcBorders>
                    <w:tl2br w:val="nil"/>
                    <w:tr2bl w:val="nil"/>
                  </w:tcBorders>
                  <w:noWrap w:val="0"/>
                  <w:vAlign w:val="center"/>
                </w:tcPr>
                <w:p w14:paraId="0F9BCF4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60</w:t>
                  </w:r>
                </w:p>
              </w:tc>
              <w:tc>
                <w:tcPr>
                  <w:tcW w:w="602" w:type="pct"/>
                  <w:tcBorders>
                    <w:tl2br w:val="nil"/>
                    <w:tr2bl w:val="nil"/>
                  </w:tcBorders>
                  <w:noWrap w:val="0"/>
                  <w:vAlign w:val="center"/>
                </w:tcPr>
                <w:p w14:paraId="60ED6AE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54</w:t>
                  </w:r>
                </w:p>
              </w:tc>
              <w:tc>
                <w:tcPr>
                  <w:tcW w:w="560" w:type="pct"/>
                  <w:tcBorders>
                    <w:tl2br w:val="nil"/>
                    <w:tr2bl w:val="nil"/>
                  </w:tcBorders>
                  <w:noWrap w:val="0"/>
                  <w:vAlign w:val="center"/>
                </w:tcPr>
                <w:p w14:paraId="3A92B9D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48</w:t>
                  </w:r>
                </w:p>
              </w:tc>
            </w:tr>
            <w:tr w14:paraId="5785BF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pct"/>
                  <w:tcBorders>
                    <w:tl2br w:val="nil"/>
                    <w:tr2bl w:val="nil"/>
                  </w:tcBorders>
                  <w:noWrap w:val="0"/>
                  <w:vAlign w:val="center"/>
                </w:tcPr>
                <w:p w14:paraId="072A2A83">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14:textFill>
                        <w14:solidFill>
                          <w14:schemeClr w14:val="tx1"/>
                        </w14:solidFill>
                      </w14:textFill>
                    </w:rPr>
                    <w:t>运输车辆</w:t>
                  </w:r>
                </w:p>
              </w:tc>
              <w:tc>
                <w:tcPr>
                  <w:tcW w:w="610" w:type="pct"/>
                  <w:tcBorders>
                    <w:tl2br w:val="nil"/>
                    <w:tr2bl w:val="nil"/>
                  </w:tcBorders>
                  <w:noWrap w:val="0"/>
                  <w:vAlign w:val="center"/>
                </w:tcPr>
                <w:p w14:paraId="23B09AFE">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88</w:t>
                  </w:r>
                </w:p>
              </w:tc>
              <w:tc>
                <w:tcPr>
                  <w:tcW w:w="602" w:type="pct"/>
                  <w:tcBorders>
                    <w:tl2br w:val="nil"/>
                    <w:tr2bl w:val="nil"/>
                  </w:tcBorders>
                  <w:noWrap w:val="0"/>
                  <w:vAlign w:val="center"/>
                </w:tcPr>
                <w:p w14:paraId="0412515F">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82</w:t>
                  </w:r>
                </w:p>
              </w:tc>
              <w:tc>
                <w:tcPr>
                  <w:tcW w:w="641" w:type="pct"/>
                  <w:tcBorders>
                    <w:tl2br w:val="nil"/>
                    <w:tr2bl w:val="nil"/>
                  </w:tcBorders>
                  <w:noWrap w:val="0"/>
                  <w:vAlign w:val="center"/>
                </w:tcPr>
                <w:p w14:paraId="1AD989C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76</w:t>
                  </w:r>
                </w:p>
              </w:tc>
              <w:tc>
                <w:tcPr>
                  <w:tcW w:w="649" w:type="pct"/>
                  <w:tcBorders>
                    <w:tl2br w:val="nil"/>
                    <w:tr2bl w:val="nil"/>
                  </w:tcBorders>
                  <w:noWrap w:val="0"/>
                  <w:vAlign w:val="center"/>
                </w:tcPr>
                <w:p w14:paraId="5953CBF9">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70</w:t>
                  </w:r>
                </w:p>
              </w:tc>
              <w:tc>
                <w:tcPr>
                  <w:tcW w:w="641" w:type="pct"/>
                  <w:tcBorders>
                    <w:tl2br w:val="nil"/>
                    <w:tr2bl w:val="nil"/>
                  </w:tcBorders>
                  <w:noWrap w:val="0"/>
                  <w:vAlign w:val="center"/>
                </w:tcPr>
                <w:p w14:paraId="121884FD">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64</w:t>
                  </w:r>
                </w:p>
              </w:tc>
              <w:tc>
                <w:tcPr>
                  <w:tcW w:w="602" w:type="pct"/>
                  <w:tcBorders>
                    <w:tl2br w:val="nil"/>
                    <w:tr2bl w:val="nil"/>
                  </w:tcBorders>
                  <w:noWrap w:val="0"/>
                  <w:vAlign w:val="center"/>
                </w:tcPr>
                <w:p w14:paraId="5E0ACE6F">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58</w:t>
                  </w:r>
                </w:p>
              </w:tc>
              <w:tc>
                <w:tcPr>
                  <w:tcW w:w="560" w:type="pct"/>
                  <w:tcBorders>
                    <w:tl2br w:val="nil"/>
                    <w:tr2bl w:val="nil"/>
                  </w:tcBorders>
                  <w:noWrap w:val="0"/>
                  <w:vAlign w:val="center"/>
                </w:tcPr>
                <w:p w14:paraId="496BD11E">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52</w:t>
                  </w:r>
                </w:p>
              </w:tc>
            </w:tr>
          </w:tbl>
          <w:p w14:paraId="1476F199">
            <w:pPr>
              <w:keepNext w:val="0"/>
              <w:keepLines w:val="0"/>
              <w:widowControl/>
              <w:suppressLineNumbers w:val="0"/>
              <w:spacing w:before="0" w:beforeAutospacing="0" w:after="0" w:afterAutospacing="0"/>
              <w:ind w:left="0" w:right="0"/>
              <w:jc w:val="left"/>
              <w:rPr>
                <w:rFonts w:hint="default" w:cs="Times New Roman"/>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对照分析上表可知，本项目施工期间，在昼间与施工场地距离约</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40m</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的地方可符合规定的噪声限值；在夜间与施工场地距离约</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320m</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的地方可符合规定的噪声限值。本工程仅昼间施工，夜间不施工，根据现场踏勘，本工程</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40m</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范围内无声环境保护目标，施工机械设备大多为不连续性噪声，施工现场合理布置，高噪声设备远离敏感目标设置，且施工期较短，噪声影响随着施工期结束而结束。因此，本项目施工期噪声对周围环境影响很小。</w:t>
            </w:r>
          </w:p>
          <w:p w14:paraId="36CBC0DA">
            <w:pPr>
              <w:pStyle w:val="2"/>
              <w:bidi w:val="0"/>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5</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固体废物影响分析</w:t>
            </w:r>
          </w:p>
          <w:p w14:paraId="211F54D3">
            <w:pPr>
              <w:keepNext w:val="0"/>
              <w:keepLines w:val="0"/>
              <w:suppressLineNumbers w:val="0"/>
              <w:bidi w:val="0"/>
              <w:spacing w:before="0" w:beforeAutospacing="0" w:after="0" w:afterAutospacing="0"/>
              <w:ind w:left="0" w:right="0"/>
              <w:rPr>
                <w:rFonts w:hint="eastAsia"/>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⑴</w:t>
            </w:r>
            <w:r>
              <w:rPr>
                <w:rFonts w:hint="eastAsia"/>
                <w:color w:val="000000" w:themeColor="text1"/>
                <w:highlight w:val="none"/>
                <w14:textFill>
                  <w14:solidFill>
                    <w14:schemeClr w14:val="tx1"/>
                  </w14:solidFill>
                </w14:textFill>
              </w:rPr>
              <w:t>废土石方</w:t>
            </w:r>
          </w:p>
          <w:p w14:paraId="2D908537">
            <w:pPr>
              <w:keepNext w:val="0"/>
              <w:keepLines w:val="0"/>
              <w:suppressLineNumbers w:val="0"/>
              <w:bidi w:val="0"/>
              <w:spacing w:before="0" w:beforeAutospacing="0" w:after="0" w:afterAutospacing="0"/>
              <w:ind w:left="0" w:right="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根据本项目土石方平衡表可知，本项目开挖土方全部回填用于土地平整</w:t>
            </w:r>
            <w:r>
              <w:rPr>
                <w:rFonts w:hint="eastAsia"/>
                <w:color w:val="000000" w:themeColor="text1"/>
                <w:highlight w:val="none"/>
                <w:lang w:val="en-US" w:eastAsia="zh-CN"/>
                <w14:textFill>
                  <w14:solidFill>
                    <w14:schemeClr w14:val="tx1"/>
                  </w14:solidFill>
                </w14:textFill>
              </w:rPr>
              <w:t>及覆土</w:t>
            </w:r>
            <w:r>
              <w:rPr>
                <w:rFonts w:hint="eastAsia"/>
                <w:color w:val="000000" w:themeColor="text1"/>
                <w:highlight w:val="none"/>
                <w14:textFill>
                  <w14:solidFill>
                    <w14:schemeClr w14:val="tx1"/>
                  </w14:solidFill>
                </w14:textFill>
              </w:rPr>
              <w:t>，无弃土外运，临时堆放时采取相应的防护措施，避免因长期堆放对水体或空气质量造成影响</w:t>
            </w:r>
            <w:r>
              <w:rPr>
                <w:rFonts w:hint="eastAsia"/>
                <w:color w:val="000000" w:themeColor="text1"/>
                <w:highlight w:val="none"/>
                <w:lang w:eastAsia="zh-CN"/>
                <w14:textFill>
                  <w14:solidFill>
                    <w14:schemeClr w14:val="tx1"/>
                  </w14:solidFill>
                </w14:textFill>
              </w:rPr>
              <w:t>。</w:t>
            </w:r>
          </w:p>
          <w:p w14:paraId="7E410E93">
            <w:pPr>
              <w:keepNext w:val="0"/>
              <w:keepLines w:val="0"/>
              <w:suppressLineNumbers w:val="0"/>
              <w:bidi w:val="0"/>
              <w:spacing w:before="0" w:beforeAutospacing="0" w:after="0" w:afterAutospacing="0"/>
              <w:ind w:left="0" w:leftChars="0" w:right="0" w:firstLine="454" w:firstLineChars="200"/>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⑵</w:t>
            </w:r>
            <w:r>
              <w:rPr>
                <w:rFonts w:hint="eastAsia"/>
                <w:color w:val="000000" w:themeColor="text1"/>
                <w:highlight w:val="none"/>
                <w:lang w:val="en-US" w:eastAsia="zh-CN"/>
                <w14:textFill>
                  <w14:solidFill>
                    <w14:schemeClr w14:val="tx1"/>
                  </w14:solidFill>
                </w14:textFill>
              </w:rPr>
              <w:t>生活垃圾</w:t>
            </w:r>
          </w:p>
          <w:p w14:paraId="7C999D77">
            <w:pPr>
              <w:keepNext w:val="0"/>
              <w:keepLines w:val="0"/>
              <w:suppressLineNumbers w:val="0"/>
              <w:bidi w:val="0"/>
              <w:spacing w:before="0" w:beforeAutospacing="0" w:after="0" w:afterAutospacing="0"/>
              <w:ind w:left="0" w:leftChars="0" w:right="0" w:firstLine="454"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施工期生活垃圾集中分类收集后送至邻近村庄生活垃圾收集点，由当地环卫部门统一清运处置。</w:t>
            </w:r>
          </w:p>
          <w:p w14:paraId="245E0A16">
            <w:pPr>
              <w:keepNext w:val="0"/>
              <w:keepLines w:val="0"/>
              <w:suppressLineNumbers w:val="0"/>
              <w:bidi w:val="0"/>
              <w:spacing w:before="0" w:beforeAutospacing="0" w:after="0" w:afterAutospacing="0"/>
              <w:ind w:left="0" w:leftChars="0" w:right="0" w:firstLine="454" w:firstLineChars="20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固体废物均可妥善处置，对</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周围环境影响</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较</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小</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w:t>
            </w:r>
          </w:p>
        </w:tc>
      </w:tr>
      <w:tr w14:paraId="68B2D6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6" w:hRule="atLeast"/>
          <w:jc w:val="center"/>
        </w:trPr>
        <w:tc>
          <w:tcPr>
            <w:tcW w:w="707" w:type="dxa"/>
            <w:tcBorders>
              <w:tl2br w:val="nil"/>
              <w:tr2bl w:val="nil"/>
            </w:tcBorders>
            <w:noWrap w:val="0"/>
            <w:tcMar>
              <w:left w:w="28" w:type="dxa"/>
              <w:right w:w="28" w:type="dxa"/>
            </w:tcMar>
            <w:vAlign w:val="center"/>
          </w:tcPr>
          <w:p w14:paraId="339F5D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14:textFill>
                  <w14:solidFill>
                    <w14:schemeClr w14:val="tx1"/>
                  </w14:solidFill>
                </w14:textFill>
              </w:rPr>
            </w:pPr>
            <w:r>
              <w:rPr>
                <w:rFonts w:hint="default" w:cs="Times New Roman"/>
                <w:b/>
                <w:bCs/>
                <w:color w:val="000000" w:themeColor="text1"/>
                <w:highlight w:val="none"/>
                <w14:textFill>
                  <w14:solidFill>
                    <w14:schemeClr w14:val="tx1"/>
                  </w14:solidFill>
                </w14:textFill>
              </w:rPr>
              <w:t>运营期生态环境影响分析</w:t>
            </w:r>
          </w:p>
        </w:tc>
        <w:tc>
          <w:tcPr>
            <w:tcW w:w="8535" w:type="dxa"/>
            <w:tcBorders>
              <w:tl2br w:val="nil"/>
              <w:tr2bl w:val="nil"/>
            </w:tcBorders>
            <w:noWrap w:val="0"/>
            <w:vAlign w:val="top"/>
          </w:tcPr>
          <w:p w14:paraId="0F342C77">
            <w:pPr>
              <w:bidi w:val="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运营期无废气、废水、噪声及固体废弃物等的产生，项目生态恢复治理面积较大，区域降水较少，雨季产生的雨水基本可被植物、土壤吸收，在治理区内自行消纳，本项目的实施相对于项目实施前是更有利于周边的生态环境恢复。项目运营期对治理区草地进行养护，补水方式采用水罐车拉水，利用软管进行人工浇水。提高治理区内被破坏土地的植被覆盖率。运营期涉及的生态影响主要是对植被及生态系统的正效应。运营</w:t>
            </w:r>
            <w:r>
              <w:rPr>
                <w:rFonts w:hint="default"/>
                <w:color w:val="000000" w:themeColor="text1"/>
                <w:highlight w:val="none"/>
                <w:lang w:val="en-US" w:eastAsia="zh-CN"/>
                <w14:textFill>
                  <w14:solidFill>
                    <w14:schemeClr w14:val="tx1"/>
                  </w14:solidFill>
                </w14:textFill>
              </w:rPr>
              <w:t>期生态环境影响详见专项评价报告。</w:t>
            </w:r>
          </w:p>
        </w:tc>
      </w:tr>
      <w:tr w14:paraId="3171DF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8" w:hRule="atLeast"/>
          <w:jc w:val="center"/>
        </w:trPr>
        <w:tc>
          <w:tcPr>
            <w:tcW w:w="707" w:type="dxa"/>
            <w:tcBorders>
              <w:tl2br w:val="nil"/>
              <w:tr2bl w:val="nil"/>
            </w:tcBorders>
            <w:noWrap w:val="0"/>
            <w:vAlign w:val="center"/>
          </w:tcPr>
          <w:p w14:paraId="460284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选址选线环境合理性分析</w:t>
            </w:r>
          </w:p>
        </w:tc>
        <w:tc>
          <w:tcPr>
            <w:tcW w:w="8535" w:type="dxa"/>
            <w:tcBorders>
              <w:tl2br w:val="nil"/>
              <w:tr2bl w:val="nil"/>
            </w:tcBorders>
            <w:noWrap w:val="0"/>
            <w:vAlign w:val="center"/>
          </w:tcPr>
          <w:p w14:paraId="6AEDCF04">
            <w:pPr>
              <w:keepNext w:val="0"/>
              <w:keepLines w:val="0"/>
              <w:widowControl/>
              <w:suppressLineNumbers w:val="0"/>
              <w:spacing w:before="0" w:beforeAutospacing="0" w:after="0" w:afterAutospacing="0"/>
              <w:ind w:left="0" w:right="0"/>
              <w:jc w:val="left"/>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本项目治理区位于宁夏回族自治区中卫市沙坡头区宣和镇，本项目是对天景山山峁圪垯梁灰石矿山进行生态修复治理，选址具有唯一性、不可替代性。</w:t>
            </w:r>
          </w:p>
          <w:p w14:paraId="4364FC1D">
            <w:pPr>
              <w:keepNext w:val="0"/>
              <w:keepLines w:val="0"/>
              <w:widowControl/>
              <w:suppressLineNumbers w:val="0"/>
              <w:spacing w:before="0" w:beforeAutospacing="0" w:after="0" w:afterAutospacing="0"/>
              <w:ind w:left="0" w:right="0"/>
              <w:jc w:val="left"/>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中卫市沙坡头区矿产资源开发利用以煤炭、铁矿、铜矿、建筑用砂、粘土等非金属矿藏为主。矿业采掘活动历史悠久，为宁夏经济社会发展做出巨大贡献。但长时间的采矿活动对矿山生态环境造成的负面效应也逐渐显现。采矿活动不仅引发、加剧地质灾害，也对地形地貌景观、土地资源和地下含水层造成了严重影响和破坏。中卫市宣和镇天景山峁圪垯梁灰石矿涉及在矿区范围外违法占地堆放废渣土和成品石料，对天然植被造成破坏，边坡坡底仍堆积大量碎石，渣石、废土依山体堆放，水土保持措施不到位，边坡、渣堆上可见雨水冲沟多处，造成的生态破坏一直未修复到位。</w:t>
            </w:r>
          </w:p>
          <w:p w14:paraId="159E1711">
            <w:pPr>
              <w:keepNext w:val="0"/>
              <w:keepLines w:val="0"/>
              <w:widowControl/>
              <w:suppressLineNumbers w:val="0"/>
              <w:spacing w:before="0" w:beforeAutospacing="0" w:after="0" w:afterAutospacing="0"/>
              <w:ind w:left="0" w:right="0"/>
              <w:jc w:val="left"/>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项目的建设可</w:t>
            </w:r>
            <w:r>
              <w:rPr>
                <w:rFonts w:hint="default" w:ascii="宋体" w:hAnsi="宋体" w:eastAsia="宋体" w:cs="宋体"/>
                <w:color w:val="000000" w:themeColor="text1"/>
                <w:sz w:val="24"/>
                <w:szCs w:val="24"/>
                <w:highlight w:val="none"/>
                <w14:textFill>
                  <w14:solidFill>
                    <w14:schemeClr w14:val="tx1"/>
                  </w14:solidFill>
                </w14:textFill>
              </w:rPr>
              <w:t>加快并彻底恢复矿山毁损山体的生态环境以及消除地质灾害隐患</w:t>
            </w:r>
            <w:r>
              <w:rPr>
                <w:rFonts w:hint="eastAsia" w:ascii="宋体" w:hAnsi="宋体" w:cs="宋体"/>
                <w:color w:val="000000" w:themeColor="text1"/>
                <w:sz w:val="24"/>
                <w:szCs w:val="24"/>
                <w:highlight w:val="none"/>
                <w:lang w:eastAsia="zh-CN"/>
                <w14:textFill>
                  <w14:solidFill>
                    <w14:schemeClr w14:val="tx1"/>
                  </w14:solidFill>
                </w14:textFill>
              </w:rPr>
              <w:t>。</w:t>
            </w:r>
            <w:r>
              <w:rPr>
                <w:rFonts w:hint="default" w:ascii="宋体" w:hAnsi="宋体" w:eastAsia="宋体" w:cs="宋体"/>
                <w:color w:val="000000" w:themeColor="text1"/>
                <w:sz w:val="24"/>
                <w:szCs w:val="24"/>
                <w:highlight w:val="none"/>
                <w14:textFill>
                  <w14:solidFill>
                    <w14:schemeClr w14:val="tx1"/>
                  </w14:solidFill>
                </w14:textFill>
              </w:rPr>
              <w:t>矿山的修复过程中产生的废气、噪声、地表水等污染经过采取相应的措施处理后对周边环境的影响较小</w:t>
            </w:r>
            <w:r>
              <w:rPr>
                <w:rFonts w:hint="eastAsia" w:ascii="宋体" w:hAnsi="宋体" w:cs="宋体"/>
                <w:color w:val="000000" w:themeColor="text1"/>
                <w:sz w:val="24"/>
                <w:szCs w:val="24"/>
                <w:highlight w:val="none"/>
                <w:lang w:eastAsia="zh-CN"/>
                <w14:textFill>
                  <w14:solidFill>
                    <w14:schemeClr w14:val="tx1"/>
                  </w14:solidFill>
                </w14:textFill>
              </w:rPr>
              <w:t>。项目区</w:t>
            </w:r>
            <w:r>
              <w:rPr>
                <w:rFonts w:hint="eastAsia" w:ascii="宋体" w:hAnsi="宋体" w:cs="宋体"/>
                <w:color w:val="000000" w:themeColor="text1"/>
                <w:sz w:val="24"/>
                <w:szCs w:val="24"/>
                <w:highlight w:val="none"/>
                <w:lang w:val="en-US" w:eastAsia="zh-CN"/>
                <w14:textFill>
                  <w14:solidFill>
                    <w14:schemeClr w14:val="tx1"/>
                  </w14:solidFill>
                </w14:textFill>
              </w:rPr>
              <w:t>不涉及生态红线，</w:t>
            </w:r>
            <w:r>
              <w:rPr>
                <w:rFonts w:hint="eastAsia" w:ascii="宋体" w:hAnsi="宋体" w:cs="宋体"/>
                <w:color w:val="000000" w:themeColor="text1"/>
                <w:sz w:val="24"/>
                <w:szCs w:val="24"/>
                <w:highlight w:val="none"/>
                <w:lang w:eastAsia="zh-CN"/>
                <w14:textFill>
                  <w14:solidFill>
                    <w14:schemeClr w14:val="tx1"/>
                  </w14:solidFill>
                </w14:textFill>
              </w:rPr>
              <w:t>周边无自然保护区、重要生境、基本农田、耕地等，无饮用水源地等国家明令规定的保护对象，也无居民点分布。</w:t>
            </w:r>
            <w:r>
              <w:rPr>
                <w:rFonts w:hint="eastAsia" w:cs="Times New Roman"/>
                <w:color w:val="000000" w:themeColor="text1"/>
                <w:highlight w:val="none"/>
                <w:lang w:val="en-US" w:eastAsia="zh-CN"/>
                <w14:textFill>
                  <w14:solidFill>
                    <w14:schemeClr w14:val="tx1"/>
                  </w14:solidFill>
                </w14:textFill>
              </w:rPr>
              <w:t>从环境影响角度，本项目选址合理。</w:t>
            </w:r>
          </w:p>
          <w:p w14:paraId="0F0026F5">
            <w:pPr>
              <w:keepNext w:val="0"/>
              <w:keepLines w:val="0"/>
              <w:widowControl/>
              <w:suppressLineNumbers w:val="0"/>
              <w:spacing w:before="0" w:beforeAutospacing="0" w:after="0" w:afterAutospacing="0"/>
              <w:ind w:left="0" w:right="0"/>
              <w:jc w:val="left"/>
              <w:rPr>
                <w:rFonts w:hint="eastAsia" w:cs="Times New Roman"/>
                <w:color w:val="000000" w:themeColor="text1"/>
                <w:highlight w:val="none"/>
                <w:lang w:val="en-US" w:eastAsia="zh-CN"/>
                <w14:textFill>
                  <w14:solidFill>
                    <w14:schemeClr w14:val="tx1"/>
                  </w14:solidFill>
                </w14:textFill>
              </w:rPr>
            </w:pPr>
          </w:p>
          <w:p w14:paraId="02A199E4">
            <w:pPr>
              <w:keepNext w:val="0"/>
              <w:keepLines w:val="0"/>
              <w:widowControl/>
              <w:suppressLineNumbers w:val="0"/>
              <w:spacing w:before="0" w:beforeAutospacing="0" w:after="0" w:afterAutospacing="0"/>
              <w:ind w:left="0" w:right="0"/>
              <w:jc w:val="left"/>
              <w:rPr>
                <w:rFonts w:hint="default" w:cs="Times New Roman"/>
                <w:color w:val="000000" w:themeColor="text1"/>
                <w:highlight w:val="none"/>
                <w:lang w:val="en-US" w:eastAsia="zh-CN"/>
                <w14:textFill>
                  <w14:solidFill>
                    <w14:schemeClr w14:val="tx1"/>
                  </w14:solidFill>
                </w14:textFill>
              </w:rPr>
            </w:pPr>
          </w:p>
          <w:p w14:paraId="2F91749C">
            <w:pPr>
              <w:keepNext w:val="0"/>
              <w:keepLines w:val="0"/>
              <w:widowControl/>
              <w:suppressLineNumbers w:val="0"/>
              <w:spacing w:before="0" w:beforeAutospacing="0" w:after="0" w:afterAutospacing="0"/>
              <w:ind w:left="0" w:right="0"/>
              <w:jc w:val="left"/>
              <w:rPr>
                <w:rFonts w:hint="default" w:cs="Times New Roman"/>
                <w:color w:val="000000" w:themeColor="text1"/>
                <w:highlight w:val="none"/>
                <w:lang w:val="en-US" w:eastAsia="zh-CN"/>
                <w14:textFill>
                  <w14:solidFill>
                    <w14:schemeClr w14:val="tx1"/>
                  </w14:solidFill>
                </w14:textFill>
              </w:rPr>
            </w:pPr>
          </w:p>
          <w:p w14:paraId="6A167DA7">
            <w:pPr>
              <w:keepNext w:val="0"/>
              <w:keepLines w:val="0"/>
              <w:widowControl/>
              <w:suppressLineNumbers w:val="0"/>
              <w:spacing w:before="0" w:beforeAutospacing="0" w:after="0" w:afterAutospacing="0"/>
              <w:ind w:left="0" w:right="0"/>
              <w:jc w:val="left"/>
              <w:rPr>
                <w:rFonts w:hint="default" w:cs="Times New Roman"/>
                <w:color w:val="000000" w:themeColor="text1"/>
                <w:highlight w:val="none"/>
                <w:lang w:val="en-US" w:eastAsia="zh-CN"/>
                <w14:textFill>
                  <w14:solidFill>
                    <w14:schemeClr w14:val="tx1"/>
                  </w14:solidFill>
                </w14:textFill>
              </w:rPr>
            </w:pPr>
          </w:p>
          <w:p w14:paraId="26D3233D">
            <w:pPr>
              <w:keepNext w:val="0"/>
              <w:keepLines w:val="0"/>
              <w:widowControl/>
              <w:suppressLineNumbers w:val="0"/>
              <w:spacing w:before="0" w:beforeAutospacing="0" w:after="0" w:afterAutospacing="0"/>
              <w:ind w:left="0" w:right="0"/>
              <w:jc w:val="left"/>
              <w:rPr>
                <w:rFonts w:hint="default" w:cs="Times New Roman"/>
                <w:color w:val="000000" w:themeColor="text1"/>
                <w:highlight w:val="none"/>
                <w:lang w:val="en-US" w:eastAsia="zh-CN"/>
                <w14:textFill>
                  <w14:solidFill>
                    <w14:schemeClr w14:val="tx1"/>
                  </w14:solidFill>
                </w14:textFill>
              </w:rPr>
            </w:pPr>
          </w:p>
          <w:p w14:paraId="055C092E">
            <w:pPr>
              <w:keepNext w:val="0"/>
              <w:keepLines w:val="0"/>
              <w:widowControl/>
              <w:suppressLineNumbers w:val="0"/>
              <w:spacing w:before="0" w:beforeAutospacing="0" w:after="0" w:afterAutospacing="0"/>
              <w:ind w:left="0" w:right="0"/>
              <w:jc w:val="left"/>
              <w:rPr>
                <w:rFonts w:hint="default" w:cs="Times New Roman"/>
                <w:color w:val="000000" w:themeColor="text1"/>
                <w:highlight w:val="none"/>
                <w:lang w:val="en-US" w:eastAsia="zh-CN"/>
                <w14:textFill>
                  <w14:solidFill>
                    <w14:schemeClr w14:val="tx1"/>
                  </w14:solidFill>
                </w14:textFill>
              </w:rPr>
            </w:pPr>
          </w:p>
          <w:p w14:paraId="353E2861">
            <w:pPr>
              <w:keepNext w:val="0"/>
              <w:keepLines w:val="0"/>
              <w:widowControl/>
              <w:suppressLineNumbers w:val="0"/>
              <w:spacing w:before="0" w:beforeAutospacing="0" w:after="0" w:afterAutospacing="0"/>
              <w:ind w:left="0" w:right="0"/>
              <w:jc w:val="left"/>
              <w:rPr>
                <w:rFonts w:hint="default" w:cs="Times New Roman"/>
                <w:color w:val="000000" w:themeColor="text1"/>
                <w:highlight w:val="none"/>
                <w:lang w:val="en-US" w:eastAsia="zh-CN"/>
                <w14:textFill>
                  <w14:solidFill>
                    <w14:schemeClr w14:val="tx1"/>
                  </w14:solidFill>
                </w14:textFill>
              </w:rPr>
            </w:pPr>
          </w:p>
          <w:p w14:paraId="2598E445">
            <w:pPr>
              <w:keepNext w:val="0"/>
              <w:keepLines w:val="0"/>
              <w:widowControl/>
              <w:suppressLineNumbers w:val="0"/>
              <w:spacing w:before="0" w:beforeAutospacing="0" w:after="0" w:afterAutospacing="0"/>
              <w:ind w:left="0" w:right="0"/>
              <w:jc w:val="left"/>
              <w:rPr>
                <w:rFonts w:hint="default" w:cs="Times New Roman"/>
                <w:color w:val="000000" w:themeColor="text1"/>
                <w:highlight w:val="none"/>
                <w:lang w:val="en-US" w:eastAsia="zh-CN"/>
                <w14:textFill>
                  <w14:solidFill>
                    <w14:schemeClr w14:val="tx1"/>
                  </w14:solidFill>
                </w14:textFill>
              </w:rPr>
            </w:pPr>
          </w:p>
          <w:p w14:paraId="3643F8C6">
            <w:pPr>
              <w:keepNext w:val="0"/>
              <w:keepLines w:val="0"/>
              <w:widowControl/>
              <w:suppressLineNumbers w:val="0"/>
              <w:spacing w:before="0" w:beforeAutospacing="0" w:after="0" w:afterAutospacing="0"/>
              <w:ind w:left="0" w:right="0"/>
              <w:jc w:val="left"/>
              <w:rPr>
                <w:rFonts w:hint="default" w:cs="Times New Roman"/>
                <w:color w:val="000000" w:themeColor="text1"/>
                <w:highlight w:val="none"/>
                <w:lang w:val="en-US" w:eastAsia="zh-CN"/>
                <w14:textFill>
                  <w14:solidFill>
                    <w14:schemeClr w14:val="tx1"/>
                  </w14:solidFill>
                </w14:textFill>
              </w:rPr>
            </w:pPr>
          </w:p>
          <w:p w14:paraId="25F4DA10">
            <w:pPr>
              <w:keepNext w:val="0"/>
              <w:keepLines w:val="0"/>
              <w:widowControl/>
              <w:suppressLineNumbers w:val="0"/>
              <w:spacing w:before="0" w:beforeAutospacing="0" w:after="0" w:afterAutospacing="0"/>
              <w:ind w:left="0" w:right="0"/>
              <w:jc w:val="left"/>
              <w:rPr>
                <w:rFonts w:hint="default" w:cs="Times New Roman"/>
                <w:color w:val="000000" w:themeColor="text1"/>
                <w:highlight w:val="none"/>
                <w:lang w:val="en-US" w:eastAsia="zh-CN"/>
                <w14:textFill>
                  <w14:solidFill>
                    <w14:schemeClr w14:val="tx1"/>
                  </w14:solidFill>
                </w14:textFill>
              </w:rPr>
            </w:pPr>
          </w:p>
          <w:p w14:paraId="2AC5B22A">
            <w:pPr>
              <w:keepNext w:val="0"/>
              <w:keepLines w:val="0"/>
              <w:widowControl/>
              <w:suppressLineNumbers w:val="0"/>
              <w:spacing w:before="0" w:beforeAutospacing="0" w:after="0" w:afterAutospacing="0"/>
              <w:ind w:left="0" w:right="0"/>
              <w:jc w:val="left"/>
              <w:rPr>
                <w:rFonts w:hint="default" w:cs="Times New Roman"/>
                <w:color w:val="000000" w:themeColor="text1"/>
                <w:highlight w:val="none"/>
                <w:lang w:val="en-US" w:eastAsia="zh-CN"/>
                <w14:textFill>
                  <w14:solidFill>
                    <w14:schemeClr w14:val="tx1"/>
                  </w14:solidFill>
                </w14:textFill>
              </w:rPr>
            </w:pPr>
          </w:p>
          <w:p w14:paraId="323B4F06">
            <w:pPr>
              <w:keepNext w:val="0"/>
              <w:keepLines w:val="0"/>
              <w:widowControl/>
              <w:suppressLineNumbers w:val="0"/>
              <w:spacing w:before="0" w:beforeAutospacing="0" w:after="0" w:afterAutospacing="0"/>
              <w:ind w:left="0" w:right="0"/>
              <w:jc w:val="left"/>
              <w:rPr>
                <w:rFonts w:hint="default" w:cs="Times New Roman"/>
                <w:color w:val="000000" w:themeColor="text1"/>
                <w:highlight w:val="none"/>
                <w:lang w:val="en-US" w:eastAsia="zh-CN"/>
                <w14:textFill>
                  <w14:solidFill>
                    <w14:schemeClr w14:val="tx1"/>
                  </w14:solidFill>
                </w14:textFill>
              </w:rPr>
            </w:pPr>
          </w:p>
          <w:p w14:paraId="03C842AD">
            <w:pPr>
              <w:keepNext w:val="0"/>
              <w:keepLines w:val="0"/>
              <w:widowControl/>
              <w:suppressLineNumbers w:val="0"/>
              <w:spacing w:before="0" w:beforeAutospacing="0" w:after="0" w:afterAutospacing="0"/>
              <w:ind w:left="0" w:right="0"/>
              <w:jc w:val="left"/>
              <w:rPr>
                <w:rFonts w:hint="default" w:cs="Times New Roman"/>
                <w:color w:val="000000" w:themeColor="text1"/>
                <w:highlight w:val="none"/>
                <w:lang w:val="en-US" w:eastAsia="zh-CN"/>
                <w14:textFill>
                  <w14:solidFill>
                    <w14:schemeClr w14:val="tx1"/>
                  </w14:solidFill>
                </w14:textFill>
              </w:rPr>
            </w:pPr>
          </w:p>
          <w:p w14:paraId="047FFD1E">
            <w:pPr>
              <w:keepNext w:val="0"/>
              <w:keepLines w:val="0"/>
              <w:widowControl/>
              <w:suppressLineNumbers w:val="0"/>
              <w:spacing w:before="0" w:beforeAutospacing="0" w:after="0" w:afterAutospacing="0"/>
              <w:ind w:left="0" w:right="0"/>
              <w:jc w:val="left"/>
              <w:rPr>
                <w:rFonts w:hint="default" w:cs="Times New Roman"/>
                <w:color w:val="000000" w:themeColor="text1"/>
                <w:highlight w:val="none"/>
                <w:lang w:val="en-US" w:eastAsia="zh-CN"/>
                <w14:textFill>
                  <w14:solidFill>
                    <w14:schemeClr w14:val="tx1"/>
                  </w14:solidFill>
                </w14:textFill>
              </w:rPr>
            </w:pPr>
          </w:p>
          <w:p w14:paraId="18E09B55">
            <w:pPr>
              <w:keepNext w:val="0"/>
              <w:keepLines w:val="0"/>
              <w:widowControl/>
              <w:suppressLineNumbers w:val="0"/>
              <w:spacing w:before="0" w:beforeAutospacing="0" w:after="0" w:afterAutospacing="0"/>
              <w:ind w:left="0" w:right="0"/>
              <w:jc w:val="left"/>
              <w:rPr>
                <w:rFonts w:hint="default" w:cs="Times New Roman"/>
                <w:color w:val="000000" w:themeColor="text1"/>
                <w:highlight w:val="none"/>
                <w:lang w:val="en-US" w:eastAsia="zh-CN"/>
                <w14:textFill>
                  <w14:solidFill>
                    <w14:schemeClr w14:val="tx1"/>
                  </w14:solidFill>
                </w14:textFill>
              </w:rPr>
            </w:pPr>
          </w:p>
        </w:tc>
      </w:tr>
    </w:tbl>
    <w:p w14:paraId="2F2494CD">
      <w:pPr>
        <w:pStyle w:val="24"/>
        <w:jc w:val="center"/>
        <w:rPr>
          <w:rFonts w:ascii="Times New Roman" w:hAnsi="Times New Roman" w:eastAsia="黑体"/>
          <w:snapToGrid w:val="0"/>
          <w:color w:val="000000" w:themeColor="text1"/>
          <w:sz w:val="36"/>
          <w:szCs w:val="36"/>
          <w:highlight w:val="none"/>
          <w14:textFill>
            <w14:solidFill>
              <w14:schemeClr w14:val="tx1"/>
            </w14:solidFill>
          </w14:textFill>
        </w:rPr>
        <w:sectPr>
          <w:pgSz w:w="11905" w:h="16838"/>
          <w:pgMar w:top="1417" w:right="1417" w:bottom="1417" w:left="1417" w:header="851" w:footer="964" w:gutter="0"/>
          <w:pgBorders>
            <w:top w:val="none" w:sz="0" w:space="0"/>
            <w:left w:val="none" w:sz="0" w:space="0"/>
            <w:bottom w:val="none" w:sz="0" w:space="0"/>
            <w:right w:val="none" w:sz="0" w:space="0"/>
          </w:pgBorders>
          <w:pgNumType w:fmt="numberInDash"/>
          <w:cols w:space="720" w:num="1"/>
          <w:rtlGutter w:val="0"/>
          <w:docGrid w:type="linesAndChars" w:linePitch="466" w:charSpace="-2709"/>
        </w:sectPr>
      </w:pPr>
    </w:p>
    <w:p w14:paraId="5999871D">
      <w:pPr>
        <w:pStyle w:val="4"/>
        <w:numPr>
          <w:ilvl w:val="0"/>
          <w:numId w:val="3"/>
        </w:numPr>
        <w:bidi w:val="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主要生态环境保护措施</w:t>
      </w:r>
    </w:p>
    <w:tbl>
      <w:tblPr>
        <w:tblStyle w:val="28"/>
        <w:tblW w:w="921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1"/>
        <w:gridCol w:w="8519"/>
      </w:tblGrid>
      <w:tr w14:paraId="086665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691" w:type="dxa"/>
            <w:noWrap w:val="0"/>
            <w:tcMar>
              <w:left w:w="28" w:type="dxa"/>
              <w:right w:w="28" w:type="dxa"/>
            </w:tcMar>
            <w:vAlign w:val="center"/>
          </w:tcPr>
          <w:p w14:paraId="3D3ED7A7">
            <w:pPr>
              <w:keepNext w:val="0"/>
              <w:keepLines w:val="0"/>
              <w:suppressLineNumbers w:val="0"/>
              <w:bidi w:val="0"/>
              <w:spacing w:before="0" w:beforeAutospacing="0" w:after="0" w:afterAutospacing="0"/>
              <w:ind w:left="0" w:leftChars="0" w:right="0" w:firstLine="0" w:firstLineChars="0"/>
              <w:jc w:val="center"/>
              <w:rPr>
                <w:rFonts w:hint="default" w:cs="Times New Roman"/>
                <w:bCs/>
                <w:color w:val="000000" w:themeColor="text1"/>
                <w:szCs w:val="21"/>
                <w:highlight w:val="none"/>
                <w14:textFill>
                  <w14:solidFill>
                    <w14:schemeClr w14:val="tx1"/>
                  </w14:solidFill>
                </w14:textFill>
              </w:rPr>
            </w:pPr>
            <w:r>
              <w:rPr>
                <w:rFonts w:hint="default" w:cs="Times New Roman"/>
                <w:b/>
                <w:bCs/>
                <w:color w:val="000000" w:themeColor="text1"/>
                <w:highlight w:val="none"/>
                <w14:textFill>
                  <w14:solidFill>
                    <w14:schemeClr w14:val="tx1"/>
                  </w14:solidFill>
                </w14:textFill>
              </w:rPr>
              <w:t>施工期生态环境保护措施</w:t>
            </w:r>
          </w:p>
        </w:tc>
        <w:tc>
          <w:tcPr>
            <w:tcW w:w="8519" w:type="dxa"/>
            <w:noWrap w:val="0"/>
            <w:vAlign w:val="top"/>
          </w:tcPr>
          <w:p w14:paraId="2BA8C6E8">
            <w:pPr>
              <w:pStyle w:val="2"/>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14:textFill>
                  <w14:solidFill>
                    <w14:schemeClr w14:val="tx1"/>
                  </w14:solidFill>
                </w14:textFill>
              </w:rPr>
              <w:t>生态环境保护措施</w:t>
            </w:r>
          </w:p>
          <w:p w14:paraId="68A83883">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⑴土地利用保护措施</w:t>
            </w:r>
          </w:p>
          <w:p w14:paraId="2C51DDB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在施工期，通过严格控制施工范围（利用围栏、警戒线限定扰动区域）和加强人员环保教育，从管理源头减少对土地的人为扰动。同时，落实一系列有针对性的施工期临时水土保持措施：对裸露坡面、临时堆土及建筑材料进行防尘网苫盖，在堆土坡脚设置装土编织袋拦挡</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有效控制施工过程中的土壤流失与面源污染。</w:t>
            </w:r>
          </w:p>
          <w:p w14:paraId="662FF32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在工程层面，本项目通过系统的地形整治与生态修复，从根本上保护和提升土地资源的价值与稳定性。地形地貌恢复工程（包括矿产品清理、25,851.74</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的坡面修整及场区平整）消除了地质灾害隐患，重塑了稳定地形。配套的截排水工程构成了永久性的</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导流</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系统，能够有效引导、分流雨水，防止水土冲刷。通过对33,074.11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区域进行覆土、对部分土地深松改良土壤结构，并为27.22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hm</w:t>
            </w:r>
            <w:r>
              <w:rPr>
                <w:rFonts w:hint="default" w:ascii="Times New Roman" w:hAnsi="Times New Roman"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区域科学配植乡土草种并实施为期3年的专项养护（包括计划性人工补水），将逐步构建起持久、茂密的植被覆盖层。这不仅能够恢复压占的草地资源，显著提升植被覆盖率，更能通过植物根系的固土作用和冠层的截留降雨作用，从根本上增强土壤的抗蚀能力，实现水土流失的长期有效控制，使修复后的土地恢复并提升其生态功能与利用价值。</w:t>
            </w:r>
          </w:p>
          <w:p w14:paraId="7F23BB73">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4" w:name="_Toc32178"/>
            <w:r>
              <w:rPr>
                <w:rFonts w:hint="eastAsia" w:ascii="宋体" w:hAnsi="宋体" w:eastAsia="宋体" w:cs="宋体"/>
                <w:color w:val="000000" w:themeColor="text1"/>
                <w:sz w:val="24"/>
                <w:szCs w:val="24"/>
                <w:highlight w:val="none"/>
                <w:lang w:val="en-US" w:eastAsia="zh-CN"/>
                <w14:textFill>
                  <w14:solidFill>
                    <w14:schemeClr w14:val="tx1"/>
                  </w14:solidFill>
                </w14:textFill>
              </w:rPr>
              <w:t>⑵植物保护措施</w:t>
            </w:r>
            <w:bookmarkEnd w:id="4"/>
          </w:p>
          <w:p w14:paraId="1B21CBCE">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①</w:t>
            </w:r>
            <w:r>
              <w:rPr>
                <w:rFonts w:hint="default" w:ascii="宋体" w:hAnsi="宋体" w:eastAsia="宋体" w:cs="宋体"/>
                <w:color w:val="000000" w:themeColor="text1"/>
                <w:sz w:val="24"/>
                <w:szCs w:val="24"/>
                <w:highlight w:val="none"/>
                <w:lang w:val="en-US" w:eastAsia="zh-CN"/>
                <w14:textFill>
                  <w14:solidFill>
                    <w14:schemeClr w14:val="tx1"/>
                  </w14:solidFill>
                </w14:textFill>
              </w:rPr>
              <w:t>避让措施</w:t>
            </w:r>
          </w:p>
          <w:p w14:paraId="482705A1">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本项目选址具有唯一性，</w:t>
            </w:r>
            <w:r>
              <w:rPr>
                <w:rFonts w:hint="eastAsia" w:ascii="宋体" w:hAnsi="宋体" w:cs="宋体"/>
                <w:color w:val="000000" w:themeColor="text1"/>
                <w:sz w:val="24"/>
                <w:szCs w:val="24"/>
                <w:highlight w:val="none"/>
                <w:lang w:val="en-US" w:eastAsia="zh-CN"/>
                <w14:textFill>
                  <w14:solidFill>
                    <w14:schemeClr w14:val="tx1"/>
                  </w14:solidFill>
                </w14:textFill>
              </w:rPr>
              <w:t>本项目不涉及生态保护红线。施工期</w:t>
            </w:r>
            <w:r>
              <w:rPr>
                <w:rFonts w:hint="eastAsia" w:ascii="宋体" w:hAnsi="宋体" w:eastAsia="宋体" w:cs="宋体"/>
                <w:color w:val="000000" w:themeColor="text1"/>
                <w:sz w:val="24"/>
                <w:szCs w:val="24"/>
                <w:highlight w:val="none"/>
                <w:lang w:val="en-US" w:eastAsia="zh-CN"/>
                <w14:textFill>
                  <w14:solidFill>
                    <w14:schemeClr w14:val="tx1"/>
                  </w14:solidFill>
                </w14:textFill>
              </w:rPr>
              <w:t>仅占用寺口风景旅游区东</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景区0.87hm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现有</w:t>
            </w:r>
            <w:r>
              <w:rPr>
                <w:rFonts w:hint="eastAsia" w:ascii="宋体" w:hAnsi="宋体" w:eastAsia="宋体" w:cs="宋体"/>
                <w:color w:val="000000" w:themeColor="text1"/>
                <w:sz w:val="24"/>
                <w:szCs w:val="24"/>
                <w:highlight w:val="none"/>
                <w:lang w:val="en-US" w:eastAsia="zh-CN"/>
                <w14:textFill>
                  <w14:solidFill>
                    <w14:schemeClr w14:val="tx1"/>
                  </w14:solidFill>
                </w14:textFill>
              </w:rPr>
              <w:t>停车区域及进景区道路</w:t>
            </w:r>
            <w:r>
              <w:rPr>
                <w:rFonts w:hint="eastAsia" w:ascii="宋体" w:hAnsi="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距离寺口风景旅游区东景区各景区资源、名胜古迹较远，不属于景区核心区。本项目充分听取当地政府部门及规划部门的意见，具有针对性的对项目区存在的地质、生态环境问题的矿产品堆存区、边坡等区域进行规划治理，避开生态环境恢复较好的区域。</w:t>
            </w:r>
          </w:p>
          <w:p w14:paraId="76E1CBB0">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②减缓措施</w:t>
            </w:r>
          </w:p>
          <w:p w14:paraId="1F7C8571">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严格控制施工作业区域，减少临时占地面积，严禁超界施工，拟定施工方案应注重优化施工组织和制定严格的施工作业制度。依托原有矿区道路通行，不设施工伴行道路，减少因征用土地而对植被造成的影响和破坏。</w:t>
            </w:r>
          </w:p>
          <w:p w14:paraId="29DB4BFE">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施工临时占地设置作业范围标识，防止扩大扰动面积；进场的设备、材料等，及时做好铺垫及拦挡，减小对地表植被的破坏。</w:t>
            </w:r>
          </w:p>
          <w:p w14:paraId="68506222">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合理安排施工次序、季节、时间。尽量避开植物播种生长季、收获期及旅游高峰期；尽量将挖填施工安排在非雨汛期，并缩短挖填土石方的堆置时间。</w:t>
            </w:r>
          </w:p>
          <w:p w14:paraId="1C470594">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矿产品清理开挖等土方施工避开雨天，遇有大风天气时暂停土石方的施工，对临时堆放的土石方采取遮盖、拦挡等临时性防护措施，以免造成更大面积的植被破坏和土壤表层的破坏。</w:t>
            </w:r>
          </w:p>
          <w:p w14:paraId="2B23843B">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③恢复措施</w:t>
            </w:r>
          </w:p>
          <w:p w14:paraId="618A1F39">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施工期对生态环境的影响主要表现为占压破坏植被、水土流失加重等。本项目根据施工方法及施工区地形等情况，进行规划布置，尽可能减少工程占压对植被资源的破坏。本项目临时占地不涉及耕地，其占地类型为采矿用地、草地、交通运输用地等，针对治理区退化草原采取以混播建植为主的植草方式，选用狼尾草、短花针茅、蒙古冰草，按照4:3:3穴播。草籽播撒后，设计养护期为3年，养护期根据治理区周边多年植草经验，结合区域内降水量小，蒸发量大的特点，一年补水次数不少于10次</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p w14:paraId="075AB3B4">
            <w:pPr>
              <w:adjustRightInd w:val="0"/>
              <w:snapToGrid w:val="0"/>
              <w:jc w:val="center"/>
              <w:rPr>
                <w:rFonts w:hint="eastAsia" w:ascii="Times New Roman" w:hAnsi="Times New Roman" w:eastAsia="黑体" w:cs="Times New Roman"/>
                <w:color w:val="000000" w:themeColor="text1"/>
                <w:kern w:val="0"/>
                <w:sz w:val="24"/>
                <w:highlight w:val="none"/>
                <w:lang w:bidi="ar"/>
                <w14:textFill>
                  <w14:solidFill>
                    <w14:schemeClr w14:val="tx1"/>
                  </w14:solidFill>
                </w14:textFill>
              </w:rPr>
            </w:pPr>
            <w:r>
              <w:rPr>
                <w:rFonts w:hint="eastAsia" w:ascii="Times New Roman" w:hAnsi="Times New Roman" w:eastAsia="黑体" w:cs="Times New Roman"/>
                <w:color w:val="000000" w:themeColor="text1"/>
                <w:kern w:val="0"/>
                <w:sz w:val="24"/>
                <w:highlight w:val="none"/>
                <w:lang w:bidi="ar"/>
                <w14:textFill>
                  <w14:solidFill>
                    <w14:schemeClr w14:val="tx1"/>
                  </w14:solidFill>
                </w14:textFill>
              </w:rPr>
              <w:t>表</w:t>
            </w:r>
            <w:r>
              <w:rPr>
                <w:rFonts w:hint="eastAsia" w:ascii="Times New Roman" w:hAnsi="Times New Roman" w:eastAsia="黑体" w:cs="Times New Roman"/>
                <w:color w:val="000000" w:themeColor="text1"/>
                <w:kern w:val="0"/>
                <w:sz w:val="24"/>
                <w:highlight w:val="none"/>
                <w:lang w:val="en-US" w:eastAsia="zh-CN" w:bidi="ar"/>
                <w14:textFill>
                  <w14:solidFill>
                    <w14:schemeClr w14:val="tx1"/>
                  </w14:solidFill>
                </w14:textFill>
              </w:rPr>
              <w:t>5-1</w:t>
            </w:r>
            <w:r>
              <w:rPr>
                <w:rFonts w:hint="eastAsia" w:ascii="Times New Roman" w:hAnsi="Times New Roman" w:eastAsia="黑体" w:cs="Times New Roman"/>
                <w:color w:val="000000" w:themeColor="text1"/>
                <w:kern w:val="0"/>
                <w:sz w:val="24"/>
                <w:highlight w:val="none"/>
                <w:lang w:bidi="ar"/>
                <w14:textFill>
                  <w14:solidFill>
                    <w14:schemeClr w14:val="tx1"/>
                  </w14:solidFill>
                </w14:textFill>
              </w:rPr>
              <w:t xml:space="preserve">  生态植被恢复工程量表</w:t>
            </w:r>
          </w:p>
          <w:tbl>
            <w:tblPr>
              <w:tblStyle w:val="28"/>
              <w:tblW w:w="5000" w:type="pct"/>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2675"/>
              <w:gridCol w:w="2982"/>
              <w:gridCol w:w="2616"/>
            </w:tblGrid>
            <w:tr w14:paraId="21716E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blHeader/>
              </w:trPr>
              <w:tc>
                <w:tcPr>
                  <w:tcW w:w="1676" w:type="pct"/>
                  <w:tcBorders>
                    <w:tl2br w:val="nil"/>
                    <w:tr2bl w:val="nil"/>
                  </w:tcBorders>
                  <w:noWrap w:val="0"/>
                  <w:vAlign w:val="center"/>
                </w:tcPr>
                <w:p w14:paraId="3B709E03">
                  <w:pPr>
                    <w:adjustRightInd w:val="0"/>
                    <w:snapToGrid w:val="0"/>
                    <w:spacing w:line="0" w:lineRule="atLeast"/>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编号</w:t>
                  </w:r>
                </w:p>
              </w:tc>
              <w:tc>
                <w:tcPr>
                  <w:tcW w:w="2993" w:type="dxa"/>
                  <w:tcBorders>
                    <w:tl2br w:val="nil"/>
                    <w:tr2bl w:val="nil"/>
                  </w:tcBorders>
                  <w:noWrap w:val="0"/>
                  <w:vAlign w:val="center"/>
                </w:tcPr>
                <w:p w14:paraId="6FDFA345">
                  <w:pPr>
                    <w:adjustRightInd w:val="0"/>
                    <w:snapToGrid w:val="0"/>
                    <w:spacing w:line="0" w:lineRule="atLeast"/>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面积（hm</w:t>
                  </w:r>
                  <w:r>
                    <w:rPr>
                      <w:rFonts w:hint="default" w:ascii="Times New Roman" w:hAnsi="Times New Roman" w:eastAsia="宋体" w:cs="Times New Roman"/>
                      <w:b/>
                      <w:bCs/>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p>
              </w:tc>
              <w:tc>
                <w:tcPr>
                  <w:tcW w:w="1638" w:type="pct"/>
                  <w:tcBorders>
                    <w:tl2br w:val="nil"/>
                    <w:tr2bl w:val="nil"/>
                  </w:tcBorders>
                  <w:noWrap w:val="0"/>
                  <w:vAlign w:val="center"/>
                </w:tcPr>
                <w:p w14:paraId="0ED34BBB">
                  <w:pPr>
                    <w:adjustRightInd w:val="0"/>
                    <w:snapToGrid w:val="0"/>
                    <w:spacing w:line="0" w:lineRule="atLeast"/>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翻耕面积（hm</w:t>
                  </w:r>
                  <w:r>
                    <w:rPr>
                      <w:rFonts w:hint="default" w:ascii="Times New Roman" w:hAnsi="Times New Roman" w:eastAsia="宋体" w:cs="Times New Roman"/>
                      <w:b/>
                      <w:bCs/>
                      <w:color w:val="000000" w:themeColor="text1"/>
                      <w:sz w:val="21"/>
                      <w:szCs w:val="21"/>
                      <w:highlight w:val="none"/>
                      <w:vertAlign w:val="superscript"/>
                      <w:lang w:eastAsia="zh-CN"/>
                      <w14:textFill>
                        <w14:solidFill>
                          <w14:schemeClr w14:val="tx1"/>
                        </w14:solidFill>
                      </w14:textFill>
                    </w:rPr>
                    <w:t>2</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p>
              </w:tc>
            </w:tr>
            <w:tr w14:paraId="3C3AF4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676" w:type="pct"/>
                  <w:tcBorders>
                    <w:tl2br w:val="nil"/>
                    <w:tr2bl w:val="nil"/>
                  </w:tcBorders>
                  <w:noWrap/>
                  <w:vAlign w:val="center"/>
                </w:tcPr>
                <w:p w14:paraId="513C3A46">
                  <w:pPr>
                    <w:adjustRightInd w:val="0"/>
                    <w:snapToGrid w:val="0"/>
                    <w:spacing w:line="0" w:lineRule="atLeas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穴播草籽区1</w:t>
                  </w:r>
                </w:p>
              </w:tc>
              <w:tc>
                <w:tcPr>
                  <w:tcW w:w="2993" w:type="dxa"/>
                  <w:tcBorders>
                    <w:tl2br w:val="nil"/>
                    <w:tr2bl w:val="nil"/>
                  </w:tcBorders>
                  <w:noWrap/>
                  <w:vAlign w:val="center"/>
                </w:tcPr>
                <w:p w14:paraId="07C30B1A">
                  <w:pPr>
                    <w:adjustRightInd w:val="0"/>
                    <w:snapToGrid w:val="0"/>
                    <w:spacing w:line="0" w:lineRule="atLeas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0.11</w:t>
                  </w:r>
                </w:p>
              </w:tc>
              <w:tc>
                <w:tcPr>
                  <w:tcW w:w="1638" w:type="pct"/>
                  <w:tcBorders>
                    <w:tl2br w:val="nil"/>
                    <w:tr2bl w:val="nil"/>
                  </w:tcBorders>
                  <w:noWrap/>
                  <w:vAlign w:val="center"/>
                </w:tcPr>
                <w:p w14:paraId="08704966">
                  <w:pPr>
                    <w:adjustRightInd w:val="0"/>
                    <w:snapToGrid w:val="0"/>
                    <w:spacing w:line="0" w:lineRule="atLeas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0.11</w:t>
                  </w:r>
                </w:p>
              </w:tc>
            </w:tr>
            <w:tr w14:paraId="73EAB6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676" w:type="pct"/>
                  <w:tcBorders>
                    <w:tl2br w:val="nil"/>
                    <w:tr2bl w:val="nil"/>
                  </w:tcBorders>
                  <w:noWrap/>
                  <w:vAlign w:val="center"/>
                </w:tcPr>
                <w:p w14:paraId="2004D4E9">
                  <w:pPr>
                    <w:adjustRightInd w:val="0"/>
                    <w:snapToGrid w:val="0"/>
                    <w:spacing w:line="0" w:lineRule="atLeas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穴播草籽区2</w:t>
                  </w:r>
                </w:p>
              </w:tc>
              <w:tc>
                <w:tcPr>
                  <w:tcW w:w="2993" w:type="dxa"/>
                  <w:tcBorders>
                    <w:tl2br w:val="nil"/>
                    <w:tr2bl w:val="nil"/>
                  </w:tcBorders>
                  <w:noWrap/>
                  <w:vAlign w:val="center"/>
                </w:tcPr>
                <w:p w14:paraId="747F8BE0">
                  <w:pPr>
                    <w:adjustRightInd w:val="0"/>
                    <w:snapToGrid w:val="0"/>
                    <w:spacing w:line="0" w:lineRule="atLeas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0.80</w:t>
                  </w:r>
                </w:p>
              </w:tc>
              <w:tc>
                <w:tcPr>
                  <w:tcW w:w="1638" w:type="pct"/>
                  <w:tcBorders>
                    <w:tl2br w:val="nil"/>
                    <w:tr2bl w:val="nil"/>
                  </w:tcBorders>
                  <w:noWrap/>
                  <w:vAlign w:val="center"/>
                </w:tcPr>
                <w:p w14:paraId="1350F9CE">
                  <w:pPr>
                    <w:adjustRightInd w:val="0"/>
                    <w:snapToGrid w:val="0"/>
                    <w:spacing w:line="0" w:lineRule="atLeas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0.80</w:t>
                  </w:r>
                </w:p>
              </w:tc>
            </w:tr>
            <w:tr w14:paraId="3C5685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676" w:type="pct"/>
                  <w:tcBorders>
                    <w:tl2br w:val="nil"/>
                    <w:tr2bl w:val="nil"/>
                  </w:tcBorders>
                  <w:noWrap/>
                  <w:vAlign w:val="center"/>
                </w:tcPr>
                <w:p w14:paraId="2BDE9943">
                  <w:pPr>
                    <w:adjustRightInd w:val="0"/>
                    <w:snapToGrid w:val="0"/>
                    <w:spacing w:line="0" w:lineRule="atLeas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穴播草籽区3</w:t>
                  </w:r>
                </w:p>
              </w:tc>
              <w:tc>
                <w:tcPr>
                  <w:tcW w:w="2993" w:type="dxa"/>
                  <w:tcBorders>
                    <w:tl2br w:val="nil"/>
                    <w:tr2bl w:val="nil"/>
                  </w:tcBorders>
                  <w:noWrap/>
                  <w:vAlign w:val="center"/>
                </w:tcPr>
                <w:p w14:paraId="0BB3EE81">
                  <w:pPr>
                    <w:adjustRightInd w:val="0"/>
                    <w:snapToGrid w:val="0"/>
                    <w:spacing w:line="0" w:lineRule="atLeas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0.59</w:t>
                  </w:r>
                </w:p>
              </w:tc>
              <w:tc>
                <w:tcPr>
                  <w:tcW w:w="1638" w:type="pct"/>
                  <w:tcBorders>
                    <w:tl2br w:val="nil"/>
                    <w:tr2bl w:val="nil"/>
                  </w:tcBorders>
                  <w:noWrap/>
                  <w:vAlign w:val="center"/>
                </w:tcPr>
                <w:p w14:paraId="406828D3">
                  <w:pPr>
                    <w:adjustRightInd w:val="0"/>
                    <w:snapToGrid w:val="0"/>
                    <w:spacing w:line="0" w:lineRule="atLeas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0.59</w:t>
                  </w:r>
                </w:p>
              </w:tc>
            </w:tr>
            <w:tr w14:paraId="7ED17C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676" w:type="pct"/>
                  <w:tcBorders>
                    <w:tl2br w:val="nil"/>
                    <w:tr2bl w:val="nil"/>
                  </w:tcBorders>
                  <w:noWrap/>
                  <w:vAlign w:val="center"/>
                </w:tcPr>
                <w:p w14:paraId="6EE3B7C1">
                  <w:pPr>
                    <w:adjustRightInd w:val="0"/>
                    <w:snapToGrid w:val="0"/>
                    <w:spacing w:line="0" w:lineRule="atLeas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穴播草籽区4</w:t>
                  </w:r>
                </w:p>
              </w:tc>
              <w:tc>
                <w:tcPr>
                  <w:tcW w:w="2993" w:type="dxa"/>
                  <w:tcBorders>
                    <w:tl2br w:val="nil"/>
                    <w:tr2bl w:val="nil"/>
                  </w:tcBorders>
                  <w:noWrap/>
                  <w:vAlign w:val="center"/>
                </w:tcPr>
                <w:p w14:paraId="0A850CEC">
                  <w:pPr>
                    <w:adjustRightInd w:val="0"/>
                    <w:snapToGrid w:val="0"/>
                    <w:spacing w:line="0" w:lineRule="atLeas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0.59</w:t>
                  </w:r>
                </w:p>
              </w:tc>
              <w:tc>
                <w:tcPr>
                  <w:tcW w:w="1638" w:type="pct"/>
                  <w:tcBorders>
                    <w:tl2br w:val="nil"/>
                    <w:tr2bl w:val="nil"/>
                  </w:tcBorders>
                  <w:noWrap/>
                  <w:vAlign w:val="center"/>
                </w:tcPr>
                <w:p w14:paraId="77A6079E">
                  <w:pPr>
                    <w:adjustRightInd w:val="0"/>
                    <w:snapToGrid w:val="0"/>
                    <w:spacing w:line="0" w:lineRule="atLeas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0.59</w:t>
                  </w:r>
                </w:p>
              </w:tc>
            </w:tr>
            <w:tr w14:paraId="7B2011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676" w:type="pct"/>
                  <w:tcBorders>
                    <w:tl2br w:val="nil"/>
                    <w:tr2bl w:val="nil"/>
                  </w:tcBorders>
                  <w:noWrap/>
                  <w:vAlign w:val="center"/>
                </w:tcPr>
                <w:p w14:paraId="23D144D8">
                  <w:pPr>
                    <w:adjustRightInd w:val="0"/>
                    <w:snapToGrid w:val="0"/>
                    <w:spacing w:line="0" w:lineRule="atLeas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穴播草籽区5</w:t>
                  </w:r>
                </w:p>
              </w:tc>
              <w:tc>
                <w:tcPr>
                  <w:tcW w:w="2993" w:type="dxa"/>
                  <w:tcBorders>
                    <w:tl2br w:val="nil"/>
                    <w:tr2bl w:val="nil"/>
                  </w:tcBorders>
                  <w:noWrap/>
                  <w:vAlign w:val="center"/>
                </w:tcPr>
                <w:p w14:paraId="791DAC03">
                  <w:pPr>
                    <w:adjustRightInd w:val="0"/>
                    <w:snapToGrid w:val="0"/>
                    <w:spacing w:line="0" w:lineRule="atLeas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1.14</w:t>
                  </w:r>
                </w:p>
              </w:tc>
              <w:tc>
                <w:tcPr>
                  <w:tcW w:w="1638" w:type="pct"/>
                  <w:tcBorders>
                    <w:tl2br w:val="nil"/>
                    <w:tr2bl w:val="nil"/>
                  </w:tcBorders>
                  <w:noWrap/>
                  <w:vAlign w:val="center"/>
                </w:tcPr>
                <w:p w14:paraId="1D1F9B2B">
                  <w:pPr>
                    <w:adjustRightInd w:val="0"/>
                    <w:snapToGrid w:val="0"/>
                    <w:spacing w:line="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33BA53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676" w:type="pct"/>
                  <w:tcBorders>
                    <w:tl2br w:val="nil"/>
                    <w:tr2bl w:val="nil"/>
                  </w:tcBorders>
                  <w:noWrap/>
                  <w:vAlign w:val="center"/>
                </w:tcPr>
                <w:p w14:paraId="260C37BD">
                  <w:pPr>
                    <w:adjustRightInd w:val="0"/>
                    <w:snapToGrid w:val="0"/>
                    <w:spacing w:line="0" w:lineRule="atLeas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穴播草籽区6</w:t>
                  </w:r>
                </w:p>
              </w:tc>
              <w:tc>
                <w:tcPr>
                  <w:tcW w:w="2993" w:type="dxa"/>
                  <w:tcBorders>
                    <w:tl2br w:val="nil"/>
                    <w:tr2bl w:val="nil"/>
                  </w:tcBorders>
                  <w:noWrap/>
                  <w:vAlign w:val="center"/>
                </w:tcPr>
                <w:p w14:paraId="2C017764">
                  <w:pPr>
                    <w:adjustRightInd w:val="0"/>
                    <w:snapToGrid w:val="0"/>
                    <w:spacing w:line="0" w:lineRule="atLeas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22.13</w:t>
                  </w:r>
                </w:p>
              </w:tc>
              <w:tc>
                <w:tcPr>
                  <w:tcW w:w="1638" w:type="pct"/>
                  <w:tcBorders>
                    <w:tl2br w:val="nil"/>
                    <w:tr2bl w:val="nil"/>
                  </w:tcBorders>
                  <w:noWrap/>
                  <w:vAlign w:val="center"/>
                </w:tcPr>
                <w:p w14:paraId="4F3A5A8B">
                  <w:pPr>
                    <w:adjustRightInd w:val="0"/>
                    <w:snapToGrid w:val="0"/>
                    <w:spacing w:line="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4CCAE1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676" w:type="pct"/>
                  <w:tcBorders>
                    <w:tl2br w:val="nil"/>
                    <w:tr2bl w:val="nil"/>
                  </w:tcBorders>
                  <w:noWrap/>
                  <w:vAlign w:val="center"/>
                </w:tcPr>
                <w:p w14:paraId="53CA60F5">
                  <w:pPr>
                    <w:adjustRightInd w:val="0"/>
                    <w:snapToGrid w:val="0"/>
                    <w:spacing w:line="0" w:lineRule="atLeas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穴播草籽区7</w:t>
                  </w:r>
                </w:p>
              </w:tc>
              <w:tc>
                <w:tcPr>
                  <w:tcW w:w="2993" w:type="dxa"/>
                  <w:tcBorders>
                    <w:tl2br w:val="nil"/>
                    <w:tr2bl w:val="nil"/>
                  </w:tcBorders>
                  <w:noWrap/>
                  <w:vAlign w:val="center"/>
                </w:tcPr>
                <w:p w14:paraId="277800CC">
                  <w:pPr>
                    <w:adjustRightInd w:val="0"/>
                    <w:snapToGrid w:val="0"/>
                    <w:spacing w:line="0" w:lineRule="atLeas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1.87</w:t>
                  </w:r>
                </w:p>
              </w:tc>
              <w:tc>
                <w:tcPr>
                  <w:tcW w:w="1638" w:type="pct"/>
                  <w:tcBorders>
                    <w:tl2br w:val="nil"/>
                    <w:tr2bl w:val="nil"/>
                  </w:tcBorders>
                  <w:noWrap/>
                  <w:vAlign w:val="center"/>
                </w:tcPr>
                <w:p w14:paraId="2E4710F1">
                  <w:pPr>
                    <w:adjustRightInd w:val="0"/>
                    <w:snapToGrid w:val="0"/>
                    <w:spacing w:line="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0C55E4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676" w:type="pct"/>
                  <w:tcBorders>
                    <w:tl2br w:val="nil"/>
                    <w:tr2bl w:val="nil"/>
                  </w:tcBorders>
                  <w:noWrap/>
                  <w:vAlign w:val="center"/>
                </w:tcPr>
                <w:p w14:paraId="1BCA058E">
                  <w:pPr>
                    <w:adjustRightInd w:val="0"/>
                    <w:snapToGrid w:val="0"/>
                    <w:spacing w:line="0" w:lineRule="atLeas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小计</w:t>
                  </w:r>
                </w:p>
              </w:tc>
              <w:tc>
                <w:tcPr>
                  <w:tcW w:w="2993" w:type="dxa"/>
                  <w:tcBorders>
                    <w:tl2br w:val="nil"/>
                    <w:tr2bl w:val="nil"/>
                  </w:tcBorders>
                  <w:noWrap/>
                  <w:vAlign w:val="center"/>
                </w:tcPr>
                <w:p w14:paraId="4125C035">
                  <w:pPr>
                    <w:adjustRightInd w:val="0"/>
                    <w:snapToGrid w:val="0"/>
                    <w:spacing w:line="0" w:lineRule="atLeas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27.22</w:t>
                  </w:r>
                </w:p>
              </w:tc>
              <w:tc>
                <w:tcPr>
                  <w:tcW w:w="1638" w:type="pct"/>
                  <w:tcBorders>
                    <w:tl2br w:val="nil"/>
                    <w:tr2bl w:val="nil"/>
                  </w:tcBorders>
                  <w:noWrap/>
                  <w:vAlign w:val="center"/>
                </w:tcPr>
                <w:p w14:paraId="2EB6DEBE">
                  <w:pPr>
                    <w:adjustRightInd w:val="0"/>
                    <w:snapToGrid w:val="0"/>
                    <w:spacing w:line="0" w:lineRule="atLeas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2.09</w:t>
                  </w:r>
                </w:p>
              </w:tc>
            </w:tr>
          </w:tbl>
          <w:p w14:paraId="7D1A8C62">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④管理措施</w:t>
            </w:r>
          </w:p>
          <w:p w14:paraId="231CA06B">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建立完善的施工制度，有序管理施工活动。制订施工原则，划定施工范围，限定施工时间。施工过程禁止对植被滥砍滥伐，破坏评价区生态环境；尽可能不破坏原有地形、地貌。</w:t>
            </w:r>
          </w:p>
          <w:p w14:paraId="040CA1B1">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加强对施工人员的管理，定期开展环保宣传教育，可组织专业人员对施工人员进行环保宣传教育，避免随意破坏植被，损坏农作物；必要时划定施工红线，布设施工围栏，防止施工人员作业、施工机械布置、临时堆土场等超出作业带范围。</w:t>
            </w:r>
          </w:p>
          <w:p w14:paraId="3EC8197B">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加强与当地林草、土地、自然资源等相关管理部门的联系工作，施工过程中若发现保护植物应上报上级主管部门，对其进行就地保护或迁地保护。</w:t>
            </w:r>
          </w:p>
          <w:p w14:paraId="32FE1B41">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5" w:name="_Toc2291"/>
            <w:r>
              <w:rPr>
                <w:rFonts w:hint="eastAsia" w:ascii="宋体" w:hAnsi="宋体" w:eastAsia="宋体" w:cs="宋体"/>
                <w:color w:val="000000" w:themeColor="text1"/>
                <w:sz w:val="24"/>
                <w:szCs w:val="24"/>
                <w:highlight w:val="none"/>
                <w:lang w:val="en-US" w:eastAsia="zh-CN"/>
                <w14:textFill>
                  <w14:solidFill>
                    <w14:schemeClr w14:val="tx1"/>
                  </w14:solidFill>
                </w14:textFill>
              </w:rPr>
              <w:t>⑶动物保护措施</w:t>
            </w:r>
            <w:bookmarkEnd w:id="5"/>
          </w:p>
          <w:p w14:paraId="3ACFABD0">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①施工过程中，根据工程设计优化施工布置，尽量减少施工占地及施工活动对植被的扰动，减少陆生动物生境损失。</w:t>
            </w:r>
          </w:p>
          <w:p w14:paraId="02A905E7">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②生态恢复治理期间，对施工人员加强生态保护的宣传教育，以公告、发放宣传册等形式，教育施工人员，说明国家法律对动物保护的要求及意义，尤其说明对施工区周边保护动物保护的重要性，增强施工人员保护植被和动植物多样性对生态环境重要性的意识。</w:t>
            </w:r>
          </w:p>
          <w:p w14:paraId="060C89B5">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③建立生态破坏惩罚制度，严禁施工人员非法猎捕野生动物；限制施工人员在施工以外区域活动，禁止施工人员野外用火，把对野生动物的干扰降至最低程度。</w:t>
            </w:r>
          </w:p>
          <w:p w14:paraId="0712ECF9">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④加强工程监理工作的环境保护内容。</w:t>
            </w:r>
          </w:p>
          <w:p w14:paraId="52981BA6">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6" w:name="_Toc15651"/>
            <w:r>
              <w:rPr>
                <w:rFonts w:hint="eastAsia" w:ascii="宋体" w:hAnsi="宋体" w:eastAsia="宋体" w:cs="宋体"/>
                <w:color w:val="000000" w:themeColor="text1"/>
                <w:sz w:val="24"/>
                <w:szCs w:val="24"/>
                <w:highlight w:val="none"/>
                <w:lang w:val="en-US" w:eastAsia="zh-CN"/>
                <w14:textFill>
                  <w14:solidFill>
                    <w14:schemeClr w14:val="tx1"/>
                  </w14:solidFill>
                </w14:textFill>
              </w:rPr>
              <w:t>⑷景观保护措施</w:t>
            </w:r>
            <w:bookmarkEnd w:id="6"/>
          </w:p>
          <w:p w14:paraId="2659308C">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①本项目占地范围内的绿化、生态恢复等工程与项目途经区域已有景观相结合；</w:t>
            </w:r>
          </w:p>
          <w:p w14:paraId="5EDE702A">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②生态恢复所用草种要选择当地林业部门核准的适生草种，并且保证绿化草种的选择适合当地气候，有效保障其一次成活率；</w:t>
            </w:r>
          </w:p>
          <w:p w14:paraId="64C830C1">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③注意保护项目施工道路沿线已有的自然景观，防止破坏。</w:t>
            </w:r>
          </w:p>
          <w:p w14:paraId="4AF0523C">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④施工区域远离寺口子风景旅游区，不影响景区核心景观。</w:t>
            </w:r>
          </w:p>
          <w:p w14:paraId="0E4427C9">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7" w:name="_Toc19628"/>
            <w:r>
              <w:rPr>
                <w:rFonts w:hint="eastAsia" w:ascii="宋体" w:hAnsi="宋体" w:eastAsia="宋体" w:cs="宋体"/>
                <w:color w:val="000000" w:themeColor="text1"/>
                <w:sz w:val="24"/>
                <w:szCs w:val="24"/>
                <w:highlight w:val="none"/>
                <w:lang w:val="en-US" w:eastAsia="zh-CN"/>
                <w14:textFill>
                  <w14:solidFill>
                    <w14:schemeClr w14:val="tx1"/>
                  </w14:solidFill>
                </w14:textFill>
              </w:rPr>
              <w:t>⑸水土流失防治措施</w:t>
            </w:r>
            <w:bookmarkEnd w:id="7"/>
          </w:p>
          <w:p w14:paraId="5CA7630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①土方明挖从上到下分层依次进行，严禁自下而上或采取倒悬掏底的开挖方法，开挖过程中，保持相对位置的坡面，以利排水，开挖过程中避免边坡稳定范围内形成积水。易风化崩解的土层，开挖后不能及时回填的，保留保护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雨期施工的填方工程，应连续进行尽快完成；工作面不宜过大，应分层分段逐片进行。重要或特殊的土方回填，应尽量在雨期前完成。防止地面水流入，以免边坡塌方或基土遭到破坏。</w:t>
            </w:r>
          </w:p>
          <w:p w14:paraId="074CD756">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②</w:t>
            </w:r>
            <w:r>
              <w:rPr>
                <w:rFonts w:hint="eastAsia" w:ascii="宋体" w:hAnsi="宋体" w:eastAsia="宋体" w:cs="宋体"/>
                <w:color w:val="000000" w:themeColor="text1"/>
                <w:sz w:val="24"/>
                <w:szCs w:val="24"/>
                <w:highlight w:val="none"/>
                <w:lang w:val="en-US" w:eastAsia="zh-CN"/>
                <w14:textFill>
                  <w14:solidFill>
                    <w14:schemeClr w14:val="tx1"/>
                  </w14:solidFill>
                </w14:textFill>
              </w:rPr>
              <w:t>生态恢复治理期土石方工程应避免在大风、雨天等不良天气中施工；粉状材料堆放采用围护或篷布遮挡措施，减少在恶劣天气条件下风蚀、水蚀的发生。施工时应明确标记施工作业带，所有车辆、机械设备、施工人员的活动要严格在施工带内，不得在施工带以外的地方作业。</w:t>
            </w:r>
          </w:p>
          <w:p w14:paraId="50384C58">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③</w:t>
            </w:r>
            <w:r>
              <w:rPr>
                <w:rFonts w:hint="eastAsia" w:ascii="宋体" w:hAnsi="宋体" w:eastAsia="宋体" w:cs="宋体"/>
                <w:color w:val="000000" w:themeColor="text1"/>
                <w:sz w:val="24"/>
                <w:szCs w:val="24"/>
                <w:highlight w:val="none"/>
                <w:lang w:val="en-US" w:eastAsia="zh-CN"/>
                <w14:textFill>
                  <w14:solidFill>
                    <w14:schemeClr w14:val="tx1"/>
                  </w14:solidFill>
                </w14:textFill>
              </w:rPr>
              <w:t>要按照项目水土保持方案的要求，加强工程质量监管，严格执行工程设计，切实预防可能发生的地质灾害。</w:t>
            </w:r>
          </w:p>
          <w:p w14:paraId="24A8BC86">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8" w:name="_Toc20474"/>
            <w:bookmarkStart w:id="9" w:name="OLE_LINK15"/>
            <w:r>
              <w:rPr>
                <w:rFonts w:hint="eastAsia" w:ascii="宋体" w:hAnsi="宋体" w:eastAsia="宋体" w:cs="宋体"/>
                <w:color w:val="000000" w:themeColor="text1"/>
                <w:sz w:val="24"/>
                <w:szCs w:val="24"/>
                <w:highlight w:val="none"/>
                <w:lang w:val="en-US" w:eastAsia="zh-CN"/>
                <w14:textFill>
                  <w14:solidFill>
                    <w14:schemeClr w14:val="tx1"/>
                  </w14:solidFill>
                </w14:textFill>
              </w:rPr>
              <w:t>本项目的地形地貌恢复工程与截排水工程共同构成了核心的水土保持工程体系，旨在从源头上控制水土流失。具体包括：</w:t>
            </w:r>
          </w:p>
          <w:p w14:paraId="2E5D4315">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④</w:t>
            </w:r>
            <w:r>
              <w:rPr>
                <w:rFonts w:hint="eastAsia" w:ascii="宋体" w:hAnsi="宋体" w:eastAsia="宋体" w:cs="宋体"/>
                <w:color w:val="000000" w:themeColor="text1"/>
                <w:sz w:val="24"/>
                <w:szCs w:val="24"/>
                <w:highlight w:val="none"/>
                <w:lang w:val="en-US" w:eastAsia="zh-CN"/>
                <w14:textFill>
                  <w14:solidFill>
                    <w14:schemeClr w14:val="tx1"/>
                  </w14:solidFill>
                </w14:textFill>
              </w:rPr>
              <w:t>对北部和西部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3处</w:t>
            </w:r>
            <w:r>
              <w:rPr>
                <w:rFonts w:hint="eastAsia" w:ascii="宋体" w:hAnsi="宋体" w:eastAsia="宋体" w:cs="宋体"/>
                <w:color w:val="000000" w:themeColor="text1"/>
                <w:sz w:val="24"/>
                <w:szCs w:val="24"/>
                <w:highlight w:val="none"/>
                <w:lang w:val="en-US" w:eastAsia="zh-CN"/>
                <w14:textFill>
                  <w14:solidFill>
                    <w14:schemeClr w14:val="tx1"/>
                  </w14:solidFill>
                </w14:textFill>
              </w:rPr>
              <w:t>受损边坡进行机械修整，使其稳定平直，与周边地貌协调，这是减少坡面侵蚀的基础。同时，在坡顶及各级马道外侧修筑连续的土质截水埂</w:t>
            </w:r>
            <w:r>
              <w:rPr>
                <w:rFonts w:hint="eastAsia" w:ascii="宋体" w:hAnsi="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能有效拦截、分流坡面上方的汇水，防止径流直接冲刷修复区。</w:t>
            </w:r>
          </w:p>
          <w:p w14:paraId="0B058B31">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⑤</w:t>
            </w:r>
            <w:r>
              <w:rPr>
                <w:rFonts w:hint="eastAsia" w:ascii="宋体" w:hAnsi="宋体" w:eastAsia="宋体" w:cs="宋体"/>
                <w:color w:val="000000" w:themeColor="text1"/>
                <w:sz w:val="24"/>
                <w:szCs w:val="24"/>
                <w:highlight w:val="none"/>
                <w:lang w:val="en-US" w:eastAsia="zh-CN"/>
                <w14:textFill>
                  <w14:solidFill>
                    <w14:schemeClr w14:val="tx1"/>
                  </w14:solidFill>
                </w14:textFill>
              </w:rPr>
              <w:t>通过场区平整和内部导流槽的建设，塑造利于排水的地形，将治理区东北部及西部的汇水有序导排至稳定区域或自然水系，避免水流无序漫流造成新的冲刷。清理的矿产品被直接资源化利用于场区平整换填与截水埂修建，既减少了渣土搬运，又实现了就地固土。</w:t>
            </w:r>
          </w:p>
          <w:p w14:paraId="72126D25">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⑹</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生态管理与监理</w:t>
            </w:r>
            <w:bookmarkEnd w:id="8"/>
          </w:p>
          <w:bookmarkEnd w:id="9"/>
          <w:p w14:paraId="5ABF4A1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根据国家环境保护管理规定，工程施工期间在工程管理机构中应设置环保管理机构，安排专业环保人员负责施工中的环境管理工作。</w:t>
            </w:r>
          </w:p>
          <w:p w14:paraId="22833C68">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①施工期生态管理</w:t>
            </w:r>
          </w:p>
          <w:p w14:paraId="4423B731">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本工程施工招标应优先选择具有较强的生态保护意识和掌握先进工艺等有利于生态环境保护新技术的施工单位。</w:t>
            </w:r>
          </w:p>
          <w:p w14:paraId="28524AD9">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施工前对施工人员和监理人员进行生态保护教育，施工过程中做好施工现场管理工作，并请保护区管理机构负责保护区范围内的生态保护措施的全程跟踪、检查和监督，配合建设单位开展环境保护的技术指导，协调处理工程建设过程中涉及的环境保护管理、恢复等相关问题。</w:t>
            </w:r>
          </w:p>
          <w:p w14:paraId="648913CE">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在施工设计文件中详细说明施工期应注意的环保问题，如野生动植物保护、植被恢复等情况均应按设计文件执行，同时做好记录，并按标段将记录整理成册。严格要求施工单位按设计文件施工，特别是按环保设计要求施工。</w:t>
            </w:r>
          </w:p>
          <w:p w14:paraId="537470E8">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建设方在施工期间应有专人负责环境管理工作，对施工中的每一道工序都应检查是否满足环保要求，并不定期地对各施工点位进行监督检查。</w:t>
            </w:r>
          </w:p>
          <w:p w14:paraId="6818E75A">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②生态监理</w:t>
            </w:r>
          </w:p>
          <w:p w14:paraId="37E2F495">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监理内容包括野生动物保护、植物与植被保护等生态保护工作的所有方面。根据相关要求，将工程环境监理工作纳入主体工程监理体系。本项目生态监理工作的工作内容主要是生态保护措施和工程的监理。措施监理主要是指为落实生态保护，针对沿线和保护区提出的各项管理措施，如生态保护意识教育，法规宣传，施工人员行为规范等，施工监理包括各项生态修复工程措施。</w:t>
            </w:r>
          </w:p>
          <w:p w14:paraId="04D11C28">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bookmarkStart w:id="10" w:name="_Toc19909"/>
            <w:r>
              <w:rPr>
                <w:rFonts w:hint="eastAsia" w:ascii="宋体" w:hAnsi="宋体" w:eastAsia="宋体" w:cs="宋体"/>
                <w:color w:val="000000" w:themeColor="text1"/>
                <w:sz w:val="24"/>
                <w:szCs w:val="24"/>
                <w:highlight w:val="none"/>
                <w:lang w:val="en-US" w:eastAsia="zh-CN"/>
                <w14:textFill>
                  <w14:solidFill>
                    <w14:schemeClr w14:val="tx1"/>
                  </w14:solidFill>
                </w14:textFill>
              </w:rPr>
              <w:t>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对中卫市寺口旅游区保护措施</w:t>
            </w:r>
            <w:bookmarkEnd w:id="10"/>
          </w:p>
          <w:p w14:paraId="5800E3AD">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在施工开始之前，进行详细的现场景观调查，记录周围的自然环境、植被、动物栖息地等信息，并制定相应的施工计划。在施工现场的周围设置围挡和标牌，明确划定施工区域和保护区域，确保施工人员不越界施工，并提醒他们注意景观保护的重要性。</w:t>
            </w:r>
          </w:p>
          <w:p w14:paraId="4C7FBC48">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对于风景旅游区现场存在的大型植被，采取措施进行保护，严禁在植被周围进行堆放材料、储存设备或施工机械等活动，防止任何活动对植被造成直接损害。定期清理施工现场垃圾和废弃物，并进行合理的处理，避免随意堆放，对环境造成污染。施工完成后，对保护带内植被进行恢复工作，清理施工现场。</w:t>
            </w:r>
          </w:p>
          <w:p w14:paraId="3ABB8A33">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施工人员干扰（践踏、捕杀及驱赶等）对旅游区动植物可能产生影响。工程施工期前组织专业人员对施工人员进行环保宣传教育，施工现场张贴自然保护区相关标语和具体要求。在旅游区内施工时，严格控制施工车辆、施工人员的活动范围，禁止施工车辆、人员进入核心景区内，采取对施工道路适时洒水、对路基开挖的土方及时苫盖等措施，防止扬尘污染，并在施工结束后及时清理施工作业现场及并行植被恢复，原有生境将逐步得到恢复。</w:t>
            </w:r>
          </w:p>
          <w:p w14:paraId="121D6E89">
            <w:pPr>
              <w:pStyle w:val="2"/>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施工期大气污染影响防治措施</w:t>
            </w:r>
          </w:p>
          <w:p w14:paraId="7742F35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⑴施工扬尘</w:t>
            </w:r>
          </w:p>
          <w:p w14:paraId="59480A1B">
            <w:pPr>
              <w:keepNext w:val="0"/>
              <w:keepLines w:val="0"/>
              <w:widowControl/>
              <w:numPr>
                <w:ilvl w:val="0"/>
                <w:numId w:val="0"/>
              </w:numPr>
              <w:suppressLineNumbers w:val="0"/>
              <w:spacing w:before="0" w:beforeAutospacing="0" w:after="0" w:afterAutospacing="0"/>
              <w:ind w:left="0" w:right="0" w:firstLine="454" w:firstLineChars="20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宋体" w:hAnsi="宋体" w:eastAsia="宋体" w:cs="宋体"/>
                <w:b w:val="0"/>
                <w:bCs w:val="0"/>
                <w:color w:val="000000" w:themeColor="text1"/>
                <w:sz w:val="24"/>
                <w:szCs w:val="24"/>
                <w:highlight w:val="none"/>
                <w14:textFill>
                  <w14:solidFill>
                    <w14:schemeClr w14:val="tx1"/>
                  </w14:solidFill>
                </w14:textFill>
              </w:rPr>
              <w:t>根据自治区住建厅，宁（建）发〔</w:t>
            </w:r>
            <w:r>
              <w:rPr>
                <w:rFonts w:hint="default" w:ascii="TimesNewRomanPSMT" w:hAnsi="TimesNewRomanPSMT" w:eastAsia="TimesNewRomanPSMT" w:cs="TimesNewRomanPSMT"/>
                <w:b w:val="0"/>
                <w:bCs w:val="0"/>
                <w:color w:val="000000" w:themeColor="text1"/>
                <w:sz w:val="24"/>
                <w:szCs w:val="24"/>
                <w:highlight w:val="none"/>
                <w14:textFill>
                  <w14:solidFill>
                    <w14:schemeClr w14:val="tx1"/>
                  </w14:solidFill>
                </w14:textFill>
              </w:rPr>
              <w:t>2017</w:t>
            </w:r>
            <w:r>
              <w:rPr>
                <w:rFonts w:hint="default" w:ascii="宋体" w:hAnsi="宋体" w:eastAsia="宋体" w:cs="宋体"/>
                <w:b w:val="0"/>
                <w:bCs w:val="0"/>
                <w:color w:val="000000" w:themeColor="text1"/>
                <w:sz w:val="24"/>
                <w:szCs w:val="24"/>
                <w:highlight w:val="none"/>
                <w14:textFill>
                  <w14:solidFill>
                    <w14:schemeClr w14:val="tx1"/>
                  </w14:solidFill>
                </w14:textFill>
              </w:rPr>
              <w:t>〕</w:t>
            </w:r>
            <w:r>
              <w:rPr>
                <w:rFonts w:hint="default" w:ascii="TimesNewRomanPSMT" w:hAnsi="TimesNewRomanPSMT" w:eastAsia="TimesNewRomanPSMT" w:cs="TimesNewRomanPSMT"/>
                <w:b w:val="0"/>
                <w:bCs w:val="0"/>
                <w:color w:val="000000" w:themeColor="text1"/>
                <w:sz w:val="24"/>
                <w:szCs w:val="24"/>
                <w:highlight w:val="none"/>
                <w14:textFill>
                  <w14:solidFill>
                    <w14:schemeClr w14:val="tx1"/>
                  </w14:solidFill>
                </w14:textFill>
              </w:rPr>
              <w:t>17</w:t>
            </w:r>
            <w:r>
              <w:rPr>
                <w:rFonts w:hint="default" w:ascii="宋体" w:hAnsi="宋体" w:eastAsia="宋体" w:cs="宋体"/>
                <w:b w:val="0"/>
                <w:bCs w:val="0"/>
                <w:color w:val="000000" w:themeColor="text1"/>
                <w:sz w:val="24"/>
                <w:szCs w:val="24"/>
                <w:highlight w:val="none"/>
                <w14:textFill>
                  <w14:solidFill>
                    <w14:schemeClr w14:val="tx1"/>
                  </w14:solidFill>
                </w14:textFill>
              </w:rPr>
              <w:t>号《关于进一步加强建筑工地施工扬尘控制和标准化管理的通知》、自治区环境保护厅《加强全区城市扬尘污染整治工作方案》《宁夏建筑施工扬尘治理标准化实施指南》，施工单位应加强管理，文明施工，为减少扬尘对环境的影响，严格采取以下措施：</w:t>
            </w:r>
          </w:p>
          <w:p w14:paraId="5129B3CD">
            <w:pPr>
              <w:keepNext w:val="0"/>
              <w:keepLines w:val="0"/>
              <w:widowControl/>
              <w:numPr>
                <w:ilvl w:val="0"/>
                <w:numId w:val="0"/>
              </w:numPr>
              <w:suppressLineNumbers w:val="0"/>
              <w:spacing w:before="0" w:beforeAutospacing="0" w:after="0" w:afterAutospacing="0"/>
              <w:ind w:left="0" w:right="0" w:firstLine="454" w:firstLineChars="200"/>
              <w:jc w:val="left"/>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①</w:t>
            </w:r>
            <w:r>
              <w:rPr>
                <w:rFonts w:hint="default" w:ascii="宋体" w:hAnsi="宋体" w:eastAsia="宋体" w:cs="宋体"/>
                <w:color w:val="000000" w:themeColor="text1"/>
                <w:sz w:val="24"/>
                <w:szCs w:val="24"/>
                <w:highlight w:val="none"/>
                <w14:textFill>
                  <w14:solidFill>
                    <w14:schemeClr w14:val="tx1"/>
                  </w14:solidFill>
                </w14:textFill>
              </w:rPr>
              <w:t>根据施工过程的实际情况，</w:t>
            </w:r>
            <w:r>
              <w:rPr>
                <w:rFonts w:hint="eastAsia" w:ascii="宋体" w:hAnsi="宋体" w:cs="宋体"/>
                <w:color w:val="000000" w:themeColor="text1"/>
                <w:sz w:val="24"/>
                <w:szCs w:val="24"/>
                <w:highlight w:val="none"/>
                <w:lang w:eastAsia="zh-CN"/>
                <w14:textFill>
                  <w14:solidFill>
                    <w14:schemeClr w14:val="tx1"/>
                  </w14:solidFill>
                </w14:textFill>
              </w:rPr>
              <w:t>施工场地设围栏</w:t>
            </w:r>
            <w:r>
              <w:rPr>
                <w:rFonts w:hint="default" w:ascii="宋体" w:hAnsi="宋体" w:eastAsia="宋体" w:cs="宋体"/>
                <w:color w:val="000000" w:themeColor="text1"/>
                <w:sz w:val="24"/>
                <w:szCs w:val="24"/>
                <w:highlight w:val="none"/>
                <w14:textFill>
                  <w14:solidFill>
                    <w14:schemeClr w14:val="tx1"/>
                  </w14:solidFill>
                </w14:textFill>
              </w:rPr>
              <w:t>，以减少施工扬尘扩散范围。</w:t>
            </w:r>
          </w:p>
          <w:p w14:paraId="71EF7CE6">
            <w:pPr>
              <w:keepNext w:val="0"/>
              <w:keepLines w:val="0"/>
              <w:widowControl/>
              <w:numPr>
                <w:ilvl w:val="0"/>
                <w:numId w:val="0"/>
              </w:numPr>
              <w:suppressLineNumbers w:val="0"/>
              <w:spacing w:before="0" w:beforeAutospacing="0" w:after="0" w:afterAutospacing="0"/>
              <w:ind w:left="0" w:right="0" w:firstLine="454" w:firstLineChars="20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②</w:t>
            </w:r>
            <w:r>
              <w:rPr>
                <w:rFonts w:hint="default" w:ascii="宋体" w:hAnsi="宋体" w:eastAsia="宋体" w:cs="宋体"/>
                <w:color w:val="000000" w:themeColor="text1"/>
                <w:sz w:val="24"/>
                <w:szCs w:val="24"/>
                <w:highlight w:val="none"/>
                <w14:textFill>
                  <w14:solidFill>
                    <w14:schemeClr w14:val="tx1"/>
                  </w14:solidFill>
                </w14:textFill>
              </w:rPr>
              <w:t>避免在大风日以及夏季暴雨时节施工，尽可能缩短施工时间，提高施工效率，减少地表裸露的时间，遇有大风天气时，避免进行挖掘、回填等大土方量作业或采取洒水抑尘</w:t>
            </w:r>
            <w:r>
              <w:rPr>
                <w:rFonts w:hint="eastAsia" w:ascii="宋体" w:hAnsi="宋体" w:eastAsia="宋体" w:cs="宋体"/>
                <w:color w:val="000000" w:themeColor="text1"/>
                <w:sz w:val="24"/>
                <w:szCs w:val="24"/>
                <w:highlight w:val="none"/>
                <w:lang w:val="en-US" w:eastAsia="zh-CN"/>
                <w14:textFill>
                  <w14:solidFill>
                    <w14:schemeClr w14:val="tx1"/>
                  </w14:solidFill>
                </w14:textFill>
              </w:rPr>
              <w:t>措施。</w:t>
            </w:r>
          </w:p>
          <w:p w14:paraId="2BC7A69E">
            <w:pPr>
              <w:keepNext w:val="0"/>
              <w:keepLines w:val="0"/>
              <w:widowControl/>
              <w:numPr>
                <w:ilvl w:val="0"/>
                <w:numId w:val="0"/>
              </w:numPr>
              <w:suppressLineNumbers w:val="0"/>
              <w:spacing w:before="0" w:beforeAutospacing="0" w:after="0" w:afterAutospacing="0"/>
              <w:ind w:left="0" w:right="0" w:firstLine="454" w:firstLineChars="200"/>
              <w:jc w:val="left"/>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③</w:t>
            </w:r>
            <w:r>
              <w:rPr>
                <w:rFonts w:hint="default" w:ascii="宋体" w:hAnsi="宋体" w:eastAsia="宋体" w:cs="宋体"/>
                <w:color w:val="000000" w:themeColor="text1"/>
                <w:sz w:val="24"/>
                <w:szCs w:val="24"/>
                <w:highlight w:val="none"/>
                <w14:textFill>
                  <w14:solidFill>
                    <w14:schemeClr w14:val="tx1"/>
                  </w14:solidFill>
                </w14:textFill>
              </w:rPr>
              <w:t>施工单位必须加强施工区的规划管理：如在大风天气，对散料堆场应采用水喷淋法防尘，以减少建设过程中使用的建筑材料在装卸、堆放过程中的粉尘外逸，降低项目建设对当地的空气污染。</w:t>
            </w:r>
          </w:p>
          <w:p w14:paraId="2CC7CA20">
            <w:pPr>
              <w:keepNext w:val="0"/>
              <w:keepLines w:val="0"/>
              <w:widowControl/>
              <w:numPr>
                <w:ilvl w:val="0"/>
                <w:numId w:val="0"/>
              </w:numPr>
              <w:suppressLineNumbers w:val="0"/>
              <w:spacing w:before="0" w:beforeAutospacing="0" w:after="0" w:afterAutospacing="0"/>
              <w:ind w:left="0" w:right="0" w:firstLine="454" w:firstLineChars="200"/>
              <w:jc w:val="left"/>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④</w:t>
            </w:r>
            <w:r>
              <w:rPr>
                <w:rFonts w:hint="default" w:ascii="宋体" w:hAnsi="宋体" w:eastAsia="宋体" w:cs="宋体"/>
                <w:color w:val="000000" w:themeColor="text1"/>
                <w:sz w:val="24"/>
                <w:szCs w:val="24"/>
                <w:highlight w:val="none"/>
                <w14:textFill>
                  <w14:solidFill>
                    <w14:schemeClr w14:val="tx1"/>
                  </w14:solidFill>
                </w14:textFill>
              </w:rPr>
              <w:t>用汽车运输易起尘的物料时，要加盖</w:t>
            </w:r>
            <w:r>
              <w:rPr>
                <w:rFonts w:hint="eastAsia" w:ascii="宋体" w:hAnsi="宋体" w:cs="宋体"/>
                <w:color w:val="000000" w:themeColor="text1"/>
                <w:sz w:val="24"/>
                <w:szCs w:val="24"/>
                <w:highlight w:val="none"/>
                <w:lang w:eastAsia="zh-CN"/>
                <w14:textFill>
                  <w14:solidFill>
                    <w14:schemeClr w14:val="tx1"/>
                  </w14:solidFill>
                </w14:textFill>
              </w:rPr>
              <w:t>篷布</w:t>
            </w:r>
            <w:r>
              <w:rPr>
                <w:rFonts w:hint="default" w:ascii="宋体" w:hAnsi="宋体" w:eastAsia="宋体" w:cs="宋体"/>
                <w:color w:val="000000" w:themeColor="text1"/>
                <w:sz w:val="24"/>
                <w:szCs w:val="24"/>
                <w:highlight w:val="none"/>
                <w14:textFill>
                  <w14:solidFill>
                    <w14:schemeClr w14:val="tx1"/>
                  </w14:solidFill>
                </w14:textFill>
              </w:rPr>
              <w:t>、控制车速，防止物料洒落和产生扬尘；卸车时应尽量减少落差，减少扬尘；运输车辆进出的主干道应定期洒水清扫，保持车辆出入口路面清洁、润湿，并尽量要求运输车辆放慢行车速度，以减少地面扬尘污染。另外，运输路线应尽可能避开居民区。</w:t>
            </w:r>
          </w:p>
          <w:p w14:paraId="0DDCB8E3">
            <w:pPr>
              <w:keepNext w:val="0"/>
              <w:keepLines w:val="0"/>
              <w:widowControl/>
              <w:numPr>
                <w:ilvl w:val="0"/>
                <w:numId w:val="0"/>
              </w:numPr>
              <w:suppressLineNumbers w:val="0"/>
              <w:spacing w:before="0" w:beforeAutospacing="0" w:after="0" w:afterAutospacing="0"/>
              <w:ind w:left="0" w:right="0" w:firstLine="454" w:firstLineChars="200"/>
              <w:jc w:val="left"/>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⑤</w:t>
            </w:r>
            <w:r>
              <w:rPr>
                <w:rFonts w:hint="default" w:ascii="宋体" w:hAnsi="宋体" w:eastAsia="宋体" w:cs="宋体"/>
                <w:color w:val="000000" w:themeColor="text1"/>
                <w:sz w:val="24"/>
                <w:szCs w:val="24"/>
                <w:highlight w:val="none"/>
                <w14:textFill>
                  <w14:solidFill>
                    <w14:schemeClr w14:val="tx1"/>
                  </w14:solidFill>
                </w14:textFill>
              </w:rPr>
              <w:t>加强对施工机械、车辆的维修保养，禁止以柴油为燃料的施工机械超负荷工作，减少烟尘和颗粒物的排放。</w:t>
            </w:r>
          </w:p>
          <w:p w14:paraId="7833089F">
            <w:pPr>
              <w:keepNext w:val="0"/>
              <w:keepLines w:val="0"/>
              <w:widowControl/>
              <w:numPr>
                <w:ilvl w:val="0"/>
                <w:numId w:val="0"/>
              </w:numPr>
              <w:suppressLineNumbers w:val="0"/>
              <w:spacing w:before="0" w:beforeAutospacing="0" w:after="0" w:afterAutospacing="0"/>
              <w:ind w:left="0" w:right="0" w:firstLine="454" w:firstLineChars="200"/>
              <w:jc w:val="left"/>
              <w:rPr>
                <w:rFonts w:hint="default"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⑥</w:t>
            </w:r>
            <w:r>
              <w:rPr>
                <w:rFonts w:hint="default" w:ascii="宋体" w:hAnsi="宋体" w:eastAsia="宋体" w:cs="宋体"/>
                <w:color w:val="000000" w:themeColor="text1"/>
                <w:sz w:val="24"/>
                <w:szCs w:val="24"/>
                <w:highlight w:val="none"/>
                <w14:textFill>
                  <w14:solidFill>
                    <w14:schemeClr w14:val="tx1"/>
                  </w14:solidFill>
                </w14:textFill>
              </w:rPr>
              <w:t>对堆放的施工废料采取必要的防扬尘措施。本项目施工期产生自土方挖掘、堆积、交通运输等引起的扬尘；施工设备、汽车产生的废气等。施工粉尘的污染程度与风速、大面积开挖造成地表裸露、粉尘粒径、粉尘含湿量等因素有关，其中风速对粉尘的污染影响最大，风速增大，产生的含尘量呈正比或级数增加，粉尘污染范围也相应扩大。大风情况下，施工引起的扬尘飘移较远。通过设置围栏、定期洒水降尘等措施减小施工扬尘对周边空气环境影响。</w:t>
            </w:r>
          </w:p>
          <w:p w14:paraId="7ACA3FCB">
            <w:pPr>
              <w:keepNext w:val="0"/>
              <w:keepLines w:val="0"/>
              <w:widowControl/>
              <w:numPr>
                <w:ilvl w:val="0"/>
                <w:numId w:val="0"/>
              </w:numPr>
              <w:suppressLineNumbers w:val="0"/>
              <w:spacing w:before="0" w:beforeAutospacing="0" w:after="0" w:afterAutospacing="0"/>
              <w:ind w:left="0" w:right="0" w:firstLine="454" w:firstLineChars="200"/>
              <w:jc w:val="left"/>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⑦施工期避让寺口子风景旅游区核心区，利用道路运输时，车辆应加盖篷布，进出施工场地进行冲洗，降低运输扬尘，减少对寺口子风景旅游区的影响。</w:t>
            </w:r>
          </w:p>
          <w:p w14:paraId="64ADAD56">
            <w:pPr>
              <w:keepNext w:val="0"/>
              <w:keepLines w:val="0"/>
              <w:widowControl/>
              <w:numPr>
                <w:ilvl w:val="0"/>
                <w:numId w:val="0"/>
              </w:numPr>
              <w:suppressLineNumbers w:val="0"/>
              <w:spacing w:before="0" w:beforeAutospacing="0" w:after="0" w:afterAutospacing="0"/>
              <w:ind w:left="0" w:right="0" w:firstLine="454" w:firstLineChars="200"/>
              <w:jc w:val="left"/>
              <w:rPr>
                <w:rFonts w:hint="default" w:ascii="宋体" w:hAnsi="宋体" w:eastAsia="宋体" w:cs="宋体"/>
                <w:color w:val="000000" w:themeColor="text1"/>
                <w:sz w:val="24"/>
                <w:szCs w:val="24"/>
                <w:highlight w:val="none"/>
                <w14:textFill>
                  <w14:solidFill>
                    <w14:schemeClr w14:val="tx1"/>
                  </w14:solidFill>
                </w14:textFill>
              </w:rPr>
            </w:pPr>
            <w:r>
              <w:rPr>
                <w:rFonts w:hint="default" w:ascii="宋体" w:hAnsi="宋体" w:eastAsia="宋体" w:cs="宋体"/>
                <w:color w:val="000000" w:themeColor="text1"/>
                <w:sz w:val="24"/>
                <w:szCs w:val="24"/>
                <w:highlight w:val="none"/>
                <w14:textFill>
                  <w14:solidFill>
                    <w14:schemeClr w14:val="tx1"/>
                  </w14:solidFill>
                </w14:textFill>
              </w:rPr>
              <w:t>综上所述，施工期采取的扬尘污染防治措施技术可行、经济合理，在落实上述措施后对区域</w:t>
            </w:r>
            <w:r>
              <w:rPr>
                <w:rFonts w:hint="eastAsia" w:ascii="宋体" w:hAnsi="宋体" w:eastAsia="宋体" w:cs="宋体"/>
                <w:color w:val="000000" w:themeColor="text1"/>
                <w:sz w:val="24"/>
                <w:szCs w:val="24"/>
                <w:highlight w:val="none"/>
                <w:lang w:val="en-US" w:eastAsia="zh-CN"/>
                <w14:textFill>
                  <w14:solidFill>
                    <w14:schemeClr w14:val="tx1"/>
                  </w14:solidFill>
                </w14:textFill>
              </w:rPr>
              <w:t>环境</w:t>
            </w:r>
            <w:r>
              <w:rPr>
                <w:rFonts w:hint="default" w:ascii="宋体" w:hAnsi="宋体" w:eastAsia="宋体" w:cs="宋体"/>
                <w:color w:val="000000" w:themeColor="text1"/>
                <w:sz w:val="24"/>
                <w:szCs w:val="24"/>
                <w:highlight w:val="none"/>
                <w14:textFill>
                  <w14:solidFill>
                    <w14:schemeClr w14:val="tx1"/>
                  </w14:solidFill>
                </w14:textFill>
              </w:rPr>
              <w:t>影响较小。</w:t>
            </w:r>
          </w:p>
          <w:p w14:paraId="3922AA5E">
            <w:pPr>
              <w:keepNext w:val="0"/>
              <w:keepLines w:val="0"/>
              <w:widowControl/>
              <w:numPr>
                <w:ilvl w:val="0"/>
                <w:numId w:val="0"/>
              </w:numPr>
              <w:suppressLineNumbers w:val="0"/>
              <w:spacing w:before="0" w:beforeAutospacing="0" w:after="0" w:afterAutospacing="0"/>
              <w:ind w:left="0" w:right="0" w:firstLine="454" w:firstLineChars="200"/>
              <w:jc w:val="left"/>
              <w:rPr>
                <w:rFonts w:hint="default" w:ascii="宋体" w:hAnsi="宋体"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⑵</w:t>
            </w:r>
            <w:r>
              <w:rPr>
                <w:rFonts w:hint="default" w:ascii="宋体" w:hAnsi="宋体" w:eastAsia="宋体" w:cs="宋体"/>
                <w:color w:val="000000" w:themeColor="text1"/>
                <w:sz w:val="24"/>
                <w:szCs w:val="24"/>
                <w:highlight w:val="none"/>
                <w14:textFill>
                  <w14:solidFill>
                    <w14:schemeClr w14:val="tx1"/>
                  </w14:solidFill>
                </w14:textFill>
              </w:rPr>
              <w:t>施工机械尾气</w:t>
            </w:r>
          </w:p>
          <w:p w14:paraId="4D16B03D">
            <w:pPr>
              <w:keepNext w:val="0"/>
              <w:keepLines w:val="0"/>
              <w:widowControl/>
              <w:numPr>
                <w:ilvl w:val="0"/>
                <w:numId w:val="0"/>
              </w:numPr>
              <w:suppressLineNumbers w:val="0"/>
              <w:spacing w:before="0" w:beforeAutospacing="0" w:after="0" w:afterAutospacing="0"/>
              <w:ind w:left="0" w:right="0" w:firstLine="454" w:firstLineChars="200"/>
              <w:jc w:val="both"/>
              <w:rPr>
                <w:rFonts w:hint="default" w:cs="Times New Roman"/>
                <w:color w:val="000000" w:themeColor="text1"/>
                <w:highlight w:val="none"/>
                <w14:textFill>
                  <w14:solidFill>
                    <w14:schemeClr w14:val="tx1"/>
                  </w14:solidFill>
                </w14:textFill>
              </w:rPr>
            </w:pPr>
            <w:r>
              <w:rPr>
                <w:rFonts w:hint="default" w:ascii="宋体" w:hAnsi="宋体" w:eastAsia="宋体" w:cs="宋体"/>
                <w:color w:val="000000" w:themeColor="text1"/>
                <w:sz w:val="24"/>
                <w:szCs w:val="24"/>
                <w:highlight w:val="none"/>
                <w14:textFill>
                  <w14:solidFill>
                    <w14:schemeClr w14:val="tx1"/>
                  </w14:solidFill>
                </w14:textFill>
              </w:rPr>
              <w:t>由于拟建项目所在地较为开阔，空气流通较好，车辆排放的尾气能够较快地扩散，不会对当地的环境空气产生较大影响。通过选用低能耗、低污染排放的施工运输车辆，加强施工机械的维护及保养，减少因车辆状况不佳造成的空气污染等措施进一步降低对环境空气的影响</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354C96DF">
            <w:pPr>
              <w:pStyle w:val="2"/>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施工期废水防治措施</w:t>
            </w:r>
          </w:p>
          <w:p w14:paraId="6D546B98">
            <w:pPr>
              <w:keepNext w:val="0"/>
              <w:keepLines w:val="0"/>
              <w:widowControl/>
              <w:suppressLineNumbers w:val="0"/>
              <w:spacing w:before="0" w:beforeAutospacing="0" w:after="0" w:afterAutospacing="0"/>
              <w:ind w:left="0" w:right="0"/>
              <w:jc w:val="left"/>
              <w:rPr>
                <w:rFonts w:hint="default" w:cs="Times New Roman"/>
                <w:color w:val="000000" w:themeColor="text1"/>
                <w:highlight w:val="none"/>
                <w:lang w:val="en-US"/>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项目区不设置施工生活营地，生活污水依托周边村庄旱厕处理</w:t>
            </w:r>
            <w:r>
              <w:rPr>
                <w:rFonts w:hint="eastAsia" w:cs="Times New Roman"/>
                <w:color w:val="000000" w:themeColor="text1"/>
                <w:kern w:val="0"/>
                <w:sz w:val="24"/>
                <w:szCs w:val="24"/>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设置1座5m</w:t>
            </w:r>
            <w:r>
              <w:rPr>
                <w:rFonts w:hint="eastAsia" w:ascii="Times New Roman" w:hAnsi="Times New Roman" w:eastAsia="宋体" w:cs="Times New Roman"/>
                <w:color w:val="000000" w:themeColor="text1"/>
                <w:kern w:val="0"/>
                <w:sz w:val="24"/>
                <w:szCs w:val="24"/>
                <w:highlight w:val="none"/>
                <w:vertAlign w:val="superscript"/>
                <w:lang w:val="en-US" w:eastAsia="zh-CN" w:bidi="ar"/>
                <w14:textFill>
                  <w14:solidFill>
                    <w14:schemeClr w14:val="tx1"/>
                  </w14:solidFill>
                </w14:textFill>
              </w:rPr>
              <w:t>3</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沉淀池，用于车辆</w:t>
            </w:r>
            <w:r>
              <w:rPr>
                <w:rFonts w:hint="eastAsia" w:cs="Times New Roman"/>
                <w:color w:val="000000" w:themeColor="text1"/>
                <w:kern w:val="0"/>
                <w:sz w:val="24"/>
                <w:szCs w:val="24"/>
                <w:highlight w:val="none"/>
                <w:lang w:val="en-US" w:eastAsia="zh-CN" w:bidi="ar"/>
                <w14:textFill>
                  <w14:solidFill>
                    <w14:schemeClr w14:val="tx1"/>
                  </w14:solidFill>
                </w14:textFill>
              </w:rPr>
              <w:t>及施工机械</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冲洗废水沉淀处置，沉淀后废水用于治理区洒水降尘。项目区无废水排放。</w:t>
            </w:r>
          </w:p>
          <w:p w14:paraId="762A7A0B">
            <w:pPr>
              <w:pStyle w:val="2"/>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施工期噪声防治措施</w:t>
            </w:r>
          </w:p>
          <w:p w14:paraId="2A2AF60D">
            <w:pPr>
              <w:keepNext w:val="0"/>
              <w:keepLines w:val="0"/>
              <w:widowControl/>
              <w:suppressLineNumbers w:val="0"/>
              <w:spacing w:before="0" w:beforeAutospacing="0" w:after="0" w:afterAutospacing="0"/>
              <w:ind w:left="0" w:right="0"/>
              <w:jc w:val="both"/>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本项目施工期的噪声主要来源于施工现场的各类机械设备噪声和运输车辆噪声。施工时应妥善布置较大的噪声设备，使其尽量远离声敏感点；同时施工方应合理布置施工时间，夜间尽量不施工，避免施工噪声扰民。</w:t>
            </w:r>
          </w:p>
          <w:p w14:paraId="0CB2613C">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本项目分段进行施工，建设期比较短，因此，只要采取的措施得当、管理得力，影响的程度有限。具体措施如下：</w:t>
            </w:r>
          </w:p>
          <w:p w14:paraId="212FE9CD">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fldChar w:fldCharType="begin"/>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instrText xml:space="preserve"> = 1 \* GB2 \* MERGEFORMAT </w:instrTex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fldChar w:fldCharType="separate"/>
            </w:r>
            <w:r>
              <w:rPr>
                <w:color w:val="000000" w:themeColor="text1"/>
                <w:highlight w:val="none"/>
                <w14:textFill>
                  <w14:solidFill>
                    <w14:schemeClr w14:val="tx1"/>
                  </w14:solidFill>
                </w14:textFill>
              </w:rPr>
              <w:t>⑴</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fldChar w:fldCharType="end"/>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合理安排施工时间，禁止在夜间二十二时至次日六时进行产生环境噪声污染的建筑施工作业。确因工程需要必须连续作业的，应当提前报所在地环境保护行政主管部门批准，并公告附近居民。</w:t>
            </w:r>
          </w:p>
          <w:p w14:paraId="7EF71A85">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⑵优化运输路线，车辆应避免经过敏感路段。</w:t>
            </w:r>
          </w:p>
          <w:p w14:paraId="49566A4A">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fldChar w:fldCharType="begin"/>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instrText xml:space="preserve"> = 3 \* GB2 \* MERGEFORMAT </w:instrTex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fldChar w:fldCharType="separate"/>
            </w:r>
            <w:r>
              <w:rPr>
                <w:color w:val="000000" w:themeColor="text1"/>
                <w:highlight w:val="none"/>
                <w14:textFill>
                  <w14:solidFill>
                    <w14:schemeClr w14:val="tx1"/>
                  </w14:solidFill>
                </w14:textFill>
              </w:rPr>
              <w:t>⑶</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fldChar w:fldCharType="end"/>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选用低噪声设备，分片区施工，加强生产设备的日常维护和维修等，定期检修设备，使其处于良好的运转状态；</w:t>
            </w:r>
          </w:p>
          <w:p w14:paraId="740466F6">
            <w:pPr>
              <w:keepNext w:val="0"/>
              <w:keepLines w:val="0"/>
              <w:widowControl/>
              <w:suppressLineNumbers w:val="0"/>
              <w:spacing w:before="0" w:beforeAutospacing="0" w:after="0" w:afterAutospacing="0"/>
              <w:ind w:left="0" w:right="0"/>
              <w:jc w:val="left"/>
              <w:rPr>
                <w:rFonts w:hint="default" w:cs="Times New Roman"/>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fldChar w:fldCharType="begin"/>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instrText xml:space="preserve"> = 4 \* GB2 \* MERGEFORMAT </w:instrTex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fldChar w:fldCharType="separate"/>
            </w:r>
            <w:r>
              <w:rPr>
                <w:color w:val="000000" w:themeColor="text1"/>
                <w:highlight w:val="none"/>
                <w14:textFill>
                  <w14:solidFill>
                    <w14:schemeClr w14:val="tx1"/>
                  </w14:solidFill>
                </w14:textFill>
              </w:rPr>
              <w:t>⑷</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fldChar w:fldCharType="end"/>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同一施工地点应避免安排大量动力机械设备，以免局部累积声级过高。通过采取上述综合降噪措施，可有效降低施工过程噪声对周围环境的影响，确保施工期各项施工活动产生的噪声达到《</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建筑施工噪声排放标准</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GB12523-20</w:t>
            </w:r>
            <w:r>
              <w:rPr>
                <w:rFonts w:hint="eastAsia" w:cs="Times New Roman"/>
                <w:color w:val="000000" w:themeColor="text1"/>
                <w:kern w:val="0"/>
                <w:sz w:val="24"/>
                <w:szCs w:val="24"/>
                <w:highlight w:val="none"/>
                <w:lang w:val="en-US" w:eastAsia="zh-CN" w:bidi="ar"/>
                <w14:textFill>
                  <w14:solidFill>
                    <w14:schemeClr w14:val="tx1"/>
                  </w14:solidFill>
                </w14:textFill>
              </w:rPr>
              <w:t>25</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）中的相关规定限值要求，对周围环境影响较小。</w:t>
            </w:r>
          </w:p>
          <w:p w14:paraId="02336B78">
            <w:pPr>
              <w:pStyle w:val="2"/>
              <w:bidi w:val="0"/>
              <w:rPr>
                <w:rFonts w:hint="default"/>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5</w:t>
            </w:r>
            <w:r>
              <w:rPr>
                <w:rFonts w:hint="eastAsia"/>
                <w:color w:val="000000" w:themeColor="text1"/>
                <w:highlight w:val="none"/>
                <w:lang w:val="en-US" w:eastAsia="zh-CN"/>
                <w14:textFill>
                  <w14:solidFill>
                    <w14:schemeClr w14:val="tx1"/>
                  </w14:solidFill>
                </w14:textFill>
              </w:rPr>
              <w:t>、施工期固体废物处理措施</w:t>
            </w:r>
          </w:p>
          <w:p w14:paraId="01419C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54" w:firstLineChars="200"/>
              <w:textAlignment w:val="auto"/>
              <w:rPr>
                <w:rFonts w:hint="eastAsia"/>
                <w:color w:val="000000" w:themeColor="text1"/>
                <w:highlight w:val="none"/>
                <w:lang w:val="en-US" w:eastAsia="zh-CN"/>
                <w14:textFill>
                  <w14:solidFill>
                    <w14:schemeClr w14:val="tx1"/>
                  </w14:solidFill>
                </w14:textFill>
              </w:rPr>
            </w:pPr>
            <w:r>
              <w:rPr>
                <w:rFonts w:hint="default" w:cs="Times New Roman"/>
                <w:snapToGrid w:val="0"/>
                <w:color w:val="000000" w:themeColor="text1"/>
                <w:sz w:val="24"/>
                <w:highlight w:val="none"/>
                <w14:textFill>
                  <w14:solidFill>
                    <w14:schemeClr w14:val="tx1"/>
                  </w14:solidFill>
                </w14:textFill>
              </w:rPr>
              <w:t>本工程施工期的固体废弃物主要来源为</w:t>
            </w:r>
            <w:r>
              <w:rPr>
                <w:rFonts w:hint="eastAsia" w:cs="Times New Roman"/>
                <w:snapToGrid w:val="0"/>
                <w:color w:val="000000" w:themeColor="text1"/>
                <w:sz w:val="24"/>
                <w:highlight w:val="none"/>
                <w:lang w:val="en-US" w:eastAsia="zh-CN"/>
                <w14:textFill>
                  <w14:solidFill>
                    <w14:schemeClr w14:val="tx1"/>
                  </w14:solidFill>
                </w14:textFill>
              </w:rPr>
              <w:t>生活垃圾</w:t>
            </w:r>
            <w:r>
              <w:rPr>
                <w:rFonts w:hint="eastAsia" w:cs="Times New Roman"/>
                <w:snapToGrid w:val="0"/>
                <w:color w:val="000000" w:themeColor="text1"/>
                <w:sz w:val="24"/>
                <w:highlight w:val="none"/>
                <w14:textFill>
                  <w14:solidFill>
                    <w14:schemeClr w14:val="tx1"/>
                  </w14:solidFill>
                </w14:textFill>
              </w:rPr>
              <w:t>。项目区不设置施工生活营地，施工生活营地依托周边村庄</w:t>
            </w:r>
            <w:r>
              <w:rPr>
                <w:rFonts w:hint="eastAsia" w:cs="Times New Roman"/>
                <w:snapToGrid w:val="0"/>
                <w:color w:val="000000" w:themeColor="text1"/>
                <w:sz w:val="24"/>
                <w:highlight w:val="none"/>
                <w:lang w:eastAsia="zh-CN"/>
                <w14:textFill>
                  <w14:solidFill>
                    <w14:schemeClr w14:val="tx1"/>
                  </w14:solidFill>
                </w14:textFill>
              </w:rPr>
              <w:t>。</w:t>
            </w:r>
            <w:r>
              <w:rPr>
                <w:rFonts w:hint="eastAsia" w:cs="Times New Roman"/>
                <w:snapToGrid w:val="0"/>
                <w:color w:val="000000" w:themeColor="text1"/>
                <w:sz w:val="24"/>
                <w:highlight w:val="none"/>
                <w14:textFill>
                  <w14:solidFill>
                    <w14:schemeClr w14:val="tx1"/>
                  </w14:solidFill>
                </w14:textFill>
              </w:rPr>
              <w:t>生活垃圾集中分类收集后送至邻近村庄生活垃圾收集点，由当地环卫部门统一清运处置。</w:t>
            </w:r>
          </w:p>
        </w:tc>
      </w:tr>
      <w:tr w14:paraId="498B7F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2" w:hRule="atLeast"/>
          <w:jc w:val="center"/>
        </w:trPr>
        <w:tc>
          <w:tcPr>
            <w:tcW w:w="691" w:type="dxa"/>
            <w:noWrap w:val="0"/>
            <w:tcMar>
              <w:left w:w="28" w:type="dxa"/>
              <w:right w:w="28" w:type="dxa"/>
            </w:tcMar>
            <w:vAlign w:val="center"/>
          </w:tcPr>
          <w:p w14:paraId="4DE1FB01">
            <w:pPr>
              <w:keepNext w:val="0"/>
              <w:keepLines w:val="0"/>
              <w:suppressLineNumbers w:val="0"/>
              <w:bidi w:val="0"/>
              <w:spacing w:before="0" w:beforeAutospacing="0" w:after="0" w:afterAutospacing="0"/>
              <w:ind w:left="0" w:leftChars="0" w:right="0" w:firstLine="0" w:firstLineChars="0"/>
              <w:jc w:val="center"/>
              <w:rPr>
                <w:rFonts w:hint="default" w:cs="Times New Roman"/>
                <w:bCs/>
                <w:color w:val="000000" w:themeColor="text1"/>
                <w:spacing w:val="10"/>
                <w:szCs w:val="2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运营</w:t>
            </w:r>
            <w:r>
              <w:rPr>
                <w:rFonts w:hint="default" w:cs="Times New Roman"/>
                <w:b/>
                <w:bCs/>
                <w:color w:val="000000" w:themeColor="text1"/>
                <w:highlight w:val="none"/>
                <w14:textFill>
                  <w14:solidFill>
                    <w14:schemeClr w14:val="tx1"/>
                  </w14:solidFill>
                </w14:textFill>
              </w:rPr>
              <w:t>期生态环境保护措施</w:t>
            </w:r>
          </w:p>
        </w:tc>
        <w:tc>
          <w:tcPr>
            <w:tcW w:w="8519" w:type="dxa"/>
            <w:noWrap w:val="0"/>
            <w:vAlign w:val="center"/>
          </w:tcPr>
          <w:p w14:paraId="11A1C7AC">
            <w:pPr>
              <w:keepNext w:val="0"/>
              <w:keepLines w:val="0"/>
              <w:widowControl/>
              <w:suppressLineNumbers w:val="0"/>
              <w:spacing w:before="0" w:beforeAutospacing="0" w:after="0" w:afterAutospacing="0"/>
              <w:ind w:left="0" w:right="0"/>
              <w:jc w:val="both"/>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本项目通过地形地貌恢复工程、截排水工程和生态恢复工程对</w:t>
            </w:r>
            <w:r>
              <w:rPr>
                <w:rFonts w:hint="eastAsia" w:ascii="Times New Roman" w:hAnsi="Times New Roman" w:cs="Times New Roman"/>
                <w:color w:val="000000" w:themeColor="text1"/>
                <w:sz w:val="24"/>
                <w:highlight w:val="none"/>
                <w:lang w:val="en-US" w:eastAsia="zh-CN"/>
                <w14:textFill>
                  <w14:solidFill>
                    <w14:schemeClr w14:val="tx1"/>
                  </w14:solidFill>
                </w14:textFill>
              </w:rPr>
              <w:t>天景山</w:t>
            </w:r>
            <w:r>
              <w:rPr>
                <w:rFonts w:hint="eastAsia" w:cs="Times New Roman"/>
                <w:color w:val="000000" w:themeColor="text1"/>
                <w:sz w:val="24"/>
                <w:highlight w:val="none"/>
                <w:lang w:val="en-US" w:eastAsia="zh-CN"/>
                <w14:textFill>
                  <w14:solidFill>
                    <w14:schemeClr w14:val="tx1"/>
                  </w14:solidFill>
                </w14:textFill>
              </w:rPr>
              <w:t>山峁圪垯梁</w:t>
            </w:r>
            <w:r>
              <w:rPr>
                <w:rFonts w:hint="eastAsia" w:ascii="Times New Roman" w:hAnsi="Times New Roman" w:cs="Times New Roman"/>
                <w:color w:val="000000" w:themeColor="text1"/>
                <w:sz w:val="24"/>
                <w:highlight w:val="none"/>
                <w:lang w:val="en-US" w:eastAsia="zh-CN"/>
                <w14:textFill>
                  <w14:solidFill>
                    <w14:schemeClr w14:val="tx1"/>
                  </w14:solidFill>
                </w14:textFill>
              </w:rPr>
              <w:t>灰石</w:t>
            </w:r>
            <w:r>
              <w:rPr>
                <w:rFonts w:hint="default" w:ascii="Times New Roman" w:hAnsi="Times New Roman" w:cs="Times New Roman"/>
                <w:color w:val="000000" w:themeColor="text1"/>
                <w:sz w:val="24"/>
                <w:highlight w:val="none"/>
                <w14:textFill>
                  <w14:solidFill>
                    <w14:schemeClr w14:val="tx1"/>
                  </w14:solidFill>
                </w14:textFill>
              </w:rPr>
              <w:t>矿山进行生态修复治理</w:t>
            </w:r>
            <w:r>
              <w:rPr>
                <w:rFonts w:hint="eastAsia" w:cs="Times New Roman"/>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项目通过治理后，修复区生态系统会保持或恢复到自身结构和功能相对稳定的状态。本项目养护期无废气、废水、噪声及固体废弃物等的产生，项目生态恢复治理面积较大，区域降水较少，雨季产生的雨水基本可被植物、土壤吸收，在矿区内自行消纳，本项目的实施相对于项目实施前是更有利于周边的生态和水环境恢复。</w:t>
            </w:r>
          </w:p>
          <w:p w14:paraId="2143023E">
            <w:pPr>
              <w:keepNext w:val="0"/>
              <w:keepLines w:val="0"/>
              <w:widowControl/>
              <w:suppressLineNumbers w:val="0"/>
              <w:spacing w:before="0" w:beforeAutospacing="0" w:after="0" w:afterAutospacing="0"/>
              <w:ind w:left="0" w:right="0"/>
              <w:jc w:val="both"/>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为保护生态环境，运营期应制定环境管理和监理制度及任务，时刻关注植被恢复和水土流失情况，及时发现问题，并采取措施。若植被的自然修复效果较差，必要时可采用人工干预修复措施，包括灌溉、补播等措施。</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针对斑秃或稀疏区域进行补播，补植依然采用穴播方式，草籽应在雨季抢墒播种。播种后及时浇水，保持土壤湿润（含水量约60%），可覆盖秸秆或无纺布保湿、防冲刷，待幼苗出土后移除覆盖物。每次浇水标准为185m</w:t>
            </w:r>
            <w:r>
              <w:rPr>
                <w:rFonts w:hint="default" w:ascii="Times New Roman" w:hAnsi="Times New Roman" w:eastAsia="宋体" w:cs="Times New Roman"/>
                <w:color w:val="000000" w:themeColor="text1"/>
                <w:kern w:val="0"/>
                <w:sz w:val="24"/>
                <w:szCs w:val="24"/>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/hm</w:t>
            </w:r>
            <w:r>
              <w:rPr>
                <w:rFonts w:hint="default" w:ascii="Times New Roman" w:hAnsi="Times New Roman" w:eastAsia="宋体" w:cs="Times New Roman"/>
                <w:color w:val="000000" w:themeColor="text1"/>
                <w:kern w:val="0"/>
                <w:sz w:val="24"/>
                <w:szCs w:val="24"/>
                <w:highlight w:val="none"/>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，可根据草地生长情况和天气情况调整浇水次数。</w:t>
            </w:r>
          </w:p>
          <w:p w14:paraId="66614823">
            <w:pPr>
              <w:rPr>
                <w:rFonts w:hint="eastAsia" w:eastAsia="宋体" w:cs="Times New Roman"/>
                <w:bCs/>
                <w:color w:val="000000" w:themeColor="text1"/>
                <w:spacing w:val="11"/>
                <w:sz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本项目占地类型为占地类型主要为草地、工矿用地、交通运输用地、林地、特殊用地及其他土地。项目实施后，工矿用地</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其他土地</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将转变为草地。</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项目通过地形地貌恢复工程、截排水工程和生态恢复工程对历史遗留废弃矿山进行生态修复治理，恢复区域内的地形地貌并与周边环境相协调。</w:t>
            </w:r>
          </w:p>
        </w:tc>
      </w:tr>
      <w:tr w14:paraId="6C3E8B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91" w:type="dxa"/>
            <w:noWrap w:val="0"/>
            <w:vAlign w:val="center"/>
          </w:tcPr>
          <w:p w14:paraId="262C1DEF">
            <w:pPr>
              <w:keepNext w:val="0"/>
              <w:keepLines w:val="0"/>
              <w:suppressLineNumbers w:val="0"/>
              <w:bidi w:val="0"/>
              <w:spacing w:before="0" w:beforeAutospacing="0" w:after="0" w:afterAutospacing="0"/>
              <w:ind w:left="0" w:leftChars="0" w:right="0" w:firstLine="0" w:firstLineChars="0"/>
              <w:jc w:val="center"/>
              <w:rPr>
                <w:rFonts w:hint="default" w:cs="Times New Roman"/>
                <w:bCs/>
                <w:color w:val="000000" w:themeColor="text1"/>
                <w:spacing w:val="10"/>
                <w:szCs w:val="21"/>
                <w:highlight w:val="none"/>
                <w14:textFill>
                  <w14:solidFill>
                    <w14:schemeClr w14:val="tx1"/>
                  </w14:solidFill>
                </w14:textFill>
              </w:rPr>
            </w:pPr>
            <w:r>
              <w:rPr>
                <w:rFonts w:hint="default" w:cs="Times New Roman"/>
                <w:b/>
                <w:bCs/>
                <w:color w:val="000000" w:themeColor="text1"/>
                <w:highlight w:val="none"/>
                <w14:textFill>
                  <w14:solidFill>
                    <w14:schemeClr w14:val="tx1"/>
                  </w14:solidFill>
                </w14:textFill>
              </w:rPr>
              <w:t>其他</w:t>
            </w:r>
          </w:p>
        </w:tc>
        <w:tc>
          <w:tcPr>
            <w:tcW w:w="8519" w:type="dxa"/>
            <w:noWrap w:val="0"/>
            <w:vAlign w:val="center"/>
          </w:tcPr>
          <w:p w14:paraId="48CE805D">
            <w:pPr>
              <w:pStyle w:val="2"/>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default"/>
                <w:color w:val="000000" w:themeColor="text1"/>
                <w:highlight w:val="none"/>
                <w14:textFill>
                  <w14:solidFill>
                    <w14:schemeClr w14:val="tx1"/>
                  </w14:solidFill>
                </w14:textFill>
              </w:rPr>
              <w:t>项目生态修复目标及生态保护和修复效果可达性</w:t>
            </w:r>
          </w:p>
          <w:p w14:paraId="2D301FD0">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⑴</w:t>
            </w:r>
            <w:r>
              <w:rPr>
                <w:rFonts w:hint="default" w:ascii="Times New Roman" w:hAnsi="Times New Roman" w:eastAsia="宋体" w:cs="Times New Roman"/>
                <w:color w:val="000000" w:themeColor="text1"/>
                <w:sz w:val="24"/>
                <w:highlight w:val="none"/>
                <w14:textFill>
                  <w14:solidFill>
                    <w14:schemeClr w14:val="tx1"/>
                  </w14:solidFill>
                </w14:textFill>
              </w:rPr>
              <w:t>项目生态修复目标</w:t>
            </w:r>
          </w:p>
          <w:p w14:paraId="3EBC7EB8">
            <w:pPr>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①总体目标</w:t>
            </w:r>
          </w:p>
          <w:p w14:paraId="203C8E23">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修复矿山北区、西区边坡因雨水汇流导致边坡垮塌问题，使地形地貌与周边相协调；将治理区西部临时石料堆放场渣料进行清运，消除渣堆对土地资源的压占，恢复植被；将治理区南部的矿产品进行清理覆土，并进行植被恢复。完善项目区水土保持措施，提高项目区水土保持能力，减少水土流失。</w:t>
            </w:r>
          </w:p>
          <w:p w14:paraId="0374B9B3">
            <w:pPr>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②具体目标</w:t>
            </w:r>
          </w:p>
          <w:p w14:paraId="1C14D2AF">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修复治理区域生态环境影响面积94.17hm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，采用渣堆回填、场区平整、坡面修整等措施，消除地质灾害隐患，使治理区地形地貌与周边生态环境相协调。通过植被恢复工程的实施，采用穴播方式播种草籽，恢复压占草地面积27.22hm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通过人工补水方式逐步提升区域植被覆盖度，使区域内生态环境区域向好。通过修建截排工程，提高治理区水土保持能力，减少水土流失，同时恢复治理区排水与周边水系的连通性，减少天然降水形成的地面径流造成洪水隐患。</w:t>
            </w:r>
          </w:p>
          <w:p w14:paraId="7C0C7D1F">
            <w:pPr>
              <w:keepNext w:val="0"/>
              <w:keepLines w:val="0"/>
              <w:suppressLineNumbers w:val="0"/>
              <w:spacing w:before="0" w:beforeAutospacing="0" w:after="0" w:afterAutospacing="0"/>
              <w:ind w:left="0" w:right="0"/>
              <w:rPr>
                <w:rFonts w:hint="default"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⑵</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生态修复技术可达性</w:t>
            </w:r>
          </w:p>
          <w:p w14:paraId="7FCAEC44">
            <w:pPr>
              <w:keepNext w:val="0"/>
              <w:keepLines w:val="0"/>
              <w:suppressLineNumbers w:val="0"/>
              <w:spacing w:before="0" w:beforeAutospacing="0" w:after="0" w:afterAutospacing="0"/>
              <w:ind w:left="0" w:right="0"/>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本项目地形地貌恢复工程中，采用机械进行坡面修与场区平整是稳定边坡、消除地质灾害隐患的成熟工程技术；利用</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清运</w:t>
            </w:r>
            <w:r>
              <w:rPr>
                <w:rFonts w:hint="eastAsia" w:ascii="宋体" w:hAnsi="宋体" w:eastAsia="宋体" w:cs="宋体"/>
                <w:b w:val="0"/>
                <w:bCs w:val="0"/>
                <w:color w:val="000000" w:themeColor="text1"/>
                <w:sz w:val="24"/>
                <w:szCs w:val="24"/>
                <w:highlight w:val="none"/>
                <w14:textFill>
                  <w14:solidFill>
                    <w14:schemeClr w14:val="tx1"/>
                  </w14:solidFill>
                </w14:textFill>
              </w:rPr>
              <w:t>矿产品进行内部换填与截水埂修建，实现了渣料的资源化利用，技术路径合理。截排水工程中，设计土质截水埂和导流槽构成了完整的“防-排”体系，能有效疏导径流、控制水土流失，属于经典且可靠的水土保持工法。生态植被恢复工程是技术集成的核心，通过覆土为植物生长奠定基础，选用乡土草种进行穴播并配套长达3年的科学养护与人工补水计划，这套“土壤改良-物种筛选-持续管护”的技术组合已被大量实践证明能有效提升植被覆盖度，逐步实现生态系统的正向演替。综上所述，各项工程措施均依托于当前成熟、经济、可操作的常规技术，能够可靠地支撑总体修复目标和具体量化指标的实现。</w:t>
            </w:r>
          </w:p>
          <w:p w14:paraId="17AB8B0B">
            <w:pPr>
              <w:keepNext w:val="0"/>
              <w:keepLines w:val="0"/>
              <w:suppressLineNumbers w:val="0"/>
              <w:spacing w:before="0" w:beforeAutospacing="0" w:after="0" w:afterAutospacing="0"/>
              <w:ind w:left="0" w:right="0"/>
              <w:rPr>
                <w:rFonts w:hint="default"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⑶</w:t>
            </w:r>
            <w:r>
              <w:rPr>
                <w:rFonts w:hint="default" w:ascii="宋体" w:hAnsi="宋体" w:eastAsia="宋体" w:cs="宋体"/>
                <w:b w:val="0"/>
                <w:bCs w:val="0"/>
                <w:color w:val="000000" w:themeColor="text1"/>
                <w:sz w:val="24"/>
                <w:szCs w:val="24"/>
                <w:highlight w:val="none"/>
                <w14:textFill>
                  <w14:solidFill>
                    <w14:schemeClr w14:val="tx1"/>
                  </w14:solidFill>
                </w14:textFill>
              </w:rPr>
              <w:t>生态保护和修复效果可达性</w:t>
            </w:r>
          </w:p>
          <w:p w14:paraId="2CD1BC72">
            <w:pPr>
              <w:keepNext w:val="0"/>
              <w:keepLines w:val="0"/>
              <w:suppressLineNumbers w:val="0"/>
              <w:spacing w:before="0" w:beforeAutospacing="0" w:after="0" w:afterAutospacing="0"/>
              <w:ind w:left="0" w:right="0"/>
              <w:rPr>
                <w:rFonts w:hint="default" w:ascii="宋体" w:hAnsi="宋体" w:eastAsia="宋体" w:cs="宋体"/>
                <w:b w:val="0"/>
                <w:bCs w:val="0"/>
                <w:color w:val="000000" w:themeColor="text1"/>
                <w:sz w:val="24"/>
                <w:szCs w:val="24"/>
                <w:highlight w:val="none"/>
                <w14:textFill>
                  <w14:solidFill>
                    <w14:schemeClr w14:val="tx1"/>
                  </w14:solidFill>
                </w14:textFill>
              </w:rPr>
            </w:pPr>
            <w:r>
              <w:rPr>
                <w:rFonts w:hint="default" w:ascii="宋体" w:hAnsi="宋体" w:eastAsia="宋体" w:cs="宋体"/>
                <w:b w:val="0"/>
                <w:bCs w:val="0"/>
                <w:color w:val="000000" w:themeColor="text1"/>
                <w:sz w:val="24"/>
                <w:szCs w:val="24"/>
                <w:highlight w:val="none"/>
                <w14:textFill>
                  <w14:solidFill>
                    <w14:schemeClr w14:val="tx1"/>
                  </w14:solidFill>
                </w14:textFill>
              </w:rPr>
              <w:t>治理后的项目区可消除地质灾害隐患，恢复地形地貌，与周边自然地貌相得益彰。项目实施后可有效防止水土流失；修复破碎的地形地貌，改善当地的生态环境条件。施工期废水、废气、噪声、固体废物治理措施、生态影响防治措施均为经济合理、技术可行、并可运行稳定的治理措施，项目严格落实本报告提出的生态环境保护措施，对环境产生的影响在可接受范围之内，故措施可行。</w:t>
            </w:r>
          </w:p>
          <w:p w14:paraId="239567BF">
            <w:pPr>
              <w:pStyle w:val="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2、效益分析</w:t>
            </w:r>
          </w:p>
          <w:p w14:paraId="355D2421">
            <w:pPr>
              <w:keepNext w:val="0"/>
              <w:keepLines w:val="0"/>
              <w:suppressLineNumbers w:val="0"/>
              <w:spacing w:before="0" w:beforeAutospacing="0" w:after="0" w:afterAutospacing="0"/>
              <w:ind w:left="0" w:right="0"/>
              <w:rPr>
                <w:rFonts w:hint="default"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⑴</w:t>
            </w:r>
            <w:r>
              <w:rPr>
                <w:rFonts w:hint="default" w:ascii="宋体" w:hAnsi="宋体" w:eastAsia="宋体" w:cs="宋体"/>
                <w:b w:val="0"/>
                <w:bCs w:val="0"/>
                <w:color w:val="000000" w:themeColor="text1"/>
                <w:sz w:val="24"/>
                <w:szCs w:val="24"/>
                <w:highlight w:val="none"/>
                <w14:textFill>
                  <w14:solidFill>
                    <w14:schemeClr w14:val="tx1"/>
                  </w14:solidFill>
                </w14:textFill>
              </w:rPr>
              <w:t>社会效益</w:t>
            </w:r>
          </w:p>
          <w:p w14:paraId="0262D0E0">
            <w:pPr>
              <w:keepNext w:val="0"/>
              <w:keepLines w:val="0"/>
              <w:suppressLineNumbers w:val="0"/>
              <w:spacing w:before="0" w:beforeAutospacing="0" w:after="0" w:afterAutospacing="0"/>
              <w:ind w:left="0" w:right="0"/>
              <w:rPr>
                <w:rFonts w:hint="default" w:ascii="宋体" w:hAnsi="宋体" w:eastAsia="宋体" w:cs="宋体"/>
                <w:b w:val="0"/>
                <w:bCs w:val="0"/>
                <w:color w:val="000000" w:themeColor="text1"/>
                <w:sz w:val="24"/>
                <w:szCs w:val="24"/>
                <w:highlight w:val="none"/>
                <w14:textFill>
                  <w14:solidFill>
                    <w14:schemeClr w14:val="tx1"/>
                  </w14:solidFill>
                </w14:textFill>
              </w:rPr>
            </w:pPr>
            <w:r>
              <w:rPr>
                <w:rFonts w:hint="default" w:ascii="宋体" w:hAnsi="宋体" w:eastAsia="宋体" w:cs="宋体"/>
                <w:b w:val="0"/>
                <w:bCs w:val="0"/>
                <w:color w:val="000000" w:themeColor="text1"/>
                <w:sz w:val="24"/>
                <w:szCs w:val="24"/>
                <w:highlight w:val="none"/>
                <w14:textFill>
                  <w14:solidFill>
                    <w14:schemeClr w14:val="tx1"/>
                  </w14:solidFill>
                </w14:textFill>
              </w:rPr>
              <w:t>项目</w:t>
            </w:r>
            <w:r>
              <w:rPr>
                <w:rFonts w:hint="eastAsia" w:ascii="宋体" w:hAnsi="宋体" w:cs="宋体"/>
                <w:b w:val="0"/>
                <w:bCs w:val="0"/>
                <w:color w:val="000000" w:themeColor="text1"/>
                <w:sz w:val="24"/>
                <w:szCs w:val="24"/>
                <w:highlight w:val="none"/>
                <w:lang w:eastAsia="zh-CN"/>
                <w14:textFill>
                  <w14:solidFill>
                    <w14:schemeClr w14:val="tx1"/>
                  </w14:solidFill>
                </w14:textFill>
              </w:rPr>
              <w:t>属于</w:t>
            </w:r>
            <w:r>
              <w:rPr>
                <w:rFonts w:hint="default" w:ascii="宋体" w:hAnsi="宋体" w:eastAsia="宋体" w:cs="宋体"/>
                <w:b w:val="0"/>
                <w:bCs w:val="0"/>
                <w:color w:val="000000" w:themeColor="text1"/>
                <w:sz w:val="24"/>
                <w:szCs w:val="24"/>
                <w:highlight w:val="none"/>
                <w14:textFill>
                  <w14:solidFill>
                    <w14:schemeClr w14:val="tx1"/>
                  </w14:solidFill>
                </w14:textFill>
              </w:rPr>
              <w:t>公益性、社会性项目，其价值具有间接性、潜在性和长久性的特点，主要表现在恢复生态环境方面，将对后续类似矿山地质环境治理工程起到“示范工程”效应。该项工程牢牢把握住人民群众对美好生活的向往，着力打造生态文明建设的示范样板，有助于缓解矿业开发与环境保护之间的矛盾，适应经济社会可持续发展的战略要求。</w:t>
            </w:r>
          </w:p>
          <w:p w14:paraId="77AF220A">
            <w:pPr>
              <w:keepNext w:val="0"/>
              <w:keepLines w:val="0"/>
              <w:suppressLineNumbers w:val="0"/>
              <w:spacing w:before="0" w:beforeAutospacing="0" w:after="0" w:afterAutospacing="0"/>
              <w:ind w:left="0" w:right="0"/>
              <w:rPr>
                <w:rFonts w:hint="default"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⑵</w:t>
            </w:r>
            <w:r>
              <w:rPr>
                <w:rFonts w:hint="default" w:ascii="宋体" w:hAnsi="宋体" w:eastAsia="宋体" w:cs="宋体"/>
                <w:b w:val="0"/>
                <w:bCs w:val="0"/>
                <w:color w:val="000000" w:themeColor="text1"/>
                <w:sz w:val="24"/>
                <w:szCs w:val="24"/>
                <w:highlight w:val="none"/>
                <w14:textFill>
                  <w14:solidFill>
                    <w14:schemeClr w14:val="tx1"/>
                  </w14:solidFill>
                </w14:textFill>
              </w:rPr>
              <w:t>生态环境效益</w:t>
            </w:r>
          </w:p>
          <w:p w14:paraId="0FCB18CD">
            <w:pPr>
              <w:keepNext w:val="0"/>
              <w:keepLines w:val="0"/>
              <w:suppressLineNumbers w:val="0"/>
              <w:spacing w:before="0" w:beforeAutospacing="0" w:after="0" w:afterAutospacing="0"/>
              <w:ind w:left="0" w:right="0"/>
              <w:rPr>
                <w:rFonts w:hint="default" w:ascii="宋体" w:hAnsi="宋体" w:eastAsia="宋体" w:cs="宋体"/>
                <w:b w:val="0"/>
                <w:bCs w:val="0"/>
                <w:color w:val="000000" w:themeColor="text1"/>
                <w:sz w:val="24"/>
                <w:szCs w:val="24"/>
                <w:highlight w:val="none"/>
                <w14:textFill>
                  <w14:solidFill>
                    <w14:schemeClr w14:val="tx1"/>
                  </w14:solidFill>
                </w14:textFill>
              </w:rPr>
            </w:pPr>
            <w:r>
              <w:rPr>
                <w:rFonts w:hint="default" w:ascii="宋体" w:hAnsi="宋体" w:eastAsia="宋体" w:cs="宋体"/>
                <w:b w:val="0"/>
                <w:bCs w:val="0"/>
                <w:color w:val="000000" w:themeColor="text1"/>
                <w:sz w:val="24"/>
                <w:szCs w:val="24"/>
                <w:highlight w:val="none"/>
                <w14:textFill>
                  <w14:solidFill>
                    <w14:schemeClr w14:val="tx1"/>
                  </w14:solidFill>
                </w14:textFill>
              </w:rPr>
              <w:t>通过项目的实施，提升北山地区及黄河两岸生态环境自然修复能力、生态系统自愈能力，使区域生态系统质量明显改善，生态服务功能显著提高，生态稳定性明显增强，自然生态系统基本实现良性循环，生态安全屏障体系基本建成，实现人与自然和谐共生，促进社会经济可持续发展。</w:t>
            </w:r>
          </w:p>
          <w:p w14:paraId="6FFECAB4">
            <w:pPr>
              <w:keepNext w:val="0"/>
              <w:keepLines w:val="0"/>
              <w:suppressLineNumbers w:val="0"/>
              <w:spacing w:before="0" w:beforeAutospacing="0" w:after="0" w:afterAutospacing="0"/>
              <w:ind w:left="0" w:right="0"/>
              <w:rPr>
                <w:rFonts w:hint="default" w:ascii="宋体" w:hAnsi="宋体" w:eastAsia="宋体" w:cs="宋体"/>
                <w:b w:val="0"/>
                <w:bCs w:val="0"/>
                <w:color w:val="000000" w:themeColor="text1"/>
                <w:sz w:val="24"/>
                <w:szCs w:val="24"/>
                <w:highlight w:val="none"/>
                <w14:textFill>
                  <w14:solidFill>
                    <w14:schemeClr w14:val="tx1"/>
                  </w14:solidFill>
                </w14:textFill>
              </w:rPr>
            </w:pPr>
            <w:r>
              <w:rPr>
                <w:rFonts w:hint="default" w:ascii="宋体" w:hAnsi="宋体" w:eastAsia="宋体" w:cs="宋体"/>
                <w:b w:val="0"/>
                <w:bCs w:val="0"/>
                <w:color w:val="000000" w:themeColor="text1"/>
                <w:sz w:val="24"/>
                <w:szCs w:val="24"/>
                <w:highlight w:val="none"/>
                <w14:textFill>
                  <w14:solidFill>
                    <w14:schemeClr w14:val="tx1"/>
                  </w14:solidFill>
                </w14:textFill>
              </w:rPr>
              <w:t>项目的实施，将有效遏制矿区及周边环境的恶化，在合理管护的基础上最终实现生态系统的多样性与稳定性。吸引周边动物群落的回迁，增加动物群落多样性，达到植物动物群落的动态平衡；矿区地形地貌得到了恢复和改善，提高了土地抵御自然灾害的能力。</w:t>
            </w:r>
          </w:p>
          <w:p w14:paraId="0676E451">
            <w:pPr>
              <w:keepNext w:val="0"/>
              <w:keepLines w:val="0"/>
              <w:suppressLineNumbers w:val="0"/>
              <w:spacing w:before="0" w:beforeAutospacing="0" w:after="0" w:afterAutospacing="0"/>
              <w:ind w:left="0" w:right="0"/>
              <w:rPr>
                <w:rFonts w:hint="default"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⑶</w:t>
            </w:r>
            <w:r>
              <w:rPr>
                <w:rFonts w:hint="default" w:ascii="宋体" w:hAnsi="宋体" w:eastAsia="宋体" w:cs="宋体"/>
                <w:b w:val="0"/>
                <w:bCs w:val="0"/>
                <w:color w:val="000000" w:themeColor="text1"/>
                <w:sz w:val="24"/>
                <w:szCs w:val="24"/>
                <w:highlight w:val="none"/>
                <w14:textFill>
                  <w14:solidFill>
                    <w14:schemeClr w14:val="tx1"/>
                  </w14:solidFill>
                </w14:textFill>
              </w:rPr>
              <w:t>经济效益</w:t>
            </w:r>
          </w:p>
          <w:p w14:paraId="69D30D29">
            <w:pPr>
              <w:keepNext w:val="0"/>
              <w:keepLines w:val="0"/>
              <w:suppressLineNumbers w:val="0"/>
              <w:spacing w:before="0" w:beforeAutospacing="0" w:after="0" w:afterAutospacing="0"/>
              <w:ind w:left="0" w:right="0"/>
              <w:rPr>
                <w:rFonts w:hint="default" w:ascii="宋体" w:hAnsi="宋体" w:eastAsia="宋体" w:cs="宋体"/>
                <w:b w:val="0"/>
                <w:bCs w:val="0"/>
                <w:color w:val="000000" w:themeColor="text1"/>
                <w:sz w:val="24"/>
                <w:szCs w:val="24"/>
                <w:highlight w:val="none"/>
                <w14:textFill>
                  <w14:solidFill>
                    <w14:schemeClr w14:val="tx1"/>
                  </w14:solidFill>
                </w14:textFill>
              </w:rPr>
            </w:pPr>
            <w:r>
              <w:rPr>
                <w:rFonts w:hint="default" w:ascii="宋体" w:hAnsi="宋体" w:eastAsia="宋体" w:cs="宋体"/>
                <w:b w:val="0"/>
                <w:bCs w:val="0"/>
                <w:color w:val="000000" w:themeColor="text1"/>
                <w:sz w:val="24"/>
                <w:szCs w:val="24"/>
                <w:highlight w:val="none"/>
                <w14:textFill>
                  <w14:solidFill>
                    <w14:schemeClr w14:val="tx1"/>
                  </w14:solidFill>
                </w14:textFill>
              </w:rPr>
              <w:t>本项目属于矿山生态修复项目，项目本身的经济效益微乎其微，但产生的经济效益主要有三方面。第一方面，通过项目的实施，有效防治由于盗采、滥采矿山而产生的崩塌、滑坡、泥石流等地质灾害隐患，保障了山区居民的生命和财产安全。第二方面，通过对损毁土地进行恢复，改善治理区的生态景观，提高人民群众生活质量，具有一定的潜在经济效益。第三方面，项目的实施，需要大量人力、物力，可以增加就业，拉动当地建筑材料企业的发展，增加当地民众的收入。</w:t>
            </w:r>
          </w:p>
          <w:p w14:paraId="7F051774">
            <w:pPr>
              <w:pStyle w:val="2"/>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环境管理</w:t>
            </w:r>
          </w:p>
          <w:p w14:paraId="764491D9">
            <w:pPr>
              <w:bidi w:val="0"/>
              <w:rPr>
                <w:rFonts w:hint="eastAsia"/>
                <w:color w:val="000000" w:themeColor="text1"/>
                <w:highlight w:val="none"/>
                <w:lang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⑴</w:t>
            </w:r>
            <w:r>
              <w:rPr>
                <w:rFonts w:hint="eastAsia"/>
                <w:color w:val="000000" w:themeColor="text1"/>
                <w:highlight w:val="none"/>
                <w:lang w:val="en-US" w:eastAsia="zh-CN"/>
                <w14:textFill>
                  <w14:solidFill>
                    <w14:schemeClr w14:val="tx1"/>
                  </w14:solidFill>
                </w14:textFill>
              </w:rPr>
              <w:t>施工期环境管理</w:t>
            </w:r>
          </w:p>
          <w:p w14:paraId="51A9F4FB">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①建设单位在施工期间设立工程项目部，设有专人负责环境保护管理工作，加强施工期环境保护的管理工作，并对施工单位在工程施工过程中进行环境管理、检查和监督。</w:t>
            </w:r>
          </w:p>
          <w:p w14:paraId="08E47E2E">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②施工单位负责对项目资源进行合理使用和动态管理，确保施工人员能够严格执行各项安全环保管理制度、规定、贯彻落实各项环保政策，减少对生态环境影响。</w:t>
            </w:r>
          </w:p>
          <w:p w14:paraId="328800F8">
            <w:pPr>
              <w:bidi w:val="0"/>
              <w:rPr>
                <w:rFonts w:hint="eastAsia"/>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⑵</w:t>
            </w:r>
            <w:r>
              <w:rPr>
                <w:rFonts w:hint="eastAsia"/>
                <w:color w:val="000000" w:themeColor="text1"/>
                <w:highlight w:val="none"/>
                <w:lang w:val="en-US" w:eastAsia="zh-CN"/>
                <w14:textFill>
                  <w14:solidFill>
                    <w14:schemeClr w14:val="tx1"/>
                  </w14:solidFill>
                </w14:textFill>
              </w:rPr>
              <w:t>运营期环境管理</w:t>
            </w:r>
          </w:p>
          <w:p w14:paraId="10905F65">
            <w:pP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为</w:t>
            </w:r>
            <w:r>
              <w:rPr>
                <w:rFonts w:hint="default"/>
                <w:color w:val="000000" w:themeColor="text1"/>
                <w:highlight w:val="none"/>
                <w14:textFill>
                  <w14:solidFill>
                    <w14:schemeClr w14:val="tx1"/>
                  </w14:solidFill>
                </w14:textFill>
              </w:rPr>
              <w:t>贯彻落实《建设项目环境保护管理条例》，加强本项目环境保护工作的领导和管理，由</w:t>
            </w:r>
            <w:r>
              <w:rPr>
                <w:rFonts w:hint="eastAsia"/>
                <w:color w:val="000000" w:themeColor="text1"/>
                <w:highlight w:val="none"/>
                <w:lang w:val="en-US" w:eastAsia="zh-CN"/>
                <w14:textFill>
                  <w14:solidFill>
                    <w14:schemeClr w14:val="tx1"/>
                  </w14:solidFill>
                </w14:textFill>
              </w:rPr>
              <w:t>建设单位</w:t>
            </w:r>
            <w:r>
              <w:rPr>
                <w:rFonts w:hint="default"/>
                <w:color w:val="000000" w:themeColor="text1"/>
                <w:highlight w:val="none"/>
                <w14:textFill>
                  <w14:solidFill>
                    <w14:schemeClr w14:val="tx1"/>
                  </w14:solidFill>
                </w14:textFill>
              </w:rPr>
              <w:t>负责环境管理工作，从管理上保证环境保护措施的有效实施。</w:t>
            </w:r>
          </w:p>
          <w:p w14:paraId="601E96BD">
            <w:pP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w:t>
            </w:r>
            <w:r>
              <w:rPr>
                <w:rFonts w:hint="default"/>
                <w:color w:val="000000" w:themeColor="text1"/>
                <w:highlight w:val="none"/>
                <w14:textFill>
                  <w14:solidFill>
                    <w14:schemeClr w14:val="tx1"/>
                  </w14:solidFill>
                </w14:textFill>
              </w:rPr>
              <w:t>贯彻执行国家和地方的各项环保方针、政策、法规和各项规章制度，制定和实施各项环境管理计划。</w:t>
            </w:r>
          </w:p>
          <w:p w14:paraId="43B75025">
            <w:pPr>
              <w:bidi w:val="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w:t>
            </w:r>
            <w:r>
              <w:rPr>
                <w:rFonts w:hint="default"/>
                <w:color w:val="000000" w:themeColor="text1"/>
                <w:highlight w:val="none"/>
                <w14:textFill>
                  <w14:solidFill>
                    <w14:schemeClr w14:val="tx1"/>
                  </w14:solidFill>
                </w14:textFill>
              </w:rPr>
              <w:t>定期巡查工程周边环境变化情况。</w:t>
            </w:r>
          </w:p>
          <w:p w14:paraId="45F724F0">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w:t>
            </w:r>
            <w:r>
              <w:rPr>
                <w:rFonts w:hint="default"/>
                <w:color w:val="000000" w:themeColor="text1"/>
                <w:highlight w:val="none"/>
                <w14:textFill>
                  <w14:solidFill>
                    <w14:schemeClr w14:val="tx1"/>
                  </w14:solidFill>
                </w14:textFill>
              </w:rPr>
              <w:t>制定和实施各项环境管理计划。</w:t>
            </w:r>
          </w:p>
          <w:p w14:paraId="347ABBF8">
            <w:pPr>
              <w:pStyle w:val="2"/>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4、环境监测</w:t>
            </w:r>
          </w:p>
          <w:p w14:paraId="154D0BED">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环境监测是环境管理必不可少的科学手段，通过有效的环境监测，</w:t>
            </w:r>
            <w:r>
              <w:rPr>
                <w:rFonts w:hint="eastAsia"/>
                <w:color w:val="000000" w:themeColor="text1"/>
                <w:highlight w:val="none"/>
                <w:lang w:eastAsia="zh-CN"/>
                <w14:textFill>
                  <w14:solidFill>
                    <w14:schemeClr w14:val="tx1"/>
                  </w14:solidFill>
                </w14:textFill>
              </w:rPr>
              <w:t>可以</w:t>
            </w:r>
            <w:r>
              <w:rPr>
                <w:rFonts w:hint="default"/>
                <w:color w:val="000000" w:themeColor="text1"/>
                <w:highlight w:val="none"/>
                <w14:textFill>
                  <w14:solidFill>
                    <w14:schemeClr w14:val="tx1"/>
                  </w14:solidFill>
                </w14:textFill>
              </w:rPr>
              <w:t>及时了解环境质量现状。</w:t>
            </w:r>
          </w:p>
          <w:p w14:paraId="5CA30A88">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⑴施工期环境监测计划</w:t>
            </w:r>
          </w:p>
          <w:p w14:paraId="3C4C7420">
            <w:pPr>
              <w:keepNext w:val="0"/>
              <w:keepLines w:val="0"/>
              <w:suppressLineNumbers w:val="0"/>
              <w:bidi w:val="0"/>
              <w:spacing w:before="0" w:beforeAutospacing="0" w:after="0" w:afterAutospacing="0"/>
              <w:ind w:left="0" w:right="0"/>
              <w:rPr>
                <w:rFonts w:hint="default"/>
                <w:color w:val="000000" w:themeColor="text1"/>
                <w:highlight w:val="none"/>
                <w:lang w:val="en-US"/>
                <w14:textFill>
                  <w14:solidFill>
                    <w14:schemeClr w14:val="tx1"/>
                  </w14:solidFill>
                </w14:textFill>
              </w:rPr>
            </w:pPr>
            <w:r>
              <w:rPr>
                <w:rFonts w:hint="default"/>
                <w:color w:val="000000" w:themeColor="text1"/>
                <w:highlight w:val="none"/>
                <w14:textFill>
                  <w14:solidFill>
                    <w14:schemeClr w14:val="tx1"/>
                  </w14:solidFill>
                </w14:textFill>
              </w:rPr>
              <w:t>施工期的环境保护监测在于监督有关环保条款的执行，以保证施工场地邻近区域的生态环境不受干扰。根据项目特点和工程特征，制定施工期环境监测计划，具体见表5-1。</w:t>
            </w:r>
            <w:r>
              <w:rPr>
                <w:rFonts w:hint="eastAsia"/>
                <w:color w:val="000000" w:themeColor="text1"/>
                <w:highlight w:val="none"/>
                <w:lang w:val="en-US" w:eastAsia="zh-CN"/>
                <w14:textFill>
                  <w14:solidFill>
                    <w14:schemeClr w14:val="tx1"/>
                  </w14:solidFill>
                </w14:textFill>
              </w:rPr>
              <w:t>施工期大气、噪声、生态环境监测点位布点图见附图。</w:t>
            </w:r>
          </w:p>
          <w:p w14:paraId="1AA04550">
            <w:pPr>
              <w:pStyle w:val="3"/>
              <w:bidi w:val="0"/>
              <w:rPr>
                <w:rFonts w:hint="eastAsia"/>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表5-</w:t>
            </w:r>
            <w:r>
              <w:rPr>
                <w:rFonts w:hint="eastAsia"/>
                <w:color w:val="000000" w:themeColor="text1"/>
                <w:highlight w:val="none"/>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 xml:space="preserve"> 施工期环境监测计划一览表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212"/>
              <w:gridCol w:w="1791"/>
              <w:gridCol w:w="2131"/>
              <w:gridCol w:w="1927"/>
            </w:tblGrid>
            <w:tr w14:paraId="556C91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tcBorders>
                    <w:tl2br w:val="nil"/>
                    <w:tr2bl w:val="nil"/>
                  </w:tcBorders>
                  <w:noWrap w:val="0"/>
                  <w:vAlign w:val="center"/>
                </w:tcPr>
                <w:p w14:paraId="5E2002DF">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时段</w:t>
                  </w:r>
                </w:p>
              </w:tc>
              <w:tc>
                <w:tcPr>
                  <w:tcW w:w="1207" w:type="dxa"/>
                  <w:tcBorders>
                    <w:tl2br w:val="nil"/>
                    <w:tr2bl w:val="nil"/>
                  </w:tcBorders>
                  <w:noWrap w:val="0"/>
                  <w:vAlign w:val="center"/>
                </w:tcPr>
                <w:p w14:paraId="728E9E8E">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监测类别</w:t>
                  </w:r>
                </w:p>
              </w:tc>
              <w:tc>
                <w:tcPr>
                  <w:tcW w:w="1784" w:type="dxa"/>
                  <w:tcBorders>
                    <w:tl2br w:val="nil"/>
                    <w:tr2bl w:val="nil"/>
                  </w:tcBorders>
                  <w:noWrap w:val="0"/>
                  <w:vAlign w:val="center"/>
                </w:tcPr>
                <w:p w14:paraId="69BA0F6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监测项目</w:t>
                  </w:r>
                </w:p>
              </w:tc>
              <w:tc>
                <w:tcPr>
                  <w:tcW w:w="2123" w:type="dxa"/>
                  <w:tcBorders>
                    <w:tl2br w:val="nil"/>
                    <w:tr2bl w:val="nil"/>
                  </w:tcBorders>
                  <w:noWrap w:val="0"/>
                  <w:vAlign w:val="center"/>
                </w:tcPr>
                <w:p w14:paraId="29D256F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监测位置</w:t>
                  </w:r>
                </w:p>
              </w:tc>
              <w:tc>
                <w:tcPr>
                  <w:tcW w:w="1920" w:type="dxa"/>
                  <w:tcBorders>
                    <w:tl2br w:val="nil"/>
                    <w:tr2bl w:val="nil"/>
                  </w:tcBorders>
                  <w:noWrap w:val="0"/>
                  <w:vAlign w:val="center"/>
                </w:tcPr>
                <w:p w14:paraId="20C0CD0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监测频次</w:t>
                  </w:r>
                </w:p>
              </w:tc>
            </w:tr>
            <w:tr w14:paraId="10EBC8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vMerge w:val="restart"/>
                  <w:tcBorders>
                    <w:tl2br w:val="nil"/>
                    <w:tr2bl w:val="nil"/>
                  </w:tcBorders>
                  <w:noWrap w:val="0"/>
                  <w:vAlign w:val="center"/>
                </w:tcPr>
                <w:p w14:paraId="19DEC6C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施工期</w:t>
                  </w:r>
                </w:p>
              </w:tc>
              <w:tc>
                <w:tcPr>
                  <w:tcW w:w="1207" w:type="dxa"/>
                  <w:tcBorders>
                    <w:tl2br w:val="nil"/>
                    <w:tr2bl w:val="nil"/>
                  </w:tcBorders>
                  <w:noWrap w:val="0"/>
                  <w:vAlign w:val="center"/>
                </w:tcPr>
                <w:p w14:paraId="2174321F">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环境空气</w:t>
                  </w:r>
                </w:p>
              </w:tc>
              <w:tc>
                <w:tcPr>
                  <w:tcW w:w="1784" w:type="dxa"/>
                  <w:tcBorders>
                    <w:tl2br w:val="nil"/>
                    <w:tr2bl w:val="nil"/>
                  </w:tcBorders>
                  <w:noWrap w:val="0"/>
                  <w:vAlign w:val="center"/>
                </w:tcPr>
                <w:p w14:paraId="77614EF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TSP</w:t>
                  </w:r>
                </w:p>
              </w:tc>
              <w:tc>
                <w:tcPr>
                  <w:tcW w:w="2123" w:type="dxa"/>
                  <w:tcBorders>
                    <w:tl2br w:val="nil"/>
                    <w:tr2bl w:val="nil"/>
                  </w:tcBorders>
                  <w:noWrap w:val="0"/>
                  <w:vAlign w:val="center"/>
                </w:tcPr>
                <w:p w14:paraId="0C97E2E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施工区边界、寺口子风景旅游区</w:t>
                  </w:r>
                </w:p>
              </w:tc>
              <w:tc>
                <w:tcPr>
                  <w:tcW w:w="1920" w:type="dxa"/>
                  <w:tcBorders>
                    <w:tl2br w:val="nil"/>
                    <w:tr2bl w:val="nil"/>
                  </w:tcBorders>
                  <w:noWrap w:val="0"/>
                  <w:vAlign w:val="center"/>
                </w:tcPr>
                <w:p w14:paraId="2170302B">
                  <w:pPr>
                    <w:pStyle w:val="3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ind w:left="0" w:right="0"/>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14:textFill>
                        <w14:solidFill>
                          <w14:schemeClr w14:val="tx1"/>
                        </w14:solidFill>
                      </w14:textFill>
                    </w:rPr>
                    <w:t>高峰期监测1次，每次连续监测3天，每天分4个时段监测</w:t>
                  </w:r>
                </w:p>
              </w:tc>
            </w:tr>
            <w:tr w14:paraId="3A1664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vMerge w:val="continue"/>
                  <w:tcBorders>
                    <w:tl2br w:val="nil"/>
                    <w:tr2bl w:val="nil"/>
                  </w:tcBorders>
                  <w:noWrap w:val="0"/>
                  <w:vAlign w:val="center"/>
                </w:tcPr>
                <w:p w14:paraId="25FFABA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p>
              </w:tc>
              <w:tc>
                <w:tcPr>
                  <w:tcW w:w="1207" w:type="dxa"/>
                  <w:tcBorders>
                    <w:tl2br w:val="nil"/>
                    <w:tr2bl w:val="nil"/>
                  </w:tcBorders>
                  <w:noWrap w:val="0"/>
                  <w:vAlign w:val="center"/>
                </w:tcPr>
                <w:p w14:paraId="5E53CBCF">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firstLine="0" w:firstLineChars="0"/>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噪声</w:t>
                  </w:r>
                </w:p>
              </w:tc>
              <w:tc>
                <w:tcPr>
                  <w:tcW w:w="1784" w:type="dxa"/>
                  <w:tcBorders>
                    <w:tl2br w:val="nil"/>
                    <w:tr2bl w:val="nil"/>
                  </w:tcBorders>
                  <w:noWrap w:val="0"/>
                  <w:vAlign w:val="center"/>
                </w:tcPr>
                <w:p w14:paraId="6DFDE19F">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等效声级 LAeq</w:t>
                  </w:r>
                </w:p>
              </w:tc>
              <w:tc>
                <w:tcPr>
                  <w:tcW w:w="2123" w:type="dxa"/>
                  <w:tcBorders>
                    <w:tl2br w:val="nil"/>
                    <w:tr2bl w:val="nil"/>
                  </w:tcBorders>
                  <w:noWrap w:val="0"/>
                  <w:vAlign w:val="center"/>
                </w:tcPr>
                <w:p w14:paraId="276D0E3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施工区边界</w:t>
                  </w:r>
                </w:p>
              </w:tc>
              <w:tc>
                <w:tcPr>
                  <w:tcW w:w="1920" w:type="dxa"/>
                  <w:tcBorders>
                    <w:tl2br w:val="nil"/>
                    <w:tr2bl w:val="nil"/>
                  </w:tcBorders>
                  <w:noWrap w:val="0"/>
                  <w:vAlign w:val="center"/>
                </w:tcPr>
                <w:p w14:paraId="0307E3C7">
                  <w:pPr>
                    <w:pStyle w:val="3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ind w:left="0" w:right="0"/>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施工期内至少一次，连续监测2天，每天昼、夜间监测1次</w:t>
                  </w:r>
                </w:p>
              </w:tc>
            </w:tr>
            <w:tr w14:paraId="0B155E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vMerge w:val="continue"/>
                  <w:tcBorders>
                    <w:tl2br w:val="nil"/>
                    <w:tr2bl w:val="nil"/>
                  </w:tcBorders>
                  <w:noWrap w:val="0"/>
                  <w:vAlign w:val="center"/>
                </w:tcPr>
                <w:p w14:paraId="709B278F">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olor w:val="000000" w:themeColor="text1"/>
                      <w:highlight w:val="none"/>
                      <w14:textFill>
                        <w14:solidFill>
                          <w14:schemeClr w14:val="tx1"/>
                        </w14:solidFill>
                      </w14:textFill>
                    </w:rPr>
                  </w:pPr>
                </w:p>
              </w:tc>
              <w:tc>
                <w:tcPr>
                  <w:tcW w:w="1207" w:type="dxa"/>
                  <w:tcBorders>
                    <w:tl2br w:val="nil"/>
                    <w:tr2bl w:val="nil"/>
                  </w:tcBorders>
                  <w:noWrap w:val="0"/>
                  <w:vAlign w:val="center"/>
                </w:tcPr>
                <w:p w14:paraId="5E7D04CA">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生态</w:t>
                  </w:r>
                </w:p>
              </w:tc>
              <w:tc>
                <w:tcPr>
                  <w:tcW w:w="1784" w:type="dxa"/>
                  <w:tcBorders>
                    <w:tl2br w:val="nil"/>
                    <w:tr2bl w:val="nil"/>
                  </w:tcBorders>
                  <w:noWrap w:val="0"/>
                  <w:vAlign w:val="center"/>
                </w:tcPr>
                <w:p w14:paraId="758279DE">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植物群落变化、动物的活动、分布变化、生境质量变化</w:t>
                  </w:r>
                  <w:r>
                    <w:rPr>
                      <w:rFonts w:hint="eastAsia" w:cs="Times New Roman"/>
                      <w:color w:val="000000" w:themeColor="text1"/>
                      <w:highlight w:val="none"/>
                      <w:lang w:val="en-US" w:eastAsia="zh-CN"/>
                      <w14:textFill>
                        <w14:solidFill>
                          <w14:schemeClr w14:val="tx1"/>
                        </w14:solidFill>
                      </w14:textFill>
                    </w:rPr>
                    <w:t>等</w:t>
                  </w:r>
                </w:p>
              </w:tc>
              <w:tc>
                <w:tcPr>
                  <w:tcW w:w="2123" w:type="dxa"/>
                  <w:tcBorders>
                    <w:tl2br w:val="nil"/>
                    <w:tr2bl w:val="nil"/>
                  </w:tcBorders>
                  <w:noWrap w:val="0"/>
                  <w:vAlign w:val="center"/>
                </w:tcPr>
                <w:p w14:paraId="2B5F55A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项目治理区、寺口子风景旅游区</w:t>
                  </w:r>
                </w:p>
              </w:tc>
              <w:tc>
                <w:tcPr>
                  <w:tcW w:w="1920" w:type="dxa"/>
                  <w:tcBorders>
                    <w:tl2br w:val="nil"/>
                    <w:tr2bl w:val="nil"/>
                  </w:tcBorders>
                  <w:noWrap w:val="0"/>
                  <w:vAlign w:val="center"/>
                </w:tcPr>
                <w:p w14:paraId="3F26CD38">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整个施工期至少1次</w:t>
                  </w:r>
                </w:p>
              </w:tc>
            </w:tr>
          </w:tbl>
          <w:p w14:paraId="0C19E72B">
            <w:pPr>
              <w:keepNext w:val="0"/>
              <w:keepLines w:val="0"/>
              <w:suppressLineNumbers w:val="0"/>
              <w:bidi w:val="0"/>
              <w:spacing w:before="0" w:beforeAutospacing="0" w:after="0" w:afterAutospacing="0"/>
              <w:ind w:left="0" w:right="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⑵运营期环境监测计划</w:t>
            </w:r>
          </w:p>
          <w:p w14:paraId="62C600A5">
            <w:pPr>
              <w:adjustRightInd w:val="0"/>
              <w:snapToGrid w:val="0"/>
              <w:spacing w:line="360" w:lineRule="auto"/>
              <w:ind w:firstLine="454"/>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运营期环境监测计划见表5-</w:t>
            </w:r>
            <w:r>
              <w:rPr>
                <w:rFonts w:hint="eastAsia" w:cs="Times New Roman"/>
                <w:color w:val="000000" w:themeColor="text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。运营期</w:t>
            </w:r>
            <w:r>
              <w:rPr>
                <w:rFonts w:hint="eastAsia"/>
                <w:color w:val="000000" w:themeColor="text1"/>
                <w:highlight w:val="none"/>
                <w:lang w:val="en-US" w:eastAsia="zh-CN"/>
                <w14:textFill>
                  <w14:solidFill>
                    <w14:schemeClr w14:val="tx1"/>
                  </w14:solidFill>
                </w14:textFill>
              </w:rPr>
              <w:t>生态环境监测点位布点图见附图。</w:t>
            </w:r>
          </w:p>
          <w:p w14:paraId="73EA19FA">
            <w:pPr>
              <w:pStyle w:val="3"/>
              <w:bidi w:val="0"/>
              <w:rPr>
                <w:rFonts w:hint="eastAsia"/>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表5-</w:t>
            </w:r>
            <w:r>
              <w:rPr>
                <w:rFonts w:hint="eastAsia"/>
                <w:color w:val="000000" w:themeColor="text1"/>
                <w:highlight w:val="none"/>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 xml:space="preserve"> 运营期环境监测计划一览表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212"/>
              <w:gridCol w:w="1791"/>
              <w:gridCol w:w="2131"/>
              <w:gridCol w:w="1927"/>
            </w:tblGrid>
            <w:tr w14:paraId="5E53A5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2" w:type="dxa"/>
                  <w:tcBorders>
                    <w:tl2br w:val="nil"/>
                    <w:tr2bl w:val="nil"/>
                  </w:tcBorders>
                  <w:noWrap w:val="0"/>
                  <w:vAlign w:val="center"/>
                </w:tcPr>
                <w:p w14:paraId="756EDF1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时段</w:t>
                  </w:r>
                </w:p>
              </w:tc>
              <w:tc>
                <w:tcPr>
                  <w:tcW w:w="1212" w:type="dxa"/>
                  <w:tcBorders>
                    <w:tl2br w:val="nil"/>
                    <w:tr2bl w:val="nil"/>
                  </w:tcBorders>
                  <w:noWrap w:val="0"/>
                  <w:vAlign w:val="center"/>
                </w:tcPr>
                <w:p w14:paraId="3179DB2F">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监测类别</w:t>
                  </w:r>
                </w:p>
              </w:tc>
              <w:tc>
                <w:tcPr>
                  <w:tcW w:w="1791" w:type="dxa"/>
                  <w:tcBorders>
                    <w:tl2br w:val="nil"/>
                    <w:tr2bl w:val="nil"/>
                  </w:tcBorders>
                  <w:noWrap w:val="0"/>
                  <w:vAlign w:val="center"/>
                </w:tcPr>
                <w:p w14:paraId="123F1BF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监测项目</w:t>
                  </w:r>
                </w:p>
              </w:tc>
              <w:tc>
                <w:tcPr>
                  <w:tcW w:w="2131" w:type="dxa"/>
                  <w:tcBorders>
                    <w:tl2br w:val="nil"/>
                    <w:tr2bl w:val="nil"/>
                  </w:tcBorders>
                  <w:noWrap w:val="0"/>
                  <w:vAlign w:val="center"/>
                </w:tcPr>
                <w:p w14:paraId="38C5C22D">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监测位置</w:t>
                  </w:r>
                </w:p>
              </w:tc>
              <w:tc>
                <w:tcPr>
                  <w:tcW w:w="1927" w:type="dxa"/>
                  <w:tcBorders>
                    <w:tl2br w:val="nil"/>
                    <w:tr2bl w:val="nil"/>
                  </w:tcBorders>
                  <w:noWrap w:val="0"/>
                  <w:vAlign w:val="center"/>
                </w:tcPr>
                <w:p w14:paraId="1A0FCB49">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监测频次</w:t>
                  </w:r>
                </w:p>
              </w:tc>
            </w:tr>
            <w:tr w14:paraId="11C9F4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2" w:type="dxa"/>
                  <w:tcBorders>
                    <w:tl2br w:val="nil"/>
                    <w:tr2bl w:val="nil"/>
                  </w:tcBorders>
                  <w:noWrap w:val="0"/>
                  <w:vAlign w:val="center"/>
                </w:tcPr>
                <w:p w14:paraId="073BAFBA">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运营期</w:t>
                  </w:r>
                </w:p>
              </w:tc>
              <w:tc>
                <w:tcPr>
                  <w:tcW w:w="1212" w:type="dxa"/>
                  <w:tcBorders>
                    <w:tl2br w:val="nil"/>
                    <w:tr2bl w:val="nil"/>
                  </w:tcBorders>
                  <w:noWrap w:val="0"/>
                  <w:vAlign w:val="center"/>
                </w:tcPr>
                <w:p w14:paraId="6A997F6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生态</w:t>
                  </w:r>
                </w:p>
              </w:tc>
              <w:tc>
                <w:tcPr>
                  <w:tcW w:w="1791" w:type="dxa"/>
                  <w:tcBorders>
                    <w:tl2br w:val="nil"/>
                    <w:tr2bl w:val="nil"/>
                  </w:tcBorders>
                  <w:noWrap w:val="0"/>
                  <w:vAlign w:val="center"/>
                </w:tcPr>
                <w:p w14:paraId="22C7653A">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生态治理区范围内，植被成活率、植被覆盖度，生境质量变化</w:t>
                  </w:r>
                  <w:r>
                    <w:rPr>
                      <w:rFonts w:hint="eastAsia" w:cs="Times New Roman"/>
                      <w:color w:val="000000" w:themeColor="text1"/>
                      <w:highlight w:val="none"/>
                      <w:lang w:val="en-US" w:eastAsia="zh-CN"/>
                      <w14:textFill>
                        <w14:solidFill>
                          <w14:schemeClr w14:val="tx1"/>
                        </w14:solidFill>
                      </w14:textFill>
                    </w:rPr>
                    <w:t>等</w:t>
                  </w:r>
                </w:p>
              </w:tc>
              <w:tc>
                <w:tcPr>
                  <w:tcW w:w="2131" w:type="dxa"/>
                  <w:tcBorders>
                    <w:tl2br w:val="nil"/>
                    <w:tr2bl w:val="nil"/>
                  </w:tcBorders>
                  <w:noWrap w:val="0"/>
                  <w:vAlign w:val="center"/>
                </w:tcPr>
                <w:p w14:paraId="05FAB1DA">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项目植被恢复区域</w:t>
                  </w:r>
                </w:p>
              </w:tc>
              <w:tc>
                <w:tcPr>
                  <w:tcW w:w="1927" w:type="dxa"/>
                  <w:tcBorders>
                    <w:tl2br w:val="nil"/>
                    <w:tr2bl w:val="nil"/>
                  </w:tcBorders>
                  <w:noWrap w:val="0"/>
                  <w:vAlign w:val="center"/>
                </w:tcPr>
                <w:p w14:paraId="15F4063C">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1次/年</w:t>
                  </w:r>
                </w:p>
              </w:tc>
            </w:tr>
          </w:tbl>
          <w:p w14:paraId="0AC7CE8B">
            <w:pPr>
              <w:keepNext w:val="0"/>
              <w:keepLines w:val="0"/>
              <w:suppressLineNumbers w:val="0"/>
              <w:bidi w:val="0"/>
              <w:spacing w:before="0" w:beforeAutospacing="0" w:after="0" w:afterAutospacing="0"/>
              <w:ind w:left="0" w:right="0"/>
              <w:rPr>
                <w:rFonts w:hint="eastAsia" w:cs="Times New Roman"/>
                <w:color w:val="000000" w:themeColor="text1"/>
                <w:highlight w:val="none"/>
                <w:lang w:val="en-US" w:eastAsia="zh-CN"/>
                <w14:textFill>
                  <w14:solidFill>
                    <w14:schemeClr w14:val="tx1"/>
                  </w14:solidFill>
                </w14:textFill>
              </w:rPr>
            </w:pPr>
          </w:p>
        </w:tc>
      </w:tr>
      <w:tr w14:paraId="1917B4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94" w:hRule="atLeast"/>
          <w:jc w:val="center"/>
        </w:trPr>
        <w:tc>
          <w:tcPr>
            <w:tcW w:w="691" w:type="dxa"/>
            <w:noWrap w:val="0"/>
            <w:vAlign w:val="center"/>
          </w:tcPr>
          <w:p w14:paraId="206769F2">
            <w:pPr>
              <w:keepNext w:val="0"/>
              <w:keepLines w:val="0"/>
              <w:suppressLineNumbers w:val="0"/>
              <w:bidi w:val="0"/>
              <w:spacing w:before="0" w:beforeAutospacing="0" w:after="0" w:afterAutospacing="0"/>
              <w:ind w:left="0" w:leftChars="0" w:right="0" w:firstLine="0" w:firstLineChars="0"/>
              <w:jc w:val="center"/>
              <w:rPr>
                <w:rFonts w:hint="default" w:cs="Times New Roman"/>
                <w:bCs/>
                <w:color w:val="000000" w:themeColor="text1"/>
                <w:spacing w:val="10"/>
                <w:szCs w:val="21"/>
                <w:highlight w:val="none"/>
                <w14:textFill>
                  <w14:solidFill>
                    <w14:schemeClr w14:val="tx1"/>
                  </w14:solidFill>
                </w14:textFill>
              </w:rPr>
            </w:pPr>
            <w:r>
              <w:rPr>
                <w:rFonts w:hint="default" w:cs="Times New Roman"/>
                <w:b/>
                <w:bCs/>
                <w:color w:val="000000" w:themeColor="text1"/>
                <w:highlight w:val="none"/>
                <w14:textFill>
                  <w14:solidFill>
                    <w14:schemeClr w14:val="tx1"/>
                  </w14:solidFill>
                </w14:textFill>
              </w:rPr>
              <w:t>环保投资</w:t>
            </w:r>
          </w:p>
        </w:tc>
        <w:tc>
          <w:tcPr>
            <w:tcW w:w="8519" w:type="dxa"/>
            <w:noWrap w:val="0"/>
            <w:vAlign w:val="top"/>
          </w:tcPr>
          <w:p w14:paraId="78084484">
            <w:pPr>
              <w:keepNext w:val="0"/>
              <w:keepLines w:val="0"/>
              <w:suppressLineNumbers w:val="0"/>
              <w:adjustRightInd w:val="0"/>
              <w:snapToGrid w:val="0"/>
              <w:spacing w:before="0" w:beforeAutospacing="0" w:after="0" w:afterAutospacing="0" w:line="360" w:lineRule="auto"/>
              <w:ind w:left="0" w:right="0" w:firstLine="454" w:firstLineChars="200"/>
              <w:rPr>
                <w:rFonts w:hint="default" w:cs="Times New Roman"/>
                <w:color w:val="000000" w:themeColor="text1"/>
                <w:sz w:val="24"/>
                <w:szCs w:val="32"/>
                <w:highlight w:val="none"/>
                <w14:textFill>
                  <w14:solidFill>
                    <w14:schemeClr w14:val="tx1"/>
                  </w14:solidFill>
                </w14:textFill>
              </w:rPr>
            </w:pPr>
            <w:r>
              <w:rPr>
                <w:rFonts w:hint="default" w:cs="Times New Roman"/>
                <w:color w:val="000000" w:themeColor="text1"/>
                <w:sz w:val="24"/>
                <w:highlight w:val="none"/>
                <w14:textFill>
                  <w14:solidFill>
                    <w14:schemeClr w14:val="tx1"/>
                  </w14:solidFill>
                </w14:textFill>
              </w:rPr>
              <w:t>项目实施预算总投资</w:t>
            </w:r>
            <w:r>
              <w:rPr>
                <w:rFonts w:hint="eastAsia" w:cs="Times New Roman"/>
                <w:color w:val="000000" w:themeColor="text1"/>
                <w:sz w:val="24"/>
                <w:highlight w:val="none"/>
                <w:lang w:val="en-US" w:eastAsia="zh-CN"/>
                <w14:textFill>
                  <w14:solidFill>
                    <w14:schemeClr w14:val="tx1"/>
                  </w14:solidFill>
                </w14:textFill>
              </w:rPr>
              <w:t>368.59</w:t>
            </w:r>
            <w:r>
              <w:rPr>
                <w:rFonts w:hint="default" w:cs="Times New Roman"/>
                <w:color w:val="000000" w:themeColor="text1"/>
                <w:sz w:val="24"/>
                <w:highlight w:val="none"/>
                <w14:textFill>
                  <w14:solidFill>
                    <w14:schemeClr w14:val="tx1"/>
                  </w14:solidFill>
                </w14:textFill>
              </w:rPr>
              <w:t>万元，</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项目为</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矿山生态修复项目</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，项目投资全部为环保投资，环保投资占总投资的</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100%</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，项目环保投资统计情况见表</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5-</w:t>
            </w:r>
            <w:r>
              <w:rPr>
                <w:rFonts w:hint="eastAsia" w:cs="Times New Roman"/>
                <w:color w:val="000000" w:themeColor="text1"/>
                <w:kern w:val="0"/>
                <w:sz w:val="24"/>
                <w:szCs w:val="24"/>
                <w:highlight w:val="none"/>
                <w:lang w:val="en-US" w:eastAsia="zh-CN" w:bidi="ar"/>
                <w14:textFill>
                  <w14:solidFill>
                    <w14:schemeClr w14:val="tx1"/>
                  </w14:solidFill>
                </w14:textFill>
              </w:rPr>
              <w:t>4</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w:t>
            </w:r>
          </w:p>
          <w:p w14:paraId="3BFDCEEB">
            <w:pPr>
              <w:pStyle w:val="3"/>
              <w:bidi w:val="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表5-</w:t>
            </w:r>
            <w:r>
              <w:rPr>
                <w:rFonts w:hint="eastAsia"/>
                <w:color w:val="000000" w:themeColor="text1"/>
                <w:highlight w:val="none"/>
                <w:lang w:val="en-US" w:eastAsia="zh-CN"/>
                <w14:textFill>
                  <w14:solidFill>
                    <w14:schemeClr w14:val="tx1"/>
                  </w14:solidFill>
                </w14:textFill>
              </w:rPr>
              <w:t>4</w:t>
            </w:r>
            <w:r>
              <w:rPr>
                <w:rFonts w:hint="default"/>
                <w:color w:val="000000" w:themeColor="text1"/>
                <w:highlight w:val="none"/>
                <w14:textFill>
                  <w14:solidFill>
                    <w14:schemeClr w14:val="tx1"/>
                  </w14:solidFill>
                </w14:textFill>
              </w:rPr>
              <w:t xml:space="preserve">  环保投资情况表</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986"/>
              <w:gridCol w:w="4176"/>
              <w:gridCol w:w="1443"/>
            </w:tblGrid>
            <w:tr w14:paraId="489396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tcBorders>
                    <w:tl2br w:val="nil"/>
                    <w:tr2bl w:val="nil"/>
                  </w:tcBorders>
                  <w:noWrap w:val="0"/>
                  <w:vAlign w:val="center"/>
                </w:tcPr>
                <w:p w14:paraId="4E6D626F">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sz w:val="21"/>
                      <w:szCs w:val="21"/>
                      <w:highlight w:val="none"/>
                      <w14:textFill>
                        <w14:solidFill>
                          <w14:schemeClr w14:val="tx1"/>
                        </w14:solidFill>
                      </w14:textFill>
                    </w:rPr>
                  </w:pPr>
                  <w:r>
                    <w:rPr>
                      <w:rFonts w:hint="eastAsia" w:cs="Times New Roman"/>
                      <w:b/>
                      <w:bCs/>
                      <w:color w:val="000000" w:themeColor="text1"/>
                      <w:sz w:val="21"/>
                      <w:szCs w:val="21"/>
                      <w:highlight w:val="none"/>
                      <w14:textFill>
                        <w14:solidFill>
                          <w14:schemeClr w14:val="tx1"/>
                        </w14:solidFill>
                      </w14:textFill>
                    </w:rPr>
                    <w:t>时段</w:t>
                  </w:r>
                </w:p>
              </w:tc>
              <w:tc>
                <w:tcPr>
                  <w:tcW w:w="1804" w:type="dxa"/>
                  <w:tcBorders>
                    <w:tl2br w:val="nil"/>
                    <w:tr2bl w:val="nil"/>
                  </w:tcBorders>
                  <w:noWrap w:val="0"/>
                  <w:vAlign w:val="center"/>
                </w:tcPr>
                <w:p w14:paraId="0F67FBF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sz w:val="21"/>
                      <w:szCs w:val="21"/>
                      <w:highlight w:val="none"/>
                      <w14:textFill>
                        <w14:solidFill>
                          <w14:schemeClr w14:val="tx1"/>
                        </w14:solidFill>
                      </w14:textFill>
                    </w:rPr>
                  </w:pPr>
                  <w:r>
                    <w:rPr>
                      <w:rFonts w:hint="eastAsia" w:cs="Times New Roman"/>
                      <w:b/>
                      <w:bCs/>
                      <w:color w:val="000000" w:themeColor="text1"/>
                      <w:sz w:val="21"/>
                      <w:szCs w:val="21"/>
                      <w:highlight w:val="none"/>
                      <w14:textFill>
                        <w14:solidFill>
                          <w14:schemeClr w14:val="tx1"/>
                        </w14:solidFill>
                      </w14:textFill>
                    </w:rPr>
                    <w:t>项目</w:t>
                  </w:r>
                </w:p>
              </w:tc>
              <w:tc>
                <w:tcPr>
                  <w:tcW w:w="3792" w:type="dxa"/>
                  <w:tcBorders>
                    <w:tl2br w:val="nil"/>
                    <w:tr2bl w:val="nil"/>
                  </w:tcBorders>
                  <w:noWrap w:val="0"/>
                  <w:vAlign w:val="center"/>
                </w:tcPr>
                <w:p w14:paraId="1FABC2CC">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sz w:val="21"/>
                      <w:szCs w:val="21"/>
                      <w:highlight w:val="none"/>
                      <w14:textFill>
                        <w14:solidFill>
                          <w14:schemeClr w14:val="tx1"/>
                        </w14:solidFill>
                      </w14:textFill>
                    </w:rPr>
                  </w:pPr>
                  <w:r>
                    <w:rPr>
                      <w:rFonts w:hint="eastAsia" w:cs="Times New Roman"/>
                      <w:b/>
                      <w:bCs/>
                      <w:color w:val="000000" w:themeColor="text1"/>
                      <w:sz w:val="21"/>
                      <w:szCs w:val="21"/>
                      <w:highlight w:val="none"/>
                      <w14:textFill>
                        <w14:solidFill>
                          <w14:schemeClr w14:val="tx1"/>
                        </w14:solidFill>
                      </w14:textFill>
                    </w:rPr>
                    <w:t>内容</w:t>
                  </w:r>
                </w:p>
              </w:tc>
              <w:tc>
                <w:tcPr>
                  <w:tcW w:w="1310" w:type="dxa"/>
                  <w:tcBorders>
                    <w:tl2br w:val="nil"/>
                    <w:tr2bl w:val="nil"/>
                  </w:tcBorders>
                  <w:noWrap w:val="0"/>
                  <w:vAlign w:val="center"/>
                </w:tcPr>
                <w:p w14:paraId="3BA8279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b/>
                      <w:bCs/>
                      <w:color w:val="000000" w:themeColor="text1"/>
                      <w:sz w:val="21"/>
                      <w:szCs w:val="21"/>
                      <w:highlight w:val="none"/>
                      <w14:textFill>
                        <w14:solidFill>
                          <w14:schemeClr w14:val="tx1"/>
                        </w14:solidFill>
                      </w14:textFill>
                    </w:rPr>
                  </w:pPr>
                  <w:r>
                    <w:rPr>
                      <w:rFonts w:hint="eastAsia" w:cs="Times New Roman"/>
                      <w:b/>
                      <w:bCs/>
                      <w:color w:val="000000" w:themeColor="text1"/>
                      <w:sz w:val="21"/>
                      <w:szCs w:val="21"/>
                      <w:highlight w:val="none"/>
                      <w14:textFill>
                        <w14:solidFill>
                          <w14:schemeClr w14:val="tx1"/>
                        </w14:solidFill>
                      </w14:textFill>
                    </w:rPr>
                    <w:t>投资金额</w:t>
                  </w:r>
                </w:p>
                <w:p w14:paraId="0BCD237E">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b/>
                      <w:bCs/>
                      <w:color w:val="000000" w:themeColor="text1"/>
                      <w:sz w:val="21"/>
                      <w:szCs w:val="21"/>
                      <w:highlight w:val="none"/>
                      <w14:textFill>
                        <w14:solidFill>
                          <w14:schemeClr w14:val="tx1"/>
                        </w14:solidFill>
                      </w14:textFill>
                    </w:rPr>
                  </w:pPr>
                  <w:r>
                    <w:rPr>
                      <w:rFonts w:hint="eastAsia" w:cs="Times New Roman"/>
                      <w:b/>
                      <w:bCs/>
                      <w:color w:val="000000" w:themeColor="text1"/>
                      <w:sz w:val="21"/>
                      <w:szCs w:val="21"/>
                      <w:highlight w:val="none"/>
                      <w14:textFill>
                        <w14:solidFill>
                          <w14:schemeClr w14:val="tx1"/>
                        </w14:solidFill>
                      </w14:textFill>
                    </w:rPr>
                    <w:t>(万元)</w:t>
                  </w:r>
                </w:p>
              </w:tc>
            </w:tr>
            <w:tr w14:paraId="3D6BF2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tcBorders>
                    <w:tl2br w:val="nil"/>
                    <w:tr2bl w:val="nil"/>
                  </w:tcBorders>
                  <w:noWrap w:val="0"/>
                  <w:vAlign w:val="center"/>
                </w:tcPr>
                <w:p w14:paraId="301233A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前期</w:t>
                  </w:r>
                </w:p>
              </w:tc>
              <w:tc>
                <w:tcPr>
                  <w:tcW w:w="1804" w:type="dxa"/>
                  <w:tcBorders>
                    <w:tl2br w:val="nil"/>
                    <w:tr2bl w:val="nil"/>
                  </w:tcBorders>
                  <w:noWrap w:val="0"/>
                  <w:vAlign w:val="center"/>
                </w:tcPr>
                <w:p w14:paraId="5BB36E3D">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设计、勘</w:t>
                  </w:r>
                  <w:r>
                    <w:rPr>
                      <w:rFonts w:hint="eastAsia" w:cs="Times New Roman"/>
                      <w:color w:val="000000" w:themeColor="text1"/>
                      <w:sz w:val="21"/>
                      <w:szCs w:val="21"/>
                      <w:highlight w:val="none"/>
                      <w:lang w:val="en-US" w:eastAsia="zh-CN"/>
                      <w14:textFill>
                        <w14:solidFill>
                          <w14:schemeClr w14:val="tx1"/>
                        </w14:solidFill>
                      </w14:textFill>
                    </w:rPr>
                    <w:t>测</w:t>
                  </w:r>
                </w:p>
              </w:tc>
              <w:tc>
                <w:tcPr>
                  <w:tcW w:w="3792" w:type="dxa"/>
                  <w:tcBorders>
                    <w:tl2br w:val="nil"/>
                    <w:tr2bl w:val="nil"/>
                  </w:tcBorders>
                  <w:noWrap w:val="0"/>
                  <w:vAlign w:val="center"/>
                </w:tcPr>
                <w:p w14:paraId="67D323C8">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项目前期设计、勘测、水保、管理等</w:t>
                  </w:r>
                </w:p>
              </w:tc>
              <w:tc>
                <w:tcPr>
                  <w:tcW w:w="1310" w:type="dxa"/>
                  <w:tcBorders>
                    <w:tl2br w:val="nil"/>
                    <w:tr2bl w:val="nil"/>
                  </w:tcBorders>
                  <w:noWrap w:val="0"/>
                  <w:vAlign w:val="center"/>
                </w:tcPr>
                <w:p w14:paraId="3469DED0">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5.74</w:t>
                  </w:r>
                </w:p>
              </w:tc>
            </w:tr>
            <w:tr w14:paraId="2CB967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Merge w:val="restart"/>
                  <w:tcBorders>
                    <w:tl2br w:val="nil"/>
                    <w:tr2bl w:val="nil"/>
                  </w:tcBorders>
                  <w:noWrap w:val="0"/>
                  <w:vAlign w:val="center"/>
                </w:tcPr>
                <w:p w14:paraId="7447EE0A">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施工期</w:t>
                  </w:r>
                </w:p>
              </w:tc>
              <w:tc>
                <w:tcPr>
                  <w:tcW w:w="1804" w:type="dxa"/>
                  <w:vMerge w:val="restart"/>
                  <w:tcBorders>
                    <w:tl2br w:val="nil"/>
                    <w:tr2bl w:val="nil"/>
                  </w:tcBorders>
                  <w:noWrap w:val="0"/>
                  <w:vAlign w:val="center"/>
                </w:tcPr>
                <w:p w14:paraId="2D4DA82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生态环境影响减缓措施</w:t>
                  </w:r>
                </w:p>
              </w:tc>
              <w:tc>
                <w:tcPr>
                  <w:tcW w:w="3792" w:type="dxa"/>
                  <w:tcBorders>
                    <w:tl2br w:val="nil"/>
                    <w:tr2bl w:val="nil"/>
                  </w:tcBorders>
                  <w:noWrap w:val="0"/>
                  <w:vAlign w:val="center"/>
                </w:tcPr>
                <w:p w14:paraId="10CC594C">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地形地貌恢复工程</w:t>
                  </w:r>
                </w:p>
              </w:tc>
              <w:tc>
                <w:tcPr>
                  <w:tcW w:w="1310" w:type="dxa"/>
                  <w:tcBorders>
                    <w:tl2br w:val="nil"/>
                    <w:tr2bl w:val="nil"/>
                  </w:tcBorders>
                  <w:noWrap w:val="0"/>
                  <w:vAlign w:val="center"/>
                </w:tcPr>
                <w:p w14:paraId="12A092B7">
                  <w:pPr>
                    <w:widowControl/>
                    <w:spacing w:line="240" w:lineRule="auto"/>
                    <w:ind w:firstLine="0" w:firstLineChars="0"/>
                    <w:jc w:val="center"/>
                    <w:textAlignment w:val="center"/>
                    <w:rPr>
                      <w:rFonts w:hint="default"/>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lang w:eastAsia="zh-CN" w:bidi="ar"/>
                      <w14:textFill>
                        <w14:solidFill>
                          <w14:schemeClr w14:val="tx1"/>
                        </w14:solidFill>
                      </w14:textFill>
                    </w:rPr>
                    <w:t>5</w:t>
                  </w:r>
                  <w:r>
                    <w:rPr>
                      <w:rFonts w:hint="eastAsia"/>
                      <w:color w:val="000000" w:themeColor="text1"/>
                      <w:sz w:val="21"/>
                      <w:szCs w:val="21"/>
                      <w:highlight w:val="none"/>
                      <w:lang w:val="en-US" w:eastAsia="zh-CN" w:bidi="ar"/>
                      <w14:textFill>
                        <w14:solidFill>
                          <w14:schemeClr w14:val="tx1"/>
                        </w14:solidFill>
                      </w14:textFill>
                    </w:rPr>
                    <w:t>8.88</w:t>
                  </w:r>
                </w:p>
              </w:tc>
            </w:tr>
            <w:tr w14:paraId="48EAD9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Merge w:val="continue"/>
                  <w:tcBorders>
                    <w:tl2br w:val="nil"/>
                    <w:tr2bl w:val="nil"/>
                  </w:tcBorders>
                  <w:noWrap w:val="0"/>
                  <w:vAlign w:val="center"/>
                </w:tcPr>
                <w:p w14:paraId="5ACFE61E">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sz w:val="21"/>
                      <w:szCs w:val="21"/>
                      <w:highlight w:val="none"/>
                      <w14:textFill>
                        <w14:solidFill>
                          <w14:schemeClr w14:val="tx1"/>
                        </w14:solidFill>
                      </w14:textFill>
                    </w:rPr>
                  </w:pPr>
                </w:p>
              </w:tc>
              <w:tc>
                <w:tcPr>
                  <w:tcW w:w="1804" w:type="dxa"/>
                  <w:vMerge w:val="continue"/>
                  <w:tcBorders>
                    <w:tl2br w:val="nil"/>
                    <w:tr2bl w:val="nil"/>
                  </w:tcBorders>
                  <w:noWrap w:val="0"/>
                  <w:vAlign w:val="center"/>
                </w:tcPr>
                <w:p w14:paraId="64DA7726">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sz w:val="21"/>
                      <w:szCs w:val="21"/>
                      <w:highlight w:val="none"/>
                      <w14:textFill>
                        <w14:solidFill>
                          <w14:schemeClr w14:val="tx1"/>
                        </w14:solidFill>
                      </w14:textFill>
                    </w:rPr>
                  </w:pPr>
                </w:p>
              </w:tc>
              <w:tc>
                <w:tcPr>
                  <w:tcW w:w="3792" w:type="dxa"/>
                  <w:tcBorders>
                    <w:tl2br w:val="nil"/>
                    <w:tr2bl w:val="nil"/>
                  </w:tcBorders>
                  <w:noWrap w:val="0"/>
                  <w:vAlign w:val="center"/>
                </w:tcPr>
                <w:p w14:paraId="4EEA263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截排水工程</w:t>
                  </w:r>
                </w:p>
              </w:tc>
              <w:tc>
                <w:tcPr>
                  <w:tcW w:w="1310" w:type="dxa"/>
                  <w:tcBorders>
                    <w:tl2br w:val="nil"/>
                    <w:tr2bl w:val="nil"/>
                  </w:tcBorders>
                  <w:noWrap w:val="0"/>
                  <w:vAlign w:val="center"/>
                </w:tcPr>
                <w:p w14:paraId="4C10B0A9">
                  <w:pPr>
                    <w:widowControl/>
                    <w:spacing w:line="240" w:lineRule="auto"/>
                    <w:ind w:firstLine="0" w:firstLineChars="0"/>
                    <w:jc w:val="center"/>
                    <w:textAlignment w:val="center"/>
                    <w:rPr>
                      <w:rFonts w:hint="default"/>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lang w:eastAsia="zh-CN" w:bidi="ar"/>
                      <w14:textFill>
                        <w14:solidFill>
                          <w14:schemeClr w14:val="tx1"/>
                        </w14:solidFill>
                      </w14:textFill>
                    </w:rPr>
                    <w:t>8.90</w:t>
                  </w:r>
                </w:p>
              </w:tc>
            </w:tr>
            <w:tr w14:paraId="11B5D6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Merge w:val="continue"/>
                  <w:tcBorders>
                    <w:tl2br w:val="nil"/>
                    <w:tr2bl w:val="nil"/>
                  </w:tcBorders>
                  <w:noWrap w:val="0"/>
                  <w:vAlign w:val="center"/>
                </w:tcPr>
                <w:p w14:paraId="40BA9FF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sz w:val="21"/>
                      <w:szCs w:val="21"/>
                      <w:highlight w:val="none"/>
                      <w14:textFill>
                        <w14:solidFill>
                          <w14:schemeClr w14:val="tx1"/>
                        </w14:solidFill>
                      </w14:textFill>
                    </w:rPr>
                  </w:pPr>
                </w:p>
              </w:tc>
              <w:tc>
                <w:tcPr>
                  <w:tcW w:w="1804" w:type="dxa"/>
                  <w:vMerge w:val="continue"/>
                  <w:tcBorders>
                    <w:tl2br w:val="nil"/>
                    <w:tr2bl w:val="nil"/>
                  </w:tcBorders>
                  <w:noWrap w:val="0"/>
                  <w:vAlign w:val="center"/>
                </w:tcPr>
                <w:p w14:paraId="79DF1EB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sz w:val="21"/>
                      <w:szCs w:val="21"/>
                      <w:highlight w:val="none"/>
                      <w14:textFill>
                        <w14:solidFill>
                          <w14:schemeClr w14:val="tx1"/>
                        </w14:solidFill>
                      </w14:textFill>
                    </w:rPr>
                  </w:pPr>
                </w:p>
              </w:tc>
              <w:tc>
                <w:tcPr>
                  <w:tcW w:w="3792" w:type="dxa"/>
                  <w:tcBorders>
                    <w:tl2br w:val="nil"/>
                    <w:tr2bl w:val="nil"/>
                  </w:tcBorders>
                  <w:noWrap w:val="0"/>
                  <w:vAlign w:val="center"/>
                </w:tcPr>
                <w:p w14:paraId="660F35EF">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生态植被恢复工程</w:t>
                  </w:r>
                </w:p>
              </w:tc>
              <w:tc>
                <w:tcPr>
                  <w:tcW w:w="1310" w:type="dxa"/>
                  <w:tcBorders>
                    <w:tl2br w:val="nil"/>
                    <w:tr2bl w:val="nil"/>
                  </w:tcBorders>
                  <w:noWrap w:val="0"/>
                  <w:vAlign w:val="center"/>
                </w:tcPr>
                <w:p w14:paraId="270F3B38">
                  <w:pPr>
                    <w:widowControl/>
                    <w:spacing w:line="240" w:lineRule="auto"/>
                    <w:ind w:firstLine="0" w:firstLineChars="0"/>
                    <w:jc w:val="center"/>
                    <w:textAlignment w:val="center"/>
                    <w:rPr>
                      <w:rFonts w:hint="default"/>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lang w:eastAsia="zh-CN" w:bidi="ar"/>
                      <w14:textFill>
                        <w14:solidFill>
                          <w14:schemeClr w14:val="tx1"/>
                        </w14:solidFill>
                      </w14:textFill>
                    </w:rPr>
                    <w:t>256.88</w:t>
                  </w:r>
                </w:p>
              </w:tc>
            </w:tr>
            <w:tr w14:paraId="6CD683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Merge w:val="continue"/>
                  <w:tcBorders>
                    <w:tl2br w:val="nil"/>
                    <w:tr2bl w:val="nil"/>
                  </w:tcBorders>
                  <w:noWrap w:val="0"/>
                  <w:vAlign w:val="center"/>
                </w:tcPr>
                <w:p w14:paraId="17BE0C3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sz w:val="21"/>
                      <w:szCs w:val="21"/>
                      <w:highlight w:val="none"/>
                      <w14:textFill>
                        <w14:solidFill>
                          <w14:schemeClr w14:val="tx1"/>
                        </w14:solidFill>
                      </w14:textFill>
                    </w:rPr>
                  </w:pPr>
                </w:p>
              </w:tc>
              <w:tc>
                <w:tcPr>
                  <w:tcW w:w="1804" w:type="dxa"/>
                  <w:tcBorders>
                    <w:tl2br w:val="nil"/>
                    <w:tr2bl w:val="nil"/>
                  </w:tcBorders>
                  <w:noWrap w:val="0"/>
                  <w:vAlign w:val="center"/>
                </w:tcPr>
                <w:p w14:paraId="03A34116">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大气环境</w:t>
                  </w:r>
                </w:p>
              </w:tc>
              <w:tc>
                <w:tcPr>
                  <w:tcW w:w="3792" w:type="dxa"/>
                  <w:tcBorders>
                    <w:tl2br w:val="nil"/>
                    <w:tr2bl w:val="nil"/>
                  </w:tcBorders>
                  <w:noWrap w:val="0"/>
                  <w:vAlign w:val="center"/>
                </w:tcPr>
                <w:p w14:paraId="61E8701C">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eastAsia"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根据施工过程的实际情况，</w:t>
                  </w:r>
                  <w:r>
                    <w:rPr>
                      <w:rFonts w:hint="eastAsia" w:cs="Times New Roman"/>
                      <w:color w:val="000000" w:themeColor="text1"/>
                      <w:kern w:val="0"/>
                      <w:sz w:val="21"/>
                      <w:szCs w:val="21"/>
                      <w:highlight w:val="none"/>
                      <w:lang w:val="en-US" w:eastAsia="zh-CN" w:bidi="ar-SA"/>
                      <w14:textFill>
                        <w14:solidFill>
                          <w14:schemeClr w14:val="tx1"/>
                        </w14:solidFill>
                      </w14:textFill>
                    </w:rPr>
                    <w:t>施工场地设围栏</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；避免在大风日以及夏季暴雨时节施工，尽可能缩短施工时间；加强施工区的规划管理：如在大风天气，对散料堆场应采用水喷淋法防尘；汽车运输加盖</w:t>
                  </w:r>
                  <w:r>
                    <w:rPr>
                      <w:rFonts w:hint="eastAsia" w:cs="Times New Roman"/>
                      <w:color w:val="000000" w:themeColor="text1"/>
                      <w:kern w:val="0"/>
                      <w:sz w:val="21"/>
                      <w:szCs w:val="21"/>
                      <w:highlight w:val="none"/>
                      <w:lang w:val="en-US" w:eastAsia="zh-CN" w:bidi="ar-SA"/>
                      <w14:textFill>
                        <w14:solidFill>
                          <w14:schemeClr w14:val="tx1"/>
                        </w14:solidFill>
                      </w14:textFill>
                    </w:rPr>
                    <w:t>篷布</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、控制车速；运输车辆进出的主干道应定期洒水清扫；加强对施工机械、车辆的维修保养；对施工废料设置围栏、定期洒水降尘</w:t>
                  </w:r>
                </w:p>
              </w:tc>
              <w:tc>
                <w:tcPr>
                  <w:tcW w:w="1310" w:type="dxa"/>
                  <w:tcBorders>
                    <w:tl2br w:val="nil"/>
                    <w:tr2bl w:val="nil"/>
                  </w:tcBorders>
                  <w:noWrap w:val="0"/>
                  <w:vAlign w:val="center"/>
                </w:tcPr>
                <w:p w14:paraId="1D7F06F2">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w:t>
                  </w:r>
                </w:p>
              </w:tc>
            </w:tr>
            <w:tr w14:paraId="3D51D1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Merge w:val="continue"/>
                  <w:tcBorders>
                    <w:tl2br w:val="nil"/>
                    <w:tr2bl w:val="nil"/>
                  </w:tcBorders>
                  <w:noWrap w:val="0"/>
                  <w:vAlign w:val="center"/>
                </w:tcPr>
                <w:p w14:paraId="3D143478">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sz w:val="21"/>
                      <w:szCs w:val="21"/>
                      <w:highlight w:val="none"/>
                      <w14:textFill>
                        <w14:solidFill>
                          <w14:schemeClr w14:val="tx1"/>
                        </w14:solidFill>
                      </w14:textFill>
                    </w:rPr>
                  </w:pPr>
                </w:p>
              </w:tc>
              <w:tc>
                <w:tcPr>
                  <w:tcW w:w="1804" w:type="dxa"/>
                  <w:tcBorders>
                    <w:tl2br w:val="nil"/>
                    <w:tr2bl w:val="nil"/>
                  </w:tcBorders>
                  <w:noWrap w:val="0"/>
                  <w:vAlign w:val="center"/>
                </w:tcPr>
                <w:p w14:paraId="711AE90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声环境</w:t>
                  </w:r>
                </w:p>
              </w:tc>
              <w:tc>
                <w:tcPr>
                  <w:tcW w:w="3792" w:type="dxa"/>
                  <w:tcBorders>
                    <w:tl2br w:val="nil"/>
                    <w:tr2bl w:val="nil"/>
                  </w:tcBorders>
                  <w:noWrap w:val="0"/>
                  <w:vAlign w:val="center"/>
                </w:tcPr>
                <w:p w14:paraId="7F91280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合理安排施工时间，优化运输路线，车辆减速慢行、禁止鸣笛</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14:textFill>
                        <w14:solidFill>
                          <w14:schemeClr w14:val="tx1"/>
                        </w14:solidFill>
                      </w14:textFill>
                    </w:rPr>
                    <w:t>选用低噪声设备</w:t>
                  </w:r>
                  <w:r>
                    <w:rPr>
                      <w:rFonts w:hint="eastAsia" w:cs="Times New Roman"/>
                      <w:color w:val="000000" w:themeColor="text1"/>
                      <w:sz w:val="21"/>
                      <w:szCs w:val="21"/>
                      <w:highlight w:val="none"/>
                      <w:lang w:eastAsia="zh-CN"/>
                      <w14:textFill>
                        <w14:solidFill>
                          <w14:schemeClr w14:val="tx1"/>
                        </w14:solidFill>
                      </w14:textFill>
                    </w:rPr>
                    <w:t>。</w:t>
                  </w:r>
                </w:p>
              </w:tc>
              <w:tc>
                <w:tcPr>
                  <w:tcW w:w="1310" w:type="dxa"/>
                  <w:tcBorders>
                    <w:tl2br w:val="nil"/>
                    <w:tr2bl w:val="nil"/>
                  </w:tcBorders>
                  <w:noWrap w:val="0"/>
                  <w:vAlign w:val="center"/>
                </w:tcPr>
                <w:p w14:paraId="3E158AE4">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r>
            <w:tr w14:paraId="68D82B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Merge w:val="continue"/>
                  <w:tcBorders>
                    <w:tl2br w:val="nil"/>
                    <w:tr2bl w:val="nil"/>
                  </w:tcBorders>
                  <w:noWrap w:val="0"/>
                  <w:vAlign w:val="center"/>
                </w:tcPr>
                <w:p w14:paraId="1872983D">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sz w:val="21"/>
                      <w:szCs w:val="21"/>
                      <w:highlight w:val="none"/>
                      <w14:textFill>
                        <w14:solidFill>
                          <w14:schemeClr w14:val="tx1"/>
                        </w14:solidFill>
                      </w14:textFill>
                    </w:rPr>
                  </w:pPr>
                </w:p>
              </w:tc>
              <w:tc>
                <w:tcPr>
                  <w:tcW w:w="1804" w:type="dxa"/>
                  <w:tcBorders>
                    <w:tl2br w:val="nil"/>
                    <w:tr2bl w:val="nil"/>
                  </w:tcBorders>
                  <w:noWrap w:val="0"/>
                  <w:vAlign w:val="center"/>
                </w:tcPr>
                <w:p w14:paraId="59B73D33">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固体废物</w:t>
                  </w:r>
                </w:p>
              </w:tc>
              <w:tc>
                <w:tcPr>
                  <w:tcW w:w="3792" w:type="dxa"/>
                  <w:tcBorders>
                    <w:tl2br w:val="nil"/>
                    <w:tr2bl w:val="nil"/>
                  </w:tcBorders>
                  <w:noWrap w:val="0"/>
                  <w:vAlign w:val="center"/>
                </w:tcPr>
                <w:p w14:paraId="0A4538A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施工期的固体废弃物主要来源为生活垃圾。生活垃圾集中分类收集后送至邻近村庄生活垃圾收集点，由当地环卫部门统一清运处置</w:t>
                  </w:r>
                </w:p>
              </w:tc>
              <w:tc>
                <w:tcPr>
                  <w:tcW w:w="1310" w:type="dxa"/>
                  <w:tcBorders>
                    <w:tl2br w:val="nil"/>
                    <w:tr2bl w:val="nil"/>
                  </w:tcBorders>
                  <w:noWrap w:val="0"/>
                  <w:vAlign w:val="center"/>
                </w:tcPr>
                <w:p w14:paraId="44666AB5">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4.71</w:t>
                  </w:r>
                </w:p>
              </w:tc>
            </w:tr>
            <w:tr w14:paraId="315797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Merge w:val="continue"/>
                  <w:tcBorders>
                    <w:tl2br w:val="nil"/>
                    <w:tr2bl w:val="nil"/>
                  </w:tcBorders>
                  <w:noWrap w:val="0"/>
                  <w:vAlign w:val="center"/>
                </w:tcPr>
                <w:p w14:paraId="4B31C82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sz w:val="21"/>
                      <w:szCs w:val="21"/>
                      <w:highlight w:val="none"/>
                      <w14:textFill>
                        <w14:solidFill>
                          <w14:schemeClr w14:val="tx1"/>
                        </w14:solidFill>
                      </w14:textFill>
                    </w:rPr>
                  </w:pPr>
                </w:p>
              </w:tc>
              <w:tc>
                <w:tcPr>
                  <w:tcW w:w="1804" w:type="dxa"/>
                  <w:tcBorders>
                    <w:tl2br w:val="nil"/>
                    <w:tr2bl w:val="nil"/>
                  </w:tcBorders>
                  <w:noWrap w:val="0"/>
                  <w:vAlign w:val="center"/>
                </w:tcPr>
                <w:p w14:paraId="4B161B5F">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环境管理监测</w:t>
                  </w:r>
                </w:p>
              </w:tc>
              <w:tc>
                <w:tcPr>
                  <w:tcW w:w="3792" w:type="dxa"/>
                  <w:tcBorders>
                    <w:tl2br w:val="nil"/>
                    <w:tr2bl w:val="nil"/>
                  </w:tcBorders>
                  <w:noWrap w:val="0"/>
                  <w:vAlign w:val="center"/>
                </w:tcPr>
                <w:p w14:paraId="0609F5D9">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环境管理及监测</w:t>
                  </w:r>
                </w:p>
              </w:tc>
              <w:tc>
                <w:tcPr>
                  <w:tcW w:w="1310" w:type="dxa"/>
                  <w:tcBorders>
                    <w:tl2br w:val="nil"/>
                    <w:tr2bl w:val="nil"/>
                  </w:tcBorders>
                  <w:noWrap w:val="0"/>
                  <w:vAlign w:val="center"/>
                </w:tcPr>
                <w:p w14:paraId="45AF5D94">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w:t>
                  </w:r>
                </w:p>
              </w:tc>
            </w:tr>
            <w:tr w14:paraId="5E3EAE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Merge w:val="restart"/>
                  <w:tcBorders>
                    <w:tl2br w:val="nil"/>
                    <w:tr2bl w:val="nil"/>
                  </w:tcBorders>
                  <w:noWrap w:val="0"/>
                  <w:vAlign w:val="center"/>
                </w:tcPr>
                <w:p w14:paraId="1174F74D">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运营期</w:t>
                  </w:r>
                </w:p>
              </w:tc>
              <w:tc>
                <w:tcPr>
                  <w:tcW w:w="1804" w:type="dxa"/>
                  <w:tcBorders>
                    <w:tl2br w:val="nil"/>
                    <w:tr2bl w:val="nil"/>
                  </w:tcBorders>
                  <w:noWrap w:val="0"/>
                  <w:vAlign w:val="center"/>
                </w:tcPr>
                <w:p w14:paraId="18B926B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eastAsia"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植被养护</w:t>
                  </w:r>
                </w:p>
              </w:tc>
              <w:tc>
                <w:tcPr>
                  <w:tcW w:w="3792" w:type="dxa"/>
                  <w:tcBorders>
                    <w:tl2br w:val="nil"/>
                    <w:tr2bl w:val="nil"/>
                  </w:tcBorders>
                  <w:noWrap w:val="0"/>
                  <w:vAlign w:val="center"/>
                </w:tcPr>
                <w:p w14:paraId="09E3DFED">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为期3年的植被养护，主要养护方式为洒水</w:t>
                  </w:r>
                </w:p>
              </w:tc>
              <w:tc>
                <w:tcPr>
                  <w:tcW w:w="1310" w:type="dxa"/>
                  <w:tcBorders>
                    <w:tl2br w:val="nil"/>
                    <w:tr2bl w:val="nil"/>
                  </w:tcBorders>
                  <w:noWrap w:val="0"/>
                  <w:vAlign w:val="center"/>
                </w:tcPr>
                <w:p w14:paraId="6D231601">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p>
              </w:tc>
            </w:tr>
            <w:tr w14:paraId="3E772B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7" w:type="dxa"/>
                  <w:vMerge w:val="continue"/>
                  <w:tcBorders>
                    <w:tl2br w:val="nil"/>
                    <w:tr2bl w:val="nil"/>
                  </w:tcBorders>
                  <w:noWrap w:val="0"/>
                  <w:vAlign w:val="center"/>
                </w:tcPr>
                <w:p w14:paraId="6F9783C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sz w:val="21"/>
                      <w:szCs w:val="21"/>
                      <w:highlight w:val="none"/>
                      <w14:textFill>
                        <w14:solidFill>
                          <w14:schemeClr w14:val="tx1"/>
                        </w14:solidFill>
                      </w14:textFill>
                    </w:rPr>
                  </w:pPr>
                </w:p>
              </w:tc>
              <w:tc>
                <w:tcPr>
                  <w:tcW w:w="1804" w:type="dxa"/>
                  <w:tcBorders>
                    <w:tl2br w:val="nil"/>
                    <w:tr2bl w:val="nil"/>
                  </w:tcBorders>
                  <w:noWrap w:val="0"/>
                  <w:vAlign w:val="center"/>
                </w:tcPr>
                <w:p w14:paraId="5B5791E3">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环境管理监测</w:t>
                  </w:r>
                </w:p>
              </w:tc>
              <w:tc>
                <w:tcPr>
                  <w:tcW w:w="3792" w:type="dxa"/>
                  <w:tcBorders>
                    <w:tl2br w:val="nil"/>
                    <w:tr2bl w:val="nil"/>
                  </w:tcBorders>
                  <w:noWrap w:val="0"/>
                  <w:vAlign w:val="center"/>
                </w:tcPr>
                <w:p w14:paraId="478BA29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leftChars="0" w:right="0" w:rightChars="0" w:firstLine="0" w:firstLineChars="0"/>
                    <w:textAlignment w:val="auto"/>
                    <w:rPr>
                      <w:rFonts w:hint="eastAsia"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环境管理及监测</w:t>
                  </w:r>
                </w:p>
              </w:tc>
              <w:tc>
                <w:tcPr>
                  <w:tcW w:w="1310" w:type="dxa"/>
                  <w:tcBorders>
                    <w:tl2br w:val="nil"/>
                    <w:tr2bl w:val="nil"/>
                  </w:tcBorders>
                  <w:noWrap w:val="0"/>
                  <w:vAlign w:val="center"/>
                </w:tcPr>
                <w:p w14:paraId="404B140A">
                  <w:pPr>
                    <w:pStyle w:val="39"/>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2.5</w:t>
                  </w:r>
                </w:p>
              </w:tc>
            </w:tr>
            <w:tr w14:paraId="0E7B15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7" w:type="dxa"/>
                  <w:tcBorders>
                    <w:tl2br w:val="nil"/>
                    <w:tr2bl w:val="nil"/>
                  </w:tcBorders>
                  <w:noWrap w:val="0"/>
                  <w:vAlign w:val="center"/>
                </w:tcPr>
                <w:p w14:paraId="1AF1E06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合计</w:t>
                  </w:r>
                </w:p>
              </w:tc>
              <w:tc>
                <w:tcPr>
                  <w:tcW w:w="1804" w:type="dxa"/>
                  <w:tcBorders>
                    <w:tl2br w:val="nil"/>
                    <w:tr2bl w:val="nil"/>
                  </w:tcBorders>
                  <w:noWrap w:val="0"/>
                  <w:vAlign w:val="center"/>
                </w:tcPr>
                <w:p w14:paraId="258A6B0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3792" w:type="dxa"/>
                  <w:tcBorders>
                    <w:tl2br w:val="nil"/>
                    <w:tr2bl w:val="nil"/>
                  </w:tcBorders>
                  <w:noWrap w:val="0"/>
                  <w:vAlign w:val="center"/>
                </w:tcPr>
                <w:p w14:paraId="7FE70B2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310" w:type="dxa"/>
                  <w:tcBorders>
                    <w:tl2br w:val="nil"/>
                    <w:tr2bl w:val="nil"/>
                  </w:tcBorders>
                  <w:noWrap w:val="0"/>
                  <w:vAlign w:val="center"/>
                </w:tcPr>
                <w:p w14:paraId="13AD1213">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368.59</w:t>
                  </w:r>
                </w:p>
              </w:tc>
            </w:tr>
          </w:tbl>
          <w:p w14:paraId="2D0B4E1A">
            <w:pPr>
              <w:rPr>
                <w:rFonts w:hint="default"/>
                <w:color w:val="000000" w:themeColor="text1"/>
                <w:highlight w:val="none"/>
                <w14:textFill>
                  <w14:solidFill>
                    <w14:schemeClr w14:val="tx1"/>
                  </w14:solidFill>
                </w14:textFill>
              </w:rPr>
            </w:pPr>
          </w:p>
        </w:tc>
      </w:tr>
    </w:tbl>
    <w:p w14:paraId="2A6BF3C5">
      <w:pPr>
        <w:pStyle w:val="4"/>
        <w:bidi w:val="0"/>
        <w:rPr>
          <w:color w:val="000000" w:themeColor="text1"/>
          <w:highlight w:val="none"/>
          <w14:textFill>
            <w14:solidFill>
              <w14:schemeClr w14:val="tx1"/>
            </w14:solidFill>
          </w14:textFill>
        </w:rPr>
        <w:sectPr>
          <w:pgSz w:w="11905" w:h="16838"/>
          <w:pgMar w:top="1417" w:right="1417" w:bottom="1417" w:left="1417" w:header="851" w:footer="964" w:gutter="0"/>
          <w:pgBorders>
            <w:top w:val="none" w:sz="0" w:space="0"/>
            <w:left w:val="none" w:sz="0" w:space="0"/>
            <w:bottom w:val="none" w:sz="0" w:space="0"/>
            <w:right w:val="none" w:sz="0" w:space="0"/>
          </w:pgBorders>
          <w:pgNumType w:fmt="numberInDash"/>
          <w:cols w:space="720" w:num="1"/>
          <w:rtlGutter w:val="0"/>
          <w:docGrid w:type="linesAndChars" w:linePitch="466" w:charSpace="-2709"/>
        </w:sectPr>
      </w:pPr>
    </w:p>
    <w:p w14:paraId="464525E8">
      <w:pPr>
        <w:pStyle w:val="4"/>
        <w:bidi w:val="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六、生态环境保护措施监督检查清单</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54"/>
        <w:gridCol w:w="2955"/>
        <w:gridCol w:w="1732"/>
        <w:gridCol w:w="1864"/>
        <w:gridCol w:w="1182"/>
      </w:tblGrid>
      <w:tr w14:paraId="00BFDD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37" w:type="pct"/>
            <w:vMerge w:val="restart"/>
            <w:tcBorders>
              <w:tl2br w:val="single" w:color="auto" w:sz="12" w:space="0"/>
            </w:tcBorders>
            <w:noWrap w:val="0"/>
            <w:vAlign w:val="center"/>
          </w:tcPr>
          <w:p w14:paraId="6948D0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内容</w:t>
            </w:r>
          </w:p>
          <w:p w14:paraId="24D1E58E">
            <w:pPr>
              <w:pStyle w:val="56"/>
              <w:keepNext w:val="0"/>
              <w:keepLines w:val="0"/>
              <w:suppressLineNumbers w:val="0"/>
              <w:spacing w:before="0" w:beforeAutospacing="0" w:after="0" w:afterAutospacing="0"/>
              <w:ind w:left="0" w:right="0"/>
              <w:rPr>
                <w:rFonts w:hint="default" w:cs="Times New Roman"/>
                <w:b/>
                <w:bCs/>
                <w:color w:val="000000" w:themeColor="text1"/>
                <w:highlight w:val="none"/>
                <w:lang w:val="en-US" w:eastAsia="zh-CN"/>
                <w14:textFill>
                  <w14:solidFill>
                    <w14:schemeClr w14:val="tx1"/>
                  </w14:solidFill>
                </w14:textFill>
              </w:rPr>
            </w:pPr>
          </w:p>
          <w:p w14:paraId="75A484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要素</w:t>
            </w:r>
          </w:p>
        </w:tc>
        <w:tc>
          <w:tcPr>
            <w:tcW w:w="2522" w:type="pct"/>
            <w:gridSpan w:val="2"/>
            <w:tcBorders>
              <w:tl2br w:val="nil"/>
              <w:tr2bl w:val="nil"/>
            </w:tcBorders>
            <w:noWrap w:val="0"/>
            <w:vAlign w:val="center"/>
          </w:tcPr>
          <w:p w14:paraId="5B48CC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施工期</w:t>
            </w:r>
          </w:p>
        </w:tc>
        <w:tc>
          <w:tcPr>
            <w:tcW w:w="1639" w:type="pct"/>
            <w:gridSpan w:val="2"/>
            <w:tcBorders>
              <w:tl2br w:val="nil"/>
              <w:tr2bl w:val="nil"/>
            </w:tcBorders>
            <w:noWrap w:val="0"/>
            <w:vAlign w:val="center"/>
          </w:tcPr>
          <w:p w14:paraId="28FC23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运营期</w:t>
            </w:r>
          </w:p>
        </w:tc>
      </w:tr>
      <w:tr w14:paraId="73BC52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37" w:type="pct"/>
            <w:vMerge w:val="continue"/>
            <w:tcBorders>
              <w:tl2br w:val="nil"/>
              <w:tr2bl w:val="nil"/>
            </w:tcBorders>
            <w:noWrap w:val="0"/>
            <w:vAlign w:val="center"/>
          </w:tcPr>
          <w:p w14:paraId="36BC17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lang w:val="en-US" w:eastAsia="zh-CN"/>
                <w14:textFill>
                  <w14:solidFill>
                    <w14:schemeClr w14:val="tx1"/>
                  </w14:solidFill>
                </w14:textFill>
              </w:rPr>
            </w:pPr>
          </w:p>
        </w:tc>
        <w:tc>
          <w:tcPr>
            <w:tcW w:w="1590" w:type="pct"/>
            <w:tcBorders>
              <w:tl2br w:val="nil"/>
              <w:tr2bl w:val="nil"/>
            </w:tcBorders>
            <w:noWrap w:val="0"/>
            <w:vAlign w:val="center"/>
          </w:tcPr>
          <w:p w14:paraId="010336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环境保护措施</w:t>
            </w:r>
          </w:p>
        </w:tc>
        <w:tc>
          <w:tcPr>
            <w:tcW w:w="931" w:type="pct"/>
            <w:tcBorders>
              <w:tl2br w:val="nil"/>
              <w:tr2bl w:val="nil"/>
            </w:tcBorders>
            <w:noWrap w:val="0"/>
            <w:vAlign w:val="center"/>
          </w:tcPr>
          <w:p w14:paraId="3C06CB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验收要求</w:t>
            </w:r>
          </w:p>
        </w:tc>
        <w:tc>
          <w:tcPr>
            <w:tcW w:w="1003" w:type="pct"/>
            <w:tcBorders>
              <w:tl2br w:val="nil"/>
              <w:tr2bl w:val="nil"/>
            </w:tcBorders>
            <w:noWrap w:val="0"/>
            <w:vAlign w:val="center"/>
          </w:tcPr>
          <w:p w14:paraId="5B64F0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环境保</w:t>
            </w:r>
          </w:p>
          <w:p w14:paraId="2A50B4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护措施</w:t>
            </w:r>
          </w:p>
        </w:tc>
        <w:tc>
          <w:tcPr>
            <w:tcW w:w="636" w:type="pct"/>
            <w:tcBorders>
              <w:tl2br w:val="nil"/>
              <w:tr2bl w:val="nil"/>
            </w:tcBorders>
            <w:noWrap w:val="0"/>
            <w:vAlign w:val="center"/>
          </w:tcPr>
          <w:p w14:paraId="29842F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验收</w:t>
            </w:r>
          </w:p>
          <w:p w14:paraId="558443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lang w:val="en-US" w:eastAsia="zh-CN"/>
                <w14:textFill>
                  <w14:solidFill>
                    <w14:schemeClr w14:val="tx1"/>
                  </w14:solidFill>
                </w14:textFill>
              </w:rPr>
            </w:pPr>
            <w:r>
              <w:rPr>
                <w:rFonts w:hint="default" w:cs="Times New Roman"/>
                <w:b/>
                <w:bCs/>
                <w:color w:val="000000" w:themeColor="text1"/>
                <w:highlight w:val="none"/>
                <w:lang w:val="en-US" w:eastAsia="zh-CN"/>
                <w14:textFill>
                  <w14:solidFill>
                    <w14:schemeClr w14:val="tx1"/>
                  </w14:solidFill>
                </w14:textFill>
              </w:rPr>
              <w:t>要求</w:t>
            </w:r>
          </w:p>
        </w:tc>
      </w:tr>
      <w:tr w14:paraId="3B6DFD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37" w:type="pct"/>
            <w:tcBorders>
              <w:tl2br w:val="nil"/>
              <w:tr2bl w:val="nil"/>
            </w:tcBorders>
            <w:noWrap w:val="0"/>
            <w:vAlign w:val="center"/>
          </w:tcPr>
          <w:p w14:paraId="08E2FC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陆生生态</w:t>
            </w:r>
          </w:p>
        </w:tc>
        <w:tc>
          <w:tcPr>
            <w:tcW w:w="1590" w:type="pct"/>
            <w:tcBorders>
              <w:tl2br w:val="nil"/>
              <w:tr2bl w:val="nil"/>
            </w:tcBorders>
            <w:noWrap w:val="0"/>
            <w:vAlign w:val="center"/>
          </w:tcPr>
          <w:p w14:paraId="2CA229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14:textFill>
                  <w14:solidFill>
                    <w14:schemeClr w14:val="tx1"/>
                  </w14:solidFill>
                </w14:textFill>
              </w:rPr>
              <w:t>严格控制施工范围，施工范围控制在占地范围内，做好避让和减缓措施，加大宣传教育，提高工人的生态保护意识，建立生态破坏惩罚制度，严禁施工人员非法猎捕野生动物</w:t>
            </w:r>
          </w:p>
        </w:tc>
        <w:tc>
          <w:tcPr>
            <w:tcW w:w="931" w:type="pct"/>
            <w:tcBorders>
              <w:tl2br w:val="nil"/>
              <w:tr2bl w:val="nil"/>
            </w:tcBorders>
            <w:noWrap w:val="0"/>
            <w:vAlign w:val="center"/>
          </w:tcPr>
          <w:p w14:paraId="40D182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各项生态环境保护措施落实到位</w:t>
            </w:r>
          </w:p>
        </w:tc>
        <w:tc>
          <w:tcPr>
            <w:tcW w:w="1003" w:type="pct"/>
            <w:tcBorders>
              <w:tl2br w:val="nil"/>
              <w:tr2bl w:val="nil"/>
            </w:tcBorders>
            <w:noWrap w:val="0"/>
            <w:vAlign w:val="center"/>
          </w:tcPr>
          <w:p w14:paraId="67D5DC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为期3年的植被养护，主要养护方式为洒水</w:t>
            </w:r>
          </w:p>
        </w:tc>
        <w:tc>
          <w:tcPr>
            <w:tcW w:w="636" w:type="pct"/>
            <w:tcBorders>
              <w:tl2br w:val="nil"/>
              <w:tr2bl w:val="nil"/>
            </w:tcBorders>
            <w:noWrap w:val="0"/>
            <w:vAlign w:val="center"/>
          </w:tcPr>
          <w:p w14:paraId="724CAE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各项草地养护措施落实到位</w:t>
            </w:r>
          </w:p>
        </w:tc>
      </w:tr>
      <w:tr w14:paraId="08FA2C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837" w:type="pct"/>
            <w:tcBorders>
              <w:tl2br w:val="nil"/>
              <w:tr2bl w:val="nil"/>
            </w:tcBorders>
            <w:noWrap w:val="0"/>
            <w:vAlign w:val="center"/>
          </w:tcPr>
          <w:p w14:paraId="138178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水生生态</w:t>
            </w:r>
          </w:p>
        </w:tc>
        <w:tc>
          <w:tcPr>
            <w:tcW w:w="1590" w:type="pct"/>
            <w:tcBorders>
              <w:tl2br w:val="nil"/>
              <w:tr2bl w:val="nil"/>
            </w:tcBorders>
            <w:noWrap w:val="0"/>
            <w:vAlign w:val="center"/>
          </w:tcPr>
          <w:p w14:paraId="2FE965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931" w:type="pct"/>
            <w:tcBorders>
              <w:tl2br w:val="nil"/>
              <w:tr2bl w:val="nil"/>
            </w:tcBorders>
            <w:noWrap w:val="0"/>
            <w:vAlign w:val="center"/>
          </w:tcPr>
          <w:p w14:paraId="39742D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1003" w:type="pct"/>
            <w:tcBorders>
              <w:tl2br w:val="nil"/>
              <w:tr2bl w:val="nil"/>
            </w:tcBorders>
            <w:noWrap w:val="0"/>
            <w:vAlign w:val="center"/>
          </w:tcPr>
          <w:p w14:paraId="1BBEC6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36" w:type="pct"/>
            <w:tcBorders>
              <w:tl2br w:val="nil"/>
              <w:tr2bl w:val="nil"/>
            </w:tcBorders>
            <w:noWrap w:val="0"/>
            <w:vAlign w:val="center"/>
          </w:tcPr>
          <w:p w14:paraId="1E3047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r>
      <w:tr w14:paraId="653242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837" w:type="pct"/>
            <w:tcBorders>
              <w:tl2br w:val="nil"/>
              <w:tr2bl w:val="nil"/>
            </w:tcBorders>
            <w:noWrap w:val="0"/>
            <w:vAlign w:val="center"/>
          </w:tcPr>
          <w:p w14:paraId="40B2A2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地表水环境</w:t>
            </w:r>
          </w:p>
        </w:tc>
        <w:tc>
          <w:tcPr>
            <w:tcW w:w="1590" w:type="pct"/>
            <w:tcBorders>
              <w:tl2br w:val="nil"/>
              <w:tr2bl w:val="nil"/>
            </w:tcBorders>
            <w:noWrap w:val="0"/>
            <w:vAlign w:val="center"/>
          </w:tcPr>
          <w:p w14:paraId="3AEF04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生活污水依托周边村庄旱厕处理，项目区无废水排放，项目区无生活污水</w:t>
            </w:r>
            <w:r>
              <w:rPr>
                <w:rFonts w:hint="eastAsia" w:cs="Times New Roman"/>
                <w:color w:val="000000" w:themeColor="text1"/>
                <w:highlight w:val="none"/>
                <w:lang w:val="en-US" w:eastAsia="zh-CN"/>
                <w14:textFill>
                  <w14:solidFill>
                    <w14:schemeClr w14:val="tx1"/>
                  </w14:solidFill>
                </w14:textFill>
              </w:rPr>
              <w:t>排</w:t>
            </w:r>
            <w:r>
              <w:rPr>
                <w:rFonts w:hint="default" w:cs="Times New Roman"/>
                <w:color w:val="000000" w:themeColor="text1"/>
                <w:highlight w:val="none"/>
                <w:lang w:val="en-US" w:eastAsia="zh-CN"/>
                <w14:textFill>
                  <w14:solidFill>
                    <w14:schemeClr w14:val="tx1"/>
                  </w14:solidFill>
                </w14:textFill>
              </w:rPr>
              <w:t>放</w:t>
            </w:r>
          </w:p>
        </w:tc>
        <w:tc>
          <w:tcPr>
            <w:tcW w:w="931" w:type="pct"/>
            <w:tcBorders>
              <w:tl2br w:val="nil"/>
              <w:tr2bl w:val="nil"/>
            </w:tcBorders>
            <w:noWrap w:val="0"/>
            <w:vAlign w:val="center"/>
          </w:tcPr>
          <w:p w14:paraId="14BE7E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无废水外排</w:t>
            </w:r>
          </w:p>
        </w:tc>
        <w:tc>
          <w:tcPr>
            <w:tcW w:w="1003" w:type="pct"/>
            <w:tcBorders>
              <w:tl2br w:val="nil"/>
              <w:tr2bl w:val="nil"/>
            </w:tcBorders>
            <w:noWrap w:val="0"/>
            <w:vAlign w:val="center"/>
          </w:tcPr>
          <w:p w14:paraId="3072E3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36" w:type="pct"/>
            <w:tcBorders>
              <w:tl2br w:val="nil"/>
              <w:tr2bl w:val="nil"/>
            </w:tcBorders>
            <w:noWrap w:val="0"/>
            <w:vAlign w:val="center"/>
          </w:tcPr>
          <w:p w14:paraId="33179F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lang w:val="en-US"/>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无废水产生、外排</w:t>
            </w:r>
          </w:p>
        </w:tc>
      </w:tr>
      <w:tr w14:paraId="3254CC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7" w:type="pct"/>
            <w:tcBorders>
              <w:tl2br w:val="nil"/>
              <w:tr2bl w:val="nil"/>
            </w:tcBorders>
            <w:noWrap w:val="0"/>
            <w:vAlign w:val="center"/>
          </w:tcPr>
          <w:p w14:paraId="465B8C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地下水及土壤环境</w:t>
            </w:r>
          </w:p>
        </w:tc>
        <w:tc>
          <w:tcPr>
            <w:tcW w:w="1590" w:type="pct"/>
            <w:tcBorders>
              <w:tl2br w:val="nil"/>
              <w:tr2bl w:val="nil"/>
            </w:tcBorders>
            <w:noWrap w:val="0"/>
            <w:vAlign w:val="center"/>
          </w:tcPr>
          <w:p w14:paraId="409905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931" w:type="pct"/>
            <w:tcBorders>
              <w:tl2br w:val="nil"/>
              <w:tr2bl w:val="nil"/>
            </w:tcBorders>
            <w:noWrap w:val="0"/>
            <w:vAlign w:val="center"/>
          </w:tcPr>
          <w:p w14:paraId="17177C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1003" w:type="pct"/>
            <w:tcBorders>
              <w:tl2br w:val="nil"/>
              <w:tr2bl w:val="nil"/>
            </w:tcBorders>
            <w:noWrap w:val="0"/>
            <w:vAlign w:val="center"/>
          </w:tcPr>
          <w:p w14:paraId="5B3429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36" w:type="pct"/>
            <w:tcBorders>
              <w:tl2br w:val="nil"/>
              <w:tr2bl w:val="nil"/>
            </w:tcBorders>
            <w:noWrap w:val="0"/>
            <w:vAlign w:val="center"/>
          </w:tcPr>
          <w:p w14:paraId="596BAC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r>
      <w:tr w14:paraId="281243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37" w:type="pct"/>
            <w:tcBorders>
              <w:tl2br w:val="nil"/>
              <w:tr2bl w:val="nil"/>
            </w:tcBorders>
            <w:noWrap w:val="0"/>
            <w:vAlign w:val="center"/>
          </w:tcPr>
          <w:p w14:paraId="0650A9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声环境</w:t>
            </w:r>
          </w:p>
        </w:tc>
        <w:tc>
          <w:tcPr>
            <w:tcW w:w="1590" w:type="pct"/>
            <w:tcBorders>
              <w:tl2br w:val="nil"/>
              <w:tr2bl w:val="nil"/>
            </w:tcBorders>
            <w:noWrap w:val="0"/>
            <w:vAlign w:val="center"/>
          </w:tcPr>
          <w:p w14:paraId="211169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合理安排施工时间，优化运输路线，车辆减速慢行、禁止鸣笛，选用低噪声设备</w:t>
            </w:r>
          </w:p>
        </w:tc>
        <w:tc>
          <w:tcPr>
            <w:tcW w:w="931" w:type="pct"/>
            <w:tcBorders>
              <w:tl2br w:val="nil"/>
              <w:tr2bl w:val="nil"/>
            </w:tcBorders>
            <w:noWrap w:val="0"/>
            <w:vAlign w:val="center"/>
          </w:tcPr>
          <w:p w14:paraId="43347D6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施工场界噪声满足《建筑施工噪声排放标准》（</w:t>
            </w:r>
            <w:r>
              <w:rPr>
                <w:rFonts w:hint="default" w:cs="Times New Roman"/>
                <w:color w:val="000000" w:themeColor="text1"/>
                <w:highlight w:val="none"/>
                <w:lang w:val="en-US" w:eastAsia="zh-CN"/>
                <w14:textFill>
                  <w14:solidFill>
                    <w14:schemeClr w14:val="tx1"/>
                  </w14:solidFill>
                </w14:textFill>
              </w:rPr>
              <w:t>GB12523-20</w:t>
            </w:r>
            <w:r>
              <w:rPr>
                <w:rFonts w:hint="eastAsia" w:cs="Times New Roman"/>
                <w:color w:val="000000" w:themeColor="text1"/>
                <w:highlight w:val="none"/>
                <w:lang w:val="en-US" w:eastAsia="zh-CN"/>
                <w14:textFill>
                  <w14:solidFill>
                    <w14:schemeClr w14:val="tx1"/>
                  </w14:solidFill>
                </w14:textFill>
              </w:rPr>
              <w:t>25）标准限值要求</w:t>
            </w:r>
          </w:p>
        </w:tc>
        <w:tc>
          <w:tcPr>
            <w:tcW w:w="1003" w:type="pct"/>
            <w:tcBorders>
              <w:tl2br w:val="nil"/>
              <w:tr2bl w:val="nil"/>
            </w:tcBorders>
            <w:noWrap w:val="0"/>
            <w:vAlign w:val="center"/>
          </w:tcPr>
          <w:p w14:paraId="72F06C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36" w:type="pct"/>
            <w:tcBorders>
              <w:tl2br w:val="nil"/>
              <w:tr2bl w:val="nil"/>
            </w:tcBorders>
            <w:noWrap w:val="0"/>
            <w:vAlign w:val="center"/>
          </w:tcPr>
          <w:p w14:paraId="1579C6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r>
      <w:tr w14:paraId="449A31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7" w:type="pct"/>
            <w:tcBorders>
              <w:tl2br w:val="nil"/>
              <w:tr2bl w:val="nil"/>
            </w:tcBorders>
            <w:noWrap w:val="0"/>
            <w:vAlign w:val="center"/>
          </w:tcPr>
          <w:p w14:paraId="495C2C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振动</w:t>
            </w:r>
          </w:p>
        </w:tc>
        <w:tc>
          <w:tcPr>
            <w:tcW w:w="1590" w:type="pct"/>
            <w:tcBorders>
              <w:tl2br w:val="nil"/>
              <w:tr2bl w:val="nil"/>
            </w:tcBorders>
            <w:noWrap w:val="0"/>
            <w:vAlign w:val="center"/>
          </w:tcPr>
          <w:p w14:paraId="1F13ED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931" w:type="pct"/>
            <w:tcBorders>
              <w:tl2br w:val="nil"/>
              <w:tr2bl w:val="nil"/>
            </w:tcBorders>
            <w:noWrap w:val="0"/>
            <w:vAlign w:val="center"/>
          </w:tcPr>
          <w:p w14:paraId="3C9E70B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1003" w:type="pct"/>
            <w:tcBorders>
              <w:tl2br w:val="nil"/>
              <w:tr2bl w:val="nil"/>
            </w:tcBorders>
            <w:noWrap w:val="0"/>
            <w:vAlign w:val="center"/>
          </w:tcPr>
          <w:p w14:paraId="27FE08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36" w:type="pct"/>
            <w:tcBorders>
              <w:tl2br w:val="nil"/>
              <w:tr2bl w:val="nil"/>
            </w:tcBorders>
            <w:noWrap w:val="0"/>
            <w:vAlign w:val="center"/>
          </w:tcPr>
          <w:p w14:paraId="3CFA85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r>
      <w:tr w14:paraId="42D19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37" w:type="pct"/>
            <w:tcBorders>
              <w:tl2br w:val="nil"/>
              <w:tr2bl w:val="nil"/>
            </w:tcBorders>
            <w:noWrap w:val="0"/>
            <w:vAlign w:val="center"/>
          </w:tcPr>
          <w:p w14:paraId="1DE7A2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大气环境</w:t>
            </w:r>
          </w:p>
        </w:tc>
        <w:tc>
          <w:tcPr>
            <w:tcW w:w="1590" w:type="pct"/>
            <w:tcBorders>
              <w:tl2br w:val="nil"/>
              <w:tr2bl w:val="nil"/>
            </w:tcBorders>
            <w:noWrap w:val="0"/>
            <w:vAlign w:val="center"/>
          </w:tcPr>
          <w:p w14:paraId="02B3F2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根据施工过程的实际情况，</w:t>
            </w:r>
            <w:r>
              <w:rPr>
                <w:rFonts w:hint="eastAsia" w:cs="Times New Roman"/>
                <w:color w:val="000000" w:themeColor="text1"/>
                <w:highlight w:val="none"/>
                <w:lang w:val="en-US" w:eastAsia="zh-CN"/>
                <w14:textFill>
                  <w14:solidFill>
                    <w14:schemeClr w14:val="tx1"/>
                  </w14:solidFill>
                </w14:textFill>
              </w:rPr>
              <w:t>施工场地设围栏</w:t>
            </w:r>
            <w:r>
              <w:rPr>
                <w:rFonts w:hint="default" w:cs="Times New Roman"/>
                <w:color w:val="000000" w:themeColor="text1"/>
                <w:highlight w:val="none"/>
                <w:lang w:val="en-US" w:eastAsia="zh-CN"/>
                <w14:textFill>
                  <w14:solidFill>
                    <w14:schemeClr w14:val="tx1"/>
                  </w14:solidFill>
                </w14:textFill>
              </w:rPr>
              <w:t>；尽可能缩短施工时间；加强施工区的规划管理：如在大风天气，对散料堆场应采用水喷淋法防尘；汽车运输加盖</w:t>
            </w:r>
            <w:r>
              <w:rPr>
                <w:rFonts w:hint="eastAsia" w:cs="Times New Roman"/>
                <w:color w:val="000000" w:themeColor="text1"/>
                <w:highlight w:val="none"/>
                <w:lang w:val="en-US" w:eastAsia="zh-CN"/>
                <w14:textFill>
                  <w14:solidFill>
                    <w14:schemeClr w14:val="tx1"/>
                  </w14:solidFill>
                </w14:textFill>
              </w:rPr>
              <w:t>篷布</w:t>
            </w:r>
            <w:r>
              <w:rPr>
                <w:rFonts w:hint="default" w:cs="Times New Roman"/>
                <w:color w:val="000000" w:themeColor="text1"/>
                <w:highlight w:val="none"/>
                <w:lang w:val="en-US" w:eastAsia="zh-CN"/>
                <w14:textFill>
                  <w14:solidFill>
                    <w14:schemeClr w14:val="tx1"/>
                  </w14:solidFill>
                </w14:textFill>
              </w:rPr>
              <w:t>、控制车速；加强对施工机械、车辆的维修保养、定期洒水降尘</w:t>
            </w:r>
          </w:p>
        </w:tc>
        <w:tc>
          <w:tcPr>
            <w:tcW w:w="931" w:type="pct"/>
            <w:tcBorders>
              <w:tl2br w:val="nil"/>
              <w:tr2bl w:val="nil"/>
            </w:tcBorders>
            <w:noWrap w:val="0"/>
            <w:vAlign w:val="center"/>
          </w:tcPr>
          <w:p w14:paraId="5723B89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施工期扬尘执行《大气污染物综合排放标准》（</w:t>
            </w:r>
            <w:r>
              <w:rPr>
                <w:rFonts w:hint="default" w:cs="Times New Roman"/>
                <w:color w:val="000000" w:themeColor="text1"/>
                <w:highlight w:val="none"/>
                <w:lang w:val="en-US" w:eastAsia="zh-CN"/>
                <w14:textFill>
                  <w14:solidFill>
                    <w14:schemeClr w14:val="tx1"/>
                  </w14:solidFill>
                </w14:textFill>
              </w:rPr>
              <w:t>GB16297-1996</w:t>
            </w:r>
            <w:r>
              <w:rPr>
                <w:rFonts w:hint="eastAsia" w:cs="Times New Roman"/>
                <w:color w:val="000000" w:themeColor="text1"/>
                <w:highlight w:val="none"/>
                <w:lang w:val="en-US" w:eastAsia="zh-CN"/>
                <w14:textFill>
                  <w14:solidFill>
                    <w14:schemeClr w14:val="tx1"/>
                  </w14:solidFill>
                </w14:textFill>
              </w:rPr>
              <w:t>）表</w:t>
            </w:r>
            <w:r>
              <w:rPr>
                <w:rFonts w:hint="default" w:cs="Times New Roman"/>
                <w:color w:val="000000" w:themeColor="text1"/>
                <w:highlight w:val="none"/>
                <w:lang w:val="en-US" w:eastAsia="zh-CN"/>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无组织排放监控浓度限值标准</w:t>
            </w:r>
          </w:p>
        </w:tc>
        <w:tc>
          <w:tcPr>
            <w:tcW w:w="1003" w:type="pct"/>
            <w:tcBorders>
              <w:tl2br w:val="nil"/>
              <w:tr2bl w:val="nil"/>
            </w:tcBorders>
            <w:noWrap w:val="0"/>
            <w:vAlign w:val="center"/>
          </w:tcPr>
          <w:p w14:paraId="39FC28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36" w:type="pct"/>
            <w:tcBorders>
              <w:tl2br w:val="nil"/>
              <w:tr2bl w:val="nil"/>
            </w:tcBorders>
            <w:noWrap w:val="0"/>
            <w:vAlign w:val="center"/>
          </w:tcPr>
          <w:p w14:paraId="76639E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r>
      <w:tr w14:paraId="746356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37" w:type="pct"/>
            <w:tcBorders>
              <w:tl2br w:val="nil"/>
              <w:tr2bl w:val="nil"/>
            </w:tcBorders>
            <w:noWrap w:val="0"/>
            <w:vAlign w:val="center"/>
          </w:tcPr>
          <w:p w14:paraId="197A94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固体废物</w:t>
            </w:r>
          </w:p>
        </w:tc>
        <w:tc>
          <w:tcPr>
            <w:tcW w:w="1590" w:type="pct"/>
            <w:tcBorders>
              <w:tl2br w:val="nil"/>
              <w:tr2bl w:val="nil"/>
            </w:tcBorders>
            <w:noWrap w:val="0"/>
            <w:vAlign w:val="center"/>
          </w:tcPr>
          <w:p w14:paraId="0D1FA8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lang w:val="en-US" w:eastAsia="zh-CN"/>
                <w14:textFill>
                  <w14:solidFill>
                    <w14:schemeClr w14:val="tx1"/>
                  </w14:solidFill>
                </w14:textFill>
              </w:rPr>
            </w:pPr>
            <w:r>
              <w:rPr>
                <w:rFonts w:hint="default" w:cs="Times New Roman"/>
                <w:color w:val="000000" w:themeColor="text1"/>
                <w:highlight w:val="none"/>
                <w:lang w:val="en-US" w:eastAsia="zh-CN"/>
                <w14:textFill>
                  <w14:solidFill>
                    <w14:schemeClr w14:val="tx1"/>
                  </w14:solidFill>
                </w14:textFill>
              </w:rPr>
              <w:t>生活垃圾集中分类收集后送至邻近村庄生活垃圾收集点，由当地环卫部门统一清运处置</w:t>
            </w:r>
          </w:p>
        </w:tc>
        <w:tc>
          <w:tcPr>
            <w:tcW w:w="931" w:type="pct"/>
            <w:tcBorders>
              <w:tl2br w:val="nil"/>
              <w:tr2bl w:val="nil"/>
            </w:tcBorders>
            <w:noWrap w:val="0"/>
            <w:vAlign w:val="center"/>
          </w:tcPr>
          <w:p w14:paraId="367EE4C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妥善处置</w:t>
            </w:r>
          </w:p>
        </w:tc>
        <w:tc>
          <w:tcPr>
            <w:tcW w:w="1003" w:type="pct"/>
            <w:tcBorders>
              <w:tl2br w:val="nil"/>
              <w:tr2bl w:val="nil"/>
            </w:tcBorders>
            <w:noWrap w:val="0"/>
            <w:vAlign w:val="center"/>
          </w:tcPr>
          <w:p w14:paraId="79D57D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36" w:type="pct"/>
            <w:tcBorders>
              <w:tl2br w:val="nil"/>
              <w:tr2bl w:val="nil"/>
            </w:tcBorders>
            <w:noWrap w:val="0"/>
            <w:vAlign w:val="center"/>
          </w:tcPr>
          <w:p w14:paraId="10EB5B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r>
      <w:tr w14:paraId="6893E1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837" w:type="pct"/>
            <w:tcBorders>
              <w:tl2br w:val="nil"/>
              <w:tr2bl w:val="nil"/>
            </w:tcBorders>
            <w:noWrap w:val="0"/>
            <w:vAlign w:val="center"/>
          </w:tcPr>
          <w:p w14:paraId="5DD683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电磁环境</w:t>
            </w:r>
          </w:p>
        </w:tc>
        <w:tc>
          <w:tcPr>
            <w:tcW w:w="1590" w:type="pct"/>
            <w:tcBorders>
              <w:tl2br w:val="nil"/>
              <w:tr2bl w:val="nil"/>
            </w:tcBorders>
            <w:noWrap w:val="0"/>
            <w:vAlign w:val="center"/>
          </w:tcPr>
          <w:p w14:paraId="3E2C36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931" w:type="pct"/>
            <w:tcBorders>
              <w:tl2br w:val="nil"/>
              <w:tr2bl w:val="nil"/>
            </w:tcBorders>
            <w:noWrap w:val="0"/>
            <w:vAlign w:val="center"/>
          </w:tcPr>
          <w:p w14:paraId="1B30EB6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1003" w:type="pct"/>
            <w:tcBorders>
              <w:tl2br w:val="nil"/>
              <w:tr2bl w:val="nil"/>
            </w:tcBorders>
            <w:noWrap w:val="0"/>
            <w:vAlign w:val="center"/>
          </w:tcPr>
          <w:p w14:paraId="1993FE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36" w:type="pct"/>
            <w:tcBorders>
              <w:tl2br w:val="nil"/>
              <w:tr2bl w:val="nil"/>
            </w:tcBorders>
            <w:noWrap w:val="0"/>
            <w:vAlign w:val="center"/>
          </w:tcPr>
          <w:p w14:paraId="45AC6F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r>
      <w:tr w14:paraId="708F32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837" w:type="pct"/>
            <w:tcBorders>
              <w:tl2br w:val="nil"/>
              <w:tr2bl w:val="nil"/>
            </w:tcBorders>
            <w:noWrap w:val="0"/>
            <w:vAlign w:val="center"/>
          </w:tcPr>
          <w:p w14:paraId="2004F1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环境风险</w:t>
            </w:r>
          </w:p>
        </w:tc>
        <w:tc>
          <w:tcPr>
            <w:tcW w:w="1590" w:type="pct"/>
            <w:tcBorders>
              <w:tl2br w:val="nil"/>
              <w:tr2bl w:val="nil"/>
            </w:tcBorders>
            <w:noWrap w:val="0"/>
            <w:vAlign w:val="center"/>
          </w:tcPr>
          <w:p w14:paraId="54407B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931" w:type="pct"/>
            <w:tcBorders>
              <w:tl2br w:val="nil"/>
              <w:tr2bl w:val="nil"/>
            </w:tcBorders>
            <w:noWrap w:val="0"/>
            <w:vAlign w:val="center"/>
          </w:tcPr>
          <w:p w14:paraId="45CDD3E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1003" w:type="pct"/>
            <w:tcBorders>
              <w:tl2br w:val="nil"/>
              <w:tr2bl w:val="nil"/>
            </w:tcBorders>
            <w:noWrap w:val="0"/>
            <w:vAlign w:val="center"/>
          </w:tcPr>
          <w:p w14:paraId="3211D9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36" w:type="pct"/>
            <w:tcBorders>
              <w:tl2br w:val="nil"/>
              <w:tr2bl w:val="nil"/>
            </w:tcBorders>
            <w:noWrap w:val="0"/>
            <w:vAlign w:val="center"/>
          </w:tcPr>
          <w:p w14:paraId="768611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r>
      <w:tr w14:paraId="566A55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837" w:type="pct"/>
            <w:tcBorders>
              <w:tl2br w:val="nil"/>
              <w:tr2bl w:val="nil"/>
            </w:tcBorders>
            <w:noWrap w:val="0"/>
            <w:vAlign w:val="center"/>
          </w:tcPr>
          <w:p w14:paraId="7B20B6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环境监测</w:t>
            </w:r>
          </w:p>
        </w:tc>
        <w:tc>
          <w:tcPr>
            <w:tcW w:w="1590" w:type="pct"/>
            <w:tcBorders>
              <w:tl2br w:val="nil"/>
              <w:tr2bl w:val="nil"/>
            </w:tcBorders>
            <w:noWrap w:val="0"/>
            <w:vAlign w:val="center"/>
          </w:tcPr>
          <w:p w14:paraId="2DD632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监测TSP、噪声、生态</w:t>
            </w:r>
          </w:p>
        </w:tc>
        <w:tc>
          <w:tcPr>
            <w:tcW w:w="931" w:type="pct"/>
            <w:tcBorders>
              <w:tl2br w:val="nil"/>
              <w:tr2bl w:val="nil"/>
            </w:tcBorders>
            <w:noWrap w:val="0"/>
            <w:vAlign w:val="center"/>
          </w:tcPr>
          <w:p w14:paraId="550FCE1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施工场界噪声满足《建筑施工噪声排放标准》（GB12523-2025）标准限值要求</w:t>
            </w:r>
          </w:p>
          <w:p w14:paraId="66B0D72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施工期扬尘执行《大气污染物综合排放标准》（GB16297-1996）表2无组织排放监控浓度限值标准</w:t>
            </w:r>
          </w:p>
        </w:tc>
        <w:tc>
          <w:tcPr>
            <w:tcW w:w="1003" w:type="pct"/>
            <w:tcBorders>
              <w:tl2br w:val="nil"/>
              <w:tr2bl w:val="nil"/>
            </w:tcBorders>
            <w:noWrap w:val="0"/>
            <w:vAlign w:val="center"/>
          </w:tcPr>
          <w:p w14:paraId="4F2263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生态</w:t>
            </w:r>
          </w:p>
        </w:tc>
        <w:tc>
          <w:tcPr>
            <w:tcW w:w="636" w:type="pct"/>
            <w:tcBorders>
              <w:tl2br w:val="nil"/>
              <w:tr2bl w:val="nil"/>
            </w:tcBorders>
            <w:noWrap w:val="0"/>
            <w:vAlign w:val="center"/>
          </w:tcPr>
          <w:p w14:paraId="78B542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植被成活率、植被覆盖度</w:t>
            </w:r>
            <w:r>
              <w:rPr>
                <w:rFonts w:hint="eastAsia"/>
                <w:color w:val="000000" w:themeColor="text1"/>
                <w:highlight w:val="none"/>
                <w:lang w:val="en-US" w:eastAsia="zh-CN"/>
                <w14:textFill>
                  <w14:solidFill>
                    <w14:schemeClr w14:val="tx1"/>
                  </w14:solidFill>
                </w14:textFill>
              </w:rPr>
              <w:t>满足设计要求</w:t>
            </w:r>
          </w:p>
        </w:tc>
      </w:tr>
      <w:tr w14:paraId="53EA92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38" w:hRule="atLeast"/>
          <w:jc w:val="center"/>
        </w:trPr>
        <w:tc>
          <w:tcPr>
            <w:tcW w:w="837" w:type="pct"/>
            <w:tcBorders>
              <w:tl2br w:val="nil"/>
              <w:tr2bl w:val="nil"/>
            </w:tcBorders>
            <w:noWrap w:val="0"/>
            <w:vAlign w:val="center"/>
          </w:tcPr>
          <w:p w14:paraId="462035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000000" w:themeColor="text1"/>
                <w:highlight w:val="none"/>
                <w14:textFill>
                  <w14:solidFill>
                    <w14:schemeClr w14:val="tx1"/>
                  </w14:solidFill>
                </w14:textFill>
              </w:rPr>
            </w:pPr>
            <w:r>
              <w:rPr>
                <w:rFonts w:hint="eastAsia" w:cs="Times New Roman"/>
                <w:b/>
                <w:bCs/>
                <w:color w:val="000000" w:themeColor="text1"/>
                <w:highlight w:val="none"/>
                <w14:textFill>
                  <w14:solidFill>
                    <w14:schemeClr w14:val="tx1"/>
                  </w14:solidFill>
                </w14:textFill>
              </w:rPr>
              <w:t>其他</w:t>
            </w:r>
          </w:p>
        </w:tc>
        <w:tc>
          <w:tcPr>
            <w:tcW w:w="1590" w:type="pct"/>
            <w:tcBorders>
              <w:tl2br w:val="nil"/>
              <w:tr2bl w:val="nil"/>
            </w:tcBorders>
            <w:noWrap w:val="0"/>
            <w:vAlign w:val="center"/>
          </w:tcPr>
          <w:p w14:paraId="7DB746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931" w:type="pct"/>
            <w:tcBorders>
              <w:tl2br w:val="nil"/>
              <w:tr2bl w:val="nil"/>
            </w:tcBorders>
            <w:noWrap w:val="0"/>
            <w:vAlign w:val="center"/>
          </w:tcPr>
          <w:p w14:paraId="41A155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1003" w:type="pct"/>
            <w:tcBorders>
              <w:tl2br w:val="nil"/>
              <w:tr2bl w:val="nil"/>
            </w:tcBorders>
            <w:noWrap w:val="0"/>
            <w:vAlign w:val="center"/>
          </w:tcPr>
          <w:p w14:paraId="18D0D2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c>
          <w:tcPr>
            <w:tcW w:w="636" w:type="pct"/>
            <w:tcBorders>
              <w:tl2br w:val="nil"/>
              <w:tr2bl w:val="nil"/>
            </w:tcBorders>
            <w:noWrap w:val="0"/>
            <w:vAlign w:val="center"/>
          </w:tcPr>
          <w:p w14:paraId="27C5D1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w:t>
            </w:r>
          </w:p>
        </w:tc>
      </w:tr>
    </w:tbl>
    <w:p w14:paraId="10E50DA4">
      <w:pPr>
        <w:pStyle w:val="24"/>
        <w:spacing w:before="372" w:beforeLines="80" w:beforeAutospacing="0"/>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sectPr>
          <w:pgSz w:w="11905" w:h="16838"/>
          <w:pgMar w:top="1417" w:right="1417" w:bottom="1417" w:left="1417" w:header="851" w:footer="964" w:gutter="0"/>
          <w:pgBorders>
            <w:top w:val="none" w:sz="0" w:space="0"/>
            <w:left w:val="none" w:sz="0" w:space="0"/>
            <w:bottom w:val="none" w:sz="0" w:space="0"/>
            <w:right w:val="none" w:sz="0" w:space="0"/>
          </w:pgBorders>
          <w:pgNumType w:fmt="numberInDash"/>
          <w:cols w:space="720" w:num="1"/>
          <w:rtlGutter w:val="0"/>
          <w:docGrid w:type="linesAndChars" w:linePitch="466" w:charSpace="-2709"/>
        </w:sectPr>
      </w:pPr>
    </w:p>
    <w:p w14:paraId="52987FC2">
      <w:pPr>
        <w:pStyle w:val="4"/>
        <w:bidi w:val="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七、结论</w:t>
      </w:r>
    </w:p>
    <w:tbl>
      <w:tblPr>
        <w:tblStyle w:val="28"/>
        <w:tblW w:w="94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00"/>
      </w:tblGrid>
      <w:tr w14:paraId="6F13FF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30" w:hRule="atLeast"/>
          <w:jc w:val="center"/>
        </w:trPr>
        <w:tc>
          <w:tcPr>
            <w:tcW w:w="9400" w:type="dxa"/>
            <w:noWrap w:val="0"/>
            <w:vAlign w:val="top"/>
          </w:tcPr>
          <w:p w14:paraId="001030CC">
            <w:pPr>
              <w:keepNext w:val="0"/>
              <w:keepLines w:val="0"/>
              <w:suppressLineNumbers w:val="0"/>
              <w:adjustRightInd w:val="0"/>
              <w:snapToGrid w:val="0"/>
              <w:spacing w:before="0" w:beforeAutospacing="0" w:after="0" w:afterAutospacing="0" w:line="360" w:lineRule="auto"/>
              <w:ind w:left="0" w:right="0" w:firstLine="454" w:firstLineChars="200"/>
              <w:rPr>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本项目通过地形地貌恢复工程、截排水工程和生态恢复工程对天景山</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山峁圪垯梁</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矿山进行生态修复治理，符合国家、地方的相关政策要求。在设计、施工阶段均采取了一系列的环境保护措施，确保施工期各项污染物达标排放。在严格执行“三同时”制度，落实本环境影响报告表提出的各项污染防治措施和生态保护措施的前提下，从环境保护的角度分析，本项目在该区域的建设是可行的。</w:t>
            </w:r>
          </w:p>
        </w:tc>
      </w:tr>
    </w:tbl>
    <w:p w14:paraId="6608057E">
      <w:pPr>
        <w:widowControl/>
        <w:adjustRightInd w:val="0"/>
        <w:snapToGrid w:val="0"/>
        <w:spacing w:before="372" w:beforeLines="80"/>
        <w:ind w:left="0" w:leftChars="0" w:firstLine="0" w:firstLineChars="0"/>
        <w:jc w:val="left"/>
        <w:rPr>
          <w:color w:val="000000" w:themeColor="text1"/>
          <w14:textFill>
            <w14:solidFill>
              <w14:schemeClr w14:val="tx1"/>
            </w14:solidFill>
          </w14:textFill>
        </w:rPr>
      </w:pPr>
    </w:p>
    <w:sectPr>
      <w:pgSz w:w="11905" w:h="16838"/>
      <w:pgMar w:top="1417" w:right="1417" w:bottom="1417" w:left="1417" w:header="851" w:footer="964" w:gutter="0"/>
      <w:pgBorders>
        <w:top w:val="none" w:sz="0" w:space="0"/>
        <w:left w:val="none" w:sz="0" w:space="0"/>
        <w:bottom w:val="none" w:sz="0" w:space="0"/>
        <w:right w:val="none" w:sz="0" w:space="0"/>
      </w:pgBorders>
      <w:pgNumType w:fmt="numberInDash"/>
      <w:cols w:space="720" w:num="1"/>
      <w:rtlGutter w:val="0"/>
      <w:docGrid w:type="linesAndChars" w:linePitch="466" w:charSpace="-2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54"/>
      </w:pPr>
      <w:r>
        <w:separator/>
      </w:r>
    </w:p>
  </w:endnote>
  <w:endnote w:type="continuationSeparator" w:id="1">
    <w:p>
      <w:pPr>
        <w:ind w:firstLine="45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AD939">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6E6FA">
    <w:pPr>
      <w:pStyle w:val="18"/>
      <w:framePr w:wrap="around" w:vAnchor="text" w:hAnchor="margin" w:xAlign="outside" w:y="1"/>
      <w:rPr>
        <w:rStyle w:val="32"/>
      </w:rPr>
    </w:pPr>
    <w:r>
      <w:fldChar w:fldCharType="begin"/>
    </w:r>
    <w:r>
      <w:rPr>
        <w:rStyle w:val="32"/>
      </w:rPr>
      <w:instrText xml:space="preserve">PAGE  </w:instrText>
    </w:r>
    <w:r>
      <w:fldChar w:fldCharType="end"/>
    </w:r>
  </w:p>
  <w:p w14:paraId="317D344F">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CAA24">
    <w:pPr>
      <w:pStyle w:val="18"/>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6EFA4F">
                          <w:pPr>
                            <w:pStyle w:val="18"/>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HhgpdnLAQAAnAMAAA4AAAAAAAAAAQAgAAAAHgEAAGRycy9lMm9E&#10;b2MueG1sUEsFBgAAAAAGAAYAWQEAAFsFAAAAAA==&#10;">
              <v:fill on="f" focussize="0,0"/>
              <v:stroke on="f"/>
              <v:imagedata o:title=""/>
              <o:lock v:ext="edit" aspectratio="f"/>
              <v:textbox inset="0mm,0mm,0mm,0mm" style="mso-fit-shape-to-text:t;">
                <w:txbxContent>
                  <w:p w14:paraId="676EFA4F">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54"/>
      </w:pPr>
      <w:r>
        <w:separator/>
      </w:r>
    </w:p>
  </w:footnote>
  <w:footnote w:type="continuationSeparator" w:id="1">
    <w:p>
      <w:pPr>
        <w:ind w:firstLine="454"/>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C5F22E"/>
    <w:multiLevelType w:val="singleLevel"/>
    <w:tmpl w:val="CFC5F22E"/>
    <w:lvl w:ilvl="0" w:tentative="0">
      <w:start w:val="1"/>
      <w:numFmt w:val="decimal"/>
      <w:suff w:val="nothing"/>
      <w:lvlText w:val="%1、"/>
      <w:lvlJc w:val="left"/>
    </w:lvl>
  </w:abstractNum>
  <w:abstractNum w:abstractNumId="1">
    <w:nsid w:val="EAFFB6B1"/>
    <w:multiLevelType w:val="singleLevel"/>
    <w:tmpl w:val="EAFFB6B1"/>
    <w:lvl w:ilvl="0" w:tentative="0">
      <w:start w:val="2"/>
      <w:numFmt w:val="decimal"/>
      <w:suff w:val="nothing"/>
      <w:lvlText w:val="%1、"/>
      <w:lvlJc w:val="left"/>
    </w:lvl>
  </w:abstractNum>
  <w:abstractNum w:abstractNumId="2">
    <w:nsid w:val="4414EB11"/>
    <w:multiLevelType w:val="singleLevel"/>
    <w:tmpl w:val="4414EB11"/>
    <w:lvl w:ilvl="0" w:tentative="0">
      <w:start w:val="5"/>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13"/>
  <w:drawingGridVerticalSpacing w:val="233"/>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hkOTY3ZmU2OTZjZmRlOGIyMjcyYTg4YWQyY2Y1NDAifQ=="/>
  </w:docVars>
  <w:rsids>
    <w:rsidRoot w:val="00172A27"/>
    <w:rsid w:val="00001CED"/>
    <w:rsid w:val="00001E67"/>
    <w:rsid w:val="00003CD8"/>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20B7B"/>
    <w:rsid w:val="00127A6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9146B"/>
    <w:rsid w:val="00194398"/>
    <w:rsid w:val="001A7D2A"/>
    <w:rsid w:val="001B574C"/>
    <w:rsid w:val="001C0AF9"/>
    <w:rsid w:val="001C155A"/>
    <w:rsid w:val="001C48C0"/>
    <w:rsid w:val="001D6726"/>
    <w:rsid w:val="001F3347"/>
    <w:rsid w:val="001F4440"/>
    <w:rsid w:val="001F69E4"/>
    <w:rsid w:val="00206A65"/>
    <w:rsid w:val="00212D31"/>
    <w:rsid w:val="002130C7"/>
    <w:rsid w:val="002218A8"/>
    <w:rsid w:val="0022306D"/>
    <w:rsid w:val="00226574"/>
    <w:rsid w:val="002278EC"/>
    <w:rsid w:val="002357C7"/>
    <w:rsid w:val="002367C4"/>
    <w:rsid w:val="002475DC"/>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B00"/>
    <w:rsid w:val="002B7C44"/>
    <w:rsid w:val="002C1388"/>
    <w:rsid w:val="002C3C6A"/>
    <w:rsid w:val="002D42DB"/>
    <w:rsid w:val="002E1F3A"/>
    <w:rsid w:val="002E28CF"/>
    <w:rsid w:val="002E298A"/>
    <w:rsid w:val="002F02A4"/>
    <w:rsid w:val="002F272B"/>
    <w:rsid w:val="002F7077"/>
    <w:rsid w:val="002F7C6D"/>
    <w:rsid w:val="003027E4"/>
    <w:rsid w:val="0030332C"/>
    <w:rsid w:val="00312296"/>
    <w:rsid w:val="0031340E"/>
    <w:rsid w:val="00316464"/>
    <w:rsid w:val="0032073A"/>
    <w:rsid w:val="00321474"/>
    <w:rsid w:val="00321D8E"/>
    <w:rsid w:val="00334996"/>
    <w:rsid w:val="00336969"/>
    <w:rsid w:val="00336C52"/>
    <w:rsid w:val="00341B3E"/>
    <w:rsid w:val="00341B42"/>
    <w:rsid w:val="00345154"/>
    <w:rsid w:val="0034560E"/>
    <w:rsid w:val="00350523"/>
    <w:rsid w:val="00352975"/>
    <w:rsid w:val="00356868"/>
    <w:rsid w:val="0036485B"/>
    <w:rsid w:val="00373B0D"/>
    <w:rsid w:val="00376988"/>
    <w:rsid w:val="00381A72"/>
    <w:rsid w:val="003A1948"/>
    <w:rsid w:val="003B152A"/>
    <w:rsid w:val="003B545B"/>
    <w:rsid w:val="003C5BFA"/>
    <w:rsid w:val="003D3EE9"/>
    <w:rsid w:val="003E7681"/>
    <w:rsid w:val="003F0228"/>
    <w:rsid w:val="003F0809"/>
    <w:rsid w:val="003F5E57"/>
    <w:rsid w:val="003F611C"/>
    <w:rsid w:val="003F755C"/>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676E1"/>
    <w:rsid w:val="004727B0"/>
    <w:rsid w:val="004763B8"/>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E5B30"/>
    <w:rsid w:val="004F0487"/>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77EF3"/>
    <w:rsid w:val="0058030D"/>
    <w:rsid w:val="00582045"/>
    <w:rsid w:val="00590AE3"/>
    <w:rsid w:val="005918F1"/>
    <w:rsid w:val="005A06B7"/>
    <w:rsid w:val="005A1759"/>
    <w:rsid w:val="005D0369"/>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24121"/>
    <w:rsid w:val="006343AF"/>
    <w:rsid w:val="0063634A"/>
    <w:rsid w:val="0064250D"/>
    <w:rsid w:val="00646655"/>
    <w:rsid w:val="006535EB"/>
    <w:rsid w:val="00663016"/>
    <w:rsid w:val="00674605"/>
    <w:rsid w:val="006748B8"/>
    <w:rsid w:val="0068535B"/>
    <w:rsid w:val="0068736E"/>
    <w:rsid w:val="0069290A"/>
    <w:rsid w:val="00697032"/>
    <w:rsid w:val="006975AC"/>
    <w:rsid w:val="006A15FB"/>
    <w:rsid w:val="006A72BF"/>
    <w:rsid w:val="006B332A"/>
    <w:rsid w:val="006B33BD"/>
    <w:rsid w:val="006C2EDD"/>
    <w:rsid w:val="006C3F75"/>
    <w:rsid w:val="006D170E"/>
    <w:rsid w:val="006D2EDF"/>
    <w:rsid w:val="006D4E55"/>
    <w:rsid w:val="006E06AF"/>
    <w:rsid w:val="006F098D"/>
    <w:rsid w:val="006F1789"/>
    <w:rsid w:val="007013AE"/>
    <w:rsid w:val="00706C5D"/>
    <w:rsid w:val="007118E6"/>
    <w:rsid w:val="007225C9"/>
    <w:rsid w:val="00735CD7"/>
    <w:rsid w:val="00754034"/>
    <w:rsid w:val="007541B7"/>
    <w:rsid w:val="00754BF1"/>
    <w:rsid w:val="00755A30"/>
    <w:rsid w:val="00755E1C"/>
    <w:rsid w:val="00756556"/>
    <w:rsid w:val="0076132B"/>
    <w:rsid w:val="007623AE"/>
    <w:rsid w:val="00770B19"/>
    <w:rsid w:val="00774FA0"/>
    <w:rsid w:val="00776620"/>
    <w:rsid w:val="00777B6D"/>
    <w:rsid w:val="00781B71"/>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FFB"/>
    <w:rsid w:val="00820568"/>
    <w:rsid w:val="00831A80"/>
    <w:rsid w:val="008332C8"/>
    <w:rsid w:val="00833743"/>
    <w:rsid w:val="008340A4"/>
    <w:rsid w:val="00836799"/>
    <w:rsid w:val="00837028"/>
    <w:rsid w:val="00837131"/>
    <w:rsid w:val="00845F57"/>
    <w:rsid w:val="008521E0"/>
    <w:rsid w:val="008525B0"/>
    <w:rsid w:val="0085558F"/>
    <w:rsid w:val="00867CBC"/>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B6B9F"/>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0C46"/>
    <w:rsid w:val="0091736D"/>
    <w:rsid w:val="00931001"/>
    <w:rsid w:val="00931863"/>
    <w:rsid w:val="00933524"/>
    <w:rsid w:val="0094278D"/>
    <w:rsid w:val="00943E8B"/>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72C7"/>
    <w:rsid w:val="009B0897"/>
    <w:rsid w:val="009D0852"/>
    <w:rsid w:val="009D1FBF"/>
    <w:rsid w:val="009E399C"/>
    <w:rsid w:val="009E43C1"/>
    <w:rsid w:val="009E7E95"/>
    <w:rsid w:val="009F116F"/>
    <w:rsid w:val="009F329E"/>
    <w:rsid w:val="009F7ED3"/>
    <w:rsid w:val="00A03607"/>
    <w:rsid w:val="00A047FF"/>
    <w:rsid w:val="00A04FEF"/>
    <w:rsid w:val="00A122CD"/>
    <w:rsid w:val="00A12A32"/>
    <w:rsid w:val="00A14248"/>
    <w:rsid w:val="00A14947"/>
    <w:rsid w:val="00A210E4"/>
    <w:rsid w:val="00A23DC5"/>
    <w:rsid w:val="00A34028"/>
    <w:rsid w:val="00A35568"/>
    <w:rsid w:val="00A37056"/>
    <w:rsid w:val="00A4358F"/>
    <w:rsid w:val="00A46F67"/>
    <w:rsid w:val="00A51A1E"/>
    <w:rsid w:val="00A54AA1"/>
    <w:rsid w:val="00A568FF"/>
    <w:rsid w:val="00A61496"/>
    <w:rsid w:val="00A61833"/>
    <w:rsid w:val="00A624C6"/>
    <w:rsid w:val="00A63CEC"/>
    <w:rsid w:val="00A7031E"/>
    <w:rsid w:val="00A728B1"/>
    <w:rsid w:val="00A72EC7"/>
    <w:rsid w:val="00A763DE"/>
    <w:rsid w:val="00A803D6"/>
    <w:rsid w:val="00A81282"/>
    <w:rsid w:val="00A8713F"/>
    <w:rsid w:val="00A91167"/>
    <w:rsid w:val="00A9171C"/>
    <w:rsid w:val="00A92FFD"/>
    <w:rsid w:val="00A95975"/>
    <w:rsid w:val="00A9708D"/>
    <w:rsid w:val="00AA2C17"/>
    <w:rsid w:val="00AA4172"/>
    <w:rsid w:val="00AB0552"/>
    <w:rsid w:val="00AB1914"/>
    <w:rsid w:val="00AB5330"/>
    <w:rsid w:val="00AB7747"/>
    <w:rsid w:val="00AC2532"/>
    <w:rsid w:val="00AD1507"/>
    <w:rsid w:val="00AD5A70"/>
    <w:rsid w:val="00AD738B"/>
    <w:rsid w:val="00AE1BF4"/>
    <w:rsid w:val="00AE5D97"/>
    <w:rsid w:val="00AE627F"/>
    <w:rsid w:val="00AE6794"/>
    <w:rsid w:val="00B01110"/>
    <w:rsid w:val="00B02262"/>
    <w:rsid w:val="00B03CEC"/>
    <w:rsid w:val="00B1209F"/>
    <w:rsid w:val="00B12AD0"/>
    <w:rsid w:val="00B24F30"/>
    <w:rsid w:val="00B31ABF"/>
    <w:rsid w:val="00B335AE"/>
    <w:rsid w:val="00B37CE1"/>
    <w:rsid w:val="00B40ACF"/>
    <w:rsid w:val="00B41A74"/>
    <w:rsid w:val="00B46BAA"/>
    <w:rsid w:val="00B50B5F"/>
    <w:rsid w:val="00B54128"/>
    <w:rsid w:val="00B55826"/>
    <w:rsid w:val="00B60426"/>
    <w:rsid w:val="00B622DD"/>
    <w:rsid w:val="00B63522"/>
    <w:rsid w:val="00B76F1D"/>
    <w:rsid w:val="00B92A19"/>
    <w:rsid w:val="00B9544C"/>
    <w:rsid w:val="00BA29E9"/>
    <w:rsid w:val="00BB3618"/>
    <w:rsid w:val="00BB3DDF"/>
    <w:rsid w:val="00BC0C9E"/>
    <w:rsid w:val="00BC32DC"/>
    <w:rsid w:val="00BD1B51"/>
    <w:rsid w:val="00BD47F6"/>
    <w:rsid w:val="00BD55CC"/>
    <w:rsid w:val="00BE312D"/>
    <w:rsid w:val="00BE3FCA"/>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0F85"/>
    <w:rsid w:val="00CD2BCD"/>
    <w:rsid w:val="00CD36AA"/>
    <w:rsid w:val="00CD3791"/>
    <w:rsid w:val="00CD65B0"/>
    <w:rsid w:val="00CE02CD"/>
    <w:rsid w:val="00CE047C"/>
    <w:rsid w:val="00CE10E9"/>
    <w:rsid w:val="00D0072E"/>
    <w:rsid w:val="00D15727"/>
    <w:rsid w:val="00D16332"/>
    <w:rsid w:val="00D24972"/>
    <w:rsid w:val="00D2515E"/>
    <w:rsid w:val="00D308ED"/>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61097"/>
    <w:rsid w:val="00F67D30"/>
    <w:rsid w:val="00F74345"/>
    <w:rsid w:val="00F74441"/>
    <w:rsid w:val="00F77F30"/>
    <w:rsid w:val="00F82589"/>
    <w:rsid w:val="00F82B19"/>
    <w:rsid w:val="00F90AA7"/>
    <w:rsid w:val="00F9212D"/>
    <w:rsid w:val="00FA301A"/>
    <w:rsid w:val="00FA406A"/>
    <w:rsid w:val="00FA5CB6"/>
    <w:rsid w:val="00FB4C69"/>
    <w:rsid w:val="00FC66AC"/>
    <w:rsid w:val="00FD18F4"/>
    <w:rsid w:val="00FD74B4"/>
    <w:rsid w:val="00FF6FCE"/>
    <w:rsid w:val="00FF7518"/>
    <w:rsid w:val="00FF7FD8"/>
    <w:rsid w:val="01494A1D"/>
    <w:rsid w:val="0153632E"/>
    <w:rsid w:val="016025FC"/>
    <w:rsid w:val="016A6FD7"/>
    <w:rsid w:val="01D55E9D"/>
    <w:rsid w:val="020B3FD7"/>
    <w:rsid w:val="021104AD"/>
    <w:rsid w:val="021B2558"/>
    <w:rsid w:val="023A109F"/>
    <w:rsid w:val="02846585"/>
    <w:rsid w:val="028B33E3"/>
    <w:rsid w:val="02991F49"/>
    <w:rsid w:val="02AB7B5B"/>
    <w:rsid w:val="0310205E"/>
    <w:rsid w:val="03355597"/>
    <w:rsid w:val="03A72764"/>
    <w:rsid w:val="03C33BAD"/>
    <w:rsid w:val="041E69E5"/>
    <w:rsid w:val="04476E46"/>
    <w:rsid w:val="04806B11"/>
    <w:rsid w:val="0486237A"/>
    <w:rsid w:val="04A03DAD"/>
    <w:rsid w:val="050D487A"/>
    <w:rsid w:val="0515617D"/>
    <w:rsid w:val="052A7D48"/>
    <w:rsid w:val="05742AC8"/>
    <w:rsid w:val="05B44B60"/>
    <w:rsid w:val="05D07A24"/>
    <w:rsid w:val="06352F05"/>
    <w:rsid w:val="063E7D85"/>
    <w:rsid w:val="06616A9A"/>
    <w:rsid w:val="06787590"/>
    <w:rsid w:val="069B0BE3"/>
    <w:rsid w:val="06AA0980"/>
    <w:rsid w:val="06CB0A74"/>
    <w:rsid w:val="06E03AA2"/>
    <w:rsid w:val="06E97932"/>
    <w:rsid w:val="070875E0"/>
    <w:rsid w:val="07293586"/>
    <w:rsid w:val="07295285"/>
    <w:rsid w:val="076C1EA1"/>
    <w:rsid w:val="07770C56"/>
    <w:rsid w:val="07B0538A"/>
    <w:rsid w:val="08061091"/>
    <w:rsid w:val="08337741"/>
    <w:rsid w:val="08646E76"/>
    <w:rsid w:val="08782AD4"/>
    <w:rsid w:val="08803584"/>
    <w:rsid w:val="08C8467C"/>
    <w:rsid w:val="08CE2541"/>
    <w:rsid w:val="08DF66BD"/>
    <w:rsid w:val="08E33DA2"/>
    <w:rsid w:val="08F35052"/>
    <w:rsid w:val="09042BC9"/>
    <w:rsid w:val="09162C5D"/>
    <w:rsid w:val="092217DD"/>
    <w:rsid w:val="093A7294"/>
    <w:rsid w:val="093C74AB"/>
    <w:rsid w:val="098552F6"/>
    <w:rsid w:val="09A53E22"/>
    <w:rsid w:val="09D06565"/>
    <w:rsid w:val="09F16752"/>
    <w:rsid w:val="0A1F30FA"/>
    <w:rsid w:val="0A5A19EB"/>
    <w:rsid w:val="0A6023AD"/>
    <w:rsid w:val="0A7E14F7"/>
    <w:rsid w:val="0A854E82"/>
    <w:rsid w:val="0AA84C3E"/>
    <w:rsid w:val="0AE749E0"/>
    <w:rsid w:val="0B1708C3"/>
    <w:rsid w:val="0B231F9E"/>
    <w:rsid w:val="0B2526F2"/>
    <w:rsid w:val="0B2E1580"/>
    <w:rsid w:val="0B330D82"/>
    <w:rsid w:val="0B4D7C96"/>
    <w:rsid w:val="0BD06598"/>
    <w:rsid w:val="0BD27BF6"/>
    <w:rsid w:val="0C234952"/>
    <w:rsid w:val="0C931DE2"/>
    <w:rsid w:val="0CA973AD"/>
    <w:rsid w:val="0CC72906"/>
    <w:rsid w:val="0CD345CA"/>
    <w:rsid w:val="0CE95576"/>
    <w:rsid w:val="0D19521E"/>
    <w:rsid w:val="0D3C64A6"/>
    <w:rsid w:val="0D540B77"/>
    <w:rsid w:val="0D6E0C30"/>
    <w:rsid w:val="0D8B22D1"/>
    <w:rsid w:val="0D9C0EAA"/>
    <w:rsid w:val="0DD6777B"/>
    <w:rsid w:val="0DD95C10"/>
    <w:rsid w:val="0DDF0D4D"/>
    <w:rsid w:val="0DED6FC6"/>
    <w:rsid w:val="0E110D06"/>
    <w:rsid w:val="0E453D70"/>
    <w:rsid w:val="0E7532CC"/>
    <w:rsid w:val="0E8B3395"/>
    <w:rsid w:val="0EA3683A"/>
    <w:rsid w:val="0EA7676E"/>
    <w:rsid w:val="0EB9507E"/>
    <w:rsid w:val="0EC553FF"/>
    <w:rsid w:val="0F13775A"/>
    <w:rsid w:val="0F225395"/>
    <w:rsid w:val="0F2E3DC8"/>
    <w:rsid w:val="0F9A112B"/>
    <w:rsid w:val="0FC63F72"/>
    <w:rsid w:val="0FC71A98"/>
    <w:rsid w:val="0FED502C"/>
    <w:rsid w:val="0FF52D05"/>
    <w:rsid w:val="0FF623CC"/>
    <w:rsid w:val="0FF90F99"/>
    <w:rsid w:val="10622ECE"/>
    <w:rsid w:val="106D2F64"/>
    <w:rsid w:val="10A91D5D"/>
    <w:rsid w:val="10B63710"/>
    <w:rsid w:val="10BE10ED"/>
    <w:rsid w:val="10D17157"/>
    <w:rsid w:val="10DD7F3C"/>
    <w:rsid w:val="10ED30D4"/>
    <w:rsid w:val="11182893"/>
    <w:rsid w:val="111C2F7A"/>
    <w:rsid w:val="111C5B5C"/>
    <w:rsid w:val="1122167C"/>
    <w:rsid w:val="113013DE"/>
    <w:rsid w:val="11651569"/>
    <w:rsid w:val="11755C50"/>
    <w:rsid w:val="11AF5257"/>
    <w:rsid w:val="11B762D9"/>
    <w:rsid w:val="11CE5360"/>
    <w:rsid w:val="122B06C2"/>
    <w:rsid w:val="12340EE0"/>
    <w:rsid w:val="12555A81"/>
    <w:rsid w:val="1263699C"/>
    <w:rsid w:val="126F53B1"/>
    <w:rsid w:val="12945E0A"/>
    <w:rsid w:val="12C02E2D"/>
    <w:rsid w:val="12C549B5"/>
    <w:rsid w:val="12FA5655"/>
    <w:rsid w:val="12FA7900"/>
    <w:rsid w:val="12FC3EB0"/>
    <w:rsid w:val="13206088"/>
    <w:rsid w:val="13724402"/>
    <w:rsid w:val="137E6912"/>
    <w:rsid w:val="13951726"/>
    <w:rsid w:val="142E323C"/>
    <w:rsid w:val="142F374B"/>
    <w:rsid w:val="142F4684"/>
    <w:rsid w:val="14396509"/>
    <w:rsid w:val="1447165C"/>
    <w:rsid w:val="14720225"/>
    <w:rsid w:val="14915106"/>
    <w:rsid w:val="14E552B7"/>
    <w:rsid w:val="14FA7A90"/>
    <w:rsid w:val="159521EE"/>
    <w:rsid w:val="16341CDF"/>
    <w:rsid w:val="163F70F9"/>
    <w:rsid w:val="169D6513"/>
    <w:rsid w:val="16AA639C"/>
    <w:rsid w:val="16CE44C0"/>
    <w:rsid w:val="16DC6C5E"/>
    <w:rsid w:val="17056B88"/>
    <w:rsid w:val="17300169"/>
    <w:rsid w:val="17735226"/>
    <w:rsid w:val="177E3384"/>
    <w:rsid w:val="17962A8E"/>
    <w:rsid w:val="17EE22B8"/>
    <w:rsid w:val="18025D64"/>
    <w:rsid w:val="180D7807"/>
    <w:rsid w:val="180E011D"/>
    <w:rsid w:val="185D11EC"/>
    <w:rsid w:val="18696C53"/>
    <w:rsid w:val="18710A3C"/>
    <w:rsid w:val="189F35B2"/>
    <w:rsid w:val="18A20849"/>
    <w:rsid w:val="18AF4505"/>
    <w:rsid w:val="18C012DF"/>
    <w:rsid w:val="18C86033"/>
    <w:rsid w:val="18DC2CC2"/>
    <w:rsid w:val="18F334E0"/>
    <w:rsid w:val="1972483F"/>
    <w:rsid w:val="19A319F9"/>
    <w:rsid w:val="19F8741E"/>
    <w:rsid w:val="1A09723D"/>
    <w:rsid w:val="1A0D1240"/>
    <w:rsid w:val="1A1C66C0"/>
    <w:rsid w:val="1A370B9F"/>
    <w:rsid w:val="1A42393B"/>
    <w:rsid w:val="1A6709D9"/>
    <w:rsid w:val="1A9E04C6"/>
    <w:rsid w:val="1AA52CB1"/>
    <w:rsid w:val="1B046F80"/>
    <w:rsid w:val="1B124510"/>
    <w:rsid w:val="1B3267B5"/>
    <w:rsid w:val="1B553A60"/>
    <w:rsid w:val="1B817081"/>
    <w:rsid w:val="1BC25DC8"/>
    <w:rsid w:val="1C162457"/>
    <w:rsid w:val="1C2303C8"/>
    <w:rsid w:val="1C2F586E"/>
    <w:rsid w:val="1C3256B4"/>
    <w:rsid w:val="1C380BB7"/>
    <w:rsid w:val="1C5E7925"/>
    <w:rsid w:val="1C8507BC"/>
    <w:rsid w:val="1C887FC8"/>
    <w:rsid w:val="1C937881"/>
    <w:rsid w:val="1C955AB8"/>
    <w:rsid w:val="1CC932F4"/>
    <w:rsid w:val="1D095BC4"/>
    <w:rsid w:val="1D5F6196"/>
    <w:rsid w:val="1D6132A5"/>
    <w:rsid w:val="1D8D6AB9"/>
    <w:rsid w:val="1D8E56D5"/>
    <w:rsid w:val="1DB418AE"/>
    <w:rsid w:val="1DDF76FE"/>
    <w:rsid w:val="1DF72019"/>
    <w:rsid w:val="1E440899"/>
    <w:rsid w:val="1E6244F9"/>
    <w:rsid w:val="1E7A43DA"/>
    <w:rsid w:val="1EB277FE"/>
    <w:rsid w:val="1EBB6C6C"/>
    <w:rsid w:val="1ED46BF8"/>
    <w:rsid w:val="1F2E64D5"/>
    <w:rsid w:val="1F494BDF"/>
    <w:rsid w:val="1F672AC7"/>
    <w:rsid w:val="1FB2006F"/>
    <w:rsid w:val="1FD955FC"/>
    <w:rsid w:val="1FE32388"/>
    <w:rsid w:val="1FE7539E"/>
    <w:rsid w:val="1FEF669A"/>
    <w:rsid w:val="201712CA"/>
    <w:rsid w:val="20805009"/>
    <w:rsid w:val="20963CB8"/>
    <w:rsid w:val="20A83488"/>
    <w:rsid w:val="20B07FB6"/>
    <w:rsid w:val="20C560E6"/>
    <w:rsid w:val="20C91F2E"/>
    <w:rsid w:val="210B5C89"/>
    <w:rsid w:val="213B74B1"/>
    <w:rsid w:val="213F171D"/>
    <w:rsid w:val="214B077B"/>
    <w:rsid w:val="214F2556"/>
    <w:rsid w:val="21556A21"/>
    <w:rsid w:val="215A2310"/>
    <w:rsid w:val="21843C8D"/>
    <w:rsid w:val="21C916A0"/>
    <w:rsid w:val="21CC2FB1"/>
    <w:rsid w:val="21DE318A"/>
    <w:rsid w:val="21EF5B80"/>
    <w:rsid w:val="22351DE9"/>
    <w:rsid w:val="22371180"/>
    <w:rsid w:val="22403E68"/>
    <w:rsid w:val="22576990"/>
    <w:rsid w:val="2265492A"/>
    <w:rsid w:val="22744244"/>
    <w:rsid w:val="229C4EAB"/>
    <w:rsid w:val="22D54ABD"/>
    <w:rsid w:val="22E52C76"/>
    <w:rsid w:val="232852C9"/>
    <w:rsid w:val="23A93D79"/>
    <w:rsid w:val="23E67D1E"/>
    <w:rsid w:val="24050D33"/>
    <w:rsid w:val="242624F6"/>
    <w:rsid w:val="242C50FE"/>
    <w:rsid w:val="24A64E3C"/>
    <w:rsid w:val="24B21AE5"/>
    <w:rsid w:val="24B2466D"/>
    <w:rsid w:val="24FD3B3B"/>
    <w:rsid w:val="252B7FC4"/>
    <w:rsid w:val="252D53FE"/>
    <w:rsid w:val="25364E98"/>
    <w:rsid w:val="25500262"/>
    <w:rsid w:val="2551057C"/>
    <w:rsid w:val="257A12A0"/>
    <w:rsid w:val="258B7138"/>
    <w:rsid w:val="25B3069D"/>
    <w:rsid w:val="25CE3729"/>
    <w:rsid w:val="25EC2D81"/>
    <w:rsid w:val="264528BD"/>
    <w:rsid w:val="264A2E70"/>
    <w:rsid w:val="267A11D3"/>
    <w:rsid w:val="26AA61AC"/>
    <w:rsid w:val="26D27E26"/>
    <w:rsid w:val="27761936"/>
    <w:rsid w:val="27C6148F"/>
    <w:rsid w:val="27D15DD1"/>
    <w:rsid w:val="27DC79BB"/>
    <w:rsid w:val="27DD40F7"/>
    <w:rsid w:val="28535AF0"/>
    <w:rsid w:val="287C1F1E"/>
    <w:rsid w:val="28A76295"/>
    <w:rsid w:val="28B81505"/>
    <w:rsid w:val="28DA468F"/>
    <w:rsid w:val="29206EB8"/>
    <w:rsid w:val="292469E8"/>
    <w:rsid w:val="292673D8"/>
    <w:rsid w:val="292A77E9"/>
    <w:rsid w:val="29437BF5"/>
    <w:rsid w:val="298D2A44"/>
    <w:rsid w:val="299B7DC6"/>
    <w:rsid w:val="299E3412"/>
    <w:rsid w:val="29AE3346"/>
    <w:rsid w:val="29AF248E"/>
    <w:rsid w:val="29D95491"/>
    <w:rsid w:val="29E325E0"/>
    <w:rsid w:val="29E5171E"/>
    <w:rsid w:val="2A2773C7"/>
    <w:rsid w:val="2A3E4D11"/>
    <w:rsid w:val="2A452503"/>
    <w:rsid w:val="2A530258"/>
    <w:rsid w:val="2A9A77ED"/>
    <w:rsid w:val="2B020EA3"/>
    <w:rsid w:val="2B0C2313"/>
    <w:rsid w:val="2B820658"/>
    <w:rsid w:val="2B9B1B37"/>
    <w:rsid w:val="2BA936A8"/>
    <w:rsid w:val="2C163734"/>
    <w:rsid w:val="2C2D408B"/>
    <w:rsid w:val="2C315A5A"/>
    <w:rsid w:val="2CDC7ADD"/>
    <w:rsid w:val="2CFD09F5"/>
    <w:rsid w:val="2D1219CB"/>
    <w:rsid w:val="2D19416B"/>
    <w:rsid w:val="2D3E28D1"/>
    <w:rsid w:val="2D4526E2"/>
    <w:rsid w:val="2D4D5CC5"/>
    <w:rsid w:val="2D5201C0"/>
    <w:rsid w:val="2D576D64"/>
    <w:rsid w:val="2D9E56F5"/>
    <w:rsid w:val="2DCC2C44"/>
    <w:rsid w:val="2E140EBA"/>
    <w:rsid w:val="2E16639D"/>
    <w:rsid w:val="2E4216A4"/>
    <w:rsid w:val="2E667F96"/>
    <w:rsid w:val="2E8226AB"/>
    <w:rsid w:val="2E89343E"/>
    <w:rsid w:val="2EA40620"/>
    <w:rsid w:val="2EC46F9A"/>
    <w:rsid w:val="2EFE0305"/>
    <w:rsid w:val="2F20326D"/>
    <w:rsid w:val="2F337EDA"/>
    <w:rsid w:val="2F3A3BDD"/>
    <w:rsid w:val="2F4A1308"/>
    <w:rsid w:val="2F706A2A"/>
    <w:rsid w:val="2F832C79"/>
    <w:rsid w:val="2F9E65A4"/>
    <w:rsid w:val="2FAB602E"/>
    <w:rsid w:val="2FB85B7F"/>
    <w:rsid w:val="2FEF2D58"/>
    <w:rsid w:val="30580BC9"/>
    <w:rsid w:val="30603568"/>
    <w:rsid w:val="30B71989"/>
    <w:rsid w:val="30E266CD"/>
    <w:rsid w:val="31061789"/>
    <w:rsid w:val="311E2ED7"/>
    <w:rsid w:val="315C449C"/>
    <w:rsid w:val="316D5E64"/>
    <w:rsid w:val="319D2F4A"/>
    <w:rsid w:val="31A61558"/>
    <w:rsid w:val="31B82709"/>
    <w:rsid w:val="31E725CA"/>
    <w:rsid w:val="32284588"/>
    <w:rsid w:val="32400B34"/>
    <w:rsid w:val="329E6876"/>
    <w:rsid w:val="32D16D3C"/>
    <w:rsid w:val="32D537D9"/>
    <w:rsid w:val="331D36BE"/>
    <w:rsid w:val="33684435"/>
    <w:rsid w:val="338402FD"/>
    <w:rsid w:val="338F369F"/>
    <w:rsid w:val="33AE06F6"/>
    <w:rsid w:val="33B45D12"/>
    <w:rsid w:val="33D934D4"/>
    <w:rsid w:val="33E35BA8"/>
    <w:rsid w:val="33FE2F6A"/>
    <w:rsid w:val="342C7F98"/>
    <w:rsid w:val="34550F6E"/>
    <w:rsid w:val="34866582"/>
    <w:rsid w:val="34876D78"/>
    <w:rsid w:val="34E507A3"/>
    <w:rsid w:val="351D1FD7"/>
    <w:rsid w:val="351F701B"/>
    <w:rsid w:val="356B4C07"/>
    <w:rsid w:val="35EF11B8"/>
    <w:rsid w:val="35F363F2"/>
    <w:rsid w:val="36074A7F"/>
    <w:rsid w:val="363B2715"/>
    <w:rsid w:val="36751FFF"/>
    <w:rsid w:val="368D6CE8"/>
    <w:rsid w:val="36923549"/>
    <w:rsid w:val="36B27E7B"/>
    <w:rsid w:val="36B75FBF"/>
    <w:rsid w:val="36BA6A1E"/>
    <w:rsid w:val="36EC20C2"/>
    <w:rsid w:val="36FB4891"/>
    <w:rsid w:val="37127EAC"/>
    <w:rsid w:val="372C6501"/>
    <w:rsid w:val="372E3D52"/>
    <w:rsid w:val="3734296E"/>
    <w:rsid w:val="374B3616"/>
    <w:rsid w:val="375717D0"/>
    <w:rsid w:val="37982A35"/>
    <w:rsid w:val="37A5626C"/>
    <w:rsid w:val="37C36C7B"/>
    <w:rsid w:val="37D722CE"/>
    <w:rsid w:val="386A0A0E"/>
    <w:rsid w:val="386A72E1"/>
    <w:rsid w:val="38B642D4"/>
    <w:rsid w:val="38F12CD3"/>
    <w:rsid w:val="38F94775"/>
    <w:rsid w:val="39261FAF"/>
    <w:rsid w:val="392971ED"/>
    <w:rsid w:val="39B74034"/>
    <w:rsid w:val="39DC0787"/>
    <w:rsid w:val="39E430C3"/>
    <w:rsid w:val="39F552D0"/>
    <w:rsid w:val="3A5B5233"/>
    <w:rsid w:val="3A970136"/>
    <w:rsid w:val="3B3763D1"/>
    <w:rsid w:val="3B5E605B"/>
    <w:rsid w:val="3B611246"/>
    <w:rsid w:val="3BC742F4"/>
    <w:rsid w:val="3C2319A5"/>
    <w:rsid w:val="3C3F3C09"/>
    <w:rsid w:val="3C5A43F8"/>
    <w:rsid w:val="3C7E7563"/>
    <w:rsid w:val="3C80359C"/>
    <w:rsid w:val="3C9F7B5D"/>
    <w:rsid w:val="3CAD6FC8"/>
    <w:rsid w:val="3CDA245A"/>
    <w:rsid w:val="3CED6733"/>
    <w:rsid w:val="3CEE0A37"/>
    <w:rsid w:val="3D096F2F"/>
    <w:rsid w:val="3D9B37A2"/>
    <w:rsid w:val="3DA76316"/>
    <w:rsid w:val="3DBD46AD"/>
    <w:rsid w:val="3DD663EC"/>
    <w:rsid w:val="3DF064DB"/>
    <w:rsid w:val="3E077940"/>
    <w:rsid w:val="3E3E7246"/>
    <w:rsid w:val="3E6D5563"/>
    <w:rsid w:val="3E7F5C3D"/>
    <w:rsid w:val="3EFA7D28"/>
    <w:rsid w:val="3F1104B7"/>
    <w:rsid w:val="3F486480"/>
    <w:rsid w:val="3F660E74"/>
    <w:rsid w:val="3F6F27ED"/>
    <w:rsid w:val="3F7A2EE6"/>
    <w:rsid w:val="3F7F6FEF"/>
    <w:rsid w:val="3FCB524E"/>
    <w:rsid w:val="3FCD54F0"/>
    <w:rsid w:val="3FCF649D"/>
    <w:rsid w:val="3FFD6C8D"/>
    <w:rsid w:val="40027C26"/>
    <w:rsid w:val="400C0C7E"/>
    <w:rsid w:val="40364D38"/>
    <w:rsid w:val="403F16C6"/>
    <w:rsid w:val="407A6407"/>
    <w:rsid w:val="408E5B37"/>
    <w:rsid w:val="40915C78"/>
    <w:rsid w:val="40F13762"/>
    <w:rsid w:val="412D4653"/>
    <w:rsid w:val="41396558"/>
    <w:rsid w:val="41744D2D"/>
    <w:rsid w:val="42213C39"/>
    <w:rsid w:val="42396B05"/>
    <w:rsid w:val="423A3BCC"/>
    <w:rsid w:val="424526EE"/>
    <w:rsid w:val="425A6680"/>
    <w:rsid w:val="42714E59"/>
    <w:rsid w:val="42735CEC"/>
    <w:rsid w:val="428D254A"/>
    <w:rsid w:val="42941061"/>
    <w:rsid w:val="42DE4B54"/>
    <w:rsid w:val="43127158"/>
    <w:rsid w:val="431F6F1A"/>
    <w:rsid w:val="433A6FE6"/>
    <w:rsid w:val="433E1A96"/>
    <w:rsid w:val="4350713C"/>
    <w:rsid w:val="436653E0"/>
    <w:rsid w:val="439912A3"/>
    <w:rsid w:val="43A40200"/>
    <w:rsid w:val="43B753A5"/>
    <w:rsid w:val="43C468A3"/>
    <w:rsid w:val="43EE526A"/>
    <w:rsid w:val="440920A4"/>
    <w:rsid w:val="443C7B3C"/>
    <w:rsid w:val="449D417E"/>
    <w:rsid w:val="449D459A"/>
    <w:rsid w:val="44B7268C"/>
    <w:rsid w:val="44B97144"/>
    <w:rsid w:val="44C821E0"/>
    <w:rsid w:val="44CD14E0"/>
    <w:rsid w:val="44EE46AF"/>
    <w:rsid w:val="44F8641A"/>
    <w:rsid w:val="4504286C"/>
    <w:rsid w:val="45196317"/>
    <w:rsid w:val="453677E1"/>
    <w:rsid w:val="4584178D"/>
    <w:rsid w:val="45857508"/>
    <w:rsid w:val="458946E9"/>
    <w:rsid w:val="46296FA0"/>
    <w:rsid w:val="46375A78"/>
    <w:rsid w:val="463C4FC9"/>
    <w:rsid w:val="466C206D"/>
    <w:rsid w:val="468D7A21"/>
    <w:rsid w:val="46CA0304"/>
    <w:rsid w:val="46D955A7"/>
    <w:rsid w:val="47133957"/>
    <w:rsid w:val="472E2E7C"/>
    <w:rsid w:val="4779329E"/>
    <w:rsid w:val="479E69E5"/>
    <w:rsid w:val="47A07E0C"/>
    <w:rsid w:val="47C36A0E"/>
    <w:rsid w:val="480C46E8"/>
    <w:rsid w:val="483E6E0C"/>
    <w:rsid w:val="4870272E"/>
    <w:rsid w:val="48CB12DB"/>
    <w:rsid w:val="48F47AA5"/>
    <w:rsid w:val="491C1900"/>
    <w:rsid w:val="49446510"/>
    <w:rsid w:val="496334E4"/>
    <w:rsid w:val="497712D5"/>
    <w:rsid w:val="49831FB1"/>
    <w:rsid w:val="499D6B57"/>
    <w:rsid w:val="49DC7715"/>
    <w:rsid w:val="49EC4E5D"/>
    <w:rsid w:val="49FE3E1C"/>
    <w:rsid w:val="4A023139"/>
    <w:rsid w:val="4A524ECF"/>
    <w:rsid w:val="4A7B576F"/>
    <w:rsid w:val="4AB3134A"/>
    <w:rsid w:val="4B0A1686"/>
    <w:rsid w:val="4B180E1F"/>
    <w:rsid w:val="4B6202EC"/>
    <w:rsid w:val="4B7863AF"/>
    <w:rsid w:val="4B9B21F0"/>
    <w:rsid w:val="4B9F6E4A"/>
    <w:rsid w:val="4BAB57EF"/>
    <w:rsid w:val="4BAC5E94"/>
    <w:rsid w:val="4BE24B9F"/>
    <w:rsid w:val="4BE87A0B"/>
    <w:rsid w:val="4C4243A5"/>
    <w:rsid w:val="4C4A0649"/>
    <w:rsid w:val="4C52103F"/>
    <w:rsid w:val="4CC17237"/>
    <w:rsid w:val="4CC306E7"/>
    <w:rsid w:val="4CE470D3"/>
    <w:rsid w:val="4CE90CC5"/>
    <w:rsid w:val="4D000825"/>
    <w:rsid w:val="4D050765"/>
    <w:rsid w:val="4D0553D3"/>
    <w:rsid w:val="4D2673A8"/>
    <w:rsid w:val="4D6D0D6D"/>
    <w:rsid w:val="4D8900BB"/>
    <w:rsid w:val="4D9724CF"/>
    <w:rsid w:val="4DA40E78"/>
    <w:rsid w:val="4DAA7A5F"/>
    <w:rsid w:val="4DB27309"/>
    <w:rsid w:val="4DC332C4"/>
    <w:rsid w:val="4DD90358"/>
    <w:rsid w:val="4DEC4FB0"/>
    <w:rsid w:val="4E013D57"/>
    <w:rsid w:val="4E075D8A"/>
    <w:rsid w:val="4E855B50"/>
    <w:rsid w:val="4E9A046D"/>
    <w:rsid w:val="4EA348E9"/>
    <w:rsid w:val="4EA5674F"/>
    <w:rsid w:val="4EB250E6"/>
    <w:rsid w:val="4EC015B1"/>
    <w:rsid w:val="4EC65E74"/>
    <w:rsid w:val="4EE14A94"/>
    <w:rsid w:val="4EEA0D24"/>
    <w:rsid w:val="4EEE2C73"/>
    <w:rsid w:val="4F2616C5"/>
    <w:rsid w:val="4F360DA8"/>
    <w:rsid w:val="4F7B760D"/>
    <w:rsid w:val="4F7D7DED"/>
    <w:rsid w:val="4F8471CD"/>
    <w:rsid w:val="4F90683E"/>
    <w:rsid w:val="4FC62A8C"/>
    <w:rsid w:val="4FE20F0D"/>
    <w:rsid w:val="50023E33"/>
    <w:rsid w:val="50306C0B"/>
    <w:rsid w:val="50327BA3"/>
    <w:rsid w:val="50504C4B"/>
    <w:rsid w:val="509776AD"/>
    <w:rsid w:val="509B22D6"/>
    <w:rsid w:val="509C6E7C"/>
    <w:rsid w:val="509E1959"/>
    <w:rsid w:val="509F2BD7"/>
    <w:rsid w:val="50C730CB"/>
    <w:rsid w:val="50D61560"/>
    <w:rsid w:val="50D72716"/>
    <w:rsid w:val="50EB02B6"/>
    <w:rsid w:val="51422751"/>
    <w:rsid w:val="51516B44"/>
    <w:rsid w:val="515656E0"/>
    <w:rsid w:val="5162104E"/>
    <w:rsid w:val="51735B92"/>
    <w:rsid w:val="521A36CE"/>
    <w:rsid w:val="525A6978"/>
    <w:rsid w:val="52876F40"/>
    <w:rsid w:val="529E034E"/>
    <w:rsid w:val="52AE78B1"/>
    <w:rsid w:val="52B85291"/>
    <w:rsid w:val="52CB3708"/>
    <w:rsid w:val="52CE6B1A"/>
    <w:rsid w:val="52D55408"/>
    <w:rsid w:val="52D7336D"/>
    <w:rsid w:val="532000DC"/>
    <w:rsid w:val="538128BD"/>
    <w:rsid w:val="53832F3F"/>
    <w:rsid w:val="53A039CC"/>
    <w:rsid w:val="53A1505A"/>
    <w:rsid w:val="53E43F94"/>
    <w:rsid w:val="54063E08"/>
    <w:rsid w:val="543437E8"/>
    <w:rsid w:val="54FC1B62"/>
    <w:rsid w:val="54FE3F62"/>
    <w:rsid w:val="550A6B45"/>
    <w:rsid w:val="5550284C"/>
    <w:rsid w:val="55683A1E"/>
    <w:rsid w:val="55693829"/>
    <w:rsid w:val="55763D8B"/>
    <w:rsid w:val="559B174B"/>
    <w:rsid w:val="55CD58B3"/>
    <w:rsid w:val="55CE0CF4"/>
    <w:rsid w:val="55EF63CB"/>
    <w:rsid w:val="561B61E3"/>
    <w:rsid w:val="563F2CD3"/>
    <w:rsid w:val="56777341"/>
    <w:rsid w:val="56A43DD2"/>
    <w:rsid w:val="56B22A9C"/>
    <w:rsid w:val="56B460F0"/>
    <w:rsid w:val="56D84E09"/>
    <w:rsid w:val="57014E5D"/>
    <w:rsid w:val="572D0332"/>
    <w:rsid w:val="57397C3B"/>
    <w:rsid w:val="57566F57"/>
    <w:rsid w:val="57713D91"/>
    <w:rsid w:val="57827D4C"/>
    <w:rsid w:val="57997DB1"/>
    <w:rsid w:val="57A75A1C"/>
    <w:rsid w:val="57AC591D"/>
    <w:rsid w:val="57B72A76"/>
    <w:rsid w:val="57DF28A1"/>
    <w:rsid w:val="57E13056"/>
    <w:rsid w:val="58083E1F"/>
    <w:rsid w:val="582F5A02"/>
    <w:rsid w:val="583F5035"/>
    <w:rsid w:val="5858691E"/>
    <w:rsid w:val="587C0C3F"/>
    <w:rsid w:val="58841312"/>
    <w:rsid w:val="58C3061C"/>
    <w:rsid w:val="58E82F9E"/>
    <w:rsid w:val="591C57A3"/>
    <w:rsid w:val="59382F8F"/>
    <w:rsid w:val="59411FDD"/>
    <w:rsid w:val="59776E01"/>
    <w:rsid w:val="59BD150F"/>
    <w:rsid w:val="59C92994"/>
    <w:rsid w:val="59CF0DF7"/>
    <w:rsid w:val="59EC64B5"/>
    <w:rsid w:val="59F22242"/>
    <w:rsid w:val="5A3C747D"/>
    <w:rsid w:val="5A9C5AE3"/>
    <w:rsid w:val="5AB85045"/>
    <w:rsid w:val="5ABE2233"/>
    <w:rsid w:val="5AC91D2F"/>
    <w:rsid w:val="5B157129"/>
    <w:rsid w:val="5B276D18"/>
    <w:rsid w:val="5B330BD1"/>
    <w:rsid w:val="5B616B4D"/>
    <w:rsid w:val="5B882AA2"/>
    <w:rsid w:val="5BA53CC0"/>
    <w:rsid w:val="5BB4249E"/>
    <w:rsid w:val="5BDF5D95"/>
    <w:rsid w:val="5C355073"/>
    <w:rsid w:val="5C5972E6"/>
    <w:rsid w:val="5C900568"/>
    <w:rsid w:val="5C932301"/>
    <w:rsid w:val="5CA05E7F"/>
    <w:rsid w:val="5CF83A26"/>
    <w:rsid w:val="5CFC40FC"/>
    <w:rsid w:val="5D3752D3"/>
    <w:rsid w:val="5D500679"/>
    <w:rsid w:val="5D645B3A"/>
    <w:rsid w:val="5D647EF4"/>
    <w:rsid w:val="5D916F3A"/>
    <w:rsid w:val="5D987D87"/>
    <w:rsid w:val="5DAB3B72"/>
    <w:rsid w:val="5DB1402C"/>
    <w:rsid w:val="5DCB1D21"/>
    <w:rsid w:val="5DEC37F3"/>
    <w:rsid w:val="5DF87A0F"/>
    <w:rsid w:val="5E123B81"/>
    <w:rsid w:val="5E227B93"/>
    <w:rsid w:val="5E3B0C54"/>
    <w:rsid w:val="5F1A2B43"/>
    <w:rsid w:val="5F8B4188"/>
    <w:rsid w:val="5F984189"/>
    <w:rsid w:val="5FB837BB"/>
    <w:rsid w:val="5FC11974"/>
    <w:rsid w:val="5FDB016D"/>
    <w:rsid w:val="5FFA55EB"/>
    <w:rsid w:val="601F7A80"/>
    <w:rsid w:val="6034058F"/>
    <w:rsid w:val="603A7A0C"/>
    <w:rsid w:val="6063347E"/>
    <w:rsid w:val="606F72DB"/>
    <w:rsid w:val="60A5633D"/>
    <w:rsid w:val="60D663C8"/>
    <w:rsid w:val="60F95D0E"/>
    <w:rsid w:val="61046171"/>
    <w:rsid w:val="61212621"/>
    <w:rsid w:val="612A3FC1"/>
    <w:rsid w:val="617248B3"/>
    <w:rsid w:val="61927700"/>
    <w:rsid w:val="6196781D"/>
    <w:rsid w:val="619A16DC"/>
    <w:rsid w:val="61E427AF"/>
    <w:rsid w:val="61EF601F"/>
    <w:rsid w:val="621511BF"/>
    <w:rsid w:val="622A6076"/>
    <w:rsid w:val="62364782"/>
    <w:rsid w:val="624C5C3B"/>
    <w:rsid w:val="625727CE"/>
    <w:rsid w:val="62B20226"/>
    <w:rsid w:val="62BA67B8"/>
    <w:rsid w:val="62E93C35"/>
    <w:rsid w:val="6398337B"/>
    <w:rsid w:val="63C87E04"/>
    <w:rsid w:val="63CC6BCE"/>
    <w:rsid w:val="63D40BE9"/>
    <w:rsid w:val="63E0211F"/>
    <w:rsid w:val="645372AF"/>
    <w:rsid w:val="64542204"/>
    <w:rsid w:val="64943EE2"/>
    <w:rsid w:val="64BA2A97"/>
    <w:rsid w:val="64DB0EF3"/>
    <w:rsid w:val="64DD2A98"/>
    <w:rsid w:val="65010BA0"/>
    <w:rsid w:val="65373578"/>
    <w:rsid w:val="657333CA"/>
    <w:rsid w:val="65B26C48"/>
    <w:rsid w:val="65CD2940"/>
    <w:rsid w:val="65D976D1"/>
    <w:rsid w:val="65DA1279"/>
    <w:rsid w:val="66034637"/>
    <w:rsid w:val="66A03588"/>
    <w:rsid w:val="66CD3A36"/>
    <w:rsid w:val="673F2C7A"/>
    <w:rsid w:val="67501A0D"/>
    <w:rsid w:val="675A77F0"/>
    <w:rsid w:val="67DE3038"/>
    <w:rsid w:val="67E31626"/>
    <w:rsid w:val="67FD51CC"/>
    <w:rsid w:val="681F6961"/>
    <w:rsid w:val="68610A2F"/>
    <w:rsid w:val="68705FEE"/>
    <w:rsid w:val="6879333B"/>
    <w:rsid w:val="68805514"/>
    <w:rsid w:val="68D2424A"/>
    <w:rsid w:val="6915134E"/>
    <w:rsid w:val="69345F0F"/>
    <w:rsid w:val="693F6B2D"/>
    <w:rsid w:val="694E2071"/>
    <w:rsid w:val="697A3B33"/>
    <w:rsid w:val="699E2456"/>
    <w:rsid w:val="69B25E89"/>
    <w:rsid w:val="69B30239"/>
    <w:rsid w:val="69C57FA5"/>
    <w:rsid w:val="6A0B55CD"/>
    <w:rsid w:val="6A2014B1"/>
    <w:rsid w:val="6A3A44B6"/>
    <w:rsid w:val="6A7E60D4"/>
    <w:rsid w:val="6ACE66D6"/>
    <w:rsid w:val="6B1978BB"/>
    <w:rsid w:val="6B2313EE"/>
    <w:rsid w:val="6B322639"/>
    <w:rsid w:val="6B407EF5"/>
    <w:rsid w:val="6B792DBC"/>
    <w:rsid w:val="6BA93342"/>
    <w:rsid w:val="6BC5689C"/>
    <w:rsid w:val="6BE566A3"/>
    <w:rsid w:val="6C636C38"/>
    <w:rsid w:val="6CC30703"/>
    <w:rsid w:val="6CCE0C98"/>
    <w:rsid w:val="6CF43042"/>
    <w:rsid w:val="6D065CA1"/>
    <w:rsid w:val="6D4573FA"/>
    <w:rsid w:val="6D4E08B0"/>
    <w:rsid w:val="6D785A21"/>
    <w:rsid w:val="6D8F2D6B"/>
    <w:rsid w:val="6DA93E2C"/>
    <w:rsid w:val="6DAC1038"/>
    <w:rsid w:val="6DB34098"/>
    <w:rsid w:val="6DB545B6"/>
    <w:rsid w:val="6E115415"/>
    <w:rsid w:val="6E3D468C"/>
    <w:rsid w:val="6E4375A0"/>
    <w:rsid w:val="6E514CED"/>
    <w:rsid w:val="6E79491A"/>
    <w:rsid w:val="6E934195"/>
    <w:rsid w:val="6EA51167"/>
    <w:rsid w:val="6EB563D5"/>
    <w:rsid w:val="6EC247BC"/>
    <w:rsid w:val="6F0C2B8F"/>
    <w:rsid w:val="6F225983"/>
    <w:rsid w:val="6F23376B"/>
    <w:rsid w:val="6F244E35"/>
    <w:rsid w:val="6F26520C"/>
    <w:rsid w:val="6F2B6694"/>
    <w:rsid w:val="6F3A0AB4"/>
    <w:rsid w:val="6F5E6AA9"/>
    <w:rsid w:val="6F8C57B4"/>
    <w:rsid w:val="6FB1521A"/>
    <w:rsid w:val="6FE4084F"/>
    <w:rsid w:val="6FFC5590"/>
    <w:rsid w:val="70301DA3"/>
    <w:rsid w:val="703D0C4F"/>
    <w:rsid w:val="704B4FCA"/>
    <w:rsid w:val="706D1DD0"/>
    <w:rsid w:val="707A6D80"/>
    <w:rsid w:val="70856B87"/>
    <w:rsid w:val="70D527EE"/>
    <w:rsid w:val="70EB475C"/>
    <w:rsid w:val="71060A5A"/>
    <w:rsid w:val="715B5300"/>
    <w:rsid w:val="715F4BD7"/>
    <w:rsid w:val="716D1530"/>
    <w:rsid w:val="71893EC5"/>
    <w:rsid w:val="71B43D1F"/>
    <w:rsid w:val="71D27F8A"/>
    <w:rsid w:val="71E35433"/>
    <w:rsid w:val="71EF5B86"/>
    <w:rsid w:val="71F744C6"/>
    <w:rsid w:val="71F960CF"/>
    <w:rsid w:val="72250CC8"/>
    <w:rsid w:val="72294F32"/>
    <w:rsid w:val="725965C8"/>
    <w:rsid w:val="726A345E"/>
    <w:rsid w:val="727427F4"/>
    <w:rsid w:val="72905D6F"/>
    <w:rsid w:val="731A30D6"/>
    <w:rsid w:val="731F5D5E"/>
    <w:rsid w:val="73691A00"/>
    <w:rsid w:val="73761946"/>
    <w:rsid w:val="738C03D2"/>
    <w:rsid w:val="73CD0149"/>
    <w:rsid w:val="73E13BF4"/>
    <w:rsid w:val="73E13EE4"/>
    <w:rsid w:val="740D6797"/>
    <w:rsid w:val="741E793C"/>
    <w:rsid w:val="74376DFD"/>
    <w:rsid w:val="745443C6"/>
    <w:rsid w:val="7477187E"/>
    <w:rsid w:val="74BC1675"/>
    <w:rsid w:val="753F1FDD"/>
    <w:rsid w:val="75511BF2"/>
    <w:rsid w:val="75774810"/>
    <w:rsid w:val="758D75E2"/>
    <w:rsid w:val="75B734CB"/>
    <w:rsid w:val="75E33C54"/>
    <w:rsid w:val="75F55855"/>
    <w:rsid w:val="760A34A2"/>
    <w:rsid w:val="7634158F"/>
    <w:rsid w:val="7639786F"/>
    <w:rsid w:val="763D210E"/>
    <w:rsid w:val="764352FA"/>
    <w:rsid w:val="765762AE"/>
    <w:rsid w:val="76736459"/>
    <w:rsid w:val="768D6ACD"/>
    <w:rsid w:val="772D318D"/>
    <w:rsid w:val="77762421"/>
    <w:rsid w:val="7789506B"/>
    <w:rsid w:val="779D739E"/>
    <w:rsid w:val="77D51FC6"/>
    <w:rsid w:val="77D8265E"/>
    <w:rsid w:val="77E912C9"/>
    <w:rsid w:val="77FB7DBA"/>
    <w:rsid w:val="780F09F4"/>
    <w:rsid w:val="7814332A"/>
    <w:rsid w:val="7824602F"/>
    <w:rsid w:val="782A7918"/>
    <w:rsid w:val="789C4F47"/>
    <w:rsid w:val="78A11F10"/>
    <w:rsid w:val="78A90480"/>
    <w:rsid w:val="78EE6B97"/>
    <w:rsid w:val="78F30652"/>
    <w:rsid w:val="792103E3"/>
    <w:rsid w:val="79246A5D"/>
    <w:rsid w:val="792720A9"/>
    <w:rsid w:val="79375293"/>
    <w:rsid w:val="7948501B"/>
    <w:rsid w:val="79811327"/>
    <w:rsid w:val="79921F90"/>
    <w:rsid w:val="799A287B"/>
    <w:rsid w:val="79D456AC"/>
    <w:rsid w:val="79DE4809"/>
    <w:rsid w:val="7A0A5C53"/>
    <w:rsid w:val="7A100D8F"/>
    <w:rsid w:val="7A347E17"/>
    <w:rsid w:val="7A364017"/>
    <w:rsid w:val="7A3C795A"/>
    <w:rsid w:val="7A8265E1"/>
    <w:rsid w:val="7A8377B3"/>
    <w:rsid w:val="7B0C77A9"/>
    <w:rsid w:val="7B3A2568"/>
    <w:rsid w:val="7B3D5BB4"/>
    <w:rsid w:val="7B686D42"/>
    <w:rsid w:val="7B841746"/>
    <w:rsid w:val="7BE1682B"/>
    <w:rsid w:val="7BE81FC4"/>
    <w:rsid w:val="7C094E31"/>
    <w:rsid w:val="7D0239FF"/>
    <w:rsid w:val="7D03040F"/>
    <w:rsid w:val="7D28320C"/>
    <w:rsid w:val="7D464325"/>
    <w:rsid w:val="7D5E40CD"/>
    <w:rsid w:val="7D693BED"/>
    <w:rsid w:val="7D7632BB"/>
    <w:rsid w:val="7D7A30EF"/>
    <w:rsid w:val="7D8D630E"/>
    <w:rsid w:val="7DB85588"/>
    <w:rsid w:val="7DC975CB"/>
    <w:rsid w:val="7E096221"/>
    <w:rsid w:val="7E1A4D7A"/>
    <w:rsid w:val="7E1F3F6C"/>
    <w:rsid w:val="7E72519D"/>
    <w:rsid w:val="7F0D1FD5"/>
    <w:rsid w:val="7F37727D"/>
    <w:rsid w:val="7FCC5758"/>
    <w:rsid w:val="7FD62EB5"/>
    <w:rsid w:val="7FE47E50"/>
    <w:rsid w:val="7FF6263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ocked="1"/>
    <w:lsdException w:qFormat="1" w:unhideWhenUsed="0" w:uiPriority="1" w:semiHidden="0" w:name="heading 3" w:locked="1"/>
    <w:lsdException w:qFormat="1" w:unhideWhenUsed="0" w:uiPriority="1" w:semiHidden="0" w:name="heading 4" w:locked="1"/>
    <w:lsdException w:qFormat="1" w:uiPriority="0" w:semiHidden="0" w:name="heading 5" w:locked="1"/>
    <w:lsdException w:qFormat="1" w:uiPriority="0" w:name="heading 6" w:locked="1"/>
    <w:lsdException w:qFormat="1" w:uiPriority="0" w:semiHidden="0" w:name="heading 7" w:locked="1"/>
    <w:lsdException w:qFormat="1" w:uiPriority="0" w:name="heading 8" w:locked="1"/>
    <w:lsdException w:qFormat="1" w:uiPriority="0" w:name="heading 9" w:locked="1"/>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99" w:semiHidden="0" w:name="index heading"/>
    <w:lsdException w:qFormat="1" w:uiPriority="0" w:name="caption" w:locked="1"/>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ocked="1"/>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1472"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41"/>
    <w:qFormat/>
    <w:uiPriority w:val="0"/>
    <w:pPr>
      <w:keepNext/>
      <w:overflowPunct w:val="0"/>
      <w:adjustRightInd/>
      <w:snapToGrid/>
      <w:spacing w:before="240" w:after="60"/>
      <w:ind w:firstLine="0" w:firstLineChars="0"/>
      <w:outlineLvl w:val="0"/>
    </w:pPr>
    <w:rPr>
      <w:rFonts w:ascii="Times New Roman" w:hAnsi="Times New Roman" w:eastAsia="黑体"/>
      <w:bCs/>
      <w:color w:val="000000"/>
      <w:kern w:val="44"/>
      <w:szCs w:val="30"/>
    </w:rPr>
  </w:style>
  <w:style w:type="paragraph" w:styleId="3">
    <w:name w:val="heading 2"/>
    <w:basedOn w:val="1"/>
    <w:next w:val="1"/>
    <w:qFormat/>
    <w:locked/>
    <w:uiPriority w:val="1"/>
    <w:pPr>
      <w:adjustRightInd w:val="0"/>
      <w:snapToGrid w:val="0"/>
      <w:ind w:left="0" w:firstLine="0" w:firstLineChars="0"/>
      <w:jc w:val="center"/>
      <w:outlineLvl w:val="1"/>
    </w:pPr>
    <w:rPr>
      <w:rFonts w:ascii="Times New Roman" w:hAnsi="Times New Roman" w:eastAsia="黑体" w:cs="宋体"/>
      <w:bCs/>
      <w:szCs w:val="30"/>
    </w:rPr>
  </w:style>
  <w:style w:type="paragraph" w:styleId="4">
    <w:name w:val="heading 3"/>
    <w:basedOn w:val="1"/>
    <w:next w:val="1"/>
    <w:link w:val="42"/>
    <w:qFormat/>
    <w:locked/>
    <w:uiPriority w:val="1"/>
    <w:pPr>
      <w:adjustRightInd w:val="0"/>
      <w:snapToGrid w:val="0"/>
      <w:spacing w:before="240" w:after="60"/>
      <w:ind w:firstLine="0" w:firstLineChars="0"/>
      <w:jc w:val="center"/>
      <w:outlineLvl w:val="2"/>
    </w:pPr>
    <w:rPr>
      <w:rFonts w:eastAsia="黑体" w:cs="宋体"/>
      <w:bCs/>
      <w:sz w:val="30"/>
      <w:szCs w:val="28"/>
    </w:rPr>
  </w:style>
  <w:style w:type="paragraph" w:styleId="5">
    <w:name w:val="heading 4"/>
    <w:basedOn w:val="1"/>
    <w:next w:val="1"/>
    <w:link w:val="43"/>
    <w:qFormat/>
    <w:locked/>
    <w:uiPriority w:val="1"/>
    <w:pPr>
      <w:ind w:left="783"/>
      <w:outlineLvl w:val="3"/>
    </w:pPr>
    <w:rPr>
      <w:rFonts w:ascii="Times New Roman" w:hAnsi="Times New Roman" w:eastAsia="Times New Roman" w:cs="Times New Roman"/>
      <w:b/>
      <w:bCs/>
      <w:sz w:val="28"/>
      <w:szCs w:val="28"/>
    </w:rPr>
  </w:style>
  <w:style w:type="paragraph" w:styleId="6">
    <w:name w:val="heading 5"/>
    <w:basedOn w:val="1"/>
    <w:next w:val="1"/>
    <w:link w:val="86"/>
    <w:unhideWhenUsed/>
    <w:qFormat/>
    <w:locked/>
    <w:uiPriority w:val="0"/>
    <w:pPr>
      <w:keepNext/>
      <w:keepLines/>
      <w:adjustRightInd w:val="0"/>
      <w:snapToGrid w:val="0"/>
      <w:spacing w:beforeLines="0" w:beforeAutospacing="0" w:afterLines="0" w:afterAutospacing="0" w:line="240" w:lineRule="auto"/>
      <w:ind w:firstLine="0" w:firstLineChars="0"/>
      <w:jc w:val="center"/>
      <w:outlineLvl w:val="4"/>
    </w:pPr>
    <w:rPr>
      <w:rFonts w:ascii="Times New Roman" w:hAnsi="Times New Roman" w:eastAsia="黑体"/>
    </w:rPr>
  </w:style>
  <w:style w:type="paragraph" w:styleId="7">
    <w:name w:val="heading 7"/>
    <w:basedOn w:val="1"/>
    <w:next w:val="1"/>
    <w:unhideWhenUsed/>
    <w:qFormat/>
    <w:locked/>
    <w:uiPriority w:val="0"/>
    <w:pPr>
      <w:keepNext/>
      <w:keepLines/>
      <w:spacing w:line="360" w:lineRule="auto"/>
      <w:outlineLvl w:val="6"/>
    </w:pPr>
    <w:rPr>
      <w:rFonts w:ascii="Times New Roman" w:hAnsi="Times New Roman" w:eastAsia="宋体"/>
      <w:b/>
    </w:rPr>
  </w:style>
  <w:style w:type="character" w:default="1" w:styleId="30">
    <w:name w:val="Default Paragraph Font"/>
    <w:semiHidden/>
    <w:qFormat/>
    <w:uiPriority w:val="0"/>
  </w:style>
  <w:style w:type="table" w:default="1" w:styleId="28">
    <w:name w:val="Normal Table"/>
    <w:semiHidden/>
    <w:qFormat/>
    <w:uiPriority w:val="0"/>
    <w:tblPr>
      <w:tblCellMar>
        <w:top w:w="0" w:type="dxa"/>
        <w:left w:w="108" w:type="dxa"/>
        <w:bottom w:w="0" w:type="dxa"/>
        <w:right w:w="108" w:type="dxa"/>
      </w:tblCellMar>
    </w:tblPr>
  </w:style>
  <w:style w:type="paragraph" w:styleId="8">
    <w:name w:val="Normal Indent"/>
    <w:basedOn w:val="1"/>
    <w:next w:val="9"/>
    <w:qFormat/>
    <w:uiPriority w:val="0"/>
    <w:pPr>
      <w:ind w:firstLine="420"/>
    </w:pPr>
    <w:rPr>
      <w:szCs w:val="20"/>
    </w:rPr>
  </w:style>
  <w:style w:type="paragraph" w:styleId="9">
    <w:name w:val="Body Text First Indent 2"/>
    <w:basedOn w:val="10"/>
    <w:next w:val="1"/>
    <w:qFormat/>
    <w:uiPriority w:val="0"/>
    <w:pPr>
      <w:ind w:firstLine="420" w:firstLineChars="200"/>
    </w:pPr>
  </w:style>
  <w:style w:type="paragraph" w:styleId="10">
    <w:name w:val="Body Text Indent"/>
    <w:basedOn w:val="1"/>
    <w:link w:val="46"/>
    <w:semiHidden/>
    <w:qFormat/>
    <w:uiPriority w:val="0"/>
    <w:pPr>
      <w:spacing w:after="120"/>
      <w:ind w:left="420" w:leftChars="200"/>
    </w:pPr>
  </w:style>
  <w:style w:type="paragraph" w:styleId="11">
    <w:name w:val="annotation text"/>
    <w:basedOn w:val="1"/>
    <w:link w:val="44"/>
    <w:semiHidden/>
    <w:qFormat/>
    <w:uiPriority w:val="0"/>
    <w:pPr>
      <w:jc w:val="left"/>
    </w:pPr>
    <w:rPr>
      <w:kern w:val="0"/>
      <w:sz w:val="20"/>
    </w:rPr>
  </w:style>
  <w:style w:type="paragraph" w:styleId="12">
    <w:name w:val="Body Text"/>
    <w:basedOn w:val="1"/>
    <w:next w:val="13"/>
    <w:link w:val="45"/>
    <w:qFormat/>
    <w:uiPriority w:val="0"/>
    <w:pPr>
      <w:widowControl/>
      <w:snapToGrid w:val="0"/>
      <w:spacing w:before="60" w:after="160" w:line="259" w:lineRule="auto"/>
      <w:ind w:right="113"/>
    </w:pPr>
    <w:rPr>
      <w:kern w:val="0"/>
      <w:sz w:val="18"/>
      <w:szCs w:val="18"/>
    </w:rPr>
  </w:style>
  <w:style w:type="paragraph" w:customStyle="1" w:styleId="13">
    <w:name w:val="Date1"/>
    <w:basedOn w:val="1"/>
    <w:next w:val="1"/>
    <w:qFormat/>
    <w:uiPriority w:val="0"/>
    <w:pPr>
      <w:adjustRightInd w:val="0"/>
      <w:jc w:val="left"/>
      <w:textAlignment w:val="baseline"/>
    </w:pPr>
    <w:rPr>
      <w:rFonts w:ascii="宋体" w:hAnsi="宋体"/>
      <w:sz w:val="28"/>
      <w:szCs w:val="20"/>
    </w:rPr>
  </w:style>
  <w:style w:type="paragraph" w:styleId="14">
    <w:name w:val="Plain Text"/>
    <w:basedOn w:val="1"/>
    <w:next w:val="15"/>
    <w:qFormat/>
    <w:uiPriority w:val="0"/>
    <w:rPr>
      <w:rFonts w:ascii="宋体" w:hAnsi="Courier New"/>
    </w:rPr>
  </w:style>
  <w:style w:type="paragraph" w:styleId="15">
    <w:name w:val="toc 1"/>
    <w:basedOn w:val="1"/>
    <w:next w:val="1"/>
    <w:qFormat/>
    <w:locked/>
    <w:uiPriority w:val="39"/>
    <w:pPr>
      <w:tabs>
        <w:tab w:val="right" w:leader="dot" w:pos="8296"/>
      </w:tabs>
      <w:spacing w:beforeLines="100" w:line="360" w:lineRule="auto"/>
    </w:pPr>
    <w:rPr>
      <w:snapToGrid w:val="0"/>
      <w:kern w:val="0"/>
      <w:sz w:val="24"/>
    </w:rPr>
  </w:style>
  <w:style w:type="paragraph" w:styleId="16">
    <w:name w:val="Date"/>
    <w:basedOn w:val="1"/>
    <w:next w:val="1"/>
    <w:link w:val="48"/>
    <w:qFormat/>
    <w:uiPriority w:val="0"/>
    <w:pPr>
      <w:ind w:left="100" w:leftChars="2500"/>
    </w:pPr>
    <w:rPr>
      <w:kern w:val="0"/>
      <w:sz w:val="20"/>
    </w:rPr>
  </w:style>
  <w:style w:type="paragraph" w:styleId="17">
    <w:name w:val="Balloon Text"/>
    <w:basedOn w:val="1"/>
    <w:link w:val="49"/>
    <w:semiHidden/>
    <w:qFormat/>
    <w:uiPriority w:val="0"/>
    <w:rPr>
      <w:sz w:val="18"/>
      <w:szCs w:val="18"/>
    </w:rPr>
  </w:style>
  <w:style w:type="paragraph" w:styleId="18">
    <w:name w:val="footer"/>
    <w:basedOn w:val="1"/>
    <w:link w:val="50"/>
    <w:qFormat/>
    <w:uiPriority w:val="99"/>
    <w:pPr>
      <w:tabs>
        <w:tab w:val="center" w:pos="4153"/>
        <w:tab w:val="right" w:pos="8306"/>
      </w:tabs>
      <w:snapToGrid w:val="0"/>
      <w:jc w:val="left"/>
    </w:pPr>
    <w:rPr>
      <w:sz w:val="18"/>
      <w:szCs w:val="18"/>
    </w:rPr>
  </w:style>
  <w:style w:type="paragraph" w:styleId="19">
    <w:name w:val="header"/>
    <w:basedOn w:val="1"/>
    <w:link w:val="51"/>
    <w:qFormat/>
    <w:uiPriority w:val="0"/>
    <w:pPr>
      <w:pBdr>
        <w:bottom w:val="single" w:color="auto" w:sz="6" w:space="1"/>
      </w:pBdr>
      <w:tabs>
        <w:tab w:val="center" w:pos="4153"/>
        <w:tab w:val="right" w:pos="8306"/>
      </w:tabs>
      <w:snapToGrid w:val="0"/>
      <w:jc w:val="center"/>
    </w:pPr>
    <w:rPr>
      <w:sz w:val="18"/>
      <w:szCs w:val="18"/>
    </w:rPr>
  </w:style>
  <w:style w:type="paragraph" w:styleId="20">
    <w:name w:val="index heading"/>
    <w:basedOn w:val="1"/>
    <w:next w:val="21"/>
    <w:qFormat/>
    <w:uiPriority w:val="99"/>
    <w:rPr>
      <w:rFonts w:ascii="Arial" w:hAnsi="Arial"/>
      <w:b/>
    </w:rPr>
  </w:style>
  <w:style w:type="paragraph" w:styleId="21">
    <w:name w:val="index 1"/>
    <w:basedOn w:val="1"/>
    <w:next w:val="1"/>
    <w:qFormat/>
    <w:uiPriority w:val="0"/>
  </w:style>
  <w:style w:type="paragraph" w:styleId="22">
    <w:name w:val="List"/>
    <w:basedOn w:val="1"/>
    <w:qFormat/>
    <w:uiPriority w:val="0"/>
    <w:pPr>
      <w:spacing w:line="320" w:lineRule="exact"/>
      <w:ind w:firstLine="0" w:firstLineChars="0"/>
      <w:jc w:val="center"/>
    </w:pPr>
    <w:rPr>
      <w:sz w:val="22"/>
    </w:rPr>
  </w:style>
  <w:style w:type="paragraph" w:styleId="23">
    <w:name w:val="table of figures"/>
    <w:basedOn w:val="1"/>
    <w:next w:val="1"/>
    <w:qFormat/>
    <w:uiPriority w:val="0"/>
    <w:pPr>
      <w:ind w:left="200" w:leftChars="200" w:hanging="200" w:hangingChars="200"/>
    </w:pPr>
    <w:rPr>
      <w:rFonts w:ascii="Calibri" w:hAnsi="Calibri" w:eastAsia="宋体" w:cs="Times New Roman"/>
    </w:rPr>
  </w:style>
  <w:style w:type="paragraph" w:styleId="24">
    <w:name w:val="Normal (Web)"/>
    <w:basedOn w:val="1"/>
    <w:link w:val="52"/>
    <w:qFormat/>
    <w:uiPriority w:val="0"/>
    <w:pPr>
      <w:widowControl/>
      <w:spacing w:before="100" w:beforeAutospacing="1" w:after="100" w:afterAutospacing="1"/>
      <w:jc w:val="left"/>
    </w:pPr>
    <w:rPr>
      <w:rFonts w:ascii="宋体" w:hAnsi="宋体"/>
      <w:kern w:val="0"/>
      <w:sz w:val="24"/>
    </w:rPr>
  </w:style>
  <w:style w:type="paragraph" w:styleId="25">
    <w:name w:val="Title"/>
    <w:basedOn w:val="1"/>
    <w:next w:val="1"/>
    <w:qFormat/>
    <w:locked/>
    <w:uiPriority w:val="10"/>
    <w:pPr>
      <w:adjustRightInd w:val="0"/>
      <w:snapToGrid w:val="0"/>
      <w:jc w:val="center"/>
      <w:outlineLvl w:val="0"/>
    </w:pPr>
    <w:rPr>
      <w:rFonts w:cs="Times New Roman"/>
      <w:b/>
      <w:bCs/>
      <w:sz w:val="24"/>
      <w:szCs w:val="32"/>
    </w:rPr>
  </w:style>
  <w:style w:type="paragraph" w:styleId="26">
    <w:name w:val="annotation subject"/>
    <w:basedOn w:val="11"/>
    <w:next w:val="11"/>
    <w:link w:val="53"/>
    <w:semiHidden/>
    <w:qFormat/>
    <w:uiPriority w:val="0"/>
    <w:rPr>
      <w:b/>
      <w:bCs/>
    </w:rPr>
  </w:style>
  <w:style w:type="paragraph" w:styleId="27">
    <w:name w:val="Body Text First Indent"/>
    <w:basedOn w:val="12"/>
    <w:next w:val="1"/>
    <w:qFormat/>
    <w:uiPriority w:val="0"/>
    <w:pPr>
      <w:spacing w:after="120"/>
      <w:ind w:firstLine="420" w:firstLineChars="100"/>
    </w:pPr>
    <w:rPr>
      <w:rFonts w:eastAsia="宋体"/>
      <w:sz w:val="21"/>
      <w:szCs w:val="20"/>
    </w:rPr>
  </w:style>
  <w:style w:type="table" w:styleId="29">
    <w:name w:val="Table Grid"/>
    <w:basedOn w:val="28"/>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locked/>
    <w:uiPriority w:val="0"/>
    <w:rPr>
      <w:b/>
    </w:rPr>
  </w:style>
  <w:style w:type="character" w:styleId="32">
    <w:name w:val="page number"/>
    <w:qFormat/>
    <w:uiPriority w:val="0"/>
  </w:style>
  <w:style w:type="character" w:styleId="33">
    <w:name w:val="Emphasis"/>
    <w:basedOn w:val="30"/>
    <w:qFormat/>
    <w:locked/>
    <w:uiPriority w:val="0"/>
    <w:rPr>
      <w:i/>
    </w:rPr>
  </w:style>
  <w:style w:type="character" w:styleId="34">
    <w:name w:val="Hyperlink"/>
    <w:qFormat/>
    <w:uiPriority w:val="0"/>
    <w:rPr>
      <w:color w:val="0000FF"/>
      <w:u w:val="single"/>
    </w:rPr>
  </w:style>
  <w:style w:type="character" w:styleId="35">
    <w:name w:val="annotation reference"/>
    <w:basedOn w:val="30"/>
    <w:semiHidden/>
    <w:qFormat/>
    <w:uiPriority w:val="0"/>
    <w:rPr>
      <w:sz w:val="21"/>
    </w:rPr>
  </w:style>
  <w:style w:type="paragraph" w:customStyle="1" w:styleId="36">
    <w:name w:val="Default"/>
    <w:basedOn w:val="37"/>
    <w:next w:val="20"/>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37">
    <w:name w:val="纯文本1"/>
    <w:basedOn w:val="1"/>
    <w:qFormat/>
    <w:uiPriority w:val="0"/>
    <w:rPr>
      <w:rFonts w:hint="eastAsia" w:ascii="宋体" w:hAnsi="Courier New"/>
      <w:szCs w:val="22"/>
    </w:rPr>
  </w:style>
  <w:style w:type="paragraph" w:customStyle="1" w:styleId="38">
    <w:name w:val="图片"/>
    <w:basedOn w:val="1"/>
    <w:next w:val="7"/>
    <w:qFormat/>
    <w:uiPriority w:val="0"/>
    <w:pPr>
      <w:spacing w:line="240" w:lineRule="auto"/>
      <w:ind w:firstLine="0" w:firstLineChars="0"/>
      <w:jc w:val="center"/>
    </w:pPr>
    <w:rPr>
      <w:rFonts w:ascii="Times New Roman" w:hAnsi="Times New Roman" w:eastAsia="宋体"/>
      <w:position w:val="-82"/>
    </w:rPr>
  </w:style>
  <w:style w:type="paragraph" w:customStyle="1" w:styleId="39">
    <w:name w:val="表格"/>
    <w:basedOn w:val="8"/>
    <w:next w:val="1"/>
    <w:link w:val="40"/>
    <w:qFormat/>
    <w:uiPriority w:val="0"/>
    <w:pPr>
      <w:wordWrap w:val="0"/>
      <w:adjustRightInd w:val="0"/>
      <w:snapToGrid w:val="0"/>
      <w:spacing w:line="240" w:lineRule="auto"/>
      <w:ind w:firstLine="0" w:firstLineChars="0"/>
      <w:jc w:val="center"/>
    </w:pPr>
    <w:rPr>
      <w:rFonts w:ascii="Times New Roman" w:hAnsi="Times New Roman" w:eastAsia="宋体"/>
      <w:kern w:val="0"/>
      <w:sz w:val="21"/>
      <w:szCs w:val="21"/>
    </w:rPr>
  </w:style>
  <w:style w:type="character" w:customStyle="1" w:styleId="40">
    <w:name w:val="表格 Char"/>
    <w:link w:val="39"/>
    <w:qFormat/>
    <w:locked/>
    <w:uiPriority w:val="0"/>
    <w:rPr>
      <w:rFonts w:ascii="Times New Roman" w:hAnsi="Times New Roman" w:eastAsia="宋体"/>
      <w:sz w:val="21"/>
    </w:rPr>
  </w:style>
  <w:style w:type="character" w:customStyle="1" w:styleId="41">
    <w:name w:val="标题 1 Char"/>
    <w:link w:val="2"/>
    <w:qFormat/>
    <w:uiPriority w:val="0"/>
    <w:rPr>
      <w:rFonts w:ascii="Times New Roman" w:hAnsi="Times New Roman" w:eastAsia="黑体" w:cs="Times New Roman"/>
      <w:bCs/>
      <w:color w:val="000000"/>
      <w:kern w:val="44"/>
      <w:sz w:val="24"/>
      <w:szCs w:val="30"/>
      <w:lang w:val="en-US" w:eastAsia="zh-CN" w:bidi="ar-SA"/>
    </w:rPr>
  </w:style>
  <w:style w:type="character" w:customStyle="1" w:styleId="42">
    <w:name w:val="标题 3 Char"/>
    <w:link w:val="4"/>
    <w:qFormat/>
    <w:uiPriority w:val="1"/>
    <w:rPr>
      <w:rFonts w:ascii="Times New Roman" w:hAnsi="Times New Roman" w:eastAsia="黑体" w:cs="宋体"/>
      <w:bCs/>
      <w:kern w:val="2"/>
      <w:sz w:val="30"/>
      <w:szCs w:val="28"/>
      <w:lang w:val="en-US" w:eastAsia="zh-CN" w:bidi="ar-SA"/>
    </w:rPr>
  </w:style>
  <w:style w:type="character" w:customStyle="1" w:styleId="43">
    <w:name w:val="标题 4 Char"/>
    <w:link w:val="5"/>
    <w:qFormat/>
    <w:uiPriority w:val="1"/>
    <w:rPr>
      <w:rFonts w:ascii="Times New Roman" w:hAnsi="Times New Roman" w:eastAsia="Times New Roman" w:cs="Times New Roman"/>
      <w:b/>
      <w:bCs/>
      <w:sz w:val="28"/>
      <w:szCs w:val="28"/>
    </w:rPr>
  </w:style>
  <w:style w:type="character" w:customStyle="1" w:styleId="44">
    <w:name w:val="批注文字 字符"/>
    <w:link w:val="11"/>
    <w:qFormat/>
    <w:locked/>
    <w:uiPriority w:val="0"/>
    <w:rPr>
      <w:rFonts w:ascii="Times New Roman" w:hAnsi="Times New Roman" w:eastAsia="宋体"/>
      <w:sz w:val="24"/>
    </w:rPr>
  </w:style>
  <w:style w:type="character" w:customStyle="1" w:styleId="45">
    <w:name w:val="正文文本 字符"/>
    <w:link w:val="12"/>
    <w:qFormat/>
    <w:locked/>
    <w:uiPriority w:val="0"/>
    <w:rPr>
      <w:sz w:val="18"/>
    </w:rPr>
  </w:style>
  <w:style w:type="character" w:customStyle="1" w:styleId="46">
    <w:name w:val="正文文本缩进 字符"/>
    <w:link w:val="10"/>
    <w:semiHidden/>
    <w:qFormat/>
    <w:locked/>
    <w:uiPriority w:val="0"/>
    <w:rPr>
      <w:rFonts w:ascii="Times New Roman" w:hAnsi="Times New Roman" w:eastAsia="宋体" w:cs="Times New Roman"/>
      <w:sz w:val="24"/>
      <w:szCs w:val="24"/>
    </w:rPr>
  </w:style>
  <w:style w:type="paragraph" w:customStyle="1" w:styleId="47">
    <w:name w:val="样式 正文文本缩进 + 行距: 1.5 倍行距"/>
    <w:basedOn w:val="1"/>
    <w:qFormat/>
    <w:uiPriority w:val="0"/>
    <w:pPr>
      <w:spacing w:after="120" w:line="360" w:lineRule="auto"/>
      <w:ind w:left="90" w:leftChars="32" w:firstLine="560" w:firstLineChars="200"/>
    </w:pPr>
    <w:rPr>
      <w:rFonts w:cs="宋体"/>
    </w:rPr>
  </w:style>
  <w:style w:type="character" w:customStyle="1" w:styleId="48">
    <w:name w:val="日期 字符1"/>
    <w:link w:val="16"/>
    <w:qFormat/>
    <w:locked/>
    <w:uiPriority w:val="0"/>
    <w:rPr>
      <w:rFonts w:ascii="Times New Roman" w:hAnsi="Times New Roman" w:eastAsia="宋体"/>
      <w:sz w:val="24"/>
    </w:rPr>
  </w:style>
  <w:style w:type="character" w:customStyle="1" w:styleId="49">
    <w:name w:val="批注框文本 字符"/>
    <w:link w:val="17"/>
    <w:semiHidden/>
    <w:qFormat/>
    <w:locked/>
    <w:uiPriority w:val="0"/>
    <w:rPr>
      <w:rFonts w:ascii="Times New Roman" w:hAnsi="Times New Roman" w:eastAsia="宋体" w:cs="Times New Roman"/>
      <w:sz w:val="18"/>
      <w:szCs w:val="18"/>
    </w:rPr>
  </w:style>
  <w:style w:type="character" w:customStyle="1" w:styleId="50">
    <w:name w:val="页脚 字符"/>
    <w:link w:val="18"/>
    <w:qFormat/>
    <w:locked/>
    <w:uiPriority w:val="99"/>
    <w:rPr>
      <w:rFonts w:cs="Times New Roman"/>
      <w:sz w:val="18"/>
      <w:szCs w:val="18"/>
    </w:rPr>
  </w:style>
  <w:style w:type="character" w:customStyle="1" w:styleId="51">
    <w:name w:val="页眉 字符"/>
    <w:link w:val="19"/>
    <w:qFormat/>
    <w:locked/>
    <w:uiPriority w:val="0"/>
    <w:rPr>
      <w:rFonts w:cs="Times New Roman"/>
      <w:sz w:val="18"/>
      <w:szCs w:val="18"/>
    </w:rPr>
  </w:style>
  <w:style w:type="character" w:customStyle="1" w:styleId="52">
    <w:name w:val="普通(网站) 字符"/>
    <w:link w:val="24"/>
    <w:qFormat/>
    <w:locked/>
    <w:uiPriority w:val="0"/>
    <w:rPr>
      <w:rFonts w:ascii="宋体" w:hAnsi="宋体" w:eastAsia="宋体"/>
      <w:sz w:val="24"/>
    </w:rPr>
  </w:style>
  <w:style w:type="character" w:customStyle="1" w:styleId="53">
    <w:name w:val="批注主题 字符"/>
    <w:link w:val="26"/>
    <w:semiHidden/>
    <w:qFormat/>
    <w:locked/>
    <w:uiPriority w:val="0"/>
    <w:rPr>
      <w:rFonts w:cs="Times New Roman"/>
      <w:b/>
      <w:bCs/>
      <w:kern w:val="2"/>
      <w:szCs w:val="24"/>
    </w:rPr>
  </w:style>
  <w:style w:type="paragraph" w:customStyle="1" w:styleId="54">
    <w:name w:val="Normal Indent1"/>
    <w:basedOn w:val="1"/>
    <w:qFormat/>
    <w:uiPriority w:val="0"/>
    <w:pPr>
      <w:spacing w:line="600" w:lineRule="exact"/>
      <w:ind w:firstLine="420"/>
    </w:pPr>
    <w:rPr>
      <w:rFonts w:ascii="宋体"/>
      <w:sz w:val="32"/>
      <w:szCs w:val="20"/>
    </w:rPr>
  </w:style>
  <w:style w:type="paragraph" w:customStyle="1" w:styleId="55">
    <w:name w:val="表头"/>
    <w:basedOn w:val="22"/>
    <w:next w:val="1"/>
    <w:qFormat/>
    <w:uiPriority w:val="0"/>
    <w:pPr>
      <w:adjustRightInd w:val="0"/>
      <w:snapToGrid w:val="0"/>
      <w:spacing w:beforeLines="25"/>
      <w:jc w:val="center"/>
      <w:textAlignment w:val="baseline"/>
    </w:pPr>
    <w:rPr>
      <w:rFonts w:hAnsi="宋体" w:eastAsia="仿宋_GB2312"/>
      <w:b/>
      <w:kern w:val="0"/>
      <w:sz w:val="28"/>
      <w:szCs w:val="28"/>
    </w:rPr>
  </w:style>
  <w:style w:type="paragraph" w:customStyle="1" w:styleId="56">
    <w:name w:val="正文."/>
    <w:basedOn w:val="1"/>
    <w:qFormat/>
    <w:uiPriority w:val="0"/>
  </w:style>
  <w:style w:type="paragraph" w:customStyle="1" w:styleId="57">
    <w:name w:val="正文（首行缩进两字）"/>
    <w:basedOn w:val="1"/>
    <w:qFormat/>
    <w:uiPriority w:val="0"/>
    <w:pPr>
      <w:ind w:firstLine="420"/>
    </w:pPr>
    <w:rPr>
      <w:sz w:val="28"/>
      <w:szCs w:val="21"/>
    </w:rPr>
  </w:style>
  <w:style w:type="character" w:customStyle="1" w:styleId="58">
    <w:name w:val="正文文本 字符1"/>
    <w:semiHidden/>
    <w:qFormat/>
    <w:uiPriority w:val="0"/>
    <w:rPr>
      <w:rFonts w:ascii="Times New Roman" w:hAnsi="Times New Roman" w:eastAsia="宋体" w:cs="Times New Roman"/>
      <w:sz w:val="24"/>
      <w:szCs w:val="24"/>
    </w:rPr>
  </w:style>
  <w:style w:type="character" w:customStyle="1" w:styleId="59">
    <w:name w:val="日期 字符"/>
    <w:semiHidden/>
    <w:qFormat/>
    <w:uiPriority w:val="0"/>
    <w:rPr>
      <w:rFonts w:ascii="Times New Roman" w:hAnsi="Times New Roman" w:eastAsia="宋体" w:cs="Times New Roman"/>
      <w:sz w:val="24"/>
      <w:szCs w:val="24"/>
    </w:rPr>
  </w:style>
  <w:style w:type="character" w:customStyle="1" w:styleId="60">
    <w:name w:val="普通(网站) Char"/>
    <w:qFormat/>
    <w:locked/>
    <w:uiPriority w:val="0"/>
    <w:rPr>
      <w:rFonts w:ascii="宋体" w:hAnsi="宋体" w:eastAsia="宋体"/>
      <w:sz w:val="24"/>
    </w:rPr>
  </w:style>
  <w:style w:type="character" w:customStyle="1" w:styleId="61">
    <w:name w:val="批注文字 字符1"/>
    <w:semiHidden/>
    <w:qFormat/>
    <w:uiPriority w:val="0"/>
    <w:rPr>
      <w:rFonts w:ascii="Times New Roman" w:hAnsi="Times New Roman" w:eastAsia="宋体" w:cs="Times New Roman"/>
      <w:sz w:val="24"/>
      <w:szCs w:val="24"/>
    </w:rPr>
  </w:style>
  <w:style w:type="paragraph" w:customStyle="1" w:styleId="6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3">
    <w:name w:val="报告表标题1"/>
    <w:basedOn w:val="1"/>
    <w:qFormat/>
    <w:uiPriority w:val="0"/>
    <w:pPr>
      <w:adjustRightInd w:val="0"/>
    </w:pPr>
    <w:rPr>
      <w:rFonts w:ascii="Calibri" w:hAnsi="Calibri" w:eastAsia="黑体"/>
    </w:rPr>
  </w:style>
  <w:style w:type="paragraph" w:customStyle="1" w:styleId="64">
    <w:name w:val="Table Paragraph"/>
    <w:basedOn w:val="1"/>
    <w:qFormat/>
    <w:uiPriority w:val="1"/>
    <w:pPr>
      <w:jc w:val="center"/>
    </w:pPr>
    <w:rPr>
      <w:rFonts w:ascii="Times New Roman" w:hAnsi="Times New Roman" w:eastAsia="Times New Roman" w:cs="Times New Roman"/>
    </w:rPr>
  </w:style>
  <w:style w:type="paragraph" w:styleId="65">
    <w:name w:val="List Paragraph"/>
    <w:basedOn w:val="1"/>
    <w:qFormat/>
    <w:uiPriority w:val="1"/>
    <w:pPr>
      <w:ind w:left="956" w:hanging="197"/>
    </w:pPr>
    <w:rPr>
      <w:rFonts w:ascii="宋体" w:hAnsi="宋体" w:eastAsia="宋体" w:cs="宋体"/>
    </w:rPr>
  </w:style>
  <w:style w:type="paragraph" w:customStyle="1" w:styleId="66">
    <w:name w:val="环评送审"/>
    <w:basedOn w:val="1"/>
    <w:qFormat/>
    <w:uiPriority w:val="0"/>
    <w:pPr>
      <w:spacing w:line="360" w:lineRule="auto"/>
      <w:ind w:firstLine="480" w:firstLineChars="200"/>
      <w:jc w:val="left"/>
    </w:pPr>
    <w:rPr>
      <w:rFonts w:ascii="仿宋_GB2312" w:eastAsia="仿宋_GB2312"/>
      <w:sz w:val="24"/>
      <w:szCs w:val="20"/>
    </w:rPr>
  </w:style>
  <w:style w:type="paragraph" w:customStyle="1" w:styleId="67">
    <w:name w:val="【正文】"/>
    <w:basedOn w:val="1"/>
    <w:qFormat/>
    <w:uiPriority w:val="0"/>
    <w:pPr>
      <w:spacing w:line="440" w:lineRule="exact"/>
      <w:ind w:firstLine="544"/>
    </w:pPr>
    <w:rPr>
      <w:rFonts w:cs="宋体"/>
      <w:sz w:val="24"/>
      <w:szCs w:val="20"/>
    </w:rPr>
  </w:style>
  <w:style w:type="paragraph" w:customStyle="1" w:styleId="68">
    <w:name w:val="正文120"/>
    <w:basedOn w:val="1"/>
    <w:qFormat/>
    <w:uiPriority w:val="0"/>
    <w:pPr>
      <w:spacing w:line="360" w:lineRule="auto"/>
      <w:ind w:firstLine="720" w:firstLineChars="200"/>
    </w:pPr>
    <w:rPr>
      <w:rFonts w:ascii="Times New Roman" w:hAnsi="Times New Roman" w:eastAsia="宋体"/>
      <w:sz w:val="24"/>
      <w:szCs w:val="24"/>
    </w:rPr>
  </w:style>
  <w:style w:type="paragraph" w:customStyle="1" w:styleId="69">
    <w:name w:val="p15"/>
    <w:basedOn w:val="1"/>
    <w:qFormat/>
    <w:uiPriority w:val="0"/>
    <w:pPr>
      <w:widowControl/>
      <w:snapToGrid w:val="0"/>
      <w:jc w:val="left"/>
    </w:pPr>
    <w:rPr>
      <w:color w:val="000000"/>
      <w:kern w:val="0"/>
      <w:sz w:val="24"/>
    </w:rPr>
  </w:style>
  <w:style w:type="character" w:customStyle="1" w:styleId="70">
    <w:name w:val="font11"/>
    <w:qFormat/>
    <w:uiPriority w:val="0"/>
    <w:rPr>
      <w:rFonts w:ascii="宋体" w:hAnsi="宋体" w:eastAsia="宋体" w:cs="宋体"/>
      <w:b/>
      <w:bCs/>
      <w:color w:val="000000"/>
      <w:sz w:val="22"/>
      <w:szCs w:val="22"/>
      <w:u w:val="none"/>
    </w:rPr>
  </w:style>
  <w:style w:type="character" w:customStyle="1" w:styleId="71">
    <w:name w:val="font51"/>
    <w:qFormat/>
    <w:uiPriority w:val="0"/>
    <w:rPr>
      <w:rFonts w:ascii="宋体" w:hAnsi="宋体" w:eastAsia="宋体" w:cs="宋体"/>
      <w:color w:val="000000"/>
      <w:sz w:val="22"/>
      <w:szCs w:val="22"/>
      <w:u w:val="none"/>
    </w:rPr>
  </w:style>
  <w:style w:type="character" w:customStyle="1" w:styleId="72">
    <w:name w:val="font41"/>
    <w:qFormat/>
    <w:uiPriority w:val="0"/>
    <w:rPr>
      <w:rFonts w:hint="default" w:ascii="Times New Roman" w:hAnsi="Times New Roman" w:cs="Times New Roman"/>
      <w:color w:val="000000"/>
      <w:sz w:val="22"/>
      <w:szCs w:val="22"/>
      <w:u w:val="none"/>
    </w:rPr>
  </w:style>
  <w:style w:type="character" w:customStyle="1" w:styleId="73">
    <w:name w:val="font91"/>
    <w:qFormat/>
    <w:uiPriority w:val="0"/>
    <w:rPr>
      <w:rFonts w:hint="default" w:ascii="Times New Roman" w:hAnsi="Times New Roman" w:cs="Times New Roman"/>
      <w:color w:val="000000"/>
      <w:sz w:val="22"/>
      <w:szCs w:val="22"/>
      <w:u w:val="none"/>
      <w:vertAlign w:val="superscript"/>
    </w:rPr>
  </w:style>
  <w:style w:type="character" w:customStyle="1" w:styleId="74">
    <w:name w:val="font101"/>
    <w:qFormat/>
    <w:uiPriority w:val="0"/>
    <w:rPr>
      <w:rFonts w:hint="default" w:ascii="Times New Roman" w:hAnsi="Times New Roman" w:cs="Times New Roman"/>
      <w:color w:val="000000"/>
      <w:sz w:val="22"/>
      <w:szCs w:val="22"/>
      <w:u w:val="none"/>
    </w:rPr>
  </w:style>
  <w:style w:type="character" w:customStyle="1" w:styleId="75">
    <w:name w:val="font112"/>
    <w:qFormat/>
    <w:uiPriority w:val="0"/>
    <w:rPr>
      <w:rFonts w:hint="default" w:ascii="Times New Roman" w:hAnsi="Times New Roman" w:cs="Times New Roman"/>
      <w:color w:val="000000"/>
      <w:sz w:val="22"/>
      <w:szCs w:val="22"/>
      <w:u w:val="none"/>
      <w:vertAlign w:val="superscript"/>
    </w:rPr>
  </w:style>
  <w:style w:type="character" w:customStyle="1" w:styleId="76">
    <w:name w:val="font121"/>
    <w:qFormat/>
    <w:uiPriority w:val="0"/>
    <w:rPr>
      <w:rFonts w:hint="default" w:ascii="Times New Roman" w:hAnsi="Times New Roman" w:cs="Times New Roman"/>
      <w:color w:val="FF0000"/>
      <w:sz w:val="22"/>
      <w:szCs w:val="22"/>
      <w:u w:val="none"/>
      <w:vertAlign w:val="superscript"/>
    </w:rPr>
  </w:style>
  <w:style w:type="character" w:customStyle="1" w:styleId="77">
    <w:name w:val="font01"/>
    <w:qFormat/>
    <w:uiPriority w:val="0"/>
    <w:rPr>
      <w:rFonts w:hint="eastAsia" w:ascii="宋体" w:hAnsi="宋体" w:eastAsia="宋体" w:cs="宋体"/>
      <w:color w:val="FF0000"/>
      <w:sz w:val="22"/>
      <w:szCs w:val="22"/>
      <w:u w:val="none"/>
    </w:rPr>
  </w:style>
  <w:style w:type="character" w:customStyle="1" w:styleId="78">
    <w:name w:val="font21"/>
    <w:qFormat/>
    <w:uiPriority w:val="0"/>
    <w:rPr>
      <w:rFonts w:hint="eastAsia" w:ascii="宋体" w:hAnsi="宋体" w:eastAsia="宋体" w:cs="宋体"/>
      <w:b/>
      <w:bCs/>
      <w:color w:val="000000"/>
      <w:sz w:val="21"/>
      <w:szCs w:val="21"/>
      <w:u w:val="none"/>
    </w:rPr>
  </w:style>
  <w:style w:type="character" w:customStyle="1" w:styleId="79">
    <w:name w:val="font71"/>
    <w:qFormat/>
    <w:uiPriority w:val="0"/>
    <w:rPr>
      <w:rFonts w:hint="default" w:ascii="Times New Roman" w:hAnsi="Times New Roman" w:cs="Times New Roman"/>
      <w:color w:val="000000"/>
      <w:sz w:val="21"/>
      <w:szCs w:val="21"/>
      <w:u w:val="none"/>
      <w:vertAlign w:val="subscript"/>
    </w:rPr>
  </w:style>
  <w:style w:type="character" w:customStyle="1" w:styleId="80">
    <w:name w:val="font61"/>
    <w:qFormat/>
    <w:uiPriority w:val="0"/>
    <w:rPr>
      <w:rFonts w:hint="default" w:ascii="Times New Roman" w:hAnsi="Times New Roman" w:cs="Times New Roman"/>
      <w:color w:val="000000"/>
      <w:sz w:val="21"/>
      <w:szCs w:val="21"/>
      <w:u w:val="none"/>
      <w:vertAlign w:val="superscript"/>
    </w:rPr>
  </w:style>
  <w:style w:type="character" w:customStyle="1" w:styleId="81">
    <w:name w:val="font31"/>
    <w:qFormat/>
    <w:uiPriority w:val="0"/>
    <w:rPr>
      <w:rFonts w:hint="default" w:ascii="Times New Roman" w:hAnsi="Times New Roman" w:cs="Times New Roman"/>
      <w:color w:val="000000"/>
      <w:sz w:val="20"/>
      <w:szCs w:val="20"/>
      <w:u w:val="none"/>
    </w:rPr>
  </w:style>
  <w:style w:type="paragraph" w:customStyle="1" w:styleId="82">
    <w:name w:val="_Style 78"/>
    <w:unhideWhenUsed/>
    <w:qFormat/>
    <w:uiPriority w:val="99"/>
    <w:rPr>
      <w:rFonts w:ascii="Times New Roman" w:hAnsi="Times New Roman" w:eastAsia="宋体" w:cs="Times New Roman"/>
      <w:kern w:val="2"/>
      <w:sz w:val="21"/>
      <w:szCs w:val="24"/>
      <w:lang w:val="en-US" w:eastAsia="zh-CN" w:bidi="ar-SA"/>
    </w:rPr>
  </w:style>
  <w:style w:type="table" w:customStyle="1" w:styleId="83">
    <w:name w:val="Table Normal"/>
    <w:unhideWhenUsed/>
    <w:qFormat/>
    <w:uiPriority w:val="0"/>
    <w:tblPr>
      <w:tblCellMar>
        <w:top w:w="0" w:type="dxa"/>
        <w:left w:w="0" w:type="dxa"/>
        <w:bottom w:w="0" w:type="dxa"/>
        <w:right w:w="0" w:type="dxa"/>
      </w:tblCellMar>
    </w:tblPr>
  </w:style>
  <w:style w:type="paragraph" w:customStyle="1" w:styleId="84">
    <w:name w:val="表格001"/>
    <w:basedOn w:val="1"/>
    <w:next w:val="1"/>
    <w:qFormat/>
    <w:uiPriority w:val="0"/>
    <w:pPr>
      <w:adjustRightInd w:val="0"/>
      <w:snapToGrid w:val="0"/>
      <w:jc w:val="center"/>
    </w:pPr>
    <w:rPr>
      <w:rFonts w:ascii="Calibri" w:hAnsi="Calibri" w:eastAsia="宋体" w:cs="Times New Roman"/>
      <w:szCs w:val="21"/>
    </w:rPr>
  </w:style>
  <w:style w:type="paragraph" w:customStyle="1" w:styleId="85">
    <w:name w:val="Table Text"/>
    <w:basedOn w:val="1"/>
    <w:semiHidden/>
    <w:qFormat/>
    <w:uiPriority w:val="0"/>
    <w:rPr>
      <w:rFonts w:ascii="宋体" w:hAnsi="宋体" w:eastAsia="宋体" w:cs="宋体"/>
      <w:sz w:val="20"/>
      <w:szCs w:val="20"/>
      <w:lang w:val="en-US" w:eastAsia="en-US" w:bidi="ar-SA"/>
    </w:rPr>
  </w:style>
  <w:style w:type="character" w:customStyle="1" w:styleId="86">
    <w:name w:val="标题 5 Char"/>
    <w:link w:val="6"/>
    <w:qFormat/>
    <w:uiPriority w:val="0"/>
    <w:rPr>
      <w:rFonts w:ascii="Times New Roman" w:hAnsi="Times New Roman" w:eastAsia="黑体"/>
    </w:rPr>
  </w:style>
  <w:style w:type="paragraph" w:customStyle="1" w:styleId="87">
    <w:name w:val="图表标题"/>
    <w:basedOn w:val="1"/>
    <w:qFormat/>
    <w:uiPriority w:val="0"/>
    <w:pPr>
      <w:spacing w:line="360" w:lineRule="auto"/>
      <w:ind w:left="0" w:firstLine="0" w:firstLineChars="0"/>
      <w:jc w:val="center"/>
    </w:pPr>
    <w:rPr>
      <w:rFonts w:ascii="Times New Roman" w:hAnsi="Times New Roman" w:eastAsia="黑体" w:cs="Times New Roman"/>
      <w:bCs/>
      <w:sz w:val="24"/>
      <w:szCs w:val="24"/>
    </w:rPr>
  </w:style>
  <w:style w:type="paragraph" w:customStyle="1" w:styleId="88">
    <w:name w:val="正文（resuli）"/>
    <w:basedOn w:val="1"/>
    <w:qFormat/>
    <w:uiPriority w:val="0"/>
    <w:pPr>
      <w:spacing w:line="360" w:lineRule="auto"/>
      <w:ind w:firstLine="720" w:firstLineChars="200"/>
    </w:pPr>
    <w:rPr>
      <w:rFonts w:ascii="Times New Roman" w:hAnsi="Times New Roman" w:eastAsia="宋体" w:cs="Times New Roman"/>
      <w:sz w:val="24"/>
    </w:rPr>
  </w:style>
  <w:style w:type="paragraph" w:customStyle="1" w:styleId="89">
    <w:name w:val="表格文本（resuli）"/>
    <w:basedOn w:val="1"/>
    <w:qFormat/>
    <w:uiPriority w:val="0"/>
    <w:pPr>
      <w:snapToGrid w:val="0"/>
      <w:spacing w:line="240" w:lineRule="auto"/>
      <w:ind w:firstLine="0" w:firstLineChars="0"/>
      <w:jc w:val="center"/>
    </w:pPr>
    <w:rPr>
      <w:rFonts w:hint="default" w:ascii="Times New Roman" w:hAnsi="Times New Roman"/>
      <w:sz w:val="21"/>
    </w:rPr>
  </w:style>
  <w:style w:type="paragraph" w:customStyle="1" w:styleId="90">
    <w:name w:val="环评正文"/>
    <w:basedOn w:val="1"/>
    <w:next w:val="1"/>
    <w:qFormat/>
    <w:uiPriority w:val="0"/>
    <w:pPr>
      <w:widowControl/>
      <w:adjustRightInd w:val="0"/>
      <w:spacing w:line="360" w:lineRule="auto"/>
      <w:ind w:firstLine="200" w:firstLineChars="200"/>
      <w:jc w:val="left"/>
    </w:pPr>
    <w:rPr>
      <w:rFonts w:ascii="仿宋_GB2312" w:eastAsia="仿宋_GB2312"/>
      <w:bCs/>
      <w:sz w:val="24"/>
    </w:rPr>
  </w:style>
  <w:style w:type="paragraph" w:customStyle="1" w:styleId="91">
    <w:name w:val="Body Text First Indent 21"/>
    <w:basedOn w:val="10"/>
    <w:qFormat/>
    <w:uiPriority w:val="0"/>
    <w:pPr>
      <w:ind w:firstLine="420" w:firstLineChars="200"/>
    </w:pPr>
  </w:style>
  <w:style w:type="paragraph" w:customStyle="1" w:styleId="92">
    <w:name w:val="表题"/>
    <w:basedOn w:val="1"/>
    <w:qFormat/>
    <w:uiPriority w:val="0"/>
    <w:pPr>
      <w:spacing w:line="0" w:lineRule="atLeast"/>
      <w:jc w:val="center"/>
    </w:pPr>
    <w:rPr>
      <w:rFonts w:hint="eastAsia" w:ascii="Times New Roman" w:hAnsi="Times New Roman" w:eastAsia="黑体"/>
      <w:kern w:val="0"/>
    </w:rPr>
  </w:style>
  <w:style w:type="paragraph" w:customStyle="1" w:styleId="93">
    <w:name w:val="【LY表格】"/>
    <w:basedOn w:val="1"/>
    <w:qFormat/>
    <w:uiPriority w:val="0"/>
    <w:pPr>
      <w:adjustRightInd w:val="0"/>
      <w:snapToGrid w:val="0"/>
      <w:spacing w:line="0" w:lineRule="atLeast"/>
      <w:ind w:firstLine="0" w:firstLineChars="0"/>
      <w:jc w:val="both"/>
    </w:pPr>
    <w:rPr>
      <w:sz w:val="21"/>
      <w:szCs w:val="21"/>
    </w:rPr>
  </w:style>
  <w:style w:type="paragraph" w:customStyle="1" w:styleId="94">
    <w:name w:val="表格表头（resuli）"/>
    <w:basedOn w:val="1"/>
    <w:qFormat/>
    <w:uiPriority w:val="0"/>
    <w:pPr>
      <w:snapToGrid w:val="0"/>
      <w:spacing w:line="240" w:lineRule="auto"/>
      <w:ind w:firstLine="0" w:firstLineChars="0"/>
      <w:jc w:val="center"/>
    </w:pPr>
    <w:rPr>
      <w:rFonts w:hint="eastAsia" w:ascii="Times New Roman" w:hAnsi="Times New Roman" w:eastAsia="宋体"/>
      <w:b/>
      <w:sz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6e17e2d7-26c9-4c96-8592-1653d4510d77</errorID>
      <errorWord>宁夏回族自治区省</errorWord>
      <group>L1_Word</group>
      <groupName>字词问题</groupName>
      <ability>L2_Typo</ability>
      <abilityName>字词错误</abilityName>
      <candidateList>
        <item>宁夏回族自治区</item>
      </candidateList>
      <explain/>
      <paraID>168286DC</paraID>
      <start>0</start>
      <end>8</end>
      <status>unmodified</status>
      <modifiedWord/>
      <trackRevisions>false</trackRevisions>
    </reviewItem>
    <reviewItem>
      <errorID>8434f777-cf51-4a3c-8220-4a733d3210e5</errorID>
      <errorWord>(</errorWord>
      <group>L1_Format</group>
      <groupName>格式问题</groupName>
      <ability>L2_HalfPunc</ability>
      <abilityName>全半角检查</abilityName>
      <candidateList>
        <item>（</item>
      </candidateList>
      <explain>文本全半角错误。</explain>
      <paraID>447419C0</paraID>
      <start>19</start>
      <end>20</end>
      <status>unmodified</status>
      <modifiedWord/>
      <trackRevisions>false</trackRevisions>
    </reviewItem>
    <reviewItem>
      <errorID>c4cd3d08-06ac-4a0d-b90a-9a3df3f1f64a</errorID>
      <errorWord>)</errorWord>
      <group>L1_Format</group>
      <groupName>格式问题</groupName>
      <ability>L2_HalfPunc</ability>
      <abilityName>全半角检查</abilityName>
      <candidateList>
        <item>）</item>
      </candidateList>
      <explain>文本全半角错误。</explain>
      <paraID>447419C0</paraID>
      <start>28</start>
      <end>29</end>
      <status>unmodified</status>
      <modifiedWord/>
      <trackRevisions>false</trackRevisions>
    </reviewItem>
    <reviewItem>
      <errorID>b1670e72-8c64-4dc4-9b1e-9829450d23eb</errorID>
      <errorWord>(</errorWord>
      <group>L1_Format</group>
      <groupName>格式问题</groupName>
      <ability>L2_HalfPunc</ability>
      <abilityName>全半角检查</abilityName>
      <candidateList>
        <item>（</item>
      </candidateList>
      <explain>文本全半角错误。</explain>
      <paraID>16C88E0C</paraID>
      <start>4</start>
      <end>5</end>
      <status>unmodified</status>
      <modifiedWord/>
      <trackRevisions>false</trackRevisions>
    </reviewItem>
    <reviewItem>
      <errorID>b36c3211-9a7e-4bba-ac00-5d788781300b</errorID>
      <errorWord>)</errorWord>
      <group>L1_Format</group>
      <groupName>格式问题</groupName>
      <ability>L2_HalfPunc</ability>
      <abilityName>全半角检查</abilityName>
      <candidateList>
        <item>）</item>
      </candidateList>
      <explain>文本全半角错误。</explain>
      <paraID>16C88E0C</paraID>
      <start>7</start>
      <end>8</end>
      <status>unmodified</status>
      <modifiedWord/>
      <trackRevisions>false</trackRevisions>
    </reviewItem>
    <reviewItem>
      <errorID>48636399-9c4f-4811-803c-9c7ea1de864a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4DFC432C</paraID>
      <start>0</start>
      <end>2</end>
      <status>unmodified</status>
      <modifiedWord/>
      <trackRevisions>false</trackRevisions>
    </reviewItem>
    <reviewItem>
      <errorID>aa4a3bda-e25b-4ba9-b681-46719353ff01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4DFC432C</paraID>
      <start>34</start>
      <end>35</end>
      <status>unmodified</status>
      <modifiedWord/>
      <trackRevisions>false</trackRevisions>
    </reviewItem>
    <reviewItem>
      <errorID>c2f01bf6-fedb-42d3-8667-eb7f6621912f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EFF9085</paraID>
      <start>50</start>
      <end>51</end>
      <status>unmodified</status>
      <modifiedWord/>
      <trackRevisions>false</trackRevisions>
    </reviewItem>
    <reviewItem>
      <errorID>ff311280-18bf-4353-99ef-b1d80719bebb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7109160</paraID>
      <start>0</start>
      <end>2</end>
      <status>unmodified</status>
      <modifiedWord/>
      <trackRevisions>false</trackRevisions>
    </reviewItem>
    <reviewItem>
      <errorID>62cea6cf-6016-4378-a854-61732b6e5523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7109160</paraID>
      <start>32</start>
      <end>33</end>
      <status>unmodified</status>
      <modifiedWord/>
      <trackRevisions>false</trackRevisions>
    </reviewItem>
    <reviewItem>
      <errorID>39db6ecb-8f91-4d8e-a2da-24c1a9e7d18a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1B3C5D9F</paraID>
      <start>27</start>
      <end>28</end>
      <status>unmodified</status>
      <modifiedWord/>
      <trackRevisions>false</trackRevisions>
    </reviewItem>
    <reviewItem>
      <errorID>659af97f-6903-4fde-bfa8-3e9becc582e9</errorID>
      <errorWord>当前和今后一段时期</errorWord>
      <group>L1_Political</group>
      <groupName>政治性问题</groupName>
      <ability>L2_Keyword</ability>
      <abilityName>固定表述</abilityName>
      <candidateList>
        <item>当前和今后一个时期</item>
      </candidateList>
      <explain>词汇“当前和今后一个时期”在特定场景下为固定表述形式，请确认此处的“当前和今后一段时期”是否存在不当。</explain>
      <paraID>1B3C5D9F</paraID>
      <start>142</start>
      <end>151</end>
      <status>unmodified</status>
      <modifiedWord/>
      <trackRevisions>false</trackRevisions>
    </reviewItem>
    <reviewItem>
      <errorID>4ed8f501-4bf6-479b-93f0-95fcc1845ac6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61361FC</paraID>
      <start>101</start>
      <end>102</end>
      <status>unmodified</status>
      <modifiedWord/>
      <trackRevisions>false</trackRevisions>
    </reviewItem>
    <reviewItem>
      <errorID>ad0445c0-de36-4257-8f67-18988d84beb6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1F6EDEA1</paraID>
      <start>0</start>
      <end>2</end>
      <status>unmodified</status>
      <modifiedWord/>
      <trackRevisions>false</trackRevisions>
    </reviewItem>
    <reviewItem>
      <errorID>da0c3382-d016-4411-8d7a-1ca5807a9b77</errorID>
      <errorWord>(</errorWord>
      <group>L1_Format</group>
      <groupName>格式问题</groupName>
      <ability>L2_HalfPunc</ability>
      <abilityName>全半角检查</abilityName>
      <candidateList>
        <item>（</item>
      </candidateList>
      <explain>文本全半角错误。</explain>
      <paraID>2297980A</paraID>
      <start>164</start>
      <end>165</end>
      <status>unmodified</status>
      <modifiedWord/>
      <trackRevisions>false</trackRevisions>
    </reviewItem>
    <reviewItem>
      <errorID>7654707f-4e4a-45be-b6d0-575fbba9621f</errorID>
      <errorWord>)</errorWord>
      <group>L1_Format</group>
      <groupName>格式问题</groupName>
      <ability>L2_HalfPunc</ability>
      <abilityName>全半角检查</abilityName>
      <candidateList>
        <item>）</item>
      </candidateList>
      <explain>文本全半角错误。</explain>
      <paraID>2297980A</paraID>
      <start>167</start>
      <end>168</end>
      <status>unmodified</status>
      <modifiedWord/>
      <trackRevisions>false</trackRevisions>
    </reviewItem>
    <reviewItem>
      <errorID>8620c27b-7c89-4077-8226-e51cdd2855d9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51051575</paraID>
      <start>0</start>
      <end>2</end>
      <status>unmodified</status>
      <modifiedWord/>
      <trackRevisions>false</trackRevisions>
    </reviewItem>
    <reviewItem>
      <errorID>6930fc14-6fe5-4956-9158-28702da73c53</errorID>
      <errorWord>&lt;</errorWord>
      <group>L1_Format</group>
      <groupName>格式问题</groupName>
      <ability>L2_HalfPunc</ability>
      <abilityName>全半角检查</abilityName>
      <candidateList>
        <item>〈</item>
      </candidateList>
      <explain>文本全半角错误。</explain>
      <paraID>375088D3</paraID>
      <start>15</start>
      <end>16</end>
      <status>unmodified</status>
      <modifiedWord/>
      <trackRevisions>false</trackRevisions>
    </reviewItem>
    <reviewItem>
      <errorID>0b823bfa-abac-4970-84dd-9741ff3da216</errorID>
      <errorWord>&gt;的通知》</errorWord>
      <group>L1_Punc</group>
      <groupName>标点问题</groupName>
      <ability>L2_Punc</ability>
      <abilityName>标点符号检查</abilityName>
      <candidateList>
        <item>〉的通知》</item>
      </candidateList>
      <explain/>
      <paraID>375088D3</paraID>
      <start>33</start>
      <end>38</end>
      <status>unmodified</status>
      <modifiedWord/>
      <trackRevisions>false</trackRevisions>
    </reviewItem>
    <reviewItem>
      <errorID>51d2e971-83e8-4d48-84bb-c00d7d3bc4a6</errorID>
      <errorWord>&lt;</errorWord>
      <group>L1_Format</group>
      <groupName>格式问题</groupName>
      <ability>L2_HalfPunc</ability>
      <abilityName>全半角检查</abilityName>
      <candidateList>
        <item>〈</item>
      </candidateList>
      <explain>文本全半角错误。</explain>
      <paraID>16629034</paraID>
      <start>15</start>
      <end>16</end>
      <status>unmodified</status>
      <modifiedWord/>
      <trackRevisions>false</trackRevisions>
    </reviewItem>
    <reviewItem>
      <errorID>83cdbe9d-849a-45c2-aab9-2b032161b605</errorID>
      <errorWord>&gt;的通知》</errorWord>
      <group>L1_Punc</group>
      <groupName>标点问题</groupName>
      <ability>L2_Punc</ability>
      <abilityName>标点符号检查</abilityName>
      <candidateList>
        <item>〉的通知》</item>
      </candidateList>
      <explain/>
      <paraID>16629034</paraID>
      <start>33</start>
      <end>38</end>
      <status>unmodified</status>
      <modifiedWord/>
      <trackRevisions>false</trackRevisions>
    </reviewItem>
    <reviewItem>
      <errorID>14fe12c0-fa8f-4e1a-b31d-82937d6e7754</errorID>
      <errorWord>（</errorWord>
      <group>L1_Punc</group>
      <groupName>标点问题</groupName>
      <ability>L2_Punc</ability>
      <abilityName>标点符号检查</abilityName>
      <candidateList/>
      <explain>同一形式括号套用。</explain>
      <paraID>5B5D9152</paraID>
      <start>64</start>
      <end>65</end>
      <status>unmodified</status>
      <modifiedWord/>
      <trackRevisions>false</trackRevisions>
    </reviewItem>
    <reviewItem>
      <errorID>7c89c062-cf49-48e0-9441-cee0cfa3da70</errorID>
      <errorWord>）</errorWord>
      <group>L1_Punc</group>
      <groupName>标点问题</groupName>
      <ability>L2_Punc</ability>
      <abilityName>标点符号检查</abilityName>
      <candidateList/>
      <explain>同一形式括号套用。</explain>
      <paraID>5B5D9152</paraID>
      <start>67</start>
      <end>68</end>
      <status>unmodified</status>
      <modifiedWord/>
      <trackRevisions>false</trackRevisions>
    </reviewItem>
    <reviewItem>
      <errorID>ba943d80-5de2-4178-a6c9-d943bc0af118</errorID>
      <errorWord>&lt;</errorWord>
      <group>L1_Format</group>
      <groupName>格式问题</groupName>
      <ability>L2_HalfPunc</ability>
      <abilityName>全半角检查</abilityName>
      <candidateList>
        <item>〈</item>
      </candidateList>
      <explain>文本全半角错误。</explain>
      <paraID>46F43FEB</paraID>
      <start>24</start>
      <end>25</end>
      <status>unmodified</status>
      <modifiedWord/>
      <trackRevisions>false</trackRevisions>
    </reviewItem>
    <reviewItem>
      <errorID>5a42e658-8315-4af2-bb87-b87743dd7f24</errorID>
      <errorWord>&gt;的通知》</errorWord>
      <group>L1_Punc</group>
      <groupName>标点问题</groupName>
      <ability>L2_Punc</ability>
      <abilityName>标点符号检查</abilityName>
      <candidateList>
        <item>〉的通知》</item>
      </candidateList>
      <explain/>
      <paraID>46F43FEB</paraID>
      <start>42</start>
      <end>47</end>
      <status>unmodified</status>
      <modifiedWord/>
      <trackRevisions>false</trackRevisions>
    </reviewItem>
    <reviewItem>
      <errorID>727e2da9-48a6-47e1-8334-2e4c56608463</errorID>
      <errorWord>&lt;</errorWord>
      <group>L1_Format</group>
      <groupName>格式问题</groupName>
      <ability>L2_HalfPunc</ability>
      <abilityName>全半角检查</abilityName>
      <candidateList>
        <item>〈</item>
      </candidateList>
      <explain>文本全半角错误。</explain>
      <paraID> 93AFFC3</paraID>
      <start>15</start>
      <end>16</end>
      <status>unmodified</status>
      <modifiedWord/>
      <trackRevisions>false</trackRevisions>
    </reviewItem>
    <reviewItem>
      <errorID>a63fa123-797f-4d08-b474-8b33efa69359</errorID>
      <errorWord>&gt;的通知》</errorWord>
      <group>L1_Punc</group>
      <groupName>标点问题</groupName>
      <ability>L2_Punc</ability>
      <abilityName>标点符号检查</abilityName>
      <candidateList>
        <item>〉的通知》</item>
      </candidateList>
      <explain/>
      <paraID> 93AFFC3</paraID>
      <start>33</start>
      <end>38</end>
      <status>unmodified</status>
      <modifiedWord/>
      <trackRevisions>false</trackRevisions>
    </reviewItem>
    <reviewItem>
      <errorID>a14ccf7a-c1ab-47ed-a5e1-c55ce7a3eb4f</errorID>
      <errorWord>&lt;</errorWord>
      <group>L1_Format</group>
      <groupName>格式问题</groupName>
      <ability>L2_HalfPunc</ability>
      <abilityName>全半角检查</abilityName>
      <candidateList>
        <item>〈</item>
      </candidateList>
      <explain>文本全半角错误。</explain>
      <paraID>7E61EFF6</paraID>
      <start>23</start>
      <end>24</end>
      <status>unmodified</status>
      <modifiedWord/>
      <trackRevisions>false</trackRevisions>
    </reviewItem>
    <reviewItem>
      <errorID>11fd2384-aed1-48b8-bae6-d4f5392ae4b1</errorID>
      <errorWord>&gt;的通知》</errorWord>
      <group>L1_Punc</group>
      <groupName>标点问题</groupName>
      <ability>L2_Punc</ability>
      <abilityName>标点符号检查</abilityName>
      <candidateList>
        <item>〉的通知》</item>
      </candidateList>
      <explain/>
      <paraID>7E61EFF6</paraID>
      <start>41</start>
      <end>46</end>
      <status>unmodified</status>
      <modifiedWord/>
      <trackRevisions>false</trackRevisions>
    </reviewItem>
    <reviewItem>
      <errorID>a56320c7-1833-4b42-92f8-1fd7be584684</errorID>
      <errorWord>&lt;</errorWord>
      <group>L1_Format</group>
      <groupName>格式问题</groupName>
      <ability>L2_HalfPunc</ability>
      <abilityName>全半角检查</abilityName>
      <candidateList>
        <item>〈</item>
      </candidateList>
      <explain>文本全半角错误。</explain>
      <paraID>4C6D37CC</paraID>
      <start>15</start>
      <end>16</end>
      <status>unmodified</status>
      <modifiedWord/>
      <trackRevisions>false</trackRevisions>
    </reviewItem>
    <reviewItem>
      <errorID>4c1993ec-866c-4c0d-8847-a203a6df0ee0</errorID>
      <errorWord>&gt;的通知》</errorWord>
      <group>L1_Punc</group>
      <groupName>标点问题</groupName>
      <ability>L2_Punc</ability>
      <abilityName>标点符号检查</abilityName>
      <candidateList>
        <item>〉的通知》</item>
      </candidateList>
      <explain/>
      <paraID>4C6D37CC</paraID>
      <start>33</start>
      <end>38</end>
      <status>unmodified</status>
      <modifiedWord/>
      <trackRevisions>false</trackRevisions>
    </reviewItem>
    <reviewItem>
      <errorID>e660b926-5085-44cd-af69-0e228e2f461e</errorID>
      <errorWord>分区管</errorWord>
      <group>L1_Word</group>
      <groupName>字词问题</groupName>
      <ability>L2_Typo</ability>
      <abilityName>字词错误</abilityName>
      <candidateList>
        <item>分区</item>
      </candidateList>
      <explain/>
      <paraID> DA71D8D</paraID>
      <start>9</start>
      <end>12</end>
      <status>unmodified</status>
      <modifiedWord/>
      <trackRevisions>false</trackRevisions>
    </reviewItem>
    <reviewItem>
      <errorID>f03260bc-b458-423f-b285-cd0337ddb578</errorID>
      <errorWord>&lt;</errorWord>
      <group>L1_Format</group>
      <groupName>格式问题</groupName>
      <ability>L2_HalfPunc</ability>
      <abilityName>全半角检查</abilityName>
      <candidateList>
        <item>〈</item>
      </candidateList>
      <explain>文本全半角错误。</explain>
      <paraID>664F9119</paraID>
      <start>24</start>
      <end>25</end>
      <status>unmodified</status>
      <modifiedWord/>
      <trackRevisions>false</trackRevisions>
    </reviewItem>
    <reviewItem>
      <errorID>7f6fae34-a99e-417b-b6db-379e76735508</errorID>
      <errorWord>&gt;的通知》</errorWord>
      <group>L1_Punc</group>
      <groupName>标点问题</groupName>
      <ability>L2_Punc</ability>
      <abilityName>标点符号检查</abilityName>
      <candidateList>
        <item>〉的通知》</item>
      </candidateList>
      <explain/>
      <paraID>664F9119</paraID>
      <start>42</start>
      <end>47</end>
      <status>unmodified</status>
      <modifiedWord/>
      <trackRevisions>false</trackRevisions>
    </reviewItem>
    <reviewItem>
      <errorID>e78eb793-f9d2-4d93-8e86-44b9e6939a01</errorID>
      <errorWord>&lt;</errorWord>
      <group>L1_Format</group>
      <groupName>格式问题</groupName>
      <ability>L2_HalfPunc</ability>
      <abilityName>全半角检查</abilityName>
      <candidateList>
        <item>〈</item>
      </candidateList>
      <explain>文本全半角错误。</explain>
      <paraID>63799A53</paraID>
      <start>15</start>
      <end>16</end>
      <status>unmodified</status>
      <modifiedWord/>
      <trackRevisions>false</trackRevisions>
    </reviewItem>
    <reviewItem>
      <errorID>a5013658-f45e-4e9e-8d08-1a24fe70dc30</errorID>
      <errorWord>&gt;的通知》</errorWord>
      <group>L1_Punc</group>
      <groupName>标点问题</groupName>
      <ability>L2_Punc</ability>
      <abilityName>标点符号检查</abilityName>
      <candidateList>
        <item>〉的通知》</item>
      </candidateList>
      <explain/>
      <paraID>63799A53</paraID>
      <start>33</start>
      <end>38</end>
      <status>unmodified</status>
      <modifiedWord/>
      <trackRevisions>false</trackRevisions>
    </reviewItem>
    <reviewItem>
      <errorID>f505298b-18c0-416d-9f00-f05fcbc87a6b</errorID>
      <errorWord>上线</errorWord>
      <group>L1_Word</group>
      <groupName>字词问题</groupName>
      <ability>L2_Typo</ability>
      <abilityName>字词错误</abilityName>
      <candidateList>
        <item>上限</item>
      </candidateList>
      <explain/>
      <paraID>7E0C0807</paraID>
      <start>36</start>
      <end>38</end>
      <status>unmodified</status>
      <modifiedWord/>
      <trackRevisions>false</trackRevisions>
    </reviewItem>
    <reviewItem>
      <errorID>ca26aa11-1d56-4c98-ac8d-d12c40766fa3</errorID>
      <errorWord>&lt;</errorWord>
      <group>L1_Format</group>
      <groupName>格式问题</groupName>
      <ability>L2_HalfPunc</ability>
      <abilityName>全半角检查</abilityName>
      <candidateList>
        <item>〈</item>
      </candidateList>
      <explain>文本全半角错误。</explain>
      <paraID>52636C16</paraID>
      <start>15</start>
      <end>16</end>
      <status>unmodified</status>
      <modifiedWord/>
      <trackRevisions>false</trackRevisions>
    </reviewItem>
    <reviewItem>
      <errorID>61cab285-3519-4c59-beb4-b9814537050a</errorID>
      <errorWord>&gt;的通知》</errorWord>
      <group>L1_Punc</group>
      <groupName>标点问题</groupName>
      <ability>L2_Punc</ability>
      <abilityName>标点符号检查</abilityName>
      <candidateList>
        <item>〉的通知》</item>
      </candidateList>
      <explain/>
      <paraID>52636C16</paraID>
      <start>33</start>
      <end>38</end>
      <status>unmodified</status>
      <modifiedWord/>
      <trackRevisions>false</trackRevisions>
    </reviewItem>
    <reviewItem>
      <errorID>fdd9cb05-43bf-4430-998d-1e8e2890f1fc</errorID>
      <errorWord>上线</errorWord>
      <group>L1_Word</group>
      <groupName>字词问题</groupName>
      <ability>L2_Typo</ability>
      <abilityName>字词错误</abilityName>
      <candidateList>
        <item>上限</item>
      </candidateList>
      <explain/>
      <paraID>52636C16</paraID>
      <start>183</start>
      <end>185</end>
      <status>unmodified</status>
      <modifiedWord/>
      <trackRevisions>false</trackRevisions>
    </reviewItem>
    <reviewItem>
      <errorID>b5b9deca-0a45-4505-9213-f191b6841ce9</errorID>
      <errorWord>&lt;</errorWord>
      <group>L1_Format</group>
      <groupName>格式问题</groupName>
      <ability>L2_HalfPunc</ability>
      <abilityName>全半角检查</abilityName>
      <candidateList>
        <item>〈</item>
      </candidateList>
      <explain>文本全半角错误。</explain>
      <paraID>2F9EA51A</paraID>
      <start>15</start>
      <end>16</end>
      <status>unmodified</status>
      <modifiedWord/>
      <trackRevisions>false</trackRevisions>
    </reviewItem>
    <reviewItem>
      <errorID>94d7f894-b8a9-47dd-825d-192656d006d8</errorID>
      <errorWord>&gt;的通知》</errorWord>
      <group>L1_Punc</group>
      <groupName>标点问题</groupName>
      <ability>L2_Punc</ability>
      <abilityName>标点符号检查</abilityName>
      <candidateList>
        <item>〉的通知》</item>
      </candidateList>
      <explain/>
      <paraID>2F9EA51A</paraID>
      <start>33</start>
      <end>38</end>
      <status>unmodified</status>
      <modifiedWord/>
      <trackRevisions>false</trackRevisions>
    </reviewItem>
    <reviewItem>
      <errorID>45f799b4-a1bf-4cf7-bcf7-bbad1840de02</errorID>
      <errorWord>(</errorWord>
      <group>L1_Format</group>
      <groupName>格式问题</groupName>
      <ability>L2_HalfPunc</ability>
      <abilityName>全半角检查</abilityName>
      <candidateList>
        <item>（</item>
      </candidateList>
      <explain>文本全半角错误。</explain>
      <paraID>5ED31AAE</paraID>
      <start>21</start>
      <end>22</end>
      <status>unmodified</status>
      <modifiedWord/>
      <trackRevisions>false</trackRevisions>
    </reviewItem>
    <reviewItem>
      <errorID>88f192e0-a594-4ddc-b028-4ac0eee9e1f9</errorID>
      <errorWord>)</errorWord>
      <group>L1_Format</group>
      <groupName>格式问题</groupName>
      <ability>L2_HalfPunc</ability>
      <abilityName>全半角检查</abilityName>
      <candidateList>
        <item>）</item>
      </candidateList>
      <explain>文本全半角错误。</explain>
      <paraID>5ED31AAE</paraID>
      <start>27</start>
      <end>28</end>
      <status>unmodified</status>
      <modifiedWord/>
      <trackRevisions>false</trackRevisions>
    </reviewItem>
    <reviewItem>
      <errorID>6ceb3c48-92b5-45a6-823a-ca8acba73ab9</errorID>
      <errorWord>：</errorWord>
      <group>L1_Format</group>
      <groupName>格式问题</groupName>
      <ability>L2_HalfPunc</ability>
      <abilityName>全半角检查</abilityName>
      <candidateList>
        <item>:</item>
      </candidateList>
      <explain>文本全半角错误。</explain>
      <paraID>2B901833</paraID>
      <start>109</start>
      <end>110</end>
      <status>unmodified</status>
      <modifiedWord/>
      <trackRevisions>false</trackRevisions>
    </reviewItem>
    <reviewItem>
      <errorID>9e84cd3c-cb6b-4514-86c9-97c935b10a55</errorID>
      <errorWord>-</errorWord>
      <group>L1_Format</group>
      <groupName>格式问题</groupName>
      <ability>L2_HalfPunc</ability>
      <abilityName>全半角检查</abilityName>
      <candidateList>
        <item>－</item>
      </candidateList>
      <explain>文本全半角错误。</explain>
      <paraID>5E851A61</paraID>
      <start>103</start>
      <end>104</end>
      <status>unmodified</status>
      <modifiedWord/>
      <trackRevisions>false</trackRevisions>
    </reviewItem>
    <reviewItem>
      <errorID>b97f7f2e-7de7-46f3-aba2-4a52627f78fe</errorID>
      <errorWord>(</errorWord>
      <group>L1_Format</group>
      <groupName>格式问题</groupName>
      <ability>L2_HalfPunc</ability>
      <abilityName>全半角检查</abilityName>
      <candidateList>
        <item>（</item>
      </candidateList>
      <explain>文本全半角错误。</explain>
      <paraID>5E851A61</paraID>
      <start>105</start>
      <end>106</end>
      <status>unmodified</status>
      <modifiedWord/>
      <trackRevisions>false</trackRevisions>
    </reviewItem>
    <reviewItem>
      <errorID>5f877dfe-1010-41c2-865e-dc6c38a17075</errorID>
      <errorWord>)</errorWord>
      <group>L1_Format</group>
      <groupName>格式问题</groupName>
      <ability>L2_HalfPunc</ability>
      <abilityName>全半角检查</abilityName>
      <candidateList>
        <item>）</item>
      </candidateList>
      <explain>文本全半角错误。</explain>
      <paraID>5E851A61</paraID>
      <start>107</start>
      <end>108</end>
      <status>unmodified</status>
      <modifiedWord/>
      <trackRevisions>false</trackRevisions>
    </reviewItem>
    <reviewItem>
      <errorID>d253a053-0c2f-4857-a79e-2dadc760c868</errorID>
      <errorWord>-</errorWord>
      <group>L1_Format</group>
      <groupName>格式问题</groupName>
      <ability>L2_HalfPunc</ability>
      <abilityName>全半角检查</abilityName>
      <candidateList>
        <item>－</item>
      </candidateList>
      <explain>文本全半角错误。</explain>
      <paraID>5E851A61</paraID>
      <start>108</start>
      <end>109</end>
      <status>unmodified</status>
      <modifiedWord/>
      <trackRevisions>false</trackRevisions>
    </reviewItem>
    <reviewItem>
      <errorID>1dd2a54e-58a9-4ff1-b35e-50ee1b7276ec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497C10F4</paraID>
      <start>0</start>
      <end>2</end>
      <status>unmodified</status>
      <modifiedWord/>
      <trackRevisions>false</trackRevisions>
    </reviewItem>
    <reviewItem>
      <errorID>52e6d2b7-21fb-4501-ba6e-2fd6633a8a03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5523D3BF</paraID>
      <start>0</start>
      <end>2</end>
      <status>unmodified</status>
      <modifiedWord/>
      <trackRevisions>false</trackRevisions>
    </reviewItem>
    <reviewItem>
      <errorID>291f7808-13bf-43ca-9760-96d8d5bada12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62E46B8E</paraID>
      <start>0</start>
      <end>2</end>
      <status>unmodified</status>
      <modifiedWord/>
      <trackRevisions>false</trackRevisions>
    </reviewItem>
    <reviewItem>
      <errorID>f500cf75-e1a8-48fb-9c31-cb3f6b1c6f9e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4662B9AB</paraID>
      <start>0</start>
      <end>2</end>
      <status>unmodified</status>
      <modifiedWord/>
      <trackRevisions>false</trackRevisions>
    </reviewItem>
    <reviewItem>
      <errorID>a3e7e31d-dfe3-412b-8241-a5d7d2d14e44</errorID>
      <errorWord>煤</errorWord>
      <group>L1_Word</group>
      <groupName>字词问题</groupName>
      <ability>L2_Typo</ability>
      <abilityName>字词错误</abilityName>
      <candidateList>
        <item>煤矿</item>
      </candidateList>
      <explain/>
      <paraID>75535A1C</paraID>
      <start>149</start>
      <end>150</end>
      <status>unmodified</status>
      <modifiedWord/>
      <trackRevisions>false</trackRevisions>
    </reviewItem>
    <reviewItem>
      <errorID>da75e40e-f586-4708-b54e-e8326d0c418c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32D46455</paraID>
      <start>0</start>
      <end>2</end>
      <status>unmodified</status>
      <modifiedWord/>
      <trackRevisions>false</trackRevisions>
    </reviewItem>
    <reviewItem>
      <errorID>67a4fa54-214a-4e81-a439-dd78dab4bd2a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6C27A033</paraID>
      <start>0</start>
      <end>2</end>
      <status>unmodified</status>
      <modifiedWord/>
      <trackRevisions>false</trackRevisions>
    </reviewItem>
    <reviewItem>
      <errorID>299b4ddd-50ea-40ac-b234-a6e974885069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13809150</paraID>
      <start>0</start>
      <end>2</end>
      <status>unmodified</status>
      <modifiedWord/>
      <trackRevisions>false</trackRevisions>
    </reviewItem>
    <reviewItem>
      <errorID>df1b41f9-243a-4bf1-89a8-c045df1bb4e8</errorID>
      <errorWord>、以及</errorWord>
      <group>L1_Punc</group>
      <groupName>标点问题</groupName>
      <ability>L2_Punc</ability>
      <abilityName>标点符号检查</abilityName>
      <candidateList>
        <item>，以及</item>
      </candidateList>
      <explain>连接词前后不宜使用顿号，建议使用逗号。</explain>
      <paraID>6BB26A7F</paraID>
      <start>17</start>
      <end>20</end>
      <status>modified</status>
      <modifiedWord>，以及</modifiedWord>
      <trackRevisions>false</trackRevisions>
    </reviewItem>
    <reviewItem>
      <errorID>36ddff71-0b4e-4ee4-93f8-985aae538864</errorID>
      <errorWord>：</errorWord>
      <group>L1_Format</group>
      <groupName>格式问题</groupName>
      <ability>L2_HalfPunc</ability>
      <abilityName>全半角检查</abilityName>
      <candidateList>
        <item>:</item>
      </candidateList>
      <explain>文本全半角错误。</explain>
      <paraID>6BB26A7F</paraID>
      <start>77</start>
      <end>78</end>
      <status>unmodified</status>
      <modifiedWord/>
      <trackRevisions>false</trackRevisions>
    </reviewItem>
    <reviewItem>
      <errorID>a540fd6e-fdb2-4f7b-ba3e-5da09d3ec560</errorID>
      <errorWord>和</errorWord>
      <group>L1_Word</group>
      <groupName>字词问题</groupName>
      <ability>L2_Typo</ability>
      <abilityName>字词错误</abilityName>
      <candidateList>
        <item>合</item>
      </candidateList>
      <explain>存在发音相同字词的误用。</explain>
      <paraID>726DA856</paraID>
      <start>17</start>
      <end>18</end>
      <status>unmodified</status>
      <modifiedWord/>
      <trackRevisions>false</trackRevisions>
    </reviewItem>
    <reviewItem>
      <errorID>678c4ed3-ce51-43f5-9e44-931addf872d2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4FD8BA8A</paraID>
      <start>17</start>
      <end>18</end>
      <status>unmodified</status>
      <modifiedWord/>
      <trackRevisions>false</trackRevisions>
    </reviewItem>
    <reviewItem>
      <errorID>5b45c665-77f0-4db2-a90a-33170918bd23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6339C5CB</paraID>
      <start>0</start>
      <end>2</end>
      <status>unmodified</status>
      <modifiedWord/>
      <trackRevisions>false</trackRevisions>
    </reviewItem>
    <reviewItem>
      <errorID>d03bd433-eaea-4ac6-ad6d-23c177a94a1c</errorID>
      <errorWord>砂砾土</errorWord>
      <group>L1_Word</group>
      <groupName>字词问题</groupName>
      <ability>L2_Typo</ability>
      <abilityName>字词错误</abilityName>
      <candidateList>
        <item>沙砾土</item>
      </candidateList>
      <explain/>
      <paraID>22C92A7D</paraID>
      <start>50</start>
      <end>53</end>
      <status>unmodified</status>
      <modifiedWord/>
      <trackRevisions>false</trackRevisions>
    </reviewItem>
    <reviewItem>
      <errorID>bfa44a10-a954-4928-a7a1-0d3d66d5feb7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113010DE</paraID>
      <start>12</start>
      <end>13</end>
      <status>unmodified</status>
      <modifiedWord/>
      <trackRevisions>false</trackRevisions>
    </reviewItem>
    <reviewItem>
      <errorID>bc23e76d-5eef-47c4-839f-d6d596594144</errorID>
      <errorWord>用水水</errorWord>
      <group>L1_Word</group>
      <groupName>字词问题</groupName>
      <ability>L2_Typo</ability>
      <abilityName>字词错误</abilityName>
      <candidateList>
        <item>用水</item>
      </candidateList>
      <explain/>
      <paraID>190D9352</paraID>
      <start>2</start>
      <end>4</end>
      <status>modified</status>
      <modifiedWord>用水</modifiedWord>
      <trackRevisions>false</trackRevisions>
    </reviewItem>
    <reviewItem>
      <errorID>647152ba-76e9-4fc9-83ae-e941b63e7cff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2AC87BC8</paraID>
      <start>0</start>
      <end>2</end>
      <status>unmodified</status>
      <modifiedWord/>
      <trackRevisions>false</trackRevisions>
    </reviewItem>
    <reviewItem>
      <errorID>60f0076f-cb3e-433b-bd1a-3b840d7425ab</errorID>
      <errorWord>（</errorWord>
      <group>L1_Format</group>
      <groupName>格式问题</groupName>
      <ability>L2_HalfPunc</ability>
      <abilityName>全半角检查</abilityName>
      <candidateList>
        <item>(</item>
      </candidateList>
      <explain>文本全半角错误。</explain>
      <paraID>5EB7F6D1</paraID>
      <start>0</start>
      <end>1</end>
      <status>unmodified</status>
      <modifiedWord/>
      <trackRevisions>false</trackRevisions>
    </reviewItem>
    <reviewItem>
      <errorID>d263c3e9-7eb5-48cd-8cd5-a3bf2b669a9b</errorID>
      <errorWord>）</errorWord>
      <group>L1_Format</group>
      <groupName>格式问题</groupName>
      <ability>L2_HalfPunc</ability>
      <abilityName>全半角检查</abilityName>
      <candidateList>
        <item>)</item>
      </candidateList>
      <explain>文本全半角错误。</explain>
      <paraID>5EB7F6D1</paraID>
      <start>2</start>
      <end>3</end>
      <status>unmodified</status>
      <modifiedWord/>
      <trackRevisions>false</trackRevisions>
    </reviewItem>
    <reviewItem>
      <errorID>99ee07af-67d1-494a-a1e0-f8c4588bd05f</errorID>
      <errorWord>IV类</errorWord>
      <group>L1_Knowledge</group>
      <groupName>知识性问题</groupName>
      <ability>L2_Knowledge</ability>
      <abilityName>其他知识</abilityName>
      <candidateList>
        <item>Ⅳ类</item>
      </candidateList>
      <explain/>
      <paraID>2267E545</paraID>
      <start>8</start>
      <end>11</end>
      <status>unmodified</status>
      <modifiedWord/>
      <trackRevisions>false</trackRevisions>
    </reviewItem>
    <reviewItem>
      <errorID>6b2b9a65-a685-4815-b852-1b502266184c</errorID>
      <errorWord>（</errorWord>
      <group>L1_Format</group>
      <groupName>格式问题</groupName>
      <ability>L2_HalfPunc</ability>
      <abilityName>全半角检查</abilityName>
      <candidateList>
        <item>(</item>
      </candidateList>
      <explain>文本全半角错误。</explain>
      <paraID>1867ACB1</paraID>
      <start>0</start>
      <end>1</end>
      <status>unmodified</status>
      <modifiedWord/>
      <trackRevisions>false</trackRevisions>
    </reviewItem>
    <reviewItem>
      <errorID>a394c645-a6db-4ce9-ae23-3ead084c4357</errorID>
      <errorWord>）</errorWord>
      <group>L1_Format</group>
      <groupName>格式问题</groupName>
      <ability>L2_HalfPunc</ability>
      <abilityName>全半角检查</abilityName>
      <candidateList>
        <item>)</item>
      </candidateList>
      <explain>文本全半角错误。</explain>
      <paraID>1867ACB1</paraID>
      <start>2</start>
      <end>3</end>
      <status>unmodified</status>
      <modifiedWord/>
      <trackRevisions>false</trackRevisions>
    </reviewItem>
    <reviewItem>
      <errorID>0c0a8e34-8521-4bad-b460-5bef34846b96</errorID>
      <errorWord>IV类</errorWord>
      <group>L1_Knowledge</group>
      <groupName>知识性问题</groupName>
      <ability>L2_Knowledge</ability>
      <abilityName>其他知识</abilityName>
      <candidateList>
        <item>Ⅳ类</item>
      </candidateList>
      <explain/>
      <paraID> 1162BE9</paraID>
      <start>8</start>
      <end>11</end>
      <status>unmodified</status>
      <modifiedWord/>
      <trackRevisions>false</trackRevisions>
    </reviewItem>
    <reviewItem>
      <errorID>6e1a0b20-8cc6-446e-957c-0ad22dfe9360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1162BE9</paraID>
      <start>15</start>
      <end>16</end>
      <status>unmodified</status>
      <modifiedWord/>
      <trackRevisions>false</trackRevisions>
    </reviewItem>
    <reviewItem>
      <errorID>05d50a0e-3684-43c9-8d86-2249c3108287</errorID>
      <errorWord>（</errorWord>
      <group>L1_Format</group>
      <groupName>格式问题</groupName>
      <ability>L2_HalfPunc</ability>
      <abilityName>全半角检查</abilityName>
      <candidateList>
        <item>(</item>
      </candidateList>
      <explain>文本全半角错误。</explain>
      <paraID>63AD6F30</paraID>
      <start>0</start>
      <end>1</end>
      <status>unmodified</status>
      <modifiedWord/>
      <trackRevisions>false</trackRevisions>
    </reviewItem>
    <reviewItem>
      <errorID>081b201b-e633-461c-811c-3a9d61fa3c04</errorID>
      <errorWord>）</errorWord>
      <group>L1_Format</group>
      <groupName>格式问题</groupName>
      <ability>L2_HalfPunc</ability>
      <abilityName>全半角检查</abilityName>
      <candidateList>
        <item>)</item>
      </candidateList>
      <explain>文本全半角错误。</explain>
      <paraID>63AD6F30</paraID>
      <start>2</start>
      <end>3</end>
      <status>unmodified</status>
      <modifiedWord/>
      <trackRevisions>false</trackRevisions>
    </reviewItem>
    <reviewItem>
      <errorID>686ca785-3fb2-4b80-afc2-5801565cc5cf</errorID>
      <errorWord>IV类</errorWord>
      <group>L1_Knowledge</group>
      <groupName>知识性问题</groupName>
      <ability>L2_Knowledge</ability>
      <abilityName>其他知识</abilityName>
      <candidateList>
        <item>Ⅳ类</item>
      </candidateList>
      <explain/>
      <paraID>59EBD6A9</paraID>
      <start>8</start>
      <end>11</end>
      <status>unmodified</status>
      <modifiedWord/>
      <trackRevisions>false</trackRevisions>
    </reviewItem>
    <reviewItem>
      <errorID>265eaf3e-97e6-4f2e-83bf-9d27e88aa07f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59EBD6A9</paraID>
      <start>15</start>
      <end>16</end>
      <status>unmodified</status>
      <modifiedWord/>
      <trackRevisions>false</trackRevisions>
    </reviewItem>
    <reviewItem>
      <errorID>6b19b44f-5dce-42c3-97ce-41b1a1ffc089</errorID>
      <errorWord>（</errorWord>
      <group>L1_Format</group>
      <groupName>格式问题</groupName>
      <ability>L2_HalfPunc</ability>
      <abilityName>全半角检查</abilityName>
      <candidateList>
        <item>(</item>
      </candidateList>
      <explain>文本全半角错误。</explain>
      <paraID>353BED21</paraID>
      <start>0</start>
      <end>1</end>
      <status>unmodified</status>
      <modifiedWord/>
      <trackRevisions>false</trackRevisions>
    </reviewItem>
    <reviewItem>
      <errorID>9320d0df-8958-4a9b-b271-871fb5a0820f</errorID>
      <errorWord>）</errorWord>
      <group>L1_Format</group>
      <groupName>格式问题</groupName>
      <ability>L2_HalfPunc</ability>
      <abilityName>全半角检查</abilityName>
      <candidateList>
        <item>)</item>
      </candidateList>
      <explain>文本全半角错误。</explain>
      <paraID>353BED21</paraID>
      <start>2</start>
      <end>3</end>
      <status>unmodified</status>
      <modifiedWord/>
      <trackRevisions>false</trackRevisions>
    </reviewItem>
    <reviewItem>
      <errorID>ff8f8ef2-a753-405a-8cc6-efd468d1cb54</errorID>
      <errorWord>（</errorWord>
      <group>L1_Format</group>
      <groupName>格式问题</groupName>
      <ability>L2_HalfPunc</ability>
      <abilityName>全半角检查</abilityName>
      <candidateList>
        <item>(</item>
      </candidateList>
      <explain>文本全半角错误。</explain>
      <paraID> 87E7287</paraID>
      <start>0</start>
      <end>1</end>
      <status>unmodified</status>
      <modifiedWord/>
      <trackRevisions>false</trackRevisions>
    </reviewItem>
    <reviewItem>
      <errorID>3a4a7a7c-8fe6-4111-9d07-94bcd001c12d</errorID>
      <errorWord>）</errorWord>
      <group>L1_Format</group>
      <groupName>格式问题</groupName>
      <ability>L2_HalfPunc</ability>
      <abilityName>全半角检查</abilityName>
      <candidateList>
        <item>)</item>
      </candidateList>
      <explain>文本全半角错误。</explain>
      <paraID> 87E7287</paraID>
      <start>2</start>
      <end>3</end>
      <status>unmodified</status>
      <modifiedWord/>
      <trackRevisions>false</trackRevisions>
    </reviewItem>
    <reviewItem>
      <errorID>e88b51ec-461b-406f-9542-d2671db865d5</errorID>
      <errorWord>（</errorWord>
      <group>L1_Format</group>
      <groupName>格式问题</groupName>
      <ability>L2_HalfPunc</ability>
      <abilityName>全半角检查</abilityName>
      <candidateList>
        <item>(</item>
      </candidateList>
      <explain>文本全半角错误。</explain>
      <paraID>73FF623B</paraID>
      <start>0</start>
      <end>1</end>
      <status>unmodified</status>
      <modifiedWord/>
      <trackRevisions>false</trackRevisions>
    </reviewItem>
    <reviewItem>
      <errorID>b3b3df29-af40-40c0-9348-bdd28b64d0fa</errorID>
      <errorWord>）</errorWord>
      <group>L1_Format</group>
      <groupName>格式问题</groupName>
      <ability>L2_HalfPunc</ability>
      <abilityName>全半角检查</abilityName>
      <candidateList>
        <item>)</item>
      </candidateList>
      <explain>文本全半角错误。</explain>
      <paraID>73FF623B</paraID>
      <start>2</start>
      <end>3</end>
      <status>unmodified</status>
      <modifiedWord/>
      <trackRevisions>false</trackRevisions>
    </reviewItem>
    <reviewItem>
      <errorID>ed3368ca-3994-4817-9798-9933ac44eb09</errorID>
      <errorWord>（</errorWord>
      <group>L1_Format</group>
      <groupName>格式问题</groupName>
      <ability>L2_HalfPunc</ability>
      <abilityName>全半角检查</abilityName>
      <candidateList>
        <item>(</item>
      </candidateList>
      <explain>文本全半角错误。</explain>
      <paraID>591C7464</paraID>
      <start>0</start>
      <end>1</end>
      <status>unmodified</status>
      <modifiedWord/>
      <trackRevisions>false</trackRevisions>
    </reviewItem>
    <reviewItem>
      <errorID>ad41406a-ba49-4967-82b6-4e54ecab3672</errorID>
      <errorWord>）</errorWord>
      <group>L1_Format</group>
      <groupName>格式问题</groupName>
      <ability>L2_HalfPunc</ability>
      <abilityName>全半角检查</abilityName>
      <candidateList>
        <item>)</item>
      </candidateList>
      <explain>文本全半角错误。</explain>
      <paraID>591C7464</paraID>
      <start>2</start>
      <end>3</end>
      <status>unmodified</status>
      <modifiedWord/>
      <trackRevisions>false</trackRevisions>
    </reviewItem>
    <reviewItem>
      <errorID>4e055ef8-778c-4923-9aab-138e60bb7127</errorID>
      <errorWord>（</errorWord>
      <group>L1_Format</group>
      <groupName>格式问题</groupName>
      <ability>L2_HalfPunc</ability>
      <abilityName>全半角检查</abilityName>
      <candidateList>
        <item>(</item>
      </candidateList>
      <explain>文本全半角错误。</explain>
      <paraID>59FE8EDA</paraID>
      <start>0</start>
      <end>1</end>
      <status>unmodified</status>
      <modifiedWord/>
      <trackRevisions>false</trackRevisions>
    </reviewItem>
    <reviewItem>
      <errorID>247a9558-ab3f-4b83-9ea3-0201fde6a2c1</errorID>
      <errorWord>）</errorWord>
      <group>L1_Format</group>
      <groupName>格式问题</groupName>
      <ability>L2_HalfPunc</ability>
      <abilityName>全半角检查</abilityName>
      <candidateList>
        <item>)</item>
      </candidateList>
      <explain>文本全半角错误。</explain>
      <paraID>59FE8EDA</paraID>
      <start>2</start>
      <end>3</end>
      <status>unmodified</status>
      <modifiedWord/>
      <trackRevisions>false</trackRevisions>
    </reviewItem>
    <reviewItem>
      <errorID>aa458943-889b-4111-acce-75aa02f066ce</errorID>
      <errorWord>（</errorWord>
      <group>L1_Format</group>
      <groupName>格式问题</groupName>
      <ability>L2_HalfPunc</ability>
      <abilityName>全半角检查</abilityName>
      <candidateList>
        <item>(</item>
      </candidateList>
      <explain>文本全半角错误。</explain>
      <paraID>35CCB11F</paraID>
      <start>0</start>
      <end>1</end>
      <status>unmodified</status>
      <modifiedWord/>
      <trackRevisions>false</trackRevisions>
    </reviewItem>
    <reviewItem>
      <errorID>9c066dce-24ca-422e-bb0d-ef1fb3720c13</errorID>
      <errorWord>）</errorWord>
      <group>L1_Format</group>
      <groupName>格式问题</groupName>
      <ability>L2_HalfPunc</ability>
      <abilityName>全半角检查</abilityName>
      <candidateList>
        <item>)</item>
      </candidateList>
      <explain>文本全半角错误。</explain>
      <paraID>35CCB11F</paraID>
      <start>2</start>
      <end>3</end>
      <status>unmodified</status>
      <modifiedWord/>
      <trackRevisions>false</trackRevisions>
    </reviewItem>
    <reviewItem>
      <errorID>69d328c9-213f-4989-8bae-c94d3c59de93</errorID>
      <errorWord>（</errorWord>
      <group>L1_Format</group>
      <groupName>格式问题</groupName>
      <ability>L2_HalfPunc</ability>
      <abilityName>全半角检查</abilityName>
      <candidateList>
        <item>(</item>
      </candidateList>
      <explain>文本全半角错误。</explain>
      <paraID>38060EA0</paraID>
      <start>0</start>
      <end>1</end>
      <status>unmodified</status>
      <modifiedWord/>
      <trackRevisions>false</trackRevisions>
    </reviewItem>
    <reviewItem>
      <errorID>1d96a0ed-b5fa-44ff-8a83-39d79ab4b786</errorID>
      <errorWord>）</errorWord>
      <group>L1_Format</group>
      <groupName>格式问题</groupName>
      <ability>L2_HalfPunc</ability>
      <abilityName>全半角检查</abilityName>
      <candidateList>
        <item>)</item>
      </candidateList>
      <explain>文本全半角错误。</explain>
      <paraID>38060EA0</paraID>
      <start>2</start>
      <end>3</end>
      <status>unmodified</status>
      <modifiedWord/>
      <trackRevisions>false</trackRevisions>
    </reviewItem>
    <reviewItem>
      <errorID>21d2c288-a919-4bdc-8c79-b922ea05a477</errorID>
      <errorWord>（</errorWord>
      <group>L1_Format</group>
      <groupName>格式问题</groupName>
      <ability>L2_HalfPunc</ability>
      <abilityName>全半角检查</abilityName>
      <candidateList>
        <item>(</item>
      </candidateList>
      <explain>文本全半角错误。</explain>
      <paraID>6235955D</paraID>
      <start>0</start>
      <end>1</end>
      <status>unmodified</status>
      <modifiedWord/>
      <trackRevisions>false</trackRevisions>
    </reviewItem>
    <reviewItem>
      <errorID>5e53a112-ecca-4a5f-96c3-a3fcd5d69b4f</errorID>
      <errorWord>）</errorWord>
      <group>L1_Format</group>
      <groupName>格式问题</groupName>
      <ability>L2_HalfPunc</ability>
      <abilityName>全半角检查</abilityName>
      <candidateList>
        <item>)</item>
      </candidateList>
      <explain>文本全半角错误。</explain>
      <paraID>6235955D</paraID>
      <start>2</start>
      <end>3</end>
      <status>unmodified</status>
      <modifiedWord/>
      <trackRevisions>false</trackRevisions>
    </reviewItem>
    <reviewItem>
      <errorID>10171c29-e2ff-4a6f-a505-318d08c28b73</errorID>
      <errorWord>（</errorWord>
      <group>L1_Format</group>
      <groupName>格式问题</groupName>
      <ability>L2_HalfPunc</ability>
      <abilityName>全半角检查</abilityName>
      <candidateList>
        <item>(</item>
      </candidateList>
      <explain>文本全半角错误。</explain>
      <paraID>26855460</paraID>
      <start>0</start>
      <end>1</end>
      <status>unmodified</status>
      <modifiedWord/>
      <trackRevisions>false</trackRevisions>
    </reviewItem>
    <reviewItem>
      <errorID>e366299e-f044-404c-a296-452d7ab41aea</errorID>
      <errorWord>）</errorWord>
      <group>L1_Format</group>
      <groupName>格式问题</groupName>
      <ability>L2_HalfPunc</ability>
      <abilityName>全半角检查</abilityName>
      <candidateList>
        <item>)</item>
      </candidateList>
      <explain>文本全半角错误。</explain>
      <paraID>26855460</paraID>
      <start>2</start>
      <end>3</end>
      <status>unmodified</status>
      <modifiedWord/>
      <trackRevisions>false</trackRevisions>
    </reviewItem>
    <reviewItem>
      <errorID>001eacc3-622b-4215-b60e-01cb9cdbb45c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8E21471</paraID>
      <start>0</start>
      <end>2</end>
      <status>unmodified</status>
      <modifiedWord/>
      <trackRevisions>false</trackRevisions>
    </reviewItem>
    <reviewItem>
      <errorID>71b6d2e6-3de9-4305-889b-ff14271fda51</errorID>
      <errorWord>~</errorWord>
      <group>L1_Format</group>
      <groupName>格式问题</groupName>
      <ability>L2_HalfPunc</ability>
      <abilityName>全半角检查</abilityName>
      <candidateList>
        <item>～</item>
      </candidateList>
      <explain>文本全半角错误。</explain>
      <paraID>4983E55D</paraID>
      <start>14</start>
      <end>15</end>
      <status>unmodified</status>
      <modifiedWord/>
      <trackRevisions>false</trackRevisions>
    </reviewItem>
    <reviewItem>
      <errorID>5d1d8578-185e-4b6b-b924-36a548ca727d</errorID>
      <errorWord>~</errorWord>
      <group>L1_Format</group>
      <groupName>格式问题</groupName>
      <ability>L2_HalfPunc</ability>
      <abilityName>全半角检查</abilityName>
      <candidateList>
        <item>～</item>
      </candidateList>
      <explain>文本全半角错误。</explain>
      <paraID>1A02CB90</paraID>
      <start>14</start>
      <end>15</end>
      <status>unmodified</status>
      <modifiedWord/>
      <trackRevisions>false</trackRevisions>
    </reviewItem>
    <reviewItem>
      <errorID>b6cd1acc-3ba1-424c-8602-34e7a468365d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281677B4</paraID>
      <start>0</start>
      <end>2</end>
      <status>unmodified</status>
      <modifiedWord/>
      <trackRevisions>false</trackRevisions>
    </reviewItem>
    <reviewItem>
      <errorID>5ca74739-1354-479d-9a82-a686d3f561e1</errorID>
      <errorWord>贮存</errorWord>
      <group>L1_Word</group>
      <groupName>字词问题</groupName>
      <ability>L2_Typo</ability>
      <abilityName>字词错误</abilityName>
      <candidateList>
        <item>储存</item>
      </candidateList>
      <explain/>
      <paraID> 6B15F90</paraID>
      <start>20</start>
      <end>22</end>
      <status>unmodified</status>
      <modifiedWord/>
      <trackRevisions>false</trackRevisions>
    </reviewItem>
    <reviewItem>
      <errorID>90c6ef49-5aff-4d60-b6f2-c7a2d695fd38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D38E1F4</paraID>
      <start>0</start>
      <end>2</end>
      <status>unmodified</status>
      <modifiedWord/>
      <trackRevisions>false</trackRevisions>
    </reviewItem>
    <reviewItem>
      <errorID>1ba480c4-30ec-43e7-81af-890ac24d9700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6CB11E99</paraID>
      <start>0</start>
      <end>2</end>
      <status>unmodified</status>
      <modifiedWord/>
      <trackRevisions>false</trackRevisions>
    </reviewItem>
    <reviewItem>
      <errorID>0e9d4d42-b6df-4b7e-8722-d256d77c997b</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588033C1</paraID>
      <start>0</start>
      <end>3</end>
      <status>unmodified</status>
      <modifiedWord/>
      <trackRevisions>false</trackRevisions>
    </reviewItem>
    <reviewItem>
      <errorID>9133c0dc-caef-4597-9eab-5b4ee1c5a841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141768A2</paraID>
      <start>0</start>
      <end>2</end>
      <status>unmodified</status>
      <modifiedWord/>
      <trackRevisions>false</trackRevisions>
    </reviewItem>
    <reviewItem>
      <errorID>ee97330d-b426-444a-89f6-b5a0d320b893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C646A2D</paraID>
      <start>0</start>
      <end>2</end>
      <status>unmodified</status>
      <modifiedWord/>
      <trackRevisions>false</trackRevisions>
    </reviewItem>
    <reviewItem>
      <errorID>1853b03c-4ef7-4aed-be6b-23c2988d434a</errorID>
      <errorWord>面集</errorWord>
      <group>L1_Word</group>
      <groupName>字词问题</groupName>
      <ability>L2_Typo</ability>
      <abilityName>字词错误</abilityName>
      <candidateList>
        <item>面积</item>
      </candidateList>
      <explain>〈名〉平面或物体表面的大小：土地～｜建筑～。</explain>
      <paraID> B9AFCBB</paraID>
      <start>26</start>
      <end>28</end>
      <status>unmodified</status>
      <modifiedWord/>
      <trackRevisions>false</trackRevisions>
    </reviewItem>
    <reviewItem>
      <errorID>076b6814-8900-4559-bfe1-df27f4e5557a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33F40029</paraID>
      <start>0</start>
      <end>2</end>
      <status>unmodified</status>
      <modifiedWord/>
      <trackRevisions>false</trackRevisions>
    </reviewItem>
    <reviewItem>
      <errorID>1155a520-2dbe-4b8a-a709-925e24f517bc</errorID>
      <errorWord>顺利进展</errorWord>
      <group>L1_Word</group>
      <groupName>字词问题</groupName>
      <ability>L2_Typo</ability>
      <abilityName>字词错误</abilityName>
      <candidateList>
        <item>顺利开展</item>
      </candidateList>
      <explain>存在字形相近字词的误用。</explain>
      <paraID>51C8F03B</paraID>
      <start>11</start>
      <end>15</end>
      <status>modified</status>
      <modifiedWord>顺利开展</modifiedWord>
      <trackRevisions>false</trackRevisions>
    </reviewItem>
    <reviewItem>
      <errorID>e262c5de-de97-41d2-9282-492155e201f4</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2F85D8DA</paraID>
      <start>65</start>
      <end>66</end>
      <status>unmodified</status>
      <modifiedWord/>
      <trackRevisions>false</trackRevisions>
    </reviewItem>
    <reviewItem>
      <errorID>67b0c3e3-648f-40dc-8754-f30fe9951ffc</errorID>
      <errorWord>砂砾土</errorWord>
      <group>L1_Word</group>
      <groupName>字词问题</groupName>
      <ability>L2_Typo</ability>
      <abilityName>字词错误</abilityName>
      <candidateList>
        <item>沙砾土</item>
      </candidateList>
      <explain/>
      <paraID>5BA69BFA</paraID>
      <start>63</start>
      <end>66</end>
      <status>unmodified</status>
      <modifiedWord/>
      <trackRevisions>false</trackRevisions>
    </reviewItem>
    <reviewItem>
      <errorID>38c583f8-e3d8-45b5-99b0-b1b1fb241fda</errorID>
      <errorWord>砂砾土</errorWord>
      <group>L1_Word</group>
      <groupName>字词问题</groupName>
      <ability>L2_Typo</ability>
      <abilityName>字词错误</abilityName>
      <candidateList>
        <item>沙砾土</item>
      </candidateList>
      <explain/>
      <paraID>5BA69BFA</paraID>
      <start>103</start>
      <end>106</end>
      <status>unmodified</status>
      <modifiedWord/>
      <trackRevisions>false</trackRevisions>
    </reviewItem>
    <reviewItem>
      <errorID>f7e1d4e5-0919-4de6-91c1-62b85d3af93c</errorID>
      <errorWord>砂砾土</errorWord>
      <group>L1_Word</group>
      <groupName>字词问题</groupName>
      <ability>L2_Typo</ability>
      <abilityName>字词错误</abilityName>
      <candidateList>
        <item>沙砾土</item>
      </candidateList>
      <explain/>
      <paraID>5BA69BFA</paraID>
      <start>115</start>
      <end>118</end>
      <status>unmodified</status>
      <modifiedWord/>
      <trackRevisions>false</trackRevisions>
    </reviewItem>
    <reviewItem>
      <errorID>fc6fbe41-4ce0-403d-84ca-56e3f0daabd7</errorID>
      <errorWord>1-2天</errorWord>
      <group>L1_Word</group>
      <groupName>字词问题</groupName>
      <ability>L2_Typo</ability>
      <abilityName>字词错误</abilityName>
      <candidateList>
        <item>1～2天</item>
      </candidateList>
      <explain/>
      <paraID>7D7E3A2C</paraID>
      <start>4</start>
      <end>8</end>
      <status>unmodified</status>
      <modifiedWord/>
      <trackRevisions>false</trackRevisions>
    </reviewItem>
    <reviewItem>
      <errorID>cc16621e-ff48-4193-9f68-270c7a6670e3</errorID>
      <errorWord>1-2天</errorWord>
      <group>L1_Word</group>
      <groupName>字词问题</groupName>
      <ability>L2_Typo</ability>
      <abilityName>字词错误</abilityName>
      <candidateList>
        <item>1～2天</item>
      </candidateList>
      <explain/>
      <paraID>7D7E3A2C</paraID>
      <start>42</start>
      <end>46</end>
      <status>unmodified</status>
      <modifiedWord/>
      <trackRevisions>false</trackRevisions>
    </reviewItem>
    <reviewItem>
      <errorID>20776fe6-f766-4d1b-a980-c1fb9db9eb6d</errorID>
      <errorWord>：</errorWord>
      <group>L1_Format</group>
      <groupName>格式问题</groupName>
      <ability>L2_HalfPunc</ability>
      <abilityName>全半角检查</abilityName>
      <candidateList>
        <item>:</item>
      </candidateList>
      <explain>文本全半角错误。</explain>
      <paraID>193DF483</paraID>
      <start>172</start>
      <end>173</end>
      <status>unmodified</status>
      <modifiedWord/>
      <trackRevisions>false</trackRevisions>
    </reviewItem>
    <reviewItem>
      <errorID>fd98e0e9-0c12-4909-868d-f08e004f299b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67659B2</paraID>
      <start>0</start>
      <end>2</end>
      <status>unmodified</status>
      <modifiedWord/>
      <trackRevisions>false</trackRevisions>
    </reviewItem>
    <reviewItem>
      <errorID>2d4014de-0fd2-4bc8-8a87-94b78fa28593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6E82B07F</paraID>
      <start>19</start>
      <end>20</end>
      <status>unmodified</status>
      <modifiedWord/>
      <trackRevisions>false</trackRevisions>
    </reviewItem>
    <reviewItem>
      <errorID>0bfbeb78-cbaa-4250-918f-ac437e2d5ca9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60A950E3</paraID>
      <start>0</start>
      <end>2</end>
      <status>unmodified</status>
      <modifiedWord/>
      <trackRevisions>false</trackRevisions>
    </reviewItem>
    <reviewItem>
      <errorID>7c29e8d1-a4bf-4595-b6ab-b8f4840c4374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3F2B3394</paraID>
      <start>0</start>
      <end>2</end>
      <status>unmodified</status>
      <modifiedWord/>
      <trackRevisions>false</trackRevisions>
    </reviewItem>
    <reviewItem>
      <errorID>31364b4b-97fd-491e-8a6b-e0b4abf33d7c</errorID>
      <errorWord>10~30%</errorWord>
      <group>L1_Knowledge</group>
      <groupName>知识性问题</groupName>
      <ability>L2_Knowledge</ability>
      <abilityName>其他知识</abilityName>
      <candidateList>
        <item>10%～30%</item>
      </candidateList>
      <explain>1. “10~30%”中的单位“%”仅出现在后一个数字上，容易引起歧义；根据《现代汉语标点符号数字用法规范手册》，数字表示范围两边需要使用统一的格式。2. 根据标点国标 4.13 中的规则，数字、时间或地域连接符应使用（视觉上更长的）“—”或“～”。</explain>
      <paraID>544814DE</paraID>
      <start>41</start>
      <end>47</end>
      <status>unmodified</status>
      <modifiedWord/>
      <trackRevisions>false</trackRevisions>
    </reviewItem>
    <reviewItem>
      <errorID>94d3f1c4-4578-4f7a-9968-f78f11f3d409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1354E9A5</paraID>
      <start>159</start>
      <end>160</end>
      <status>unmodified</status>
      <modifiedWord/>
      <trackRevisions>false</trackRevisions>
    </reviewItem>
    <reviewItem>
      <errorID>e177896e-a80a-437a-b131-07340e65b648</errorID>
      <errorWord>-</errorWord>
      <group>L1_Format</group>
      <groupName>格式问题</groupName>
      <ability>L2_HalfPunc</ability>
      <abilityName>全半角检查</abilityName>
      <candidateList>
        <item>－</item>
      </candidateList>
      <explain>文本全半角错误。</explain>
      <paraID>7B02ECDD</paraID>
      <start>53</start>
      <end>54</end>
      <status>unmodified</status>
      <modifiedWord/>
      <trackRevisions>false</trackRevisions>
    </reviewItem>
    <reviewItem>
      <errorID>6a3104c2-dbe0-467f-aec2-f7e3536e7771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705FDF90</paraID>
      <start>0</start>
      <end>2</end>
      <status>unmodified</status>
      <modifiedWord/>
      <trackRevisions>false</trackRevisions>
    </reviewItem>
    <reviewItem>
      <errorID>1e7fe792-2284-443a-816b-0e0da578dbd6</errorID>
      <errorWord>（</errorWord>
      <group>L1_Format</group>
      <groupName>格式问题</groupName>
      <ability>L2_HalfPunc</ability>
      <abilityName>全半角检查</abilityName>
      <candidateList>
        <item>(</item>
      </candidateList>
      <explain>文本全半角错误。</explain>
      <paraID>14379A05</paraID>
      <start>0</start>
      <end>1</end>
      <status>unmodified</status>
      <modifiedWord/>
      <trackRevisions>false</trackRevisions>
    </reviewItem>
    <reviewItem>
      <errorID>54f4ffc4-620a-49ef-bebe-4a1f3a7dc3cb</errorID>
      <errorWord>）</errorWord>
      <group>L1_Format</group>
      <groupName>格式问题</groupName>
      <ability>L2_HalfPunc</ability>
      <abilityName>全半角检查</abilityName>
      <candidateList>
        <item>)</item>
      </candidateList>
      <explain>文本全半角错误。</explain>
      <paraID>14379A05</paraID>
      <start>6</start>
      <end>7</end>
      <status>unmodified</status>
      <modifiedWord/>
      <trackRevisions>false</trackRevisions>
    </reviewItem>
    <reviewItem>
      <errorID>899f619b-ff99-4cd9-b5db-5e284a3a5c2b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404DDA19</paraID>
      <start>0</start>
      <end>2</end>
      <status>unmodified</status>
      <modifiedWord/>
      <trackRevisions>false</trackRevisions>
    </reviewItem>
    <reviewItem>
      <errorID>b1f1f074-25e3-4790-8306-82a4ced5165b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196711E5</paraID>
      <start>0</start>
      <end>2</end>
      <status>unmodified</status>
      <modifiedWord/>
      <trackRevisions>false</trackRevisions>
    </reviewItem>
    <reviewItem>
      <errorID>a734f326-e47d-4331-b27d-7841cb4a6f06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3F929983</paraID>
      <start>0</start>
      <end>2</end>
      <status>unmodified</status>
      <modifiedWord/>
      <trackRevisions>false</trackRevisions>
    </reviewItem>
    <reviewItem>
      <errorID>b3c5b87a-2f79-4f80-994e-5fdc8ad83c6b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24CB6F53</paraID>
      <start>0</start>
      <end>2</end>
      <status>unmodified</status>
      <modifiedWord/>
      <trackRevisions>false</trackRevisions>
    </reviewItem>
    <reviewItem>
      <errorID>057c66ed-62d1-4cc6-95ad-69d330607ef3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455F1804</paraID>
      <start>0</start>
      <end>2</end>
      <status>unmodified</status>
      <modifiedWord/>
      <trackRevisions>false</trackRevisions>
    </reviewItem>
    <reviewItem>
      <errorID>eac1e3a2-9219-49a6-9cab-398d0df69967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2B39D27B</paraID>
      <start>0</start>
      <end>2</end>
      <status>unmodified</status>
      <modifiedWord/>
      <trackRevisions>false</trackRevisions>
    </reviewItem>
    <reviewItem>
      <errorID>21d6e324-2ff5-4f4e-b841-c8ebe0461da6</errorID>
      <errorWord>陡坎</errorWord>
      <group>L1_Word</group>
      <groupName>字词问题</groupName>
      <ability>L2_Typo</ability>
      <abilityName>字词错误</abilityName>
      <candidateList>
        <item>陡坡</item>
      </candidateList>
      <explain/>
      <paraID>4C6AC775</paraID>
      <start>59</start>
      <end>61</end>
      <status>unmodified</status>
      <modifiedWord/>
      <trackRevisions>false</trackRevisions>
    </reviewItem>
    <reviewItem>
      <errorID>01bec16e-37d3-4eb0-bbdd-42fedf7792f6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5A1D9279</paraID>
      <start>0</start>
      <end>2</end>
      <status>unmodified</status>
      <modifiedWord/>
      <trackRevisions>false</trackRevisions>
    </reviewItem>
    <reviewItem>
      <errorID>4ac221e3-eb00-46e0-a3e6-f2b051df6286</errorID>
      <errorWord>面集</errorWord>
      <group>L1_Word</group>
      <groupName>字词问题</groupName>
      <ability>L2_Typo</ability>
      <abilityName>字词错误</abilityName>
      <candidateList>
        <item>面积</item>
      </candidateList>
      <explain>〈名〉平面或物体表面的大小：土地～｜建筑～。</explain>
      <paraID>1DB332AA</paraID>
      <start>282</start>
      <end>284</end>
      <status>unmodified</status>
      <modifiedWord/>
      <trackRevisions>false</trackRevisions>
    </reviewItem>
    <reviewItem>
      <errorID>7b876582-cc73-4538-8971-23ad6c78d26e</errorID>
      <errorWord>》（试行）</errorWord>
      <group>L1_Word</group>
      <groupName>字词问题</groupName>
      <ability>L2_Typo</ability>
      <abilityName>字词错误</abilityName>
      <candidateList>
        <item>（试行）》</item>
      </candidateList>
      <explain/>
      <paraID>59E65B83</paraID>
      <start>27</start>
      <end>32</end>
      <status>unmodified</status>
      <modifiedWord/>
      <trackRevisions>false</trackRevisions>
    </reviewItem>
    <reviewItem>
      <errorID>182bb31d-a72b-40a2-a5c7-e253c0ec7a25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A90A04C</paraID>
      <start>0</start>
      <end>2</end>
      <status>unmodified</status>
      <modifiedWord/>
      <trackRevisions>false</trackRevisions>
    </reviewItem>
    <reviewItem>
      <errorID>a0c0868d-6d64-49ad-8a99-7f5321edaaab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4E84B4CC</paraID>
      <start>0</start>
      <end>2</end>
      <status>unmodified</status>
      <modifiedWord/>
      <trackRevisions>false</trackRevisions>
    </reviewItem>
    <reviewItem>
      <errorID>e40d9007-f115-428a-8879-e1f792102b7d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43A6B7F2</paraID>
      <start>0</start>
      <end>2</end>
      <status>unmodified</status>
      <modifiedWord/>
      <trackRevisions>false</trackRevisions>
    </reviewItem>
    <reviewItem>
      <errorID>943961e3-f588-44b8-9a7e-c45fb9a925c8</errorID>
      <errorWord>(</errorWord>
      <group>L1_Format</group>
      <groupName>格式问题</groupName>
      <ability>L2_HalfPunc</ability>
      <abilityName>全半角检查</abilityName>
      <candidateList>
        <item>（</item>
      </candidateList>
      <explain>文本全半角错误。</explain>
      <paraID>76EC42D9</paraID>
      <start>20</start>
      <end>21</end>
      <status>unmodified</status>
      <modifiedWord/>
      <trackRevisions>false</trackRevisions>
    </reviewItem>
    <reviewItem>
      <errorID>ddcdf392-5aec-4929-ba7b-9ae3e24a5f58</errorID>
      <errorWord>)</errorWord>
      <group>L1_Format</group>
      <groupName>格式问题</groupName>
      <ability>L2_HalfPunc</ability>
      <abilityName>全半角检查</abilityName>
      <candidateList>
        <item>）</item>
      </candidateList>
      <explain>文本全半角错误。</explain>
      <paraID>76EC42D9</paraID>
      <start>32</start>
      <end>33</end>
      <status>unmodified</status>
      <modifiedWord/>
      <trackRevisions>false</trackRevisions>
    </reviewItem>
    <reviewItem>
      <errorID>8fb4d554-317c-4782-bf82-3c59ff9b35dd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7A597951</paraID>
      <start>0</start>
      <end>2</end>
      <status>unmodified</status>
      <modifiedWord/>
      <trackRevisions>false</trackRevisions>
    </reviewItem>
    <reviewItem>
      <errorID>79d91076-fc24-4d7c-be70-5bb2c7db3ef2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9B21E48</paraID>
      <start>0</start>
      <end>2</end>
      <status>unmodified</status>
      <modifiedWord/>
      <trackRevisions>false</trackRevisions>
    </reviewItem>
    <reviewItem>
      <errorID>156eb007-3f38-4553-bffc-2d02d3301524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452DA102</paraID>
      <start>0</start>
      <end>2</end>
      <status>unmodified</status>
      <modifiedWord/>
      <trackRevisions>false</trackRevisions>
    </reviewItem>
    <reviewItem>
      <errorID>363dbfb6-2bd1-44da-922d-8bc8be111976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1BD1E7FE</paraID>
      <start>0</start>
      <end>2</end>
      <status>unmodified</status>
      <modifiedWord/>
      <trackRevisions>false</trackRevisions>
    </reviewItem>
    <reviewItem>
      <errorID>ee7afe3b-90fa-4140-ace7-4a7a14b6ad54</errorID>
      <errorWord>(</errorWord>
      <group>L1_Format</group>
      <groupName>格式问题</groupName>
      <ability>L2_HalfPunc</ability>
      <abilityName>全半角检查</abilityName>
      <candidateList>
        <item>（</item>
      </candidateList>
      <explain>文本全半角错误。</explain>
      <paraID>1F264B19</paraID>
      <start>38</start>
      <end>39</end>
      <status>unmodified</status>
      <modifiedWord/>
      <trackRevisions>false</trackRevisions>
    </reviewItem>
    <reviewItem>
      <errorID>d54bc077-bd02-44a3-8740-421b0271a27c</errorID>
      <errorWord>)</errorWord>
      <group>L1_Format</group>
      <groupName>格式问题</groupName>
      <ability>L2_HalfPunc</ability>
      <abilityName>全半角检查</abilityName>
      <candidateList>
        <item>）</item>
      </candidateList>
      <explain>文本全半角错误。</explain>
      <paraID>1F264B19</paraID>
      <start>50</start>
      <end>51</end>
      <status>unmodified</status>
      <modifiedWord/>
      <trackRevisions>false</trackRevisions>
    </reviewItem>
    <reviewItem>
      <errorID>fd051a05-a35c-4fec-a619-724f288e2820</errorID>
      <errorWord>(</errorWord>
      <group>L1_Format</group>
      <groupName>格式问题</groupName>
      <ability>L2_HalfPunc</ability>
      <abilityName>全半角检查</abilityName>
      <candidateList>
        <item>（</item>
      </candidateList>
      <explain>文本全半角错误。</explain>
      <paraID>7AFF8437</paraID>
      <start>87</start>
      <end>88</end>
      <status>unmodified</status>
      <modifiedWord/>
      <trackRevisions>false</trackRevisions>
    </reviewItem>
    <reviewItem>
      <errorID>8e813e55-7816-48ef-b0c5-260fc808d922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65DC3C68</paraID>
      <start>0</start>
      <end>2</end>
      <status>unmodified</status>
      <modifiedWord/>
      <trackRevisions>false</trackRevisions>
    </reviewItem>
    <reviewItem>
      <errorID>b38665e9-29ce-4dfa-9a8a-b31858698251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240B17D2</paraID>
      <start>0</start>
      <end>2</end>
      <status>unmodified</status>
      <modifiedWord/>
      <trackRevisions>false</trackRevisions>
    </reviewItem>
    <reviewItem>
      <errorID>b0fd8823-bf45-4578-84c4-fe77554947e9</errorID>
      <errorWord>乱伐</errorWord>
      <group>L1_Word</group>
      <groupName>字词问题</groupName>
      <ability>L2_Typo</ability>
      <abilityName>字词错误</abilityName>
      <candidateList>
        <item>滥伐</item>
      </candidateList>
      <explain/>
      <paraID>69C0E904</paraID>
      <start>202</start>
      <end>204</end>
      <status>unmodified</status>
      <modifiedWord/>
      <trackRevisions>false</trackRevisions>
    </reviewItem>
    <reviewItem>
      <errorID>3833a37c-a75b-41de-a50f-310693261972</errorID>
      <errorWord>（，</errorWord>
      <group>L1_Punc</group>
      <groupName>标点问题</groupName>
      <ability>L2_Punc</ability>
      <abilityName>标点符号检查</abilityName>
      <candidateList>
        <item>（</item>
      </candidateList>
      <explain/>
      <paraID> 90EC583</paraID>
      <start>102</start>
      <end>104</end>
      <status>unmodified</status>
      <modifiedWord/>
      <trackRevisions>false</trackRevisions>
    </reviewItem>
    <reviewItem>
      <errorID>606642c1-c693-49e6-8888-5c154116abb8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206D167A</paraID>
      <start>0</start>
      <end>2</end>
      <status>unmodified</status>
      <modifiedWord/>
      <trackRevisions>false</trackRevisions>
    </reviewItem>
    <reviewItem>
      <errorID>3fac18b1-8b05-4ee6-bb8f-d7913fab22ad</errorID>
      <errorWord>程</errorWord>
      <group>L1_Word</group>
      <groupName>字词问题</groupName>
      <ability>L2_Typo</ability>
      <abilityName>字词错误</abilityName>
      <candidateList>
        <item>程中</item>
      </candidateList>
      <explain/>
      <paraID>7613BA91</paraID>
      <start>117</start>
      <end>118</end>
      <status>unmodified</status>
      <modifiedWord/>
      <trackRevisions>false</trackRevisions>
    </reviewItem>
    <reviewItem>
      <errorID>20bd4e02-8cfd-4ec5-afcf-f7f9faf2524a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2692D297</paraID>
      <start>0</start>
      <end>2</end>
      <status>unmodified</status>
      <modifiedWord/>
      <trackRevisions>false</trackRevisions>
    </reviewItem>
    <reviewItem>
      <errorID>4f234483-8e63-4ba8-a9fc-56098a1a7ac7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4003B1C0</paraID>
      <start>0</start>
      <end>2</end>
      <status>unmodified</status>
      <modifiedWord/>
      <trackRevisions>false</trackRevisions>
    </reviewItem>
    <reviewItem>
      <errorID>7e6da767-f5c6-4b76-b781-4b44b8724e51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36CBC0DA</paraID>
      <start>0</start>
      <end>2</end>
      <status>unmodified</status>
      <modifiedWord/>
      <trackRevisions>false</trackRevisions>
    </reviewItem>
    <reviewItem>
      <errorID>f40984f1-c564-44df-8cd8-0c29db0b9dd2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2BA8C6E8</paraID>
      <start>0</start>
      <end>2</end>
      <status>unmodified</status>
      <modifiedWord/>
      <trackRevisions>false</trackRevisions>
    </reviewItem>
    <reviewItem>
      <errorID>a98c788c-d1a5-4d6d-b98e-e99503b3a318</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482705A1</paraID>
      <start>122</start>
      <end>123</end>
      <status>unmodified</status>
      <modifiedWord/>
      <trackRevisions>false</trackRevisions>
    </reviewItem>
    <reviewItem>
      <errorID>1039bd37-bbf3-4034-9ec0-42f6fb97198b</errorID>
      <errorWord>程</errorWord>
      <group>L1_Word</group>
      <groupName>字词问题</groupName>
      <ability>L2_Typo</ability>
      <abilityName>字词错误</abilityName>
      <candidateList>
        <item>程中</item>
      </candidateList>
      <explain/>
      <paraID>231CA06B</paraID>
      <start>43</start>
      <end>44</end>
      <status>unmodified</status>
      <modifiedWord/>
      <trackRevisions>false</trackRevisions>
    </reviewItem>
    <reviewItem>
      <errorID>f5af595a-26df-4655-b290-43b1eab65cde</errorID>
      <errorWord>滥砍滥伐</errorWord>
      <group>L1_Word</group>
      <groupName>字词问题</groupName>
      <ability>L2_Typo</ability>
      <abilityName>字词错误</abilityName>
      <candidateList>
        <item>乱砍滥伐</item>
      </candidateList>
      <explain/>
      <paraID>231CA06B</paraID>
      <start>49</start>
      <end>53</end>
      <status>unmodified</status>
      <modifiedWord/>
      <trackRevisions>false</trackRevisions>
    </reviewItem>
    <reviewItem>
      <errorID>3bba5b71-14ae-4f32-b6ed-30fc4c7fabb0</errorID>
      <errorWord>践踏</errorWord>
      <group>L1_Word</group>
      <groupName>字词问题</groupName>
      <ability>L2_Typo</ability>
      <abilityName>字词错误</abilityName>
      <candidateList>
        <item>踩踏</item>
      </candidateList>
      <explain/>
      <paraID>3ABB8A33</paraID>
      <start>7</start>
      <end>9</end>
      <status>unmodified</status>
      <modifiedWord/>
      <trackRevisions>false</trackRevisions>
    </reviewItem>
    <reviewItem>
      <errorID>6483a769-cee8-4e5b-b239-0055fc5c5172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121D6E89</paraID>
      <start>0</start>
      <end>2</end>
      <status>unmodified</status>
      <modifiedWord/>
      <trackRevisions>false</trackRevisions>
    </reviewItem>
    <reviewItem>
      <errorID>e95562c3-9ea7-4500-88ec-242709260892</errorID>
      <errorWord>》</errorWord>
      <group>L1_Word</group>
      <groupName>字词问题</groupName>
      <ability>L2_Typo</ability>
      <abilityName>字词错误</abilityName>
      <candidateList>
        <item>》等</item>
      </candidateList>
      <explain/>
      <paraID>59480A1B</paraID>
      <start>96</start>
      <end>97</end>
      <status>unmodified</status>
      <modifiedWord/>
      <trackRevisions>false</trackRevisions>
    </reviewItem>
    <reviewItem>
      <errorID>cc4583f2-5414-4ea8-b35f-6f7f3c9ceb72</errorID>
      <errorWord>设</errorWord>
      <group>L1_Word</group>
      <groupName>字词问题</groupName>
      <ability>L2_Typo</ability>
      <abilityName>字词错误</abilityName>
      <candidateList>
        <item>设置</item>
      </candidateList>
      <explain>〈动〉❶设立：这座剧院是为儿童～的。❷安放；安装：～障碍。</explain>
      <paraID>5129B3CD</paraID>
      <start>17</start>
      <end>18</end>
      <status>unmodified</status>
      <modifiedWord/>
      <trackRevisions>false</trackRevisions>
    </reviewItem>
    <reviewItem>
      <errorID>77c680c4-d14c-47f4-b653-d104a55061d6</errorID>
      <errorWord>外逸</errorWord>
      <group>L1_Word</group>
      <groupName>字词问题</groupName>
      <ability>L2_Typo</ability>
      <abilityName>字词错误</abilityName>
      <candidateList>
        <item>外溢</item>
      </candidateList>
      <explain/>
      <paraID>2BC7A69E</paraID>
      <start>67</start>
      <end>69</end>
      <status>unmodified</status>
      <modifiedWord/>
      <trackRevisions>false</trackRevisions>
    </reviewItem>
    <reviewItem>
      <errorID>14925ebc-d2f7-4b43-8a4b-3d60d14ddf7e</errorID>
      <errorWord>自</errorWord>
      <group>L1_Word</group>
      <groupName>字词问题</groupName>
      <ability>L2_Typo</ability>
      <abilityName>字词错误</abilityName>
      <candidateList>
        <item>的</item>
      </candidateList>
      <explain>存在字形相近字词的误用。</explain>
      <paraID>7833089F</paraID>
      <start>28</start>
      <end>29</end>
      <status>unmodified</status>
      <modifiedWord/>
      <trackRevisions>false</trackRevisions>
    </reviewItem>
    <reviewItem>
      <errorID>df802b02-2c52-4653-8cb1-890368ef5398</errorID>
      <errorWord>呈正比</errorWord>
      <group>L1_Word</group>
      <groupName>字词问题</groupName>
      <ability>L2_Typo</ability>
      <abilityName>字词错误</abilityName>
      <candidateList>
        <item>成正比</item>
      </candidateList>
      <explain/>
      <paraID>7833089F</paraID>
      <start>129</start>
      <end>132</end>
      <status>unmodified</status>
      <modifiedWord/>
      <trackRevisions>false</trackRevisions>
    </reviewItem>
    <reviewItem>
      <errorID>9a4da2ad-cd28-4fdd-93e6-481c10a34c0e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354C96DF</paraID>
      <start>0</start>
      <end>2</end>
      <status>unmodified</status>
      <modifiedWord/>
      <trackRevisions>false</trackRevisions>
    </reviewItem>
    <reviewItem>
      <errorID>d9e2ec78-dd3b-4541-8a92-ddddb771a541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762A7A0B</paraID>
      <start>0</start>
      <end>2</end>
      <status>unmodified</status>
      <modifiedWord/>
      <trackRevisions>false</trackRevisions>
    </reviewItem>
    <reviewItem>
      <errorID>0ca1fc1d-b00e-4024-b339-1f001665f290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2336B78</paraID>
      <start>0</start>
      <end>2</end>
      <status>unmodified</status>
      <modifiedWord/>
      <trackRevisions>false</trackRevisions>
    </reviewItem>
    <reviewItem>
      <errorID>160e77b0-cff0-4efe-a429-2686d03b6dd8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48CE805D</paraID>
      <start>0</start>
      <end>2</end>
      <status>unmodified</status>
      <modifiedWord/>
      <trackRevisions>false</trackRevisions>
    </reviewItem>
    <reviewItem>
      <errorID>8d5ef2ed-419d-4aef-be90-c7728bcebf16</errorID>
      <errorWord>修</errorWord>
      <group>L1_Word</group>
      <groupName>字词问题</groupName>
      <ability>L2_Typo</ability>
      <abilityName>字词错误</abilityName>
      <candidateList>
        <item>修复</item>
      </candidateList>
      <explain/>
      <paraID>7FCAEC44</paraID>
      <start>21</start>
      <end>22</end>
      <status>unmodified</status>
      <modifiedWord/>
      <trackRevisions>false</trackRevisions>
    </reviewItem>
    <reviewItem>
      <errorID>76004477-37ae-4481-9fcf-0d30418a9808</errorID>
      <errorWord>-</errorWord>
      <group>L1_Format</group>
      <groupName>格式问题</groupName>
      <ability>L2_HalfPunc</ability>
      <abilityName>全半角检查</abilityName>
      <candidateList>
        <item>－</item>
      </candidateList>
      <explain>文本全半角错误。</explain>
      <paraID>7FCAEC44</paraID>
      <start>114</start>
      <end>115</end>
      <status>unmodified</status>
      <modifiedWord/>
      <trackRevisions>false</trackRevisions>
    </reviewItem>
    <reviewItem>
      <errorID>510891e5-ae0c-4cf7-8c08-f39df3bd7fa4</errorID>
      <errorWord>-</errorWord>
      <group>L1_Format</group>
      <groupName>格式问题</groupName>
      <ability>L2_HalfPunc</ability>
      <abilityName>全半角检查</abilityName>
      <candidateList>
        <item>－</item>
      </candidateList>
      <explain>文本全半角错误。</explain>
      <paraID>7FCAEC44</paraID>
      <start>218</start>
      <end>219</end>
      <status>unmodified</status>
      <modifiedWord/>
      <trackRevisions>false</trackRevisions>
    </reviewItem>
    <reviewItem>
      <errorID>fb3c5578-5255-46e9-9fe2-1375dd44e8fb</errorID>
      <errorWord>-</errorWord>
      <group>L1_Format</group>
      <groupName>格式问题</groupName>
      <ability>L2_HalfPunc</ability>
      <abilityName>全半角检查</abilityName>
      <candidateList>
        <item>－</item>
      </candidateList>
      <explain>文本全半角错误。</explain>
      <paraID>7FCAEC44</paraID>
      <start>223</start>
      <end>224</end>
      <status>unmodified</status>
      <modifiedWord/>
      <trackRevisions>false</trackRevisions>
    </reviewItem>
    <reviewItem>
      <errorID>61fbfd11-0e2f-4e11-b8d9-c538993b229d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239567BF</paraID>
      <start>0</start>
      <end>2</end>
      <status>unmodified</status>
      <modifiedWord/>
      <trackRevisions>false</trackRevisions>
    </reviewItem>
    <reviewItem>
      <errorID>27e8a51b-df61-4e76-8785-7dfef5171bfd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7F051774</paraID>
      <start>0</start>
      <end>2</end>
      <status>unmodified</status>
      <modifiedWord/>
      <trackRevisions>false</trackRevisions>
    </reviewItem>
    <reviewItem>
      <errorID>00ecf1de-abe3-46c2-af01-4b362435cc5c</errorID>
      <errorWord>强</errorWord>
      <group>L1_Word</group>
      <groupName>字词问题</groupName>
      <ability>L2_Typo</ability>
      <abilityName>字词错误</abilityName>
      <candidateList>
        <item>强对</item>
      </candidateList>
      <explain/>
      <paraID>10905F65</paraID>
      <start>21</start>
      <end>22</end>
      <status>unmodified</status>
      <modifiedWord/>
      <trackRevisions>false</trackRevisions>
    </reviewItem>
    <reviewItem>
      <errorID>487b12df-a788-4882-b898-d46ff7be4591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347ABBF8</paraID>
      <start>0</start>
      <end>2</end>
      <status>unmodified</status>
      <modifiedWord/>
      <trackRevisions>false</trackRevisions>
    </reviewItem>
    <reviewItem>
      <errorID>bd7f5aff-9139-4ef6-b813-251c1192d6f5</errorID>
      <errorWord>(</errorWord>
      <group>L1_Format</group>
      <groupName>格式问题</groupName>
      <ability>L2_HalfPunc</ability>
      <abilityName>全半角检查</abilityName>
      <candidateList>
        <item>（</item>
      </candidateList>
      <explain>文本全半角错误。</explain>
      <paraID> BCD237E</paraID>
      <start>0</start>
      <end>1</end>
      <status>unmodified</status>
      <modifiedWord/>
      <trackRevisions>false</trackRevisions>
    </reviewItem>
    <reviewItem>
      <errorID>69a4b4d1-5acf-4ae2-a4f9-d6e9de65780c</errorID>
      <errorWord>)</errorWord>
      <group>L1_Format</group>
      <groupName>格式问题</groupName>
      <ability>L2_HalfPunc</ability>
      <abilityName>全半角检查</abilityName>
      <candidateList>
        <item>）</item>
      </candidateList>
      <explain>文本全半角错误。</explain>
      <paraID> BCD237E</paraID>
      <start>3</start>
      <end>4</end>
      <status>unmodified</status>
      <modifiedWord/>
      <trackRevisions>false</trackRevisions>
    </reviewItem>
    <reviewItem>
      <errorID>3a1f3842-69c1-44ec-b379-8dc13c00a9be</errorID>
      <errorWord>设</errorWord>
      <group>L1_Word</group>
      <groupName>字词问题</groupName>
      <ability>L2_Typo</ability>
      <abilityName>字词错误</abilityName>
      <candidateList>
        <item>设置</item>
      </candidateList>
      <explain>〈动〉❶设立：这座剧院是为儿童～的。❷安放；安装：～障碍。</explain>
      <paraID>61E8701C</paraID>
      <start>16</start>
      <end>17</end>
      <status>unmodified</status>
      <modifiedWord/>
      <trackRevisions>false</trackRevisions>
    </reviewItem>
    <reviewItem>
      <errorID>f23bea95-42e4-487d-8bfe-feb4bc869660</errorID>
      <errorWord>提高</errorWord>
      <group>L1_Grammar</group>
      <groupName>语法问题</groupName>
      <ability>L2_Grammar</ability>
      <abilityName>语法错误</abilityName>
      <candidateList>
        <item>增强</item>
      </candidateList>
      <explain>“提高～意识”搭配不当，建议修改为“增强～意识”。</explain>
      <paraID>2CA2296C</paraID>
      <start>39</start>
      <end>41</end>
      <status>unmodified</status>
      <modifiedWord/>
      <trackRevisions>false</trackRevisions>
    </reviewItem>
    <reviewItem>
      <errorID>4a690df9-aefc-45c6-bf1b-330933805d90</errorID>
      <errorWord>设</errorWord>
      <group>L1_Word</group>
      <groupName>字词问题</groupName>
      <ability>L2_Typo</ability>
      <abilityName>字词错误</abilityName>
      <candidateList>
        <item>设置</item>
      </candidateList>
      <explain>〈动〉❶设立：这座剧院是为儿童～的。❷安放；安装：～障碍。</explain>
      <paraID> 2B3F28A</paraID>
      <start>16</start>
      <end>17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73588f-ff50-424a-808b-35620d2cfcd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61</Pages>
  <Words>9557</Words>
  <Characters>10037</Characters>
  <Lines>372</Lines>
  <Paragraphs>104</Paragraphs>
  <TotalTime>74</TotalTime>
  <ScaleCrop>false</ScaleCrop>
  <LinksUpToDate>false</LinksUpToDate>
  <CharactersWithSpaces>10140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2023-05-14T04:07:00Z</dcterms:created>
  <dc:creator>lhj</dc:creator>
  <cp:lastModifiedBy>鱼儿</cp:lastModifiedBy>
  <cp:lastPrinted>2020-12-24T01:50:00Z</cp:lastPrinted>
  <dcterms:modified xsi:type="dcterms:W3CDTF">2026-03-02T08:43:11Z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1D21A6B3A93B44E397A6724DAC7F79C8_13</vt:lpwstr>
  </property>
  <property fmtid="{D5CDD505-2E9C-101B-9397-08002B2CF9AE}" pid="4" name="KSOTemplateDocerSaveRecord">
    <vt:lpwstr>eyJoZGlkIjoiZTY5MGFlNTdlZjkzNjdlYzUyMzQ3OTY0OTRlZmU5N2IiLCJ1c2VySWQiOiI0NjI0MTY4NzQifQ==</vt:lpwstr>
  </property>
</Properties>
</file>